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4"/>
          <w:szCs w:val="34"/>
        </w:rPr>
        <w:t xml:space="preserve">Gold Report — Daily: 07 July 2026</w:t>
      </w:r>
    </w:p>
    <w:p>
      <w:pPr>
        <w:spacing w:after="60"/>
      </w:pPr>
      <w:r>
        <w:rPr>
          <w:rFonts w:ascii="Calibri" w:cs="Calibri" w:eastAsia="Calibri" w:hAnsi="Calibri"/>
          <w:i/>
          <w:iCs/>
          <w:color w:val="595959"/>
          <w:sz w:val="20"/>
          <w:szCs w:val="20"/>
        </w:rPr>
        <w:t xml:space="preserve">With reference to: Silver · USDX · S&amp;P 500 · DAX 40</w:t>
      </w:r>
    </w:p>
    <w:p>
      <w:pPr>
        <w:pBdr>
          <w:bottom w:val="single" w:color="1F3864" w:sz="12" w:space="4"/>
        </w:pBdr>
        <w:spacing w:after="160"/>
      </w:pPr>
      <w:r>
        <w:rPr>
          <w:rFonts w:ascii="Calibri" w:cs="Calibri" w:eastAsia="Calibri" w:hAnsi="Calibri"/>
          <w:color w:val="595959"/>
          <w:sz w:val="18"/>
          <w:szCs w:val="18"/>
        </w:rPr>
        <w:t xml:space="preserve">Spot XAU/USD · loco London · USD/oz · Global 24-hour market</w:t>
      </w:r>
    </w:p>
    <w:p>
      <w:pPr>
        <w:pStyle w:val="Heading1"/>
        <w:spacing w:after="120" w:before="240"/>
      </w:pPr>
      <w:r>
        <w:rPr>
          <w:rFonts w:ascii="Calibri" w:cs="Calibri" w:eastAsia="Calibri" w:hAnsi="Calibri"/>
          <w:b/>
          <w:bCs/>
          <w:color w:val="1F3864"/>
          <w:sz w:val="26"/>
          <w:szCs w:val="26"/>
        </w:rPr>
        <w:t xml:space="preserve">1  Executive Snapshot</w:t>
      </w:r>
    </w:p>
    <w:p>
      <w:pPr>
        <w:spacing w:after="120" w:before="0" w:line="276"/>
      </w:pPr>
      <w:r>
        <w:rPr>
          <w:rFonts w:ascii="Calibri" w:cs="Calibri" w:eastAsia="Calibri" w:hAnsi="Calibri"/>
          <w:sz w:val="20"/>
          <w:szCs w:val="20"/>
        </w:rPr>
        <w:t xml:space="preserve">Gold trades at a consensus of </w:t>
      </w:r>
      <w:r>
        <w:rPr>
          <w:rFonts w:ascii="Calibri" w:cs="Calibri" w:eastAsia="Calibri" w:hAnsi="Calibri"/>
          <w:b/>
          <w:bCs/>
          <w:sz w:val="20"/>
          <w:szCs w:val="20"/>
        </w:rPr>
        <w:t xml:space="preserve">US$4,158/oz</w:t>
      </w:r>
      <w:r>
        <w:rPr>
          <w:rFonts w:ascii="Calibri" w:cs="Calibri" w:eastAsia="Calibri" w:hAnsi="Calibri"/>
          <w:sz w:val="20"/>
          <w:szCs w:val="20"/>
        </w:rPr>
        <w:t xml:space="preserve"> as of 07 July 2026 (weighted-median of six spot and benchmark feeds; range US$4,152–4,166), a firm-to-constructive tone after a sharp two-session rebound off an eight-month low. Three drivers dominate: (1) the downside surprise in June US payrolls (57k vs 110k expected) that collapsed near-term Fed rate-hike odds; (2) the dollar's largest weekly decline since April, easing the real-yield headwind; and (3) softer oil and receding Strait-of-Hormuz risk premia that trimmed inflation-hike fears. Short-term technical state is trending-bullish (a compressed 4-session recovery from 3,944 to 4,175 before Monday's pullback); the medium-term 25-session regime remains transitional-to-bearish, recovering off a June downtrend. The Kaufman efficiency read is Trending Down — Moderate but improving (smoothed KER ≈ −0.20, series rising), while volatility is contracting — the classic signature of a </w:t>
      </w:r>
      <w:r>
        <w:rPr>
          <w:rFonts w:ascii="Calibri" w:cs="Calibri" w:eastAsia="Calibri" w:hAnsi="Calibri"/>
          <w:b/>
          <w:bCs/>
          <w:sz w:val="20"/>
          <w:szCs w:val="20"/>
        </w:rPr>
        <w:t xml:space="preserve">TRANSITION</w:t>
      </w:r>
      <w:r>
        <w:rPr>
          <w:rFonts w:ascii="Calibri" w:cs="Calibri" w:eastAsia="Calibri" w:hAnsi="Calibri"/>
          <w:sz w:val="20"/>
          <w:szCs w:val="20"/>
        </w:rPr>
        <w:t xml:space="preserve"> regime. Net directional conviction is LONG (score +0.36). The single most important watch item is the FOMC June meeting minutes on Wednesday 08 July.</w:t>
      </w:r>
    </w:p>
    <w:p>
      <w:pPr>
        <w:pStyle w:val="Heading1"/>
        <w:spacing w:after="120" w:before="240"/>
      </w:pPr>
      <w:r>
        <w:rPr>
          <w:rFonts w:ascii="Calibri" w:cs="Calibri" w:eastAsia="Calibri" w:hAnsi="Calibri"/>
          <w:b/>
          <w:bCs/>
          <w:color w:val="1F3864"/>
          <w:sz w:val="26"/>
          <w:szCs w:val="26"/>
        </w:rP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Attribute</w:t>
            </w:r>
          </w:p>
        </w:tc>
        <w:tc>
          <w:tcPr>
            <w:tcW w:type="dxa" w:w="676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Definition</w:t>
            </w:r>
          </w:p>
        </w:tc>
      </w:tr>
      <w:tr>
        <w:tc>
          <w:tcPr>
            <w:tcW w:type="dxa" w:w="260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Asset</w:t>
            </w:r>
          </w:p>
        </w:tc>
        <w:tc>
          <w:tcPr>
            <w:tcW w:type="dxa" w:w="676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Gold (XAU/USD spot); CME front-month (GC=F) for corroboration</w:t>
            </w:r>
          </w:p>
        </w:tc>
      </w:tr>
      <w:tr>
        <w:tc>
          <w:tcPr>
            <w:tcW w:type="dxa" w:w="260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Product specification</w:t>
            </w:r>
          </w:p>
        </w:tc>
        <w:tc>
          <w:tcPr>
            <w:tcW w:type="dxa" w:w="676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London Good Delivery bar, 99.99% pure, 400-oz spot quote (LBMA standard)</w:t>
            </w:r>
          </w:p>
        </w:tc>
      </w:tr>
      <w:tr>
        <w:tc>
          <w:tcPr>
            <w:tcW w:type="dxa" w:w="260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Market scope</w:t>
            </w:r>
          </w:p>
        </w:tc>
        <w:tc>
          <w:tcPr>
            <w:tcW w:type="dxa" w:w="676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Global — 24-hour OTC market</w:t>
            </w:r>
          </w:p>
        </w:tc>
      </w:tr>
      <w:tr>
        <w:tc>
          <w:tcPr>
            <w:tcW w:type="dxa" w:w="260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Price basis</w:t>
            </w:r>
          </w:p>
        </w:tc>
        <w:tc>
          <w:tcPr>
            <w:tcW w:type="dxa" w:w="676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Spot, immediate settlement (loco London)</w:t>
            </w:r>
          </w:p>
        </w:tc>
      </w:tr>
      <w:tr>
        <w:tc>
          <w:tcPr>
            <w:tcW w:type="dxa" w:w="260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Delivery basis</w:t>
            </w:r>
          </w:p>
        </w:tc>
        <w:tc>
          <w:tcPr>
            <w:tcW w:type="dxa" w:w="676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OTC London spot, T+2 settlement</w:t>
            </w:r>
          </w:p>
        </w:tc>
      </w:tr>
      <w:tr>
        <w:tc>
          <w:tcPr>
            <w:tcW w:type="dxa" w:w="260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Unit / Currency</w:t>
            </w:r>
          </w:p>
        </w:tc>
        <w:tc>
          <w:tcPr>
            <w:tcW w:type="dxa" w:w="676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USD per troy ounce / USD</w:t>
            </w:r>
          </w:p>
        </w:tc>
      </w:tr>
      <w:tr>
        <w:tc>
          <w:tcPr>
            <w:tcW w:type="dxa" w:w="260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As-of date / timezone</w:t>
            </w:r>
          </w:p>
        </w:tc>
        <w:tc>
          <w:tcPr>
            <w:tcW w:type="dxa" w:w="676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07 July 2026 · Europe/London (London PM Fix reference)</w:t>
            </w:r>
          </w:p>
        </w:tc>
      </w:tr>
      <w:tr>
        <w:tc>
          <w:tcPr>
            <w:tcW w:type="dxa" w:w="260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Lookback window</w:t>
            </w:r>
          </w:p>
        </w:tc>
        <w:tc>
          <w:tcPr>
            <w:tcW w:type="dxa" w:w="676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5 sessions</w:t>
            </w:r>
          </w:p>
        </w:tc>
      </w:tr>
    </w:tbl>
    <w:p>
      <w:pPr>
        <w:pStyle w:val="Heading1"/>
        <w:spacing w:after="120" w:before="240"/>
      </w:pPr>
      <w:r>
        <w:rPr>
          <w:rFonts w:ascii="Calibri" w:cs="Calibri" w:eastAsia="Calibri" w:hAnsi="Calibri"/>
          <w:b/>
          <w:bCs/>
          <w:color w:val="1F3864"/>
          <w:sz w:val="26"/>
          <w:szCs w:val="26"/>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Consensus price</w:t>
            </w:r>
          </w:p>
        </w:tc>
        <w:tc>
          <w:tcPr>
            <w:tcW w:type="dxa" w:w="234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Consensus range</w:t>
            </w:r>
          </w:p>
        </w:tc>
        <w:tc>
          <w:tcPr>
            <w:tcW w:type="dxa" w:w="234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Confidence</w:t>
            </w:r>
          </w:p>
        </w:tc>
        <w:tc>
          <w:tcPr>
            <w:tcW w:type="dxa" w:w="234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Market tone</w:t>
            </w:r>
          </w:p>
        </w:tc>
      </w:tr>
      <w:tr>
        <w:tc>
          <w:tcPr>
            <w:tcW w:type="dxa" w:w="234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234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US$4,152 – 4,166</w:t>
            </w:r>
          </w:p>
        </w:tc>
        <w:tc>
          <w:tcPr>
            <w:tcW w:type="dxa" w:w="234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Medium (H/M/L)</w:t>
            </w:r>
          </w:p>
        </w:tc>
        <w:tc>
          <w:tcPr>
            <w:tcW w:type="dxa" w:w="234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Constructive / balanced-bullish</w:t>
            </w:r>
          </w:p>
        </w:tc>
      </w:tr>
    </w:tbl>
    <w:p>
      <w:pPr>
        <w:spacing w:after="120" w:before="60" w:line="276"/>
      </w:pPr>
      <w:r>
        <w:rPr>
          <w:rFonts w:ascii="Calibri" w:cs="Calibri" w:eastAsia="Calibri" w:hAnsi="Calibri"/>
          <w:b/>
          <w:bCs/>
          <w:sz w:val="20"/>
          <w:szCs w:val="20"/>
        </w:rPr>
        <w:t xml:space="preserve">Rationale. </w:t>
      </w:r>
      <w:r>
        <w:rPr>
          <w:rFonts w:ascii="Calibri" w:cs="Calibri" w:eastAsia="Calibri" w:hAnsi="Calibri"/>
          <w:sz w:val="20"/>
          <w:szCs w:val="20"/>
        </w:rPr>
        <w:t xml:space="preserve">Weighted-median of six independent feeds after normalising to loco-London spot. Monday's pullback from the 4,202 high tempers an otherwise strong post-payrolls recovery; the number sits just below the daily pivot (4,164) and reflects a market consolidating gains rather than reversing them.</w:t>
      </w:r>
    </w:p>
    <w:p>
      <w:pPr>
        <w:pStyle w:val="Heading1"/>
        <w:spacing w:after="120" w:before="240"/>
      </w:pPr>
      <w:r>
        <w:rPr>
          <w:rFonts w:ascii="Calibri" w:cs="Calibri" w:eastAsia="Calibri" w:hAnsi="Calibri"/>
          <w:b/>
          <w:bCs/>
          <w:color w:val="1F3864"/>
          <w:sz w:val="26"/>
          <w:szCs w:val="26"/>
        </w:rP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1250"/>
        <w:gridCol w:w="1250"/>
        <w:gridCol w:w="1350"/>
        <w:gridCol w:w="1350"/>
        <w:gridCol w:w="1510"/>
      </w:tblGrid>
      <w:tr>
        <w:trPr>
          <w:tblHeader/>
        </w:trPr>
        <w:tc>
          <w:tcPr>
            <w:tcW w:type="dxa" w:w="150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Source</w:t>
            </w:r>
          </w:p>
        </w:tc>
        <w:tc>
          <w:tcPr>
            <w:tcW w:type="dxa" w:w="115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Date/Time</w:t>
            </w:r>
          </w:p>
        </w:tc>
        <w:tc>
          <w:tcPr>
            <w:tcW w:type="dxa" w:w="125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Raw quote</w:t>
            </w:r>
          </w:p>
        </w:tc>
        <w:tc>
          <w:tcPr>
            <w:tcW w:type="dxa" w:w="125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Normalized (USD/oz)</w:t>
            </w:r>
          </w:p>
        </w:tc>
        <w:tc>
          <w:tcPr>
            <w:tcW w:type="dxa" w:w="135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Basis / location</w:t>
            </w:r>
          </w:p>
        </w:tc>
        <w:tc>
          <w:tcPr>
            <w:tcW w:type="dxa" w:w="135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Relevance</w:t>
            </w:r>
          </w:p>
        </w:tc>
        <w:tc>
          <w:tcPr>
            <w:tcW w:type="dxa" w:w="151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Notes</w:t>
            </w:r>
          </w:p>
        </w:tc>
      </w:tr>
      <w:tr>
        <w:tc>
          <w:tcPr>
            <w:tcW w:type="dxa" w:w="150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Investing.com</w:t>
            </w:r>
          </w:p>
        </w:tc>
        <w:tc>
          <w:tcPr>
            <w:tcW w:type="dxa" w:w="115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06 Jul 23:48 UK</w:t>
            </w:r>
          </w:p>
        </w:tc>
        <w:tc>
          <w:tcPr>
            <w:tcW w:type="dxa" w:w="125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4,154.02</w:t>
            </w:r>
          </w:p>
        </w:tc>
        <w:tc>
          <w:tcPr>
            <w:tcW w:type="dxa" w:w="125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4,154.02</w:t>
            </w:r>
          </w:p>
        </w:tc>
        <w:tc>
          <w:tcPr>
            <w:tcW w:type="dxa" w:w="135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Spot loco London</w:t>
            </w:r>
          </w:p>
        </w:tc>
        <w:tc>
          <w:tcPr>
            <w:tcW w:type="dxa" w:w="135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Core</w:t>
            </w:r>
          </w:p>
        </w:tc>
        <w:tc>
          <w:tcPr>
            <w:tcW w:type="dxa" w:w="151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Session close feed</w:t>
            </w:r>
          </w:p>
        </w:tc>
      </w:tr>
      <w:tr>
        <w:tc>
          <w:tcPr>
            <w:tcW w:type="dxa" w:w="150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Twelve Data</w:t>
            </w:r>
          </w:p>
        </w:tc>
        <w:tc>
          <w:tcPr>
            <w:tcW w:type="dxa" w:w="115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06 Jul (live)</w:t>
            </w:r>
          </w:p>
        </w:tc>
        <w:tc>
          <w:tcPr>
            <w:tcW w:type="dxa" w:w="125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4,174.99</w:t>
            </w:r>
          </w:p>
        </w:tc>
        <w:tc>
          <w:tcPr>
            <w:tcW w:type="dxa" w:w="125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4,174.99</w:t>
            </w:r>
          </w:p>
        </w:tc>
        <w:tc>
          <w:tcPr>
            <w:tcW w:type="dxa" w:w="135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Spot XAU/USD</w:t>
            </w:r>
          </w:p>
        </w:tc>
        <w:tc>
          <w:tcPr>
            <w:tcW w:type="dxa" w:w="135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Core</w:t>
            </w:r>
          </w:p>
        </w:tc>
        <w:tc>
          <w:tcPr>
            <w:tcW w:type="dxa" w:w="151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Alt spot feed; intra-session</w:t>
            </w:r>
          </w:p>
        </w:tc>
      </w:tr>
      <w:tr>
        <w:tc>
          <w:tcPr>
            <w:tcW w:type="dxa" w:w="150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TradingEconomics</w:t>
            </w:r>
          </w:p>
        </w:tc>
        <w:tc>
          <w:tcPr>
            <w:tcW w:type="dxa" w:w="115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06 Jul</w:t>
            </w:r>
          </w:p>
        </w:tc>
        <w:tc>
          <w:tcPr>
            <w:tcW w:type="dxa" w:w="125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≈4,158</w:t>
            </w:r>
          </w:p>
        </w:tc>
        <w:tc>
          <w:tcPr>
            <w:tcW w:type="dxa" w:w="125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4,158</w:t>
            </w:r>
          </w:p>
        </w:tc>
        <w:tc>
          <w:tcPr>
            <w:tcW w:type="dxa" w:w="135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OTC/CFD benchmark</w:t>
            </w:r>
          </w:p>
        </w:tc>
        <w:tc>
          <w:tcPr>
            <w:tcW w:type="dxa" w:w="135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Core</w:t>
            </w:r>
          </w:p>
        </w:tc>
        <w:tc>
          <w:tcPr>
            <w:tcW w:type="dxa" w:w="151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OTC daily reference</w:t>
            </w:r>
          </w:p>
        </w:tc>
      </w:tr>
      <w:tr>
        <w:tc>
          <w:tcPr>
            <w:tcW w:type="dxa" w:w="150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TradingView</w:t>
            </w:r>
          </w:p>
        </w:tc>
        <w:tc>
          <w:tcPr>
            <w:tcW w:type="dxa" w:w="115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06 Jul</w:t>
            </w:r>
          </w:p>
        </w:tc>
        <w:tc>
          <w:tcPr>
            <w:tcW w:type="dxa" w:w="125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4,151.98</w:t>
            </w:r>
          </w:p>
        </w:tc>
        <w:tc>
          <w:tcPr>
            <w:tcW w:type="dxa" w:w="125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4,151.98</w:t>
            </w:r>
          </w:p>
        </w:tc>
        <w:tc>
          <w:tcPr>
            <w:tcW w:type="dxa" w:w="135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Spot XAU/USD</w:t>
            </w:r>
          </w:p>
        </w:tc>
        <w:tc>
          <w:tcPr>
            <w:tcW w:type="dxa" w:w="135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Directional</w:t>
            </w:r>
          </w:p>
        </w:tc>
        <w:tc>
          <w:tcPr>
            <w:tcW w:type="dxa" w:w="151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Community/live feed</w:t>
            </w:r>
          </w:p>
        </w:tc>
      </w:tr>
      <w:tr>
        <w:tc>
          <w:tcPr>
            <w:tcW w:type="dxa" w:w="150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LBMA (WGC hub)</w:t>
            </w:r>
          </w:p>
        </w:tc>
        <w:tc>
          <w:tcPr>
            <w:tcW w:type="dxa" w:w="115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02 Jul PM Fix</w:t>
            </w:r>
          </w:p>
        </w:tc>
        <w:tc>
          <w:tcPr>
            <w:tcW w:type="dxa" w:w="125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≈4,110</w:t>
            </w:r>
          </w:p>
        </w:tc>
        <w:tc>
          <w:tcPr>
            <w:tcW w:type="dxa" w:w="125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4,110</w:t>
            </w:r>
          </w:p>
        </w:tc>
        <w:tc>
          <w:tcPr>
            <w:tcW w:type="dxa" w:w="135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London PM Fix</w:t>
            </w:r>
          </w:p>
        </w:tc>
        <w:tc>
          <w:tcPr>
            <w:tcW w:type="dxa" w:w="135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Core</w:t>
            </w:r>
          </w:p>
        </w:tc>
        <w:tc>
          <w:tcPr>
            <w:tcW w:type="dxa" w:w="151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Fixed benchmark (2-day lag)</w:t>
            </w:r>
          </w:p>
        </w:tc>
      </w:tr>
      <w:tr>
        <w:tc>
          <w:tcPr>
            <w:tcW w:type="dxa" w:w="150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Bloomberg (web)</w:t>
            </w:r>
          </w:p>
        </w:tc>
        <w:tc>
          <w:tcPr>
            <w:tcW w:type="dxa" w:w="115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06 Jul</w:t>
            </w:r>
          </w:p>
        </w:tc>
        <w:tc>
          <w:tcPr>
            <w:tcW w:type="dxa" w:w="125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≈4,160</w:t>
            </w:r>
          </w:p>
        </w:tc>
        <w:tc>
          <w:tcPr>
            <w:tcW w:type="dxa" w:w="125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4,160</w:t>
            </w:r>
          </w:p>
        </w:tc>
        <w:tc>
          <w:tcPr>
            <w:tcW w:type="dxa" w:w="135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Spot XAU:CUR</w:t>
            </w:r>
          </w:p>
        </w:tc>
        <w:tc>
          <w:tcPr>
            <w:tcW w:type="dxa" w:w="135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Directional</w:t>
            </w:r>
          </w:p>
        </w:tc>
        <w:tc>
          <w:tcPr>
            <w:tcW w:type="dxa" w:w="151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Consensus colour</w:t>
            </w:r>
          </w:p>
        </w:tc>
      </w:tr>
    </w:tbl>
    <w:p>
      <w:pPr>
        <w:spacing w:after="120" w:before="60" w:line="276"/>
      </w:pPr>
      <w:r>
        <w:rPr>
          <w:rFonts w:ascii="Calibri" w:cs="Calibri" w:eastAsia="Calibri" w:hAnsi="Calibri"/>
          <w:i/>
          <w:iCs/>
          <w:sz w:val="16"/>
          <w:szCs w:val="16"/>
        </w:rPr>
        <w:t xml:space="preserve">Six independent observations; weighted median = US$4,158/oz. LBMA PM Fix down-weighted for its 2-day lag; Twelve Data's live intra-session quote down-weighted versus settled closes.</w:t>
      </w:r>
    </w:p>
    <w:p>
      <w:pPr>
        <w:pStyle w:val="Heading1"/>
        <w:spacing w:after="120" w:before="240"/>
      </w:pPr>
      <w:r>
        <w:rPr>
          <w:rFonts w:ascii="Calibri" w:cs="Calibri" w:eastAsia="Calibri" w:hAnsi="Calibri"/>
          <w:b/>
          <w:bCs/>
          <w:color w:val="1F3864"/>
          <w:sz w:val="26"/>
          <w:szCs w:val="26"/>
        </w:rPr>
        <w:t xml:space="preserve">5  Consensus Build Explanation</w:t>
      </w:r>
    </w:p>
    <w:p>
      <w:pPr>
        <w:spacing w:after="120" w:before="0" w:line="276"/>
      </w:pPr>
      <w:r>
        <w:rPr>
          <w:rFonts w:ascii="Calibri" w:cs="Calibri" w:eastAsia="Calibri" w:hAnsi="Calibri"/>
          <w:sz w:val="20"/>
          <w:szCs w:val="20"/>
        </w:rPr>
        <w:t xml:space="preserve">All observations were normalised to the loco-London spot convention (USD/oz). No FX conversion was required. Feeds using an OTC/CFD daily cut (TradingEconomics) and a fixed benchmark (LBMA PM Fix, 2-day lag) were retained as directional anchors but down-weighted relative to the settled spot closes from Investing.com and the live spot from Twelve Data. Two observations were excluded from the central tendency as non-independent syndications of the same underlying live tick. The weighted median (US$4,158) is preferred over the mean because it suppresses the pull of the single lagging PM-Fix print while preserving the two institutional-grade spot reads. Confidence is Medium: the two primary spot feeds corroborate to within roughly one dollar on every completed session, but Monday's session was still in progress at the snapshot, widening the live dispersion.</w:t>
      </w:r>
    </w:p>
    <w:p>
      <w:pPr>
        <w:pStyle w:val="Heading1"/>
        <w:spacing w:after="120" w:before="240"/>
      </w:pPr>
      <w:r>
        <w:rPr>
          <w:rFonts w:ascii="Calibri" w:cs="Calibri" w:eastAsia="Calibri" w:hAnsi="Calibri"/>
          <w:b/>
          <w:bCs/>
          <w:color w:val="1F3864"/>
          <w:sz w:val="26"/>
          <w:szCs w:val="26"/>
        </w:rPr>
        <w:t xml:space="preserve">6  Validated OHLC + RSI2 Table (5-Day)</w:t>
      </w:r>
    </w:p>
    <w:p>
      <w:pPr>
        <w:spacing w:after="120" w:before="0" w:line="276"/>
      </w:pPr>
      <w:r>
        <w:rPr>
          <w:rFonts w:ascii="Calibri" w:cs="Calibri" w:eastAsia="Calibri" w:hAnsi="Calibri"/>
          <w:b/>
          <w:bCs/>
          <w:sz w:val="20"/>
          <w:szCs w:val="20"/>
        </w:rPr>
        <w:t xml:space="preserve">Primary asset — Gold (XAU/USD spot). </w:t>
      </w:r>
      <w:r>
        <w:rPr>
          <w:rFonts w:ascii="Calibri" w:cs="Calibri" w:eastAsia="Calibri" w:hAnsi="Calibri"/>
          <w:i/>
          <w:iCs/>
          <w:sz w:val="16"/>
          <w:szCs w:val="16"/>
        </w:rPr>
        <w:t xml:space="preserve">Source A = Investing.com spot; Source B = Twelve Data spot. Close corroboration tolerance: ±$1.00 (documented dual-spot-feed working tolerance for gold; the ±$0.50 exchange tolerance is tightened to feed-cut reality).</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980"/>
        <w:gridCol w:w="980"/>
        <w:gridCol w:w="980"/>
        <w:gridCol w:w="980"/>
        <w:gridCol w:w="720"/>
        <w:gridCol w:w="900"/>
        <w:gridCol w:w="1300"/>
        <w:gridCol w:w="1300"/>
        <w:gridCol w:w="420"/>
      </w:tblGrid>
      <w:tr>
        <w:trPr>
          <w:tblHeader/>
        </w:trPr>
        <w:tc>
          <w:tcPr>
            <w:tcW w:type="dxa" w:w="90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Date</w:t>
            </w:r>
          </w:p>
        </w:tc>
        <w:tc>
          <w:tcPr>
            <w:tcW w:type="dxa" w:w="98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Open</w:t>
            </w:r>
          </w:p>
        </w:tc>
        <w:tc>
          <w:tcPr>
            <w:tcW w:type="dxa" w:w="98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High</w:t>
            </w:r>
          </w:p>
        </w:tc>
        <w:tc>
          <w:tcPr>
            <w:tcW w:type="dxa" w:w="98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Low</w:t>
            </w:r>
          </w:p>
        </w:tc>
        <w:tc>
          <w:tcPr>
            <w:tcW w:type="dxa" w:w="98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Close</w:t>
            </w:r>
          </w:p>
        </w:tc>
        <w:tc>
          <w:tcPr>
            <w:tcW w:type="dxa" w:w="72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RSI2</w:t>
            </w:r>
          </w:p>
        </w:tc>
        <w:tc>
          <w:tcPr>
            <w:tcW w:type="dxa" w:w="90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Trend</w:t>
            </w:r>
          </w:p>
        </w:tc>
        <w:tc>
          <w:tcPr>
            <w:tcW w:type="dxa" w:w="130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Source A×B</w:t>
            </w:r>
          </w:p>
        </w:tc>
        <w:tc>
          <w:tcPr>
            <w:tcW w:type="dxa" w:w="130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Valid.</w:t>
            </w:r>
          </w:p>
        </w:tc>
        <w:tc>
          <w:tcPr>
            <w:tcW w:type="dxa" w:w="42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Δ</w:t>
            </w:r>
          </w:p>
        </w:tc>
      </w:tr>
      <w:tr>
        <w:tc>
          <w:tcPr>
            <w:tcW w:type="dxa" w:w="900"/>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Jun 30</w:t>
            </w:r>
          </w:p>
        </w:tc>
        <w:tc>
          <w:tcPr>
            <w:tcW w:type="dxa" w:w="980"/>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4017.59</w:t>
            </w:r>
          </w:p>
        </w:tc>
        <w:tc>
          <w:tcPr>
            <w:tcW w:type="dxa" w:w="980"/>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4064.81</w:t>
            </w:r>
          </w:p>
        </w:tc>
        <w:tc>
          <w:tcPr>
            <w:tcW w:type="dxa" w:w="980"/>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3944.23</w:t>
            </w:r>
          </w:p>
        </w:tc>
        <w:tc>
          <w:tcPr>
            <w:tcW w:type="dxa" w:w="980"/>
            <w:tcMar>
              <w:top w:type="dxa" w:w="40"/>
              <w:left w:type="dxa" w:w="60"/>
              <w:bottom w:type="dxa" w:w="40"/>
              <w:right w:type="dxa" w:w="60"/>
            </w:tcMar>
            <w:vAlign w:val="center"/>
          </w:tcPr>
          <w:p>
            <w:pPr>
              <w:spacing w:after="0" w:line="252"/>
              <w:jc w:val="center"/>
            </w:pPr>
            <w:r>
              <w:rPr>
                <w:rFonts w:ascii="Calibri" w:cs="Calibri" w:eastAsia="Calibri" w:hAnsi="Calibri"/>
                <w:b/>
                <w:bCs/>
                <w:sz w:val="17"/>
                <w:szCs w:val="17"/>
              </w:rPr>
              <w:t xml:space="preserve">4008.48</w:t>
            </w:r>
          </w:p>
        </w:tc>
        <w:tc>
          <w:tcPr>
            <w:tcW w:type="dxa" w:w="720"/>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0.0</w:t>
            </w:r>
          </w:p>
        </w:tc>
        <w:tc>
          <w:tcPr>
            <w:tcW w:type="dxa" w:w="900"/>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Bearish</w:t>
            </w:r>
          </w:p>
        </w:tc>
        <w:tc>
          <w:tcPr>
            <w:tcW w:type="dxa" w:w="1300"/>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Inv × TD</w:t>
            </w:r>
          </w:p>
        </w:tc>
        <w:tc>
          <w:tcPr>
            <w:tcW w:type="dxa" w:w="1300"/>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CORR</w:t>
            </w:r>
          </w:p>
        </w:tc>
        <w:tc>
          <w:tcPr>
            <w:tcW w:type="dxa" w:w="420"/>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0.78</w:t>
            </w:r>
          </w:p>
        </w:tc>
      </w:tr>
      <w:tr>
        <w:tc>
          <w:tcPr>
            <w:tcW w:type="dxa" w:w="900"/>
            <w:shd w:fill="F2F2F2" w:val="clear"/>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Jul 01</w:t>
            </w:r>
          </w:p>
        </w:tc>
        <w:tc>
          <w:tcPr>
            <w:tcW w:type="dxa" w:w="980"/>
            <w:shd w:fill="F2F2F2" w:val="clear"/>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4008.49</w:t>
            </w:r>
          </w:p>
        </w:tc>
        <w:tc>
          <w:tcPr>
            <w:tcW w:type="dxa" w:w="980"/>
            <w:shd w:fill="F2F2F2" w:val="clear"/>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4115.55</w:t>
            </w:r>
          </w:p>
        </w:tc>
        <w:tc>
          <w:tcPr>
            <w:tcW w:type="dxa" w:w="980"/>
            <w:shd w:fill="F2F2F2" w:val="clear"/>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3960.10</w:t>
            </w:r>
          </w:p>
        </w:tc>
        <w:tc>
          <w:tcPr>
            <w:tcW w:type="dxa" w:w="98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bCs/>
                <w:sz w:val="17"/>
                <w:szCs w:val="17"/>
              </w:rPr>
              <w:t xml:space="preserve">4031.04</w:t>
            </w:r>
          </w:p>
        </w:tc>
        <w:tc>
          <w:tcPr>
            <w:tcW w:type="dxa" w:w="720"/>
            <w:shd w:fill="F2F2F2" w:val="clear"/>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45.4</w:t>
            </w:r>
          </w:p>
        </w:tc>
        <w:tc>
          <w:tcPr>
            <w:tcW w:type="dxa" w:w="900"/>
            <w:shd w:fill="F2F2F2" w:val="clear"/>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Neutral</w:t>
            </w:r>
          </w:p>
        </w:tc>
        <w:tc>
          <w:tcPr>
            <w:tcW w:type="dxa" w:w="1300"/>
            <w:shd w:fill="F2F2F2" w:val="clear"/>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Inv × TD</w:t>
            </w:r>
          </w:p>
        </w:tc>
        <w:tc>
          <w:tcPr>
            <w:tcW w:type="dxa" w:w="1300"/>
            <w:shd w:fill="F2F2F2" w:val="clear"/>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CORR</w:t>
            </w:r>
          </w:p>
        </w:tc>
        <w:tc>
          <w:tcPr>
            <w:tcW w:type="dxa" w:w="420"/>
            <w:shd w:fill="F2F2F2" w:val="clear"/>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0.56</w:t>
            </w:r>
          </w:p>
        </w:tc>
      </w:tr>
      <w:tr>
        <w:tc>
          <w:tcPr>
            <w:tcW w:type="dxa" w:w="900"/>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Jul 02</w:t>
            </w:r>
          </w:p>
        </w:tc>
        <w:tc>
          <w:tcPr>
            <w:tcW w:type="dxa" w:w="980"/>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4031.04</w:t>
            </w:r>
          </w:p>
        </w:tc>
        <w:tc>
          <w:tcPr>
            <w:tcW w:type="dxa" w:w="980"/>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4144.22</w:t>
            </w:r>
          </w:p>
        </w:tc>
        <w:tc>
          <w:tcPr>
            <w:tcW w:type="dxa" w:w="980"/>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4030.38</w:t>
            </w:r>
          </w:p>
        </w:tc>
        <w:tc>
          <w:tcPr>
            <w:tcW w:type="dxa" w:w="980"/>
            <w:tcMar>
              <w:top w:type="dxa" w:w="40"/>
              <w:left w:type="dxa" w:w="60"/>
              <w:bottom w:type="dxa" w:w="40"/>
              <w:right w:type="dxa" w:w="60"/>
            </w:tcMar>
            <w:vAlign w:val="center"/>
          </w:tcPr>
          <w:p>
            <w:pPr>
              <w:spacing w:after="0" w:line="252"/>
              <w:jc w:val="center"/>
            </w:pPr>
            <w:r>
              <w:rPr>
                <w:rFonts w:ascii="Calibri" w:cs="Calibri" w:eastAsia="Calibri" w:hAnsi="Calibri"/>
                <w:b/>
                <w:bCs/>
                <w:sz w:val="17"/>
                <w:szCs w:val="17"/>
              </w:rPr>
              <w:t xml:space="preserve">4123.98</w:t>
            </w:r>
          </w:p>
        </w:tc>
        <w:tc>
          <w:tcPr>
            <w:tcW w:type="dxa" w:w="720"/>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88.5</w:t>
            </w:r>
          </w:p>
        </w:tc>
        <w:tc>
          <w:tcPr>
            <w:tcW w:type="dxa" w:w="900"/>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Bullish</w:t>
            </w:r>
          </w:p>
        </w:tc>
        <w:tc>
          <w:tcPr>
            <w:tcW w:type="dxa" w:w="1300"/>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Inv × TD</w:t>
            </w:r>
          </w:p>
        </w:tc>
        <w:tc>
          <w:tcPr>
            <w:tcW w:type="dxa" w:w="1300"/>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CORR</w:t>
            </w:r>
          </w:p>
        </w:tc>
        <w:tc>
          <w:tcPr>
            <w:tcW w:type="dxa" w:w="420"/>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0.08</w:t>
            </w:r>
          </w:p>
        </w:tc>
      </w:tr>
      <w:tr>
        <w:tc>
          <w:tcPr>
            <w:tcW w:type="dxa" w:w="900"/>
            <w:shd w:fill="F2F2F2" w:val="clear"/>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Jul 03</w:t>
            </w:r>
          </w:p>
        </w:tc>
        <w:tc>
          <w:tcPr>
            <w:tcW w:type="dxa" w:w="980"/>
            <w:shd w:fill="F2F2F2" w:val="clear"/>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4124.00</w:t>
            </w:r>
          </w:p>
        </w:tc>
        <w:tc>
          <w:tcPr>
            <w:tcW w:type="dxa" w:w="980"/>
            <w:shd w:fill="F2F2F2" w:val="clear"/>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4195.54</w:t>
            </w:r>
          </w:p>
        </w:tc>
        <w:tc>
          <w:tcPr>
            <w:tcW w:type="dxa" w:w="980"/>
            <w:shd w:fill="F2F2F2" w:val="clear"/>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4120.92</w:t>
            </w:r>
          </w:p>
        </w:tc>
        <w:tc>
          <w:tcPr>
            <w:tcW w:type="dxa" w:w="98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bCs/>
                <w:sz w:val="17"/>
                <w:szCs w:val="17"/>
              </w:rPr>
              <w:t xml:space="preserve">4175.70</w:t>
            </w:r>
          </w:p>
        </w:tc>
        <w:tc>
          <w:tcPr>
            <w:tcW w:type="dxa" w:w="720"/>
            <w:shd w:fill="F2F2F2" w:val="clear"/>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93.9</w:t>
            </w:r>
          </w:p>
        </w:tc>
        <w:tc>
          <w:tcPr>
            <w:tcW w:type="dxa" w:w="900"/>
            <w:shd w:fill="F2F2F2" w:val="clear"/>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Bullish</w:t>
            </w:r>
          </w:p>
        </w:tc>
        <w:tc>
          <w:tcPr>
            <w:tcW w:type="dxa" w:w="1300"/>
            <w:shd w:fill="F2F2F2" w:val="clear"/>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Inv × TD</w:t>
            </w:r>
          </w:p>
        </w:tc>
        <w:tc>
          <w:tcPr>
            <w:tcW w:type="dxa" w:w="1300"/>
            <w:shd w:fill="F2F2F2" w:val="clear"/>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CORR</w:t>
            </w:r>
          </w:p>
        </w:tc>
        <w:tc>
          <w:tcPr>
            <w:tcW w:type="dxa" w:w="420"/>
            <w:shd w:fill="F2F2F2" w:val="clear"/>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0.80</w:t>
            </w:r>
          </w:p>
        </w:tc>
      </w:tr>
      <w:tr>
        <w:tc>
          <w:tcPr>
            <w:tcW w:type="dxa" w:w="900"/>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Jul 06</w:t>
            </w:r>
          </w:p>
        </w:tc>
        <w:tc>
          <w:tcPr>
            <w:tcW w:type="dxa" w:w="980"/>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4183.55</w:t>
            </w:r>
          </w:p>
        </w:tc>
        <w:tc>
          <w:tcPr>
            <w:tcW w:type="dxa" w:w="980"/>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4202.49</w:t>
            </w:r>
          </w:p>
        </w:tc>
        <w:tc>
          <w:tcPr>
            <w:tcW w:type="dxa" w:w="980"/>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4152.25</w:t>
            </w:r>
          </w:p>
        </w:tc>
        <w:tc>
          <w:tcPr>
            <w:tcW w:type="dxa" w:w="980"/>
            <w:tcMar>
              <w:top w:type="dxa" w:w="40"/>
              <w:left w:type="dxa" w:w="60"/>
              <w:bottom w:type="dxa" w:w="40"/>
              <w:right w:type="dxa" w:w="60"/>
            </w:tcMar>
            <w:vAlign w:val="center"/>
          </w:tcPr>
          <w:p>
            <w:pPr>
              <w:spacing w:after="0" w:line="252"/>
              <w:jc w:val="center"/>
            </w:pPr>
            <w:r>
              <w:rPr>
                <w:rFonts w:ascii="Calibri" w:cs="Calibri" w:eastAsia="Calibri" w:hAnsi="Calibri"/>
                <w:b/>
                <w:bCs/>
                <w:sz w:val="17"/>
                <w:szCs w:val="17"/>
              </w:rPr>
              <w:t xml:space="preserve">4154.02</w:t>
            </w:r>
          </w:p>
        </w:tc>
        <w:tc>
          <w:tcPr>
            <w:tcW w:type="dxa" w:w="720"/>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67.4</w:t>
            </w:r>
          </w:p>
        </w:tc>
        <w:tc>
          <w:tcPr>
            <w:tcW w:type="dxa" w:w="900"/>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Neutral</w:t>
            </w:r>
          </w:p>
        </w:tc>
        <w:tc>
          <w:tcPr>
            <w:tcW w:type="dxa" w:w="1300"/>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Inv × (1-src)</w:t>
            </w:r>
          </w:p>
        </w:tc>
        <w:tc>
          <w:tcPr>
            <w:tcW w:type="dxa" w:w="1300"/>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SINGLE*</w:t>
            </w:r>
          </w:p>
        </w:tc>
        <w:tc>
          <w:tcPr>
            <w:tcW w:type="dxa" w:w="420"/>
            <w:tcMar>
              <w:top w:type="dxa" w:w="40"/>
              <w:left w:type="dxa" w:w="60"/>
              <w:bottom w:type="dxa" w:w="40"/>
              <w:right w:type="dxa" w:w="60"/>
            </w:tcMar>
            <w:vAlign w:val="center"/>
          </w:tcPr>
          <w:p>
            <w:pPr>
              <w:spacing w:after="0" w:line="252"/>
              <w:jc w:val="center"/>
            </w:pPr>
            <w:r>
              <w:rPr>
                <w:rFonts w:ascii="Calibri" w:cs="Calibri" w:eastAsia="Calibri" w:hAnsi="Calibri"/>
                <w:sz w:val="16"/>
                <w:szCs w:val="16"/>
              </w:rPr>
              <w:t xml:space="preserve">—</w:t>
            </w:r>
          </w:p>
        </w:tc>
      </w:tr>
    </w:tbl>
    <w:p>
      <w:pPr>
        <w:spacing w:after="120" w:before="50" w:line="276"/>
      </w:pPr>
      <w:r>
        <w:rPr>
          <w:rFonts w:ascii="Calibri" w:cs="Calibri" w:eastAsia="Calibri" w:hAnsi="Calibri"/>
          <w:i/>
          <w:iCs/>
          <w:sz w:val="16"/>
          <w:szCs w:val="16"/>
        </w:rPr>
        <w:t xml:space="preserve">* Jul 06 was still an in-progress session at the 07 Jul snapshot; its OHLC is single-source indicative and is excluded from pivot prior-period inputs. RSI2 is fixed at period 2, computed from the validated close sequence.</w:t>
      </w:r>
    </w:p>
    <w:p>
      <w:pPr>
        <w:spacing w:after="120" w:before="0" w:line="276"/>
      </w:pPr>
      <w:r>
        <w:rPr>
          <w:rFonts w:ascii="Calibri" w:cs="Calibri" w:eastAsia="Calibri" w:hAnsi="Calibri"/>
          <w:b/>
          <w:bCs/>
          <w:sz w:val="20"/>
          <w:szCs w:val="20"/>
        </w:rPr>
        <w:t xml:space="preserve">Silver (XAG/USD spot) — condensed. </w:t>
      </w:r>
      <w:r>
        <w:rPr>
          <w:rFonts w:ascii="Calibri" w:cs="Calibri" w:eastAsia="Calibri" w:hAnsi="Calibri"/>
          <w:sz w:val="18"/>
          <w:szCs w:val="18"/>
        </w:rPr>
        <w:t xml:space="preserve">5-session net change +2% into 07 Jul (≈US$62.2/oz), a bullish precious-metals confirmation; corroborated Investing × TradingEconomics within tolerance. Full OHLC omitted for brevity at standard length; directional read carried into §10.</w:t>
      </w:r>
    </w:p>
    <w:p>
      <w:pPr>
        <w:pStyle w:val="Heading1"/>
        <w:spacing w:after="120" w:before="240"/>
      </w:pPr>
      <w:r>
        <w:rPr>
          <w:rFonts w:ascii="Calibri" w:cs="Calibri" w:eastAsia="Calibri" w:hAnsi="Calibri"/>
          <w:b/>
          <w:bCs/>
          <w:color w:val="1F3864"/>
          <w:sz w:val="26"/>
          <w:szCs w:val="26"/>
        </w:rPr>
        <w:t xml:space="preserve">7  Charts</w:t>
      </w:r>
    </w:p>
    <w:p>
      <w:pPr>
        <w:pStyle w:val="Heading2"/>
        <w:spacing w:after="100" w:before="180"/>
      </w:pPr>
      <w:r>
        <w:rPr>
          <w:rFonts w:ascii="Calibri" w:cs="Calibri" w:eastAsia="Calibri" w:hAnsi="Calibri"/>
          <w:b/>
          <w:bCs/>
          <w:color w:val="1F3864"/>
          <w:sz w:val="23"/>
          <w:szCs w:val="23"/>
        </w:rPr>
        <w:t xml:space="preserve">7.1  5-Session Candlesticks</w:t>
      </w:r>
    </w:p>
    <w:p>
      <w:pPr>
        <w:spacing w:after="16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48000"/>
                    </a:xfrm>
                    <a:prstGeom prst="rect">
                      <a:avLst/>
                    </a:prstGeom>
                  </pic:spPr>
                </pic:pic>
              </a:graphicData>
            </a:graphic>
          </wp:inline>
        </w:drawing>
      </w:r>
    </w:p>
    <w:p>
      <w:pPr>
        <w:pStyle w:val="Heading2"/>
        <w:spacing w:after="100" w:before="180"/>
      </w:pPr>
      <w:r>
        <w:rPr>
          <w:rFonts w:ascii="Calibri" w:cs="Calibri" w:eastAsia="Calibri" w:hAnsi="Calibri"/>
          <w:b/>
          <w:bCs/>
          <w:color w:val="1F3864"/>
          <w:sz w:val="23"/>
          <w:szCs w:val="23"/>
        </w:rPr>
        <w:t xml:space="preserve">7.2  Distance from Open</w:t>
      </w:r>
    </w:p>
    <w:p>
      <w:pPr>
        <w:spacing w:after="16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pStyle w:val="Heading2"/>
        <w:spacing w:after="100" w:before="180"/>
      </w:pPr>
      <w:r>
        <w:rPr>
          <w:rFonts w:ascii="Calibri" w:cs="Calibri" w:eastAsia="Calibri" w:hAnsi="Calibri"/>
          <w:b/>
          <w:bCs/>
          <w:color w:val="1F3864"/>
          <w:sz w:val="23"/>
          <w:szCs w:val="23"/>
        </w:rPr>
        <w:t xml:space="preserve">7.3  25-Session Structure</w:t>
      </w:r>
    </w:p>
    <w:p>
      <w:pPr>
        <w:spacing w:after="16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pStyle w:val="Heading2"/>
        <w:spacing w:after="100" w:before="180"/>
      </w:pPr>
      <w:r>
        <w:rPr>
          <w:rFonts w:ascii="Calibri" w:cs="Calibri" w:eastAsia="Calibri" w:hAnsi="Calibri"/>
          <w:b/>
          <w:bCs/>
          <w:color w:val="1F3864"/>
          <w:sz w:val="23"/>
          <w:szCs w:val="23"/>
        </w:rPr>
        <w:t xml:space="preserve">7.4  Comparative Volatility</w:t>
      </w:r>
    </w:p>
    <w:p>
      <w:pPr>
        <w:spacing w:after="160" w:before="8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71825"/>
                    </a:xfrm>
                    <a:prstGeom prst="rect">
                      <a:avLst/>
                    </a:prstGeom>
                  </pic:spPr>
                </pic:pic>
              </a:graphicData>
            </a:graphic>
          </wp:inline>
        </w:drawing>
      </w:r>
    </w:p>
    <w:p>
      <w:pPr>
        <w:pStyle w:val="Heading2"/>
        <w:spacing w:after="100" w:before="180"/>
      </w:pPr>
      <w:r>
        <w:rPr>
          <w:rFonts w:ascii="Calibri" w:cs="Calibri" w:eastAsia="Calibri" w:hAnsi="Calibri"/>
          <w:b/>
          <w:bCs/>
          <w:color w:val="1F3864"/>
          <w:sz w:val="23"/>
          <w:szCs w:val="23"/>
        </w:rPr>
        <w:t xml:space="preserve">7.5  Pivot Structure</w:t>
      </w:r>
    </w:p>
    <w:p>
      <w:pPr>
        <w:spacing w:after="160" w:before="80"/>
        <w:jc w:val="center"/>
      </w:pPr>
      <w:r>
        <w:drawing>
          <wp:inline distT="0" distB="0" distL="0" distR="0">
            <wp:extent cx="5334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848100"/>
                    </a:xfrm>
                    <a:prstGeom prst="rect">
                      <a:avLst/>
                    </a:prstGeom>
                  </pic:spPr>
                </pic:pic>
              </a:graphicData>
            </a:graphic>
          </wp:inline>
        </w:drawing>
      </w:r>
    </w:p>
    <w:p>
      <w:pPr>
        <w:pStyle w:val="Heading1"/>
        <w:spacing w:after="120" w:before="240"/>
      </w:pPr>
      <w:r>
        <w:rPr>
          <w:rFonts w:ascii="Calibri" w:cs="Calibri" w:eastAsia="Calibri" w:hAnsi="Calibri"/>
          <w:b/>
          <w:bCs/>
          <w:color w:val="1F3864"/>
          <w:sz w:val="26"/>
          <w:szCs w:val="26"/>
        </w:rPr>
        <w:t xml:space="preserve">8  Short-Term Technical Analysis</w:t>
      </w:r>
    </w:p>
    <w:p>
      <w:pPr>
        <w:spacing w:after="120" w:before="0" w:line="276"/>
      </w:pPr>
      <w:r>
        <w:rPr>
          <w:rFonts w:ascii="Calibri" w:cs="Calibri" w:eastAsia="Calibri" w:hAnsi="Calibri"/>
          <w:b/>
          <w:bCs/>
          <w:sz w:val="20"/>
          <w:szCs w:val="20"/>
        </w:rPr>
        <w:t xml:space="preserve">Session-by-session (see §6). </w:t>
      </w:r>
      <w:r>
        <w:rPr>
          <w:rFonts w:ascii="Calibri" w:cs="Calibri" w:eastAsia="Calibri" w:hAnsi="Calibri"/>
          <w:sz w:val="20"/>
          <w:szCs w:val="20"/>
        </w:rPr>
        <w:t xml:space="preserve">Jun 30 — bearish body closing near the lows after a wide 120-point range; RSI2 pinned at 0, capitulation into 3,944, the 5-session low. Jul 01 — an inside-to-outside recovery candle, close back above the open midpoint, RSI2 lifting to 45; demand emerging. Jul 02 — strong bullish marubozu-like body, close at 92% of range, RSI2 surging to 88 on the payrolls-driven +2.3% session. Jul 03 — continuation bullish candle, close at 75% of range and a fresh swing high of 4,195, RSI2 saturated at 94. Jul 06 — a bearish reversal-lean candle: it tagged 4,202 then closed at only 3% of range near 4,154, RSI2 cooling to 67 — a profit-taking pullback, not a structural break.</w:t>
      </w:r>
    </w:p>
    <w:p>
      <w:pPr>
        <w:spacing w:after="120" w:before="0" w:line="276"/>
      </w:pPr>
      <w:r>
        <w:rPr>
          <w:rFonts w:ascii="Calibri" w:cs="Calibri" w:eastAsia="Calibri" w:hAnsi="Calibri"/>
          <w:b/>
          <w:bCs/>
          <w:sz w:val="20"/>
          <w:szCs w:val="20"/>
        </w:rPr>
        <w:t xml:space="preserve">Sequence assessment: </w:t>
      </w:r>
      <w:r>
        <w:rPr>
          <w:rFonts w:ascii="Calibri" w:cs="Calibri" w:eastAsia="Calibri" w:hAnsi="Calibri"/>
          <w:sz w:val="20"/>
          <w:szCs w:val="20"/>
        </w:rPr>
        <w:t xml:space="preserve">Continuation with an exhaustion lean on the final bar. Four consecutive up-closes (Jul 01–03 momentum) followed by a rejection wick from 4,202 is the tell — the impulse is intact but the last candle warns of near-term consolidation.</w:t>
      </w:r>
    </w:p>
    <w:p>
      <w:pPr>
        <w:spacing w:after="120" w:before="0" w:line="276"/>
      </w:pPr>
      <w:r>
        <w:rPr>
          <w:rFonts w:ascii="Calibri" w:cs="Calibri" w:eastAsia="Calibri" w:hAnsi="Calibri"/>
          <w:b/>
          <w:bCs/>
          <w:sz w:val="20"/>
          <w:szCs w:val="20"/>
        </w:rPr>
        <w:t xml:space="preserve">Nearest support / resistance (from the 5-day structure): </w:t>
      </w:r>
      <w:r>
        <w:rPr>
          <w:rFonts w:ascii="Calibri" w:cs="Calibri" w:eastAsia="Calibri" w:hAnsi="Calibri"/>
          <w:sz w:val="20"/>
          <w:szCs w:val="20"/>
        </w:rPr>
        <w:t xml:space="preserve">support 4,152 (Jul 06 low) then 4,120 (Jul 03 low); resistance 4,202 (Jul 06 high) then the 4,238 daily R2.</w:t>
      </w:r>
    </w:p>
    <w:p>
      <w:pPr>
        <w:spacing w:after="120" w:before="0" w:line="276"/>
      </w:pPr>
      <w:r>
        <w:rPr>
          <w:rFonts w:ascii="Calibri" w:cs="Calibri" w:eastAsia="Calibri" w:hAnsi="Calibri"/>
          <w:b/>
          <w:bCs/>
          <w:sz w:val="20"/>
          <w:szCs w:val="20"/>
        </w:rPr>
        <w:t xml:space="preserve">Judgement label: </w:t>
      </w:r>
      <w:r>
        <w:rPr>
          <w:rFonts w:ascii="Calibri" w:cs="Calibri" w:eastAsia="Calibri" w:hAnsi="Calibri"/>
          <w:b/>
          <w:bCs/>
          <w:sz w:val="20"/>
          <w:szCs w:val="20"/>
        </w:rPr>
        <w:t xml:space="preserve">Bullish continuation — reversal risk on the final bar. </w:t>
      </w:r>
      <w:r>
        <w:rPr>
          <w:rFonts w:ascii="Calibri" w:cs="Calibri" w:eastAsia="Calibri" w:hAnsi="Calibri"/>
          <w:sz w:val="20"/>
          <w:szCs w:val="20"/>
        </w:rPr>
        <w:t xml:space="preserve">This is consistent with the transitional-recovery regime in §9 (short-term bullish momentum inside a medium-term structure that has not yet confirmed a trend flip).</w:t>
      </w:r>
    </w:p>
    <w:p>
      <w:pPr>
        <w:pStyle w:val="Heading1"/>
        <w:spacing w:after="120" w:before="240"/>
      </w:pPr>
      <w:r>
        <w:rPr>
          <w:rFonts w:ascii="Calibri" w:cs="Calibri" w:eastAsia="Calibri" w:hAnsi="Calibri"/>
          <w:b/>
          <w:bCs/>
          <w:color w:val="1F3864"/>
          <w:sz w:val="26"/>
          <w:szCs w:val="26"/>
        </w:rPr>
        <w:t xml:space="preserve">9  Medium-Term Regime &amp; VOLator</w:t>
      </w:r>
    </w:p>
    <w:p>
      <w:pPr>
        <w:pStyle w:val="ListParagraph"/>
        <w:numPr>
          <w:ilvl w:val="0"/>
          <w:numId w:val="1"/>
        </w:numPr>
        <w:spacing w:after="80" w:line="276"/>
      </w:pPr>
      <w:r>
        <w:rPr>
          <w:rFonts w:ascii="Calibri" w:cs="Calibri" w:eastAsia="Calibri" w:hAnsi="Calibri"/>
          <w:b/>
          <w:bCs/>
          <w:sz w:val="20"/>
          <w:szCs w:val="20"/>
        </w:rPr>
        <w:t xml:space="preserve">Regime classification: </w:t>
      </w:r>
      <w:r>
        <w:rPr>
          <w:rFonts w:ascii="Calibri" w:cs="Calibri" w:eastAsia="Calibri" w:hAnsi="Calibri"/>
          <w:b/>
          <w:bCs/>
          <w:sz w:val="20"/>
          <w:szCs w:val="20"/>
        </w:rPr>
        <w:t xml:space="preserve">Transitional. </w:t>
      </w:r>
      <w:r>
        <w:rPr>
          <w:rFonts w:ascii="Calibri" w:cs="Calibri" w:eastAsia="Calibri" w:hAnsi="Calibri"/>
          <w:sz w:val="20"/>
          <w:szCs w:val="20"/>
        </w:rPr>
        <w:t xml:space="preserve">Overlap ratio elevated over the 25-session block, directional persistence mixed (a June downtrend into a July recovery), median RSI2 mid-range, range-position bias mid-to-lower. Neither a clean trend nor a clean range.</w:t>
      </w:r>
    </w:p>
    <w:p>
      <w:pPr>
        <w:pStyle w:val="ListParagraph"/>
        <w:numPr>
          <w:ilvl w:val="0"/>
          <w:numId w:val="1"/>
        </w:numPr>
        <w:spacing w:after="80" w:line="276"/>
      </w:pPr>
      <w:r>
        <w:rPr>
          <w:rFonts w:ascii="Calibri" w:cs="Calibri" w:eastAsia="Calibri" w:hAnsi="Calibri"/>
          <w:b/>
          <w:bCs/>
          <w:sz w:val="20"/>
          <w:szCs w:val="20"/>
        </w:rPr>
        <w:t xml:space="preserve">Bias: </w:t>
      </w:r>
      <w:r>
        <w:rPr>
          <w:rFonts w:ascii="Calibri" w:cs="Calibri" w:eastAsia="Calibri" w:hAnsi="Calibri"/>
          <w:sz w:val="20"/>
          <w:szCs w:val="20"/>
        </w:rPr>
        <w:t xml:space="preserve">Neutral-to-bullish — the most recent completed swing is up (3,944 → 4,195).</w:t>
      </w:r>
    </w:p>
    <w:p>
      <w:pPr>
        <w:pStyle w:val="ListParagraph"/>
        <w:numPr>
          <w:ilvl w:val="0"/>
          <w:numId w:val="1"/>
        </w:numPr>
        <w:spacing w:after="80" w:line="276"/>
      </w:pPr>
      <w:r>
        <w:rPr>
          <w:rFonts w:ascii="Calibri" w:cs="Calibri" w:eastAsia="Calibri" w:hAnsi="Calibri"/>
          <w:b/>
          <w:bCs/>
          <w:sz w:val="20"/>
          <w:szCs w:val="20"/>
        </w:rPr>
        <w:t xml:space="preserve">VOLator readings (scaled −1..+1): </w:t>
      </w:r>
      <w:r>
        <w:rPr>
          <w:rFonts w:ascii="Calibri" w:cs="Calibri" w:eastAsia="Calibri" w:hAnsi="Calibri"/>
          <w:sz w:val="20"/>
          <w:szCs w:val="20"/>
        </w:rPr>
        <w:t xml:space="preserve">Gold ≈ −0.61 and contracting (slope −0.81) — volatility is compressing after the June spike. USDX below midpoint and easing; S&amp;P 500 low-and-stable; DAX low-and-stable. Compression favours a transitional/range read over a fresh trend.</w:t>
      </w:r>
    </w:p>
    <w:p>
      <w:pPr>
        <w:pStyle w:val="ListParagraph"/>
        <w:numPr>
          <w:ilvl w:val="0"/>
          <w:numId w:val="1"/>
        </w:numPr>
        <w:spacing w:after="80" w:line="276"/>
      </w:pPr>
      <w:r>
        <w:rPr>
          <w:rFonts w:ascii="Calibri" w:cs="Calibri" w:eastAsia="Calibri" w:hAnsi="Calibri"/>
          <w:b/>
          <w:bCs/>
          <w:sz w:val="20"/>
          <w:szCs w:val="20"/>
        </w:rPr>
        <w:t xml:space="preserve">Kaufman confirmation: </w:t>
      </w:r>
      <w:r>
        <w:rPr>
          <w:rFonts w:ascii="Calibri" w:cs="Calibri" w:eastAsia="Calibri" w:hAnsi="Calibri"/>
          <w:sz w:val="20"/>
          <w:szCs w:val="20"/>
        </w:rPr>
        <w:t xml:space="preserve">Smoothed KER ≈ −0.20 → Trending Down — Moderate, but the raw series is rising (−0.27 → −0.15), i.e. the down-efficiency is fading. KER thus partially contradicts the short-term bullish read; because KER and the VOLator slope do not jointly satisfy either a trend or a range gate, the consolidated regime resolves to TRANSITION.</w:t>
      </w:r>
    </w:p>
    <w:p>
      <w:pPr>
        <w:pStyle w:val="ListParagraph"/>
        <w:numPr>
          <w:ilvl w:val="0"/>
          <w:numId w:val="1"/>
        </w:numPr>
        <w:spacing w:after="80" w:line="276"/>
      </w:pPr>
      <w:r>
        <w:rPr>
          <w:rFonts w:ascii="Calibri" w:cs="Calibri" w:eastAsia="Calibri" w:hAnsi="Calibri"/>
          <w:b/>
          <w:bCs/>
          <w:sz w:val="20"/>
          <w:szCs w:val="20"/>
        </w:rPr>
        <w:t xml:space="preserve">Preferred trade protocol: </w:t>
      </w:r>
      <w:r>
        <w:rPr>
          <w:rFonts w:ascii="Calibri" w:cs="Calibri" w:eastAsia="Calibri" w:hAnsi="Calibri"/>
          <w:sz w:val="20"/>
          <w:szCs w:val="20"/>
        </w:rPr>
        <w:t xml:space="preserve">Reduced-conviction; play the confirmed breakout side rather than fading. Short-term momentum (§8) and the medium-term regime agree only on direction-of-recovery, not on trend confirmation — flagged explicitly.</w:t>
      </w:r>
    </w:p>
    <w:p>
      <w:pPr>
        <w:pStyle w:val="Heading1"/>
        <w:spacing w:after="120" w:before="240"/>
      </w:pPr>
      <w:r>
        <w:rPr>
          <w:rFonts w:ascii="Calibri" w:cs="Calibri" w:eastAsia="Calibri" w:hAnsi="Calibri"/>
          <w:b/>
          <w:bCs/>
          <w:color w:val="1F3864"/>
          <w:sz w:val="26"/>
          <w:szCs w:val="26"/>
        </w:rP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560"/>
        <w:gridCol w:w="1300"/>
        <w:gridCol w:w="2000"/>
      </w:tblGrid>
      <w:tr>
        <w:trPr>
          <w:tblHeader/>
        </w:trPr>
        <w:tc>
          <w:tcPr>
            <w:tcW w:type="dxa" w:w="160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Counter</w:t>
            </w:r>
          </w:p>
        </w:tc>
        <w:tc>
          <w:tcPr>
            <w:tcW w:type="dxa" w:w="90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5-day</w:t>
            </w:r>
          </w:p>
        </w:tc>
        <w:tc>
          <w:tcPr>
            <w:tcW w:type="dxa" w:w="356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Mechanism</w:t>
            </w:r>
          </w:p>
        </w:tc>
        <w:tc>
          <w:tcPr>
            <w:tcW w:type="dxa" w:w="130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Confirms?</w:t>
            </w:r>
          </w:p>
        </w:tc>
        <w:tc>
          <w:tcPr>
            <w:tcW w:type="dxa" w:w="200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Implication</w:t>
            </w:r>
          </w:p>
        </w:tc>
      </w:tr>
      <w:tr>
        <w:tc>
          <w:tcPr>
            <w:tcW w:type="dxa" w:w="160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USDX</w:t>
            </w:r>
          </w:p>
        </w:tc>
        <w:tc>
          <w:tcPr>
            <w:tcW w:type="dxa" w:w="90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Falling</w:t>
            </w:r>
          </w:p>
        </w:tc>
        <w:tc>
          <w:tcPr>
            <w:tcW w:type="dxa" w:w="356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Weaker dollar lowers the cost of gold to non-USD buyers and compresses real-yield pressure.</w:t>
            </w:r>
          </w:p>
        </w:tc>
        <w:tc>
          <w:tcPr>
            <w:tcW w:type="dxa" w:w="130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Confirms</w:t>
            </w:r>
          </w:p>
        </w:tc>
        <w:tc>
          <w:tcPr>
            <w:tcW w:type="dxa" w:w="200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Supports the bullish gold recovery</w:t>
            </w:r>
          </w:p>
        </w:tc>
      </w:tr>
      <w:tr>
        <w:tc>
          <w:tcPr>
            <w:tcW w:type="dxa" w:w="160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S&amp;P 500</w:t>
            </w:r>
          </w:p>
        </w:tc>
        <w:tc>
          <w:tcPr>
            <w:tcW w:type="dxa" w:w="90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Rising</w:t>
            </w:r>
          </w:p>
        </w:tc>
        <w:tc>
          <w:tcPr>
            <w:tcW w:type="dxa" w:w="356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Risk-on erodes safe-haven demand, but easier-Fed repricing lifts both together.</w:t>
            </w:r>
          </w:p>
        </w:tc>
        <w:tc>
          <w:tcPr>
            <w:tcW w:type="dxa" w:w="130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Neutral</w:t>
            </w:r>
          </w:p>
        </w:tc>
        <w:tc>
          <w:tcPr>
            <w:tcW w:type="dxa" w:w="200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Ambiguous — easing channel offsets risk-on drag</w:t>
            </w:r>
          </w:p>
        </w:tc>
      </w:tr>
      <w:tr>
        <w:tc>
          <w:tcPr>
            <w:tcW w:type="dxa" w:w="160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DAX 40</w:t>
            </w:r>
          </w:p>
        </w:tc>
        <w:tc>
          <w:tcPr>
            <w:tcW w:type="dxa" w:w="90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Rising</w:t>
            </w:r>
          </w:p>
        </w:tc>
        <w:tc>
          <w:tcPr>
            <w:tcW w:type="dxa" w:w="356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European risk-on; cross-validates the US easier-policy read.</w:t>
            </w:r>
          </w:p>
        </w:tc>
        <w:tc>
          <w:tcPr>
            <w:tcW w:type="dxa" w:w="130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Neutral</w:t>
            </w:r>
          </w:p>
        </w:tc>
        <w:tc>
          <w:tcPr>
            <w:tcW w:type="dxa" w:w="200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Confirms macro backdrop, not gold-specific</w:t>
            </w:r>
          </w:p>
        </w:tc>
      </w:tr>
      <w:tr>
        <w:tc>
          <w:tcPr>
            <w:tcW w:type="dxa" w:w="160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Silver</w:t>
            </w:r>
          </w:p>
        </w:tc>
        <w:tc>
          <w:tcPr>
            <w:tcW w:type="dxa" w:w="90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Rising (+2%)</w:t>
            </w:r>
          </w:p>
        </w:tc>
        <w:tc>
          <w:tcPr>
            <w:tcW w:type="dxa" w:w="356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Precious-metals beta; silver leadership typically confirms gold strength.</w:t>
            </w:r>
          </w:p>
        </w:tc>
        <w:tc>
          <w:tcPr>
            <w:tcW w:type="dxa" w:w="130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Confirms</w:t>
            </w:r>
          </w:p>
        </w:tc>
        <w:tc>
          <w:tcPr>
            <w:tcW w:type="dxa" w:w="200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Reinforces the metals-complex bid</w:t>
            </w:r>
          </w:p>
        </w:tc>
      </w:tr>
    </w:tbl>
    <w:p>
      <w:pPr>
        <w:spacing w:after="120" w:before="60" w:line="276"/>
      </w:pPr>
      <w:r>
        <w:rPr>
          <w:rFonts w:ascii="Calibri" w:cs="Calibri" w:eastAsia="Calibri" w:hAnsi="Calibri"/>
          <w:b/>
          <w:bCs/>
          <w:sz w:val="20"/>
          <w:szCs w:val="20"/>
        </w:rPr>
        <w:t xml:space="preserve">Aggregate cross-asset read: CONFIRM. </w:t>
      </w:r>
      <w:r>
        <w:rPr>
          <w:rFonts w:ascii="Calibri" w:cs="Calibri" w:eastAsia="Calibri" w:hAnsi="Calibri"/>
          <w:sz w:val="20"/>
          <w:szCs w:val="20"/>
        </w:rPr>
        <w:t xml:space="preserve">Two of four active counters (USDX, Silver) confirm the bullish-recovery bias and none directly contradict it; equities are neutral via the offsetting easier-policy channel. No hard contradiction to flag.</w:t>
      </w:r>
    </w:p>
    <w:p>
      <w:pPr>
        <w:pStyle w:val="Heading1"/>
        <w:spacing w:after="120" w:before="240"/>
      </w:pPr>
      <w:r>
        <w:rPr>
          <w:rFonts w:ascii="Calibri" w:cs="Calibri" w:eastAsia="Calibri" w:hAnsi="Calibri"/>
          <w:b/>
          <w:bCs/>
          <w:color w:val="1F3864"/>
          <w:sz w:val="26"/>
          <w:szCs w:val="26"/>
        </w:rPr>
        <w:t xml:space="preserve">11  Floor Pivot Analysis</w:t>
      </w:r>
    </w:p>
    <w:p>
      <w:pPr>
        <w:spacing w:after="120" w:before="0" w:line="276"/>
      </w:pPr>
      <w:r>
        <w:rPr>
          <w:rFonts w:ascii="Calibri" w:cs="Calibri" w:eastAsia="Calibri" w:hAnsi="Calibri"/>
          <w:i/>
          <w:iCs/>
          <w:sz w:val="16"/>
          <w:szCs w:val="16"/>
        </w:rPr>
        <w:t xml:space="preserve">Prior-period H/L/C corroborated Investing × Twelve Data within tolerance for the daily and weekly frames (built on the completed Jul 03 session and the week ending Jul 03). Monthly frame uses the corroborated June range. All tiers below are CORROBORATED except where noted.</w:t>
      </w:r>
    </w:p>
    <w:p>
      <w:pPr>
        <w:pStyle w:val="Heading2"/>
        <w:spacing w:after="100" w:before="180"/>
      </w:pPr>
      <w:r>
        <w:rPr>
          <w:rFonts w:ascii="Calibri" w:cs="Calibri" w:eastAsia="Calibri" w:hAnsi="Calibri"/>
          <w:b/>
          <w:bCs/>
          <w:color w:val="1E6B3A"/>
          <w:sz w:val="23"/>
          <w:szCs w:val="23"/>
        </w:rPr>
        <w:t xml:space="preserve">11.1  Daily Pivots (prior session: 03 Jul)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E6B3A"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Level</w:t>
            </w:r>
          </w:p>
        </w:tc>
        <w:tc>
          <w:tcPr>
            <w:tcW w:type="dxa" w:w="3120"/>
            <w:shd w:fill="1E6B3A"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Price (USD/oz)</w:t>
            </w:r>
          </w:p>
        </w:tc>
        <w:tc>
          <w:tcPr>
            <w:tcW w:type="dxa" w:w="3120"/>
            <w:shd w:fill="1E6B3A"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Zone</w:t>
            </w:r>
          </w:p>
        </w:tc>
      </w:tr>
      <w:tr>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R5</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4431.05</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Resistance</w:t>
            </w:r>
          </w:p>
        </w:tc>
      </w:tr>
      <w:tr>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R4</w:t>
            </w:r>
          </w:p>
        </w:tc>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4356.43</w:t>
            </w:r>
          </w:p>
        </w:tc>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Resistance</w:t>
            </w:r>
          </w:p>
        </w:tc>
      </w:tr>
      <w:tr>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R3</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4281.81</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Resistance</w:t>
            </w:r>
          </w:p>
        </w:tc>
      </w:tr>
      <w:tr>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R2</w:t>
            </w:r>
          </w:p>
        </w:tc>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4238.67</w:t>
            </w:r>
          </w:p>
        </w:tc>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Resistance</w:t>
            </w:r>
          </w:p>
        </w:tc>
      </w:tr>
      <w:tr>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R1</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4207.19</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Resistance</w:t>
            </w:r>
          </w:p>
        </w:tc>
      </w:tr>
      <w:tr>
        <w:tc>
          <w:tcPr>
            <w:tcW w:type="dxa" w:w="3120"/>
            <w:shd w:fill="FDEBD0" w:val="clear"/>
            <w:tcMar>
              <w:top w:type="dxa" w:w="40"/>
              <w:left w:type="dxa" w:w="60"/>
              <w:bottom w:type="dxa" w:w="40"/>
              <w:right w:type="dxa" w:w="60"/>
            </w:tcMar>
            <w:vAlign w:val="center"/>
          </w:tcPr>
          <w:p>
            <w:pPr>
              <w:spacing w:after="0" w:line="252"/>
              <w:jc w:val="center"/>
            </w:pPr>
            <w:r>
              <w:rPr>
                <w:rFonts w:ascii="Calibri" w:cs="Calibri" w:eastAsia="Calibri" w:hAnsi="Calibri"/>
                <w:b/>
                <w:bCs/>
                <w:sz w:val="18"/>
                <w:szCs w:val="18"/>
              </w:rPr>
              <w:t xml:space="preserve">P</w:t>
            </w:r>
          </w:p>
        </w:tc>
        <w:tc>
          <w:tcPr>
            <w:tcW w:type="dxa" w:w="3120"/>
            <w:shd w:fill="FDEBD0" w:val="clear"/>
            <w:tcMar>
              <w:top w:type="dxa" w:w="40"/>
              <w:left w:type="dxa" w:w="60"/>
              <w:bottom w:type="dxa" w:w="40"/>
              <w:right w:type="dxa" w:w="60"/>
            </w:tcMar>
            <w:vAlign w:val="center"/>
          </w:tcPr>
          <w:p>
            <w:pPr>
              <w:spacing w:after="0" w:line="252"/>
              <w:jc w:val="center"/>
            </w:pPr>
            <w:r>
              <w:rPr>
                <w:rFonts w:ascii="Calibri" w:cs="Calibri" w:eastAsia="Calibri" w:hAnsi="Calibri"/>
                <w:b/>
                <w:bCs/>
                <w:sz w:val="18"/>
                <w:szCs w:val="18"/>
              </w:rPr>
              <w:t xml:space="preserve">4164.05</w:t>
            </w:r>
          </w:p>
        </w:tc>
        <w:tc>
          <w:tcPr>
            <w:tcW w:type="dxa" w:w="3120"/>
            <w:shd w:fill="FDEBD0" w:val="clear"/>
            <w:tcMar>
              <w:top w:type="dxa" w:w="40"/>
              <w:left w:type="dxa" w:w="60"/>
              <w:bottom w:type="dxa" w:w="40"/>
              <w:right w:type="dxa" w:w="60"/>
            </w:tcMar>
            <w:vAlign w:val="center"/>
          </w:tcPr>
          <w:p>
            <w:pPr>
              <w:spacing w:after="0" w:line="252"/>
              <w:jc w:val="center"/>
            </w:pPr>
            <w:r>
              <w:rPr>
                <w:rFonts w:ascii="Calibri" w:cs="Calibri" w:eastAsia="Calibri" w:hAnsi="Calibri"/>
                <w:b/>
                <w:bCs/>
                <w:sz w:val="18"/>
                <w:szCs w:val="18"/>
              </w:rPr>
              <w:t xml:space="preserve">Pivot</w:t>
            </w:r>
          </w:p>
        </w:tc>
      </w:tr>
      <w:tr>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S1</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4132.57</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Support</w:t>
            </w:r>
          </w:p>
        </w:tc>
      </w:tr>
      <w:tr>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S2</w:t>
            </w:r>
          </w:p>
        </w:tc>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4089.43</w:t>
            </w:r>
          </w:p>
        </w:tc>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Support</w:t>
            </w:r>
          </w:p>
        </w:tc>
      </w:tr>
      <w:tr>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S3</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4057.95</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Support</w:t>
            </w:r>
          </w:p>
        </w:tc>
      </w:tr>
      <w:tr>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S4</w:t>
            </w:r>
          </w:p>
        </w:tc>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3983.33</w:t>
            </w:r>
          </w:p>
        </w:tc>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Support</w:t>
            </w:r>
          </w:p>
        </w:tc>
      </w:tr>
      <w:tr>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S5</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3908.71</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Support</w:t>
            </w:r>
          </w:p>
        </w:tc>
      </w:tr>
    </w:tbl>
    <w:p>
      <w:pPr>
        <w:pStyle w:val="Heading2"/>
        <w:spacing w:after="100" w:before="180"/>
      </w:pPr>
      <w:r>
        <w:rPr>
          <w:rFonts w:ascii="Calibri" w:cs="Calibri" w:eastAsia="Calibri" w:hAnsi="Calibri"/>
          <w:b/>
          <w:bCs/>
          <w:color w:val="1E6B3A"/>
          <w:sz w:val="23"/>
          <w:szCs w:val="23"/>
        </w:rPr>
        <w:t xml:space="preserve">11.2  Weekly Pivots (week ending 03 Jul)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E6B3A"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Level</w:t>
            </w:r>
          </w:p>
        </w:tc>
        <w:tc>
          <w:tcPr>
            <w:tcW w:type="dxa" w:w="3120"/>
            <w:shd w:fill="1E6B3A"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Price (USD/oz)</w:t>
            </w:r>
          </w:p>
        </w:tc>
        <w:tc>
          <w:tcPr>
            <w:tcW w:type="dxa" w:w="3120"/>
            <w:shd w:fill="1E6B3A"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Zone</w:t>
            </w:r>
          </w:p>
        </w:tc>
      </w:tr>
      <w:tr>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R5</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5020.01</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Resistance</w:t>
            </w:r>
          </w:p>
        </w:tc>
      </w:tr>
      <w:tr>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R4</w:t>
            </w:r>
          </w:p>
        </w:tc>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4768.70</w:t>
            </w:r>
          </w:p>
        </w:tc>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Resistance</w:t>
            </w:r>
          </w:p>
        </w:tc>
      </w:tr>
      <w:tr>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R3</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4517.39</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Resistance</w:t>
            </w:r>
          </w:p>
        </w:tc>
      </w:tr>
      <w:tr>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R2</w:t>
            </w:r>
          </w:p>
        </w:tc>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4356.47</w:t>
            </w:r>
          </w:p>
        </w:tc>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Resistance</w:t>
            </w:r>
          </w:p>
        </w:tc>
      </w:tr>
      <w:tr>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R1</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4266.08</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Resistance</w:t>
            </w:r>
          </w:p>
        </w:tc>
      </w:tr>
      <w:tr>
        <w:tc>
          <w:tcPr>
            <w:tcW w:type="dxa" w:w="3120"/>
            <w:shd w:fill="FDEBD0" w:val="clear"/>
            <w:tcMar>
              <w:top w:type="dxa" w:w="40"/>
              <w:left w:type="dxa" w:w="60"/>
              <w:bottom w:type="dxa" w:w="40"/>
              <w:right w:type="dxa" w:w="60"/>
            </w:tcMar>
            <w:vAlign w:val="center"/>
          </w:tcPr>
          <w:p>
            <w:pPr>
              <w:spacing w:after="0" w:line="252"/>
              <w:jc w:val="center"/>
            </w:pPr>
            <w:r>
              <w:rPr>
                <w:rFonts w:ascii="Calibri" w:cs="Calibri" w:eastAsia="Calibri" w:hAnsi="Calibri"/>
                <w:b/>
                <w:bCs/>
                <w:sz w:val="18"/>
                <w:szCs w:val="18"/>
              </w:rPr>
              <w:t xml:space="preserve">P</w:t>
            </w:r>
          </w:p>
        </w:tc>
        <w:tc>
          <w:tcPr>
            <w:tcW w:type="dxa" w:w="3120"/>
            <w:shd w:fill="FDEBD0" w:val="clear"/>
            <w:tcMar>
              <w:top w:type="dxa" w:w="40"/>
              <w:left w:type="dxa" w:w="60"/>
              <w:bottom w:type="dxa" w:w="40"/>
              <w:right w:type="dxa" w:w="60"/>
            </w:tcMar>
            <w:vAlign w:val="center"/>
          </w:tcPr>
          <w:p>
            <w:pPr>
              <w:spacing w:after="0" w:line="252"/>
              <w:jc w:val="center"/>
            </w:pPr>
            <w:r>
              <w:rPr>
                <w:rFonts w:ascii="Calibri" w:cs="Calibri" w:eastAsia="Calibri" w:hAnsi="Calibri"/>
                <w:b/>
                <w:bCs/>
                <w:sz w:val="18"/>
                <w:szCs w:val="18"/>
              </w:rPr>
              <w:t xml:space="preserve">4105.16</w:t>
            </w:r>
          </w:p>
        </w:tc>
        <w:tc>
          <w:tcPr>
            <w:tcW w:type="dxa" w:w="3120"/>
            <w:shd w:fill="FDEBD0" w:val="clear"/>
            <w:tcMar>
              <w:top w:type="dxa" w:w="40"/>
              <w:left w:type="dxa" w:w="60"/>
              <w:bottom w:type="dxa" w:w="40"/>
              <w:right w:type="dxa" w:w="60"/>
            </w:tcMar>
            <w:vAlign w:val="center"/>
          </w:tcPr>
          <w:p>
            <w:pPr>
              <w:spacing w:after="0" w:line="252"/>
              <w:jc w:val="center"/>
            </w:pPr>
            <w:r>
              <w:rPr>
                <w:rFonts w:ascii="Calibri" w:cs="Calibri" w:eastAsia="Calibri" w:hAnsi="Calibri"/>
                <w:b/>
                <w:bCs/>
                <w:sz w:val="18"/>
                <w:szCs w:val="18"/>
              </w:rPr>
              <w:t xml:space="preserve">Pivot</w:t>
            </w:r>
          </w:p>
        </w:tc>
      </w:tr>
      <w:tr>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S1</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4014.77</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Support</w:t>
            </w:r>
          </w:p>
        </w:tc>
      </w:tr>
      <w:tr>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S2</w:t>
            </w:r>
          </w:p>
        </w:tc>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3853.85</w:t>
            </w:r>
          </w:p>
        </w:tc>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Support</w:t>
            </w:r>
          </w:p>
        </w:tc>
      </w:tr>
      <w:tr>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S3</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3763.46</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Support</w:t>
            </w:r>
          </w:p>
        </w:tc>
      </w:tr>
      <w:tr>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S4</w:t>
            </w:r>
          </w:p>
        </w:tc>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3512.15</w:t>
            </w:r>
          </w:p>
        </w:tc>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Support</w:t>
            </w:r>
          </w:p>
        </w:tc>
      </w:tr>
      <w:tr>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S5</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3260.84</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Support</w:t>
            </w:r>
          </w:p>
        </w:tc>
      </w:tr>
    </w:tbl>
    <w:p>
      <w:pPr>
        <w:pStyle w:val="Heading2"/>
        <w:spacing w:after="100" w:before="180"/>
      </w:pPr>
      <w:r>
        <w:rPr>
          <w:rFonts w:ascii="Calibri" w:cs="Calibri" w:eastAsia="Calibri" w:hAnsi="Calibri"/>
          <w:b/>
          <w:bCs/>
          <w:color w:val="1E6B3A"/>
          <w:sz w:val="23"/>
          <w:szCs w:val="23"/>
        </w:rPr>
        <w:t xml:space="preserve">11.3  Monthly Pivots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E6B3A"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Level</w:t>
            </w:r>
          </w:p>
        </w:tc>
        <w:tc>
          <w:tcPr>
            <w:tcW w:type="dxa" w:w="3120"/>
            <w:shd w:fill="1E6B3A"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Price (USD/oz)</w:t>
            </w:r>
          </w:p>
        </w:tc>
        <w:tc>
          <w:tcPr>
            <w:tcW w:type="dxa" w:w="3120"/>
            <w:shd w:fill="1E6B3A"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Zone</w:t>
            </w:r>
          </w:p>
        </w:tc>
      </w:tr>
      <w:tr>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R5</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5598.09</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Resistance</w:t>
            </w:r>
          </w:p>
        </w:tc>
      </w:tr>
      <w:tr>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R4</w:t>
            </w:r>
          </w:p>
        </w:tc>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5158.72</w:t>
            </w:r>
          </w:p>
        </w:tc>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Resistance</w:t>
            </w:r>
          </w:p>
        </w:tc>
      </w:tr>
      <w:tr>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R3</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4719.35</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Resistance</w:t>
            </w:r>
          </w:p>
        </w:tc>
      </w:tr>
      <w:tr>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R2</w:t>
            </w:r>
          </w:p>
        </w:tc>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4551.47</w:t>
            </w:r>
          </w:p>
        </w:tc>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Resistance</w:t>
            </w:r>
          </w:p>
        </w:tc>
      </w:tr>
      <w:tr>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R1</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4279.98</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Resistance</w:t>
            </w:r>
          </w:p>
        </w:tc>
      </w:tr>
      <w:tr>
        <w:tc>
          <w:tcPr>
            <w:tcW w:type="dxa" w:w="3120"/>
            <w:shd w:fill="FDEBD0" w:val="clear"/>
            <w:tcMar>
              <w:top w:type="dxa" w:w="40"/>
              <w:left w:type="dxa" w:w="60"/>
              <w:bottom w:type="dxa" w:w="40"/>
              <w:right w:type="dxa" w:w="60"/>
            </w:tcMar>
            <w:vAlign w:val="center"/>
          </w:tcPr>
          <w:p>
            <w:pPr>
              <w:spacing w:after="0" w:line="252"/>
              <w:jc w:val="center"/>
            </w:pPr>
            <w:r>
              <w:rPr>
                <w:rFonts w:ascii="Calibri" w:cs="Calibri" w:eastAsia="Calibri" w:hAnsi="Calibri"/>
                <w:b/>
                <w:bCs/>
                <w:sz w:val="18"/>
                <w:szCs w:val="18"/>
              </w:rPr>
              <w:t xml:space="preserve">P</w:t>
            </w:r>
          </w:p>
        </w:tc>
        <w:tc>
          <w:tcPr>
            <w:tcW w:type="dxa" w:w="3120"/>
            <w:shd w:fill="FDEBD0" w:val="clear"/>
            <w:tcMar>
              <w:top w:type="dxa" w:w="40"/>
              <w:left w:type="dxa" w:w="60"/>
              <w:bottom w:type="dxa" w:w="40"/>
              <w:right w:type="dxa" w:w="60"/>
            </w:tcMar>
            <w:vAlign w:val="center"/>
          </w:tcPr>
          <w:p>
            <w:pPr>
              <w:spacing w:after="0" w:line="252"/>
              <w:jc w:val="center"/>
            </w:pPr>
            <w:r>
              <w:rPr>
                <w:rFonts w:ascii="Calibri" w:cs="Calibri" w:eastAsia="Calibri" w:hAnsi="Calibri"/>
                <w:b/>
                <w:bCs/>
                <w:sz w:val="18"/>
                <w:szCs w:val="18"/>
              </w:rPr>
              <w:t xml:space="preserve">4112.10</w:t>
            </w:r>
          </w:p>
        </w:tc>
        <w:tc>
          <w:tcPr>
            <w:tcW w:type="dxa" w:w="3120"/>
            <w:shd w:fill="FDEBD0" w:val="clear"/>
            <w:tcMar>
              <w:top w:type="dxa" w:w="40"/>
              <w:left w:type="dxa" w:w="60"/>
              <w:bottom w:type="dxa" w:w="40"/>
              <w:right w:type="dxa" w:w="60"/>
            </w:tcMar>
            <w:vAlign w:val="center"/>
          </w:tcPr>
          <w:p>
            <w:pPr>
              <w:spacing w:after="0" w:line="252"/>
              <w:jc w:val="center"/>
            </w:pPr>
            <w:r>
              <w:rPr>
                <w:rFonts w:ascii="Calibri" w:cs="Calibri" w:eastAsia="Calibri" w:hAnsi="Calibri"/>
                <w:b/>
                <w:bCs/>
                <w:sz w:val="18"/>
                <w:szCs w:val="18"/>
              </w:rPr>
              <w:t xml:space="preserve">Pivot</w:t>
            </w:r>
          </w:p>
        </w:tc>
      </w:tr>
      <w:tr>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S1</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3840.61</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Support</w:t>
            </w:r>
          </w:p>
        </w:tc>
      </w:tr>
      <w:tr>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S2</w:t>
            </w:r>
          </w:p>
        </w:tc>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3672.73</w:t>
            </w:r>
          </w:p>
        </w:tc>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Support</w:t>
            </w:r>
          </w:p>
        </w:tc>
      </w:tr>
      <w:tr>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S3</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3401.24</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Support</w:t>
            </w:r>
          </w:p>
        </w:tc>
      </w:tr>
      <w:tr>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S4</w:t>
            </w:r>
          </w:p>
        </w:tc>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2961.87</w:t>
            </w:r>
          </w:p>
        </w:tc>
        <w:tc>
          <w:tcPr>
            <w:tcW w:type="dxa" w:w="3120"/>
            <w:shd w:fill="F2F2F2" w:val="clear"/>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Support</w:t>
            </w:r>
          </w:p>
        </w:tc>
      </w:tr>
      <w:tr>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S5</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2522.50</w:t>
            </w:r>
          </w:p>
        </w:tc>
        <w:tc>
          <w:tcPr>
            <w:tcW w:type="dxa" w:w="3120"/>
            <w:tcMar>
              <w:top w:type="dxa" w:w="40"/>
              <w:left w:type="dxa" w:w="60"/>
              <w:bottom w:type="dxa" w:w="40"/>
              <w:right w:type="dxa" w:w="60"/>
            </w:tcMar>
            <w:vAlign w:val="center"/>
          </w:tcPr>
          <w:p>
            <w:pPr>
              <w:spacing w:after="0" w:line="252"/>
              <w:jc w:val="center"/>
            </w:pPr>
            <w:r>
              <w:rPr>
                <w:rFonts w:ascii="Calibri" w:cs="Calibri" w:eastAsia="Calibri" w:hAnsi="Calibri"/>
                <w:b w:val="false"/>
                <w:bCs w:val="false"/>
                <w:sz w:val="18"/>
                <w:szCs w:val="18"/>
              </w:rPr>
              <w:t xml:space="preserve">Support</w:t>
            </w:r>
          </w:p>
        </w:tc>
      </w:tr>
    </w:tbl>
    <w:p>
      <w:pPr>
        <w:spacing w:after="120" w:before="60" w:line="276"/>
      </w:pPr>
      <w:r>
        <w:rPr>
          <w:rFonts w:ascii="Calibri" w:cs="Calibri" w:eastAsia="Calibri" w:hAnsi="Calibri"/>
          <w:b/>
          <w:bCs/>
          <w:sz w:val="20"/>
          <w:szCs w:val="20"/>
        </w:rPr>
        <w:t xml:space="preserve">Position narrative. </w:t>
      </w:r>
      <w:r>
        <w:rPr>
          <w:rFonts w:ascii="Calibri" w:cs="Calibri" w:eastAsia="Calibri" w:hAnsi="Calibri"/>
          <w:sz w:val="20"/>
          <w:szCs w:val="20"/>
        </w:rPr>
        <w:t xml:space="preserve">The 4,154 close sits just below the daily pivot P = 4,164 and above daily S1 = 4,133 — i.e. mid-pivot, a balanced consolidation posture. It holds above weekly P (4,105) and monthly P (4,112), both bullish-side. The daily R1 (4,207) aligns closely with the 4,202 session high, marking the immediate breakout trigger; weekly S1 (4,015) and the 5-day swing low (3,944) mark the downside invalidation shelf. No three-timeframe confluence within 0.05% is present.</w:t>
      </w:r>
    </w:p>
    <w:p>
      <w:pPr>
        <w:pStyle w:val="Heading1"/>
        <w:spacing w:after="120" w:before="240"/>
      </w:pPr>
      <w:r>
        <w:rPr>
          <w:rFonts w:ascii="Calibri" w:cs="Calibri" w:eastAsia="Calibri" w:hAnsi="Calibri"/>
          <w:b/>
          <w:bCs/>
          <w:color w:val="1F3864"/>
          <w:sz w:val="26"/>
          <w:szCs w:val="26"/>
        </w:rPr>
        <w:t xml:space="preserve">12  Key Market Considerations</w:t>
      </w:r>
    </w:p>
    <w:p>
      <w:pPr>
        <w:spacing w:after="120" w:before="0" w:line="276"/>
      </w:pPr>
      <w:r>
        <w:rPr>
          <w:rFonts w:ascii="Calibri" w:cs="Calibri" w:eastAsia="Calibri" w:hAnsi="Calibri"/>
          <w:b/>
          <w:bCs/>
          <w:sz w:val="20"/>
          <w:szCs w:val="20"/>
        </w:rPr>
        <w:t xml:space="preserve">Demand / Central banks — price-supportive (structural). </w:t>
      </w:r>
      <w:r>
        <w:rPr>
          <w:rFonts w:ascii="Calibri" w:cs="Calibri" w:eastAsia="Calibri" w:hAnsi="Calibri"/>
          <w:sz w:val="20"/>
          <w:szCs w:val="20"/>
        </w:rPr>
        <w:t xml:space="preserve">Central banks added a net 41 tonnes to reserves in May (World Gold Council); PBoC and RBI accumulation continues, with reports of India weighing lower gold/silver import taxes by December. A durable official-sector bid underpins dips.</w:t>
      </w:r>
    </w:p>
    <w:p>
      <w:pPr>
        <w:spacing w:after="120" w:before="0" w:line="276"/>
      </w:pPr>
      <w:r>
        <w:rPr>
          <w:rFonts w:ascii="Calibri" w:cs="Calibri" w:eastAsia="Calibri" w:hAnsi="Calibri"/>
          <w:b/>
          <w:bCs/>
          <w:sz w:val="20"/>
          <w:szCs w:val="20"/>
        </w:rPr>
        <w:t xml:space="preserve">Macro / Rates — price-supportive (cyclical). </w:t>
      </w:r>
      <w:r>
        <w:rPr>
          <w:rFonts w:ascii="Calibri" w:cs="Calibri" w:eastAsia="Calibri" w:hAnsi="Calibri"/>
          <w:sz w:val="20"/>
          <w:szCs w:val="20"/>
        </w:rPr>
        <w:t xml:space="preserve">June payrolls of 57k (vs 110k) cut September hike odds to ~50% from ~66%; lower expected rates reduce the opportunity cost of non-yielding gold. Fed funds held at 3.50–3.75%.</w:t>
      </w:r>
    </w:p>
    <w:p>
      <w:pPr>
        <w:spacing w:after="120" w:before="0" w:line="276"/>
      </w:pPr>
      <w:r>
        <w:rPr>
          <w:rFonts w:ascii="Calibri" w:cs="Calibri" w:eastAsia="Calibri" w:hAnsi="Calibri"/>
          <w:b/>
          <w:bCs/>
          <w:sz w:val="20"/>
          <w:szCs w:val="20"/>
        </w:rPr>
        <w:t xml:space="preserve">FX — price-supportive (cyclical). </w:t>
      </w:r>
      <w:r>
        <w:rPr>
          <w:rFonts w:ascii="Calibri" w:cs="Calibri" w:eastAsia="Calibri" w:hAnsi="Calibri"/>
          <w:sz w:val="20"/>
          <w:szCs w:val="20"/>
        </w:rPr>
        <w:t xml:space="preserve">The dollar's largest weekly drop since April lowers gold's cost outside the US.</w:t>
      </w:r>
    </w:p>
    <w:p>
      <w:pPr>
        <w:spacing w:after="120" w:before="0" w:line="276"/>
      </w:pPr>
      <w:r>
        <w:rPr>
          <w:rFonts w:ascii="Calibri" w:cs="Calibri" w:eastAsia="Calibri" w:hAnsi="Calibri"/>
          <w:b/>
          <w:bCs/>
          <w:sz w:val="20"/>
          <w:szCs w:val="20"/>
        </w:rPr>
        <w:t xml:space="preserve">Substitution / Spreads — neutral-to-supportive. </w:t>
      </w:r>
      <w:r>
        <w:rPr>
          <w:rFonts w:ascii="Calibri" w:cs="Calibri" w:eastAsia="Calibri" w:hAnsi="Calibri"/>
          <w:sz w:val="20"/>
          <w:szCs w:val="20"/>
        </w:rPr>
        <w:t xml:space="preserve">Silver +2% and a firm metals complex reduce switching risk away from gold; the gold/silver ratio compression signals broad precious-metals demand.</w:t>
      </w:r>
    </w:p>
    <w:p>
      <w:pPr>
        <w:spacing w:after="120" w:before="0" w:line="276"/>
      </w:pPr>
      <w:r>
        <w:rPr>
          <w:rFonts w:ascii="Calibri" w:cs="Calibri" w:eastAsia="Calibri" w:hAnsi="Calibri"/>
          <w:b/>
          <w:bCs/>
          <w:sz w:val="20"/>
          <w:szCs w:val="20"/>
        </w:rPr>
        <w:t xml:space="preserve">Supply / Positioning — neutral. </w:t>
      </w:r>
      <w:r>
        <w:rPr>
          <w:rFonts w:ascii="Calibri" w:cs="Calibri" w:eastAsia="Calibri" w:hAnsi="Calibri"/>
          <w:sz w:val="20"/>
          <w:szCs w:val="20"/>
        </w:rPr>
        <w:t xml:space="preserve">No acute mine-supply disruption; JPMorgan cautions sector demand may cap the Q3 advance near US$4,300. Speculative positioning rebuilt off the June washout but is not stretched.</w:t>
      </w:r>
    </w:p>
    <w:p>
      <w:pPr>
        <w:spacing w:after="120" w:before="0" w:line="276"/>
      </w:pPr>
      <w:r>
        <w:rPr>
          <w:rFonts w:ascii="Calibri" w:cs="Calibri" w:eastAsia="Calibri" w:hAnsi="Calibri"/>
          <w:b/>
          <w:bCs/>
          <w:sz w:val="20"/>
          <w:szCs w:val="20"/>
        </w:rPr>
        <w:t xml:space="preserve">Near-term catalysts (within the 5-day horizon): </w:t>
      </w:r>
      <w:r>
        <w:rPr>
          <w:rFonts w:ascii="Calibri" w:cs="Calibri" w:eastAsia="Calibri" w:hAnsi="Calibri"/>
          <w:sz w:val="20"/>
          <w:szCs w:val="20"/>
        </w:rPr>
        <w:t xml:space="preserve">FOMC June minutes (08 Jul), ADP employment (07 Jul), and weekly jobless claims (09 Jul) — all flagged in §13d.</w:t>
      </w:r>
    </w:p>
    <w:p>
      <w:pPr>
        <w:pStyle w:val="Heading1"/>
        <w:spacing w:after="120" w:before="240"/>
      </w:pPr>
      <w:r>
        <w:rPr>
          <w:rFonts w:ascii="Calibri" w:cs="Calibri" w:eastAsia="Calibri" w:hAnsi="Calibri"/>
          <w:b/>
          <w:bCs/>
          <w:color w:val="1F3864"/>
          <w:sz w:val="26"/>
          <w:szCs w:val="26"/>
        </w:rPr>
        <w:t xml:space="preserve">13  Sentiment, News &amp; Calendar</w:t>
      </w:r>
    </w:p>
    <w:p>
      <w:pPr>
        <w:pStyle w:val="Heading2"/>
        <w:spacing w:after="100" w:before="180"/>
      </w:pPr>
      <w:r>
        <w:rPr>
          <w:rFonts w:ascii="Calibri" w:cs="Calibri" w:eastAsia="Calibri" w:hAnsi="Calibri"/>
          <w:b/>
          <w:bCs/>
          <w:color w:val="1F3864"/>
          <w:sz w:val="23"/>
          <w:szCs w:val="23"/>
        </w:rPr>
        <w:t xml:space="preserve">13a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100"/>
        <w:gridCol w:w="1200"/>
        <w:gridCol w:w="1300"/>
        <w:gridCol w:w="900"/>
        <w:gridCol w:w="1360"/>
      </w:tblGrid>
      <w:tr>
        <w:trPr>
          <w:tblHeader/>
        </w:trPr>
        <w:tc>
          <w:tcPr>
            <w:tcW w:type="dxa" w:w="150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Source</w:t>
            </w:r>
          </w:p>
        </w:tc>
        <w:tc>
          <w:tcPr>
            <w:tcW w:type="dxa" w:w="200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Headline</w:t>
            </w:r>
          </w:p>
        </w:tc>
        <w:tc>
          <w:tcPr>
            <w:tcW w:type="dxa" w:w="110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Date</w:t>
            </w:r>
          </w:p>
        </w:tc>
        <w:tc>
          <w:tcPr>
            <w:tcW w:type="dxa" w:w="120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Class.</w:t>
            </w:r>
          </w:p>
        </w:tc>
        <w:tc>
          <w:tcPr>
            <w:tcW w:type="dxa" w:w="130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URL</w:t>
            </w:r>
          </w:p>
        </w:tc>
        <w:tc>
          <w:tcPr>
            <w:tcW w:type="dxa" w:w="90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Sent.</w:t>
            </w:r>
          </w:p>
        </w:tc>
        <w:tc>
          <w:tcPr>
            <w:tcW w:type="dxa" w:w="136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Derivation quote</w:t>
            </w:r>
          </w:p>
        </w:tc>
      </w:tr>
      <w:tr>
        <w:tc>
          <w:tcPr>
            <w:tcW w:type="dxa" w:w="15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Reuters</w:t>
            </w:r>
          </w:p>
        </w:tc>
        <w:tc>
          <w:tcPr>
            <w:tcW w:type="dxa" w:w="20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Gold extends gains on weak US jobs data</w:t>
            </w:r>
          </w:p>
        </w:tc>
        <w:tc>
          <w:tcPr>
            <w:tcW w:type="dxa" w:w="11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03 Jul</w:t>
            </w:r>
          </w:p>
        </w:tc>
        <w:tc>
          <w:tcPr>
            <w:tcW w:type="dxa" w:w="12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Media</w:t>
            </w:r>
          </w:p>
        </w:tc>
        <w:tc>
          <w:tcPr>
            <w:tcW w:type="dxa" w:w="13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reuters.com</w:t>
            </w:r>
          </w:p>
        </w:tc>
        <w:tc>
          <w:tcPr>
            <w:tcW w:type="dxa" w:w="9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Bullish</w:t>
            </w:r>
          </w:p>
        </w:tc>
        <w:tc>
          <w:tcPr>
            <w:tcW w:type="dxa" w:w="136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“weak US jobs data reduced expectations” for hikes</w:t>
            </w:r>
          </w:p>
        </w:tc>
      </w:tr>
      <w:tr>
        <w:tc>
          <w:tcPr>
            <w:tcW w:type="dxa" w:w="15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TradingEconomics</w:t>
            </w:r>
          </w:p>
        </w:tc>
        <w:tc>
          <w:tcPr>
            <w:tcW w:type="dxa" w:w="20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Gold jumps as weak jobs data dims Fed hike bets</w:t>
            </w:r>
          </w:p>
        </w:tc>
        <w:tc>
          <w:tcPr>
            <w:tcW w:type="dxa" w:w="11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02 Jul</w:t>
            </w:r>
          </w:p>
        </w:tc>
        <w:tc>
          <w:tcPr>
            <w:tcW w:type="dxa" w:w="12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Trade Press</w:t>
            </w:r>
          </w:p>
        </w:tc>
        <w:tc>
          <w:tcPr>
            <w:tcW w:type="dxa" w:w="13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tradingeconomics.com</w:t>
            </w:r>
          </w:p>
        </w:tc>
        <w:tc>
          <w:tcPr>
            <w:tcW w:type="dxa" w:w="9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Bullish</w:t>
            </w:r>
          </w:p>
        </w:tc>
        <w:tc>
          <w:tcPr>
            <w:tcW w:type="dxa" w:w="136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“rebounding from an eight-month low”</w:t>
            </w:r>
          </w:p>
        </w:tc>
      </w:tr>
      <w:tr>
        <w:tc>
          <w:tcPr>
            <w:tcW w:type="dxa" w:w="15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JPMorgan (via TE)</w:t>
            </w:r>
          </w:p>
        </w:tc>
        <w:tc>
          <w:tcPr>
            <w:tcW w:type="dxa" w:w="20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Demand may cap gold near $4,300 in Q3</w:t>
            </w:r>
          </w:p>
        </w:tc>
        <w:tc>
          <w:tcPr>
            <w:tcW w:type="dxa" w:w="11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03 Jul</w:t>
            </w:r>
          </w:p>
        </w:tc>
        <w:tc>
          <w:tcPr>
            <w:tcW w:type="dxa" w:w="12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Institutional</w:t>
            </w:r>
          </w:p>
        </w:tc>
        <w:tc>
          <w:tcPr>
            <w:tcW w:type="dxa" w:w="13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tradingeconomics.com</w:t>
            </w:r>
          </w:p>
        </w:tc>
        <w:tc>
          <w:tcPr>
            <w:tcW w:type="dxa" w:w="9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Bearish</w:t>
            </w:r>
          </w:p>
        </w:tc>
        <w:tc>
          <w:tcPr>
            <w:tcW w:type="dxa" w:w="136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“demand… not as strong as previously expected”</w:t>
            </w:r>
          </w:p>
        </w:tc>
      </w:tr>
      <w:tr>
        <w:tc>
          <w:tcPr>
            <w:tcW w:type="dxa" w:w="15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Investing.com</w:t>
            </w:r>
          </w:p>
        </w:tc>
        <w:tc>
          <w:tcPr>
            <w:tcW w:type="dxa" w:w="20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Gold mixed on Monday, cutting earlier gains</w:t>
            </w:r>
          </w:p>
        </w:tc>
        <w:tc>
          <w:tcPr>
            <w:tcW w:type="dxa" w:w="11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06 Jul</w:t>
            </w:r>
          </w:p>
        </w:tc>
        <w:tc>
          <w:tcPr>
            <w:tcW w:type="dxa" w:w="12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Media</w:t>
            </w:r>
          </w:p>
        </w:tc>
        <w:tc>
          <w:tcPr>
            <w:tcW w:type="dxa" w:w="13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investing.com</w:t>
            </w:r>
          </w:p>
        </w:tc>
        <w:tc>
          <w:tcPr>
            <w:tcW w:type="dxa" w:w="9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Neutral</w:t>
            </w:r>
          </w:p>
        </w:tc>
        <w:tc>
          <w:tcPr>
            <w:tcW w:type="dxa" w:w="136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“Gold prices were mixed on Monday”</w:t>
            </w:r>
          </w:p>
        </w:tc>
      </w:tr>
      <w:tr>
        <w:tc>
          <w:tcPr>
            <w:tcW w:type="dxa" w:w="15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LiteFinance</w:t>
            </w:r>
          </w:p>
        </w:tc>
        <w:tc>
          <w:tcPr>
            <w:tcW w:type="dxa" w:w="20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Gold may continue to recover on 06 July</w:t>
            </w:r>
          </w:p>
        </w:tc>
        <w:tc>
          <w:tcPr>
            <w:tcW w:type="dxa" w:w="11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06 Jul</w:t>
            </w:r>
          </w:p>
        </w:tc>
        <w:tc>
          <w:tcPr>
            <w:tcW w:type="dxa" w:w="12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Trade Press</w:t>
            </w:r>
          </w:p>
        </w:tc>
        <w:tc>
          <w:tcPr>
            <w:tcW w:type="dxa" w:w="13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litefinance.org</w:t>
            </w:r>
          </w:p>
        </w:tc>
        <w:tc>
          <w:tcPr>
            <w:tcW w:type="dxa" w:w="9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Bullish</w:t>
            </w:r>
          </w:p>
        </w:tc>
        <w:tc>
          <w:tcPr>
            <w:tcW w:type="dxa" w:w="136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“On July 6, XAU/USD may continue to recover”</w:t>
            </w:r>
          </w:p>
        </w:tc>
      </w:tr>
      <w:tr>
        <w:tc>
          <w:tcPr>
            <w:tcW w:type="dxa" w:w="15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OCBC (via LiteFinance)</w:t>
            </w:r>
          </w:p>
        </w:tc>
        <w:tc>
          <w:tcPr>
            <w:tcW w:type="dxa" w:w="20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OCBC sees gold lower into year-end</w:t>
            </w:r>
          </w:p>
        </w:tc>
        <w:tc>
          <w:tcPr>
            <w:tcW w:type="dxa" w:w="11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05 Jul</w:t>
            </w:r>
          </w:p>
        </w:tc>
        <w:tc>
          <w:tcPr>
            <w:tcW w:type="dxa" w:w="12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Institutional</w:t>
            </w:r>
          </w:p>
        </w:tc>
        <w:tc>
          <w:tcPr>
            <w:tcW w:type="dxa" w:w="13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litefinance.org</w:t>
            </w:r>
          </w:p>
        </w:tc>
        <w:tc>
          <w:tcPr>
            <w:tcW w:type="dxa" w:w="9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Bearish</w:t>
            </w:r>
          </w:p>
        </w:tc>
        <w:tc>
          <w:tcPr>
            <w:tcW w:type="dxa" w:w="136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“expects gold prices to decline through end 2026”</w:t>
            </w:r>
          </w:p>
        </w:tc>
      </w:tr>
    </w:tbl>
    <w:p>
      <w:pPr>
        <w:pStyle w:val="Heading2"/>
        <w:spacing w:after="100" w:before="180"/>
      </w:pPr>
      <w:r>
        <w:rPr>
          <w:rFonts w:ascii="Calibri" w:cs="Calibri" w:eastAsia="Calibri" w:hAnsi="Calibri"/>
          <w:b/>
          <w:bCs/>
          <w:color w:val="1F3864"/>
          <w:sz w:val="23"/>
          <w:szCs w:val="23"/>
        </w:rPr>
        <w:t xml:space="preserve">13b  Aggregate Sentiment</w:t>
      </w:r>
    </w:p>
    <w:p>
      <w:pPr>
        <w:spacing w:after="120" w:before="0" w:line="276"/>
      </w:pPr>
      <w:r>
        <w:rPr>
          <w:rFonts w:ascii="Calibri" w:cs="Calibri" w:eastAsia="Calibri" w:hAnsi="Calibri"/>
          <w:b/>
          <w:bCs/>
          <w:sz w:val="20"/>
          <w:szCs w:val="20"/>
        </w:rPr>
        <w:t xml:space="preserve">Categorical: 3 Bullish (1 trade-press, 2 media/trade), 2 Bearish (both institutional), 1 Neutral (media) = Mixed-to-Bullish. </w:t>
      </w:r>
      <w:r>
        <w:rPr>
          <w:rFonts w:ascii="Calibri" w:cs="Calibri" w:eastAsia="Calibri" w:hAnsi="Calibri"/>
          <w:b/>
          <w:bCs/>
          <w:sz w:val="20"/>
          <w:szCs w:val="20"/>
        </w:rPr>
        <w:t xml:space="preserve">Numeric tilt = +0.16 </w:t>
      </w:r>
      <w:r>
        <w:rPr>
          <w:rFonts w:ascii="Calibri" w:cs="Calibri" w:eastAsia="Calibri" w:hAnsi="Calibri"/>
          <w:sz w:val="20"/>
          <w:szCs w:val="20"/>
        </w:rPr>
        <w:t xml:space="preserve">(source-class-weighted: bullish media/trade-press outnumber but two high-weight institutional bearish notes — JPMorgan, OCBC — offset much of the lift). Divergence: sentiment mildly agrees with the bullish price recovery; the institutional caution is the counterweight. Not low-confidence (six articles).</w:t>
      </w:r>
    </w:p>
    <w:p>
      <w:pPr>
        <w:pStyle w:val="Heading2"/>
        <w:spacing w:after="100" w:before="180"/>
      </w:pPr>
      <w:r>
        <w:rPr>
          <w:rFonts w:ascii="Calibri" w:cs="Calibri" w:eastAsia="Calibri" w:hAnsi="Calibri"/>
          <w:b/>
          <w:bCs/>
          <w:color w:val="1F3864"/>
          <w:sz w:val="23"/>
          <w:szCs w:val="23"/>
        </w:rPr>
        <w:t xml:space="preserve">13c  News Calendar — Previous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400"/>
        <w:gridCol w:w="900"/>
        <w:gridCol w:w="2360"/>
      </w:tblGrid>
      <w:tr>
        <w:trPr>
          <w:tblHeader/>
        </w:trPr>
        <w:tc>
          <w:tcPr>
            <w:tcW w:type="dxa" w:w="130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Date</w:t>
            </w:r>
          </w:p>
        </w:tc>
        <w:tc>
          <w:tcPr>
            <w:tcW w:type="dxa" w:w="240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Event</w:t>
            </w:r>
          </w:p>
        </w:tc>
        <w:tc>
          <w:tcPr>
            <w:tcW w:type="dxa" w:w="240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Prior / context</w:t>
            </w:r>
          </w:p>
        </w:tc>
        <w:tc>
          <w:tcPr>
            <w:tcW w:type="dxa" w:w="90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Impact</w:t>
            </w:r>
          </w:p>
        </w:tc>
        <w:tc>
          <w:tcPr>
            <w:tcW w:type="dxa" w:w="236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Implication for Gold</w:t>
            </w:r>
          </w:p>
        </w:tc>
      </w:tr>
      <w:tr>
        <w:tc>
          <w:tcPr>
            <w:tcW w:type="dxa" w:w="130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Wed 01 Jul</w:t>
            </w:r>
          </w:p>
        </w:tc>
        <w:tc>
          <w:tcPr>
            <w:tcW w:type="dxa" w:w="240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ADP private payrolls (June)</w:t>
            </w:r>
          </w:p>
        </w:tc>
        <w:tc>
          <w:tcPr>
            <w:tcW w:type="dxa" w:w="240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Below expectations</w:t>
            </w:r>
          </w:p>
        </w:tc>
        <w:tc>
          <w:tcPr>
            <w:tcW w:type="dxa" w:w="90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High</w:t>
            </w:r>
          </w:p>
        </w:tc>
        <w:tc>
          <w:tcPr>
            <w:tcW w:type="dxa" w:w="236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First soft-labour signal; seeded the rate-cut repricing that lifted gold</w:t>
            </w:r>
          </w:p>
        </w:tc>
      </w:tr>
      <w:tr>
        <w:tc>
          <w:tcPr>
            <w:tcW w:type="dxa" w:w="130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Thu 02 Jul</w:t>
            </w:r>
          </w:p>
        </w:tc>
        <w:tc>
          <w:tcPr>
            <w:tcW w:type="dxa" w:w="240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US Nonfarm Payrolls (June)</w:t>
            </w:r>
          </w:p>
        </w:tc>
        <w:tc>
          <w:tcPr>
            <w:tcW w:type="dxa" w:w="240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57k vs 110k exp.</w:t>
            </w:r>
          </w:p>
        </w:tc>
        <w:tc>
          <w:tcPr>
            <w:tcW w:type="dxa" w:w="90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High</w:t>
            </w:r>
          </w:p>
        </w:tc>
        <w:tc>
          <w:tcPr>
            <w:tcW w:type="dxa" w:w="236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Primary catalyst: gold +2.3%, dollar tumbled, hike odds 66%→50%</w:t>
            </w:r>
          </w:p>
        </w:tc>
      </w:tr>
      <w:tr>
        <w:tc>
          <w:tcPr>
            <w:tcW w:type="dxa" w:w="130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Fri 03 Jul</w:t>
            </w:r>
          </w:p>
        </w:tc>
        <w:tc>
          <w:tcPr>
            <w:tcW w:type="dxa" w:w="240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US markets (Independence Day obs.)</w:t>
            </w:r>
          </w:p>
        </w:tc>
        <w:tc>
          <w:tcPr>
            <w:tcW w:type="dxa" w:w="240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Thin liquidity</w:t>
            </w:r>
          </w:p>
        </w:tc>
        <w:tc>
          <w:tcPr>
            <w:tcW w:type="dxa" w:w="90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Low</w:t>
            </w:r>
          </w:p>
        </w:tc>
        <w:tc>
          <w:tcPr>
            <w:tcW w:type="dxa" w:w="236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Spot gold traded globally; extended the rebound to 4,195</w:t>
            </w:r>
          </w:p>
        </w:tc>
      </w:tr>
      <w:tr>
        <w:tc>
          <w:tcPr>
            <w:tcW w:type="dxa" w:w="130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Mon 06 Jul</w:t>
            </w:r>
          </w:p>
        </w:tc>
        <w:tc>
          <w:tcPr>
            <w:tcW w:type="dxa" w:w="240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Services PMI (June)</w:t>
            </w:r>
          </w:p>
        </w:tc>
        <w:tc>
          <w:tcPr>
            <w:tcW w:type="dxa" w:w="240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Watched</w:t>
            </w:r>
          </w:p>
        </w:tc>
        <w:tc>
          <w:tcPr>
            <w:tcW w:type="dxa" w:w="90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Medium</w:t>
            </w:r>
          </w:p>
        </w:tc>
        <w:tc>
          <w:tcPr>
            <w:tcW w:type="dxa" w:w="236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Profit-taking; gold pulled back from 4,202 on firmer dollar</w:t>
            </w:r>
          </w:p>
        </w:tc>
      </w:tr>
    </w:tbl>
    <w:p>
      <w:pPr>
        <w:pStyle w:val="Heading2"/>
        <w:spacing w:after="100" w:before="180"/>
      </w:pPr>
      <w:r>
        <w:rPr>
          <w:rFonts w:ascii="Calibri" w:cs="Calibri" w:eastAsia="Calibri" w:hAnsi="Calibri"/>
          <w:b/>
          <w:bCs/>
          <w:color w:val="1F3864"/>
          <w:sz w:val="23"/>
          <w:szCs w:val="23"/>
        </w:rPr>
        <w:t xml:space="preserve">13d  News Calendar — Upcoming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200"/>
        <w:gridCol w:w="900"/>
        <w:gridCol w:w="2360"/>
      </w:tblGrid>
      <w:tr>
        <w:trPr>
          <w:tblHeader/>
        </w:trPr>
        <w:tc>
          <w:tcPr>
            <w:tcW w:type="dxa" w:w="130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Date</w:t>
            </w:r>
          </w:p>
        </w:tc>
        <w:tc>
          <w:tcPr>
            <w:tcW w:type="dxa" w:w="260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Event</w:t>
            </w:r>
          </w:p>
        </w:tc>
        <w:tc>
          <w:tcPr>
            <w:tcW w:type="dxa" w:w="220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Context</w:t>
            </w:r>
          </w:p>
        </w:tc>
        <w:tc>
          <w:tcPr>
            <w:tcW w:type="dxa" w:w="90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Impact</w:t>
            </w:r>
          </w:p>
        </w:tc>
        <w:tc>
          <w:tcPr>
            <w:tcW w:type="dxa" w:w="2360"/>
            <w:shd w:fill="1F3864"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Mechanism for Gold</w:t>
            </w:r>
          </w:p>
        </w:tc>
      </w:tr>
      <w:tr>
        <w:tc>
          <w:tcPr>
            <w:tcW w:type="dxa" w:w="1300"/>
            <w:tcMar>
              <w:top w:type="dxa" w:w="40"/>
              <w:left w:type="dxa" w:w="60"/>
              <w:bottom w:type="dxa" w:w="40"/>
              <w:right w:type="dxa" w:w="60"/>
            </w:tcMar>
            <w:vAlign w:val="center"/>
          </w:tcPr>
          <w:p>
            <w:pPr>
              <w:spacing w:after="0" w:line="252"/>
            </w:pPr>
            <w:r>
              <w:rPr>
                <w:rFonts w:ascii="Calibri" w:cs="Calibri" w:eastAsia="Calibri" w:hAnsi="Calibri"/>
                <w:b w:val="false"/>
                <w:bCs w:val="false"/>
                <w:sz w:val="16"/>
                <w:szCs w:val="16"/>
              </w:rPr>
              <w:t xml:space="preserve">Tue 07 Jul</w:t>
            </w:r>
          </w:p>
        </w:tc>
        <w:tc>
          <w:tcPr>
            <w:tcW w:type="dxa" w:w="2600"/>
            <w:tcMar>
              <w:top w:type="dxa" w:w="40"/>
              <w:left w:type="dxa" w:w="60"/>
              <w:bottom w:type="dxa" w:w="40"/>
              <w:right w:type="dxa" w:w="60"/>
            </w:tcMar>
            <w:vAlign w:val="center"/>
          </w:tcPr>
          <w:p>
            <w:pPr>
              <w:spacing w:after="0" w:line="252"/>
            </w:pPr>
            <w:r>
              <w:rPr>
                <w:rFonts w:ascii="Calibri" w:cs="Calibri" w:eastAsia="Calibri" w:hAnsi="Calibri"/>
                <w:b w:val="false"/>
                <w:bCs w:val="false"/>
                <w:sz w:val="16"/>
                <w:szCs w:val="16"/>
              </w:rPr>
              <w:t xml:space="preserve">ADP employment change</w:t>
            </w:r>
          </w:p>
        </w:tc>
        <w:tc>
          <w:tcPr>
            <w:tcW w:type="dxa" w:w="2200"/>
            <w:tcMar>
              <w:top w:type="dxa" w:w="40"/>
              <w:left w:type="dxa" w:w="60"/>
              <w:bottom w:type="dxa" w:w="40"/>
              <w:right w:type="dxa" w:w="60"/>
            </w:tcMar>
            <w:vAlign w:val="center"/>
          </w:tcPr>
          <w:p>
            <w:pPr>
              <w:spacing w:after="0" w:line="252"/>
            </w:pPr>
            <w:r>
              <w:rPr>
                <w:rFonts w:ascii="Calibri" w:cs="Calibri" w:eastAsia="Calibri" w:hAnsi="Calibri"/>
                <w:b w:val="false"/>
                <w:bCs w:val="false"/>
                <w:sz w:val="16"/>
                <w:szCs w:val="16"/>
              </w:rPr>
              <w:t xml:space="preserve">Labour follow-through</w:t>
            </w:r>
          </w:p>
        </w:tc>
        <w:tc>
          <w:tcPr>
            <w:tcW w:type="dxa" w:w="900"/>
            <w:tcMar>
              <w:top w:type="dxa" w:w="40"/>
              <w:left w:type="dxa" w:w="60"/>
              <w:bottom w:type="dxa" w:w="40"/>
              <w:right w:type="dxa" w:w="60"/>
            </w:tcMar>
            <w:vAlign w:val="center"/>
          </w:tcPr>
          <w:p>
            <w:pPr>
              <w:spacing w:after="0" w:line="252"/>
            </w:pPr>
            <w:r>
              <w:rPr>
                <w:rFonts w:ascii="Calibri" w:cs="Calibri" w:eastAsia="Calibri" w:hAnsi="Calibri"/>
                <w:b w:val="false"/>
                <w:bCs w:val="false"/>
                <w:sz w:val="16"/>
                <w:szCs w:val="16"/>
              </w:rPr>
              <w:t xml:space="preserve">Medium</w:t>
            </w:r>
          </w:p>
        </w:tc>
        <w:tc>
          <w:tcPr>
            <w:tcW w:type="dxa" w:w="2360"/>
            <w:tcMar>
              <w:top w:type="dxa" w:w="40"/>
              <w:left w:type="dxa" w:w="60"/>
              <w:bottom w:type="dxa" w:w="40"/>
              <w:right w:type="dxa" w:w="60"/>
            </w:tcMar>
            <w:vAlign w:val="center"/>
          </w:tcPr>
          <w:p>
            <w:pPr>
              <w:spacing w:after="0" w:line="252"/>
            </w:pPr>
            <w:r>
              <w:rPr>
                <w:rFonts w:ascii="Calibri" w:cs="Calibri" w:eastAsia="Calibri" w:hAnsi="Calibri"/>
                <w:b w:val="false"/>
                <w:bCs w:val="false"/>
                <w:sz w:val="16"/>
                <w:szCs w:val="16"/>
              </w:rPr>
              <w:t xml:space="preserve">Another soft print extends the gold bid; a strong beat revives hike odds and pressures gold</w:t>
            </w:r>
          </w:p>
        </w:tc>
      </w:tr>
      <w:tr>
        <w:tc>
          <w:tcPr>
            <w:tcW w:type="dxa" w:w="1300"/>
            <w:shd w:fill="FDEBD0" w:val="clear"/>
            <w:tcMar>
              <w:top w:type="dxa" w:w="40"/>
              <w:left w:type="dxa" w:w="60"/>
              <w:bottom w:type="dxa" w:w="40"/>
              <w:right w:type="dxa" w:w="60"/>
            </w:tcMar>
            <w:vAlign w:val="center"/>
          </w:tcPr>
          <w:p>
            <w:pPr>
              <w:spacing w:after="0" w:line="252"/>
            </w:pPr>
            <w:r>
              <w:rPr>
                <w:rFonts w:ascii="Calibri" w:cs="Calibri" w:eastAsia="Calibri" w:hAnsi="Calibri"/>
                <w:b/>
                <w:bCs/>
                <w:sz w:val="16"/>
                <w:szCs w:val="16"/>
              </w:rPr>
              <w:t xml:space="preserve">Wed 08 Jul</w:t>
            </w:r>
          </w:p>
        </w:tc>
        <w:tc>
          <w:tcPr>
            <w:tcW w:type="dxa" w:w="2600"/>
            <w:shd w:fill="FDEBD0" w:val="clear"/>
            <w:tcMar>
              <w:top w:type="dxa" w:w="40"/>
              <w:left w:type="dxa" w:w="60"/>
              <w:bottom w:type="dxa" w:w="40"/>
              <w:right w:type="dxa" w:w="60"/>
            </w:tcMar>
            <w:vAlign w:val="center"/>
          </w:tcPr>
          <w:p>
            <w:pPr>
              <w:spacing w:after="0" w:line="252"/>
            </w:pPr>
            <w:r>
              <w:rPr>
                <w:rFonts w:ascii="Calibri" w:cs="Calibri" w:eastAsia="Calibri" w:hAnsi="Calibri"/>
                <w:b/>
                <w:bCs/>
                <w:sz w:val="16"/>
                <w:szCs w:val="16"/>
              </w:rPr>
              <w:t xml:space="preserve">FOMC June meeting minutes</w:t>
            </w:r>
          </w:p>
        </w:tc>
        <w:tc>
          <w:tcPr>
            <w:tcW w:type="dxa" w:w="2200"/>
            <w:shd w:fill="FDEBD0" w:val="clear"/>
            <w:tcMar>
              <w:top w:type="dxa" w:w="40"/>
              <w:left w:type="dxa" w:w="60"/>
              <w:bottom w:type="dxa" w:w="40"/>
              <w:right w:type="dxa" w:w="60"/>
            </w:tcMar>
            <w:vAlign w:val="center"/>
          </w:tcPr>
          <w:p>
            <w:pPr>
              <w:spacing w:after="0" w:line="252"/>
            </w:pPr>
            <w:r>
              <w:rPr>
                <w:rFonts w:ascii="Calibri" w:cs="Calibri" w:eastAsia="Calibri" w:hAnsi="Calibri"/>
                <w:b/>
                <w:bCs/>
                <w:sz w:val="16"/>
                <w:szCs w:val="16"/>
              </w:rPr>
              <w:t xml:space="preserve">Post-hold minutes</w:t>
            </w:r>
          </w:p>
        </w:tc>
        <w:tc>
          <w:tcPr>
            <w:tcW w:type="dxa" w:w="900"/>
            <w:shd w:fill="FDEBD0" w:val="clear"/>
            <w:tcMar>
              <w:top w:type="dxa" w:w="40"/>
              <w:left w:type="dxa" w:w="60"/>
              <w:bottom w:type="dxa" w:w="40"/>
              <w:right w:type="dxa" w:w="60"/>
            </w:tcMar>
            <w:vAlign w:val="center"/>
          </w:tcPr>
          <w:p>
            <w:pPr>
              <w:spacing w:after="0" w:line="252"/>
            </w:pPr>
            <w:r>
              <w:rPr>
                <w:rFonts w:ascii="Calibri" w:cs="Calibri" w:eastAsia="Calibri" w:hAnsi="Calibri"/>
                <w:b/>
                <w:bCs/>
                <w:sz w:val="16"/>
                <w:szCs w:val="16"/>
              </w:rPr>
              <w:t xml:space="preserve">High</w:t>
            </w:r>
          </w:p>
        </w:tc>
        <w:tc>
          <w:tcPr>
            <w:tcW w:type="dxa" w:w="2360"/>
            <w:shd w:fill="FDEBD0" w:val="clear"/>
            <w:tcMar>
              <w:top w:type="dxa" w:w="40"/>
              <w:left w:type="dxa" w:w="60"/>
              <w:bottom w:type="dxa" w:w="40"/>
              <w:right w:type="dxa" w:w="60"/>
            </w:tcMar>
            <w:vAlign w:val="center"/>
          </w:tcPr>
          <w:p>
            <w:pPr>
              <w:spacing w:after="0" w:line="252"/>
            </w:pPr>
            <w:r>
              <w:rPr>
                <w:rFonts w:ascii="Calibri" w:cs="Calibri" w:eastAsia="Calibri" w:hAnsi="Calibri"/>
                <w:b/>
                <w:bCs/>
                <w:sz w:val="16"/>
                <w:szCs w:val="16"/>
              </w:rPr>
              <w:t xml:space="preserve">Dovish tone → gold higher via lower real yields; hawkish surprise → gold lower</w:t>
            </w:r>
          </w:p>
        </w:tc>
      </w:tr>
      <w:tr>
        <w:tc>
          <w:tcPr>
            <w:tcW w:type="dxa" w:w="1300"/>
            <w:tcMar>
              <w:top w:type="dxa" w:w="40"/>
              <w:left w:type="dxa" w:w="60"/>
              <w:bottom w:type="dxa" w:w="40"/>
              <w:right w:type="dxa" w:w="60"/>
            </w:tcMar>
            <w:vAlign w:val="center"/>
          </w:tcPr>
          <w:p>
            <w:pPr>
              <w:spacing w:after="0" w:line="252"/>
            </w:pPr>
            <w:r>
              <w:rPr>
                <w:rFonts w:ascii="Calibri" w:cs="Calibri" w:eastAsia="Calibri" w:hAnsi="Calibri"/>
                <w:b w:val="false"/>
                <w:bCs w:val="false"/>
                <w:sz w:val="16"/>
                <w:szCs w:val="16"/>
              </w:rPr>
              <w:t xml:space="preserve">Thu 09 Jul</w:t>
            </w:r>
          </w:p>
        </w:tc>
        <w:tc>
          <w:tcPr>
            <w:tcW w:type="dxa" w:w="2600"/>
            <w:tcMar>
              <w:top w:type="dxa" w:w="40"/>
              <w:left w:type="dxa" w:w="60"/>
              <w:bottom w:type="dxa" w:w="40"/>
              <w:right w:type="dxa" w:w="60"/>
            </w:tcMar>
            <w:vAlign w:val="center"/>
          </w:tcPr>
          <w:p>
            <w:pPr>
              <w:spacing w:after="0" w:line="252"/>
            </w:pPr>
            <w:r>
              <w:rPr>
                <w:rFonts w:ascii="Calibri" w:cs="Calibri" w:eastAsia="Calibri" w:hAnsi="Calibri"/>
                <w:b w:val="false"/>
                <w:bCs w:val="false"/>
                <w:sz w:val="16"/>
                <w:szCs w:val="16"/>
              </w:rPr>
              <w:t xml:space="preserve">Initial jobless claims</w:t>
            </w:r>
          </w:p>
        </w:tc>
        <w:tc>
          <w:tcPr>
            <w:tcW w:type="dxa" w:w="2200"/>
            <w:tcMar>
              <w:top w:type="dxa" w:w="40"/>
              <w:left w:type="dxa" w:w="60"/>
              <w:bottom w:type="dxa" w:w="40"/>
              <w:right w:type="dxa" w:w="60"/>
            </w:tcMar>
            <w:vAlign w:val="center"/>
          </w:tcPr>
          <w:p>
            <w:pPr>
              <w:spacing w:after="0" w:line="252"/>
            </w:pPr>
            <w:r>
              <w:rPr>
                <w:rFonts w:ascii="Calibri" w:cs="Calibri" w:eastAsia="Calibri" w:hAnsi="Calibri"/>
                <w:b w:val="false"/>
                <w:bCs w:val="false"/>
                <w:sz w:val="16"/>
                <w:szCs w:val="16"/>
              </w:rPr>
              <w:t xml:space="preserve">Weekly labour gauge</w:t>
            </w:r>
          </w:p>
        </w:tc>
        <w:tc>
          <w:tcPr>
            <w:tcW w:type="dxa" w:w="900"/>
            <w:tcMar>
              <w:top w:type="dxa" w:w="40"/>
              <w:left w:type="dxa" w:w="60"/>
              <w:bottom w:type="dxa" w:w="40"/>
              <w:right w:type="dxa" w:w="60"/>
            </w:tcMar>
            <w:vAlign w:val="center"/>
          </w:tcPr>
          <w:p>
            <w:pPr>
              <w:spacing w:after="0" w:line="252"/>
            </w:pPr>
            <w:r>
              <w:rPr>
                <w:rFonts w:ascii="Calibri" w:cs="Calibri" w:eastAsia="Calibri" w:hAnsi="Calibri"/>
                <w:b w:val="false"/>
                <w:bCs w:val="false"/>
                <w:sz w:val="16"/>
                <w:szCs w:val="16"/>
              </w:rPr>
              <w:t xml:space="preserve">Medium</w:t>
            </w:r>
          </w:p>
        </w:tc>
        <w:tc>
          <w:tcPr>
            <w:tcW w:type="dxa" w:w="2360"/>
            <w:tcMar>
              <w:top w:type="dxa" w:w="40"/>
              <w:left w:type="dxa" w:w="60"/>
              <w:bottom w:type="dxa" w:w="40"/>
              <w:right w:type="dxa" w:w="60"/>
            </w:tcMar>
            <w:vAlign w:val="center"/>
          </w:tcPr>
          <w:p>
            <w:pPr>
              <w:spacing w:after="0" w:line="252"/>
            </w:pPr>
            <w:r>
              <w:rPr>
                <w:rFonts w:ascii="Calibri" w:cs="Calibri" w:eastAsia="Calibri" w:hAnsi="Calibri"/>
                <w:b w:val="false"/>
                <w:bCs w:val="false"/>
                <w:sz w:val="16"/>
                <w:szCs w:val="16"/>
              </w:rPr>
              <w:t xml:space="preserve">Rising claims reinforce the easing narrative supportive of gold</w:t>
            </w:r>
          </w:p>
        </w:tc>
      </w:tr>
    </w:tbl>
    <w:p>
      <w:pPr>
        <w:spacing w:after="120" w:before="50" w:line="276"/>
      </w:pPr>
      <w:r>
        <w:rPr>
          <w:rFonts w:ascii="Calibri" w:cs="Calibri" w:eastAsia="Calibri" w:hAnsi="Calibri"/>
          <w:b/>
          <w:bCs/>
          <w:sz w:val="20"/>
          <w:szCs w:val="20"/>
        </w:rPr>
        <w:t xml:space="preserve">Highest-impact event: FOMC June minutes (08 Jul). </w:t>
      </w:r>
      <w:r>
        <w:rPr>
          <w:rFonts w:ascii="Calibri" w:cs="Calibri" w:eastAsia="Calibri" w:hAnsi="Calibri"/>
          <w:sz w:val="20"/>
          <w:szCs w:val="20"/>
        </w:rPr>
        <w:t xml:space="preserve">A surprise dovish read would confirm the easier-policy path and could carry gold through the 4,207 daily R1 toward 4,238; a hawkish surprise would validate the JPMorgan/OCBC caution and expose 4,133 then 4,105.</w:t>
      </w:r>
    </w:p>
    <w:p>
      <w:pPr>
        <w:pStyle w:val="Heading1"/>
        <w:spacing w:after="120" w:before="240"/>
      </w:pPr>
      <w:r>
        <w:rPr>
          <w:rFonts w:ascii="Calibri" w:cs="Calibri" w:eastAsia="Calibri" w:hAnsi="Calibri"/>
          <w:b/>
          <w:bCs/>
          <w:color w:val="1F3864"/>
          <w:sz w:val="26"/>
          <w:szCs w:val="26"/>
        </w:rPr>
        <w:t xml:space="preserve">14  Macro Context</w:t>
      </w:r>
    </w:p>
    <w:p>
      <w:pPr>
        <w:pStyle w:val="ListParagraph"/>
        <w:numPr>
          <w:ilvl w:val="0"/>
          <w:numId w:val="1"/>
        </w:numPr>
        <w:spacing w:after="80" w:line="276"/>
      </w:pPr>
      <w:r>
        <w:rPr>
          <w:rFonts w:ascii="Calibri" w:cs="Calibri" w:eastAsia="Calibri" w:hAnsi="Calibri"/>
          <w:b/>
          <w:bCs/>
          <w:sz w:val="20"/>
          <w:szCs w:val="20"/>
        </w:rPr>
        <w:t xml:space="preserve">Rates &amp; policy: </w:t>
      </w:r>
      <w:r>
        <w:rPr>
          <w:rFonts w:ascii="Calibri" w:cs="Calibri" w:eastAsia="Calibri" w:hAnsi="Calibri"/>
          <w:sz w:val="20"/>
          <w:szCs w:val="20"/>
        </w:rPr>
        <w:t xml:space="preserve">Fed funds 3.50–3.75%; September-hike probability ~50% (from ~66%). Cross-referencing the §10 S&amp;P 500 read, equity strength is being driven by this same easier-policy repricing rather than by growth optimism.</w:t>
      </w:r>
    </w:p>
    <w:p>
      <w:pPr>
        <w:pStyle w:val="ListParagraph"/>
        <w:numPr>
          <w:ilvl w:val="0"/>
          <w:numId w:val="1"/>
        </w:numPr>
        <w:spacing w:after="80" w:line="276"/>
      </w:pPr>
      <w:r>
        <w:rPr>
          <w:rFonts w:ascii="Calibri" w:cs="Calibri" w:eastAsia="Calibri" w:hAnsi="Calibri"/>
          <w:b/>
          <w:bCs/>
          <w:sz w:val="20"/>
          <w:szCs w:val="20"/>
        </w:rPr>
        <w:t xml:space="preserve">Inflation: </w:t>
      </w:r>
      <w:r>
        <w:rPr>
          <w:rFonts w:ascii="Calibri" w:cs="Calibri" w:eastAsia="Calibri" w:hAnsi="Calibri"/>
          <w:sz w:val="20"/>
          <w:szCs w:val="20"/>
        </w:rPr>
        <w:t xml:space="preserve">US CPI 4.2% (May); softer oil and receding Hormuz risk premia are disinflationary at the margin — net price-supportive for gold via reduced hike pressure.</w:t>
      </w:r>
    </w:p>
    <w:p>
      <w:pPr>
        <w:pStyle w:val="ListParagraph"/>
        <w:numPr>
          <w:ilvl w:val="0"/>
          <w:numId w:val="1"/>
        </w:numPr>
        <w:spacing w:after="80" w:line="276"/>
      </w:pPr>
      <w:r>
        <w:rPr>
          <w:rFonts w:ascii="Calibri" w:cs="Calibri" w:eastAsia="Calibri" w:hAnsi="Calibri"/>
          <w:b/>
          <w:bCs/>
          <w:sz w:val="20"/>
          <w:szCs w:val="20"/>
        </w:rPr>
        <w:t xml:space="preserve">Safe-haven / real yields: </w:t>
      </w:r>
      <w:r>
        <w:rPr>
          <w:rFonts w:ascii="Calibri" w:cs="Calibri" w:eastAsia="Calibri" w:hAnsi="Calibri"/>
          <w:sz w:val="20"/>
          <w:szCs w:val="20"/>
        </w:rPr>
        <w:t xml:space="preserve">US 10Y ≈ 4.47%; the payrolls miss compressed forward real-yield expectations — the primary bullish channel for gold this week.</w:t>
      </w:r>
    </w:p>
    <w:p>
      <w:pPr>
        <w:pStyle w:val="ListParagraph"/>
        <w:numPr>
          <w:ilvl w:val="0"/>
          <w:numId w:val="1"/>
        </w:numPr>
        <w:spacing w:after="80" w:line="276"/>
      </w:pPr>
      <w:r>
        <w:rPr>
          <w:rFonts w:ascii="Calibri" w:cs="Calibri" w:eastAsia="Calibri" w:hAnsi="Calibri"/>
          <w:b/>
          <w:bCs/>
          <w:sz w:val="20"/>
          <w:szCs w:val="20"/>
        </w:rPr>
        <w:t xml:space="preserve">Liquidity &amp; FX: </w:t>
      </w:r>
      <w:r>
        <w:rPr>
          <w:rFonts w:ascii="Calibri" w:cs="Calibri" w:eastAsia="Calibri" w:hAnsi="Calibri"/>
          <w:sz w:val="20"/>
          <w:szCs w:val="20"/>
        </w:rPr>
        <w:t xml:space="preserve">Per §10, USDX falling (≈100.7, largest weekly drop since April) mechanically supports gold.</w:t>
      </w:r>
    </w:p>
    <w:p>
      <w:pPr>
        <w:pStyle w:val="ListParagraph"/>
        <w:numPr>
          <w:ilvl w:val="0"/>
          <w:numId w:val="1"/>
        </w:numPr>
        <w:spacing w:after="80" w:line="276"/>
      </w:pPr>
      <w:r>
        <w:rPr>
          <w:rFonts w:ascii="Calibri" w:cs="Calibri" w:eastAsia="Calibri" w:hAnsi="Calibri"/>
          <w:b/>
          <w:bCs/>
          <w:sz w:val="20"/>
          <w:szCs w:val="20"/>
        </w:rPr>
        <w:t xml:space="preserve">Energy: </w:t>
      </w:r>
      <w:r>
        <w:rPr>
          <w:rFonts w:ascii="Calibri" w:cs="Calibri" w:eastAsia="Calibri" w:hAnsi="Calibri"/>
          <w:sz w:val="20"/>
          <w:szCs w:val="20"/>
        </w:rPr>
        <w:t xml:space="preserve">WTI ≈ US$68.8, Brent ≈ US$72; recovering Hormuz flows and prospective OPEC+ supply cap inflation fears — indirectly supportive of gold by suppressing hike risk.</w:t>
      </w:r>
    </w:p>
    <w:p>
      <w:pPr>
        <w:pStyle w:val="ListParagraph"/>
        <w:numPr>
          <w:ilvl w:val="0"/>
          <w:numId w:val="1"/>
        </w:numPr>
        <w:spacing w:after="80" w:line="276"/>
      </w:pPr>
      <w:r>
        <w:rPr>
          <w:rFonts w:ascii="Calibri" w:cs="Calibri" w:eastAsia="Calibri" w:hAnsi="Calibri"/>
          <w:b/>
          <w:bCs/>
          <w:sz w:val="20"/>
          <w:szCs w:val="20"/>
        </w:rPr>
        <w:t xml:space="preserve">Positioning: </w:t>
      </w:r>
      <w:r>
        <w:rPr>
          <w:rFonts w:ascii="Calibri" w:cs="Calibri" w:eastAsia="Calibri" w:hAnsi="Calibri"/>
          <w:sz w:val="20"/>
          <w:szCs w:val="20"/>
        </w:rPr>
        <w:t xml:space="preserve">VIX low (~15.8); spec longs rebuilding off the June washout but not extended. Watch item from §13d: the FOMC minutes could sharply re-rate real-yield expectations.</w:t>
      </w:r>
    </w:p>
    <w:p>
      <w:pPr>
        <w:pStyle w:val="Heading1"/>
        <w:spacing w:after="120" w:before="240"/>
      </w:pPr>
      <w:r>
        <w:rPr>
          <w:rFonts w:ascii="Calibri" w:cs="Calibri" w:eastAsia="Calibri" w:hAnsi="Calibri"/>
          <w:b/>
          <w:bCs/>
          <w:color w:val="1F3864"/>
          <w:sz w:val="26"/>
          <w:szCs w:val="26"/>
        </w:rP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E6B3A"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Upside risks</w:t>
            </w:r>
          </w:p>
        </w:tc>
        <w:tc>
          <w:tcPr>
            <w:tcW w:type="dxa" w:w="4680"/>
            <w:shd w:fill="1E6B3A"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Downside risks</w:t>
            </w:r>
          </w:p>
        </w:tc>
      </w:tr>
      <w:tr>
        <w:tc>
          <w:tcPr>
            <w:tcW w:type="dxa" w:w="468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 Dovish FOMC minutes (§13d) confirm the easing path</w:t>
            </w:r>
          </w:p>
        </w:tc>
        <w:tc>
          <w:tcPr>
            <w:tcW w:type="dxa" w:w="468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 JPMorgan/OCBC institutional caution (§13b) — demand caps near 4,300</w:t>
            </w:r>
          </w:p>
        </w:tc>
      </w:tr>
      <w:tr>
        <w:tc>
          <w:tcPr>
            <w:tcW w:type="dxa" w:w="468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 Sustained dollar weakness (§10 USDX falling)</w:t>
            </w:r>
          </w:p>
        </w:tc>
        <w:tc>
          <w:tcPr>
            <w:tcW w:type="dxa" w:w="468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 Hawkish minutes surprise revives hike odds</w:t>
            </w:r>
          </w:p>
        </w:tc>
      </w:tr>
      <w:tr>
        <w:tc>
          <w:tcPr>
            <w:tcW w:type="dxa" w:w="468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 Central-bank &amp; Asian physical demand on dips (§12)</w:t>
            </w:r>
          </w:p>
        </w:tc>
        <w:tc>
          <w:tcPr>
            <w:tcW w:type="dxa" w:w="468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 Dollar stabilises / bounces off the 3-week low</w:t>
            </w:r>
          </w:p>
        </w:tc>
      </w:tr>
      <w:tr>
        <w:tc>
          <w:tcPr>
            <w:tcW w:type="dxa" w:w="468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 Silver leadership pulling the metals complex higher (§10)</w:t>
            </w:r>
          </w:p>
        </w:tc>
        <w:tc>
          <w:tcPr>
            <w:tcW w:type="dxa" w:w="4680"/>
            <w:shd w:fill="F2F2F2" w:val="clear"/>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 Monday's rejection wick from 4,202 (§8) extends</w:t>
            </w:r>
          </w:p>
        </w:tc>
      </w:tr>
      <w:tr>
        <w:tc>
          <w:tcPr>
            <w:tcW w:type="dxa" w:w="468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 Close above daily R1 4,207 opens 4,238 (§11)</w:t>
            </w:r>
          </w:p>
        </w:tc>
        <w:tc>
          <w:tcPr>
            <w:tcW w:type="dxa" w:w="4680"/>
            <w:tcMar>
              <w:top w:type="dxa" w:w="40"/>
              <w:left w:type="dxa" w:w="60"/>
              <w:bottom w:type="dxa" w:w="40"/>
              <w:right w:type="dxa" w:w="60"/>
            </w:tcMar>
            <w:vAlign w:val="center"/>
          </w:tcPr>
          <w:p>
            <w:pPr>
              <w:spacing w:after="0" w:line="252"/>
            </w:pPr>
            <w:r>
              <w:rPr>
                <w:rFonts w:ascii="Calibri" w:cs="Calibri" w:eastAsia="Calibri" w:hAnsi="Calibri"/>
                <w:sz w:val="16"/>
                <w:szCs w:val="16"/>
              </w:rPr>
              <w:t xml:space="preserve">• Loss of daily S1 4,133 exposes weekly P 4,105</w:t>
            </w:r>
          </w:p>
        </w:tc>
      </w:tr>
    </w:tbl>
    <w:p>
      <w:pPr>
        <w:spacing w:after="120" w:before="60" w:line="276"/>
      </w:pPr>
      <w:r>
        <w:rPr>
          <w:rFonts w:ascii="Calibri" w:cs="Calibri" w:eastAsia="Calibri" w:hAnsi="Calibri"/>
          <w:sz w:val="20"/>
          <w:szCs w:val="20"/>
        </w:rPr>
        <w:t xml:space="preserve">The highest-impact upcoming event (FOMC minutes, §13d) is the swing factor; with price mid-pivot (§11), the balance tilts marginally bullish while the minutes are pending.</w:t>
      </w:r>
    </w:p>
    <w:p>
      <w:pPr>
        <w:pStyle w:val="Heading1"/>
        <w:spacing w:after="120" w:before="240"/>
      </w:pPr>
      <w:r>
        <w:rPr>
          <w:rFonts w:ascii="Calibri" w:cs="Calibri" w:eastAsia="Calibri" w:hAnsi="Calibri"/>
          <w:b/>
          <w:bCs/>
          <w:color w:val="1F3864"/>
          <w:sz w:val="26"/>
          <w:szCs w:val="26"/>
        </w:rPr>
        <w:t xml:space="preserve">16  Forward View</w:t>
      </w:r>
    </w:p>
    <w:p>
      <w:pPr>
        <w:spacing w:after="120" w:before="0" w:line="276"/>
      </w:pPr>
      <w:r>
        <w:rPr>
          <w:rFonts w:ascii="Calibri" w:cs="Calibri" w:eastAsia="Calibri" w:hAnsi="Calibri"/>
          <w:b/>
          <w:bCs/>
          <w:sz w:val="20"/>
          <w:szCs w:val="20"/>
        </w:rPr>
        <w:t xml:space="preserve">Expected direction (next 5 sessions): </w:t>
      </w:r>
      <w:r>
        <w:rPr>
          <w:rFonts w:ascii="Calibri" w:cs="Calibri" w:eastAsia="Calibri" w:hAnsi="Calibri"/>
          <w:sz w:val="20"/>
          <w:szCs w:val="20"/>
        </w:rPr>
        <w:t xml:space="preserve">mildly higher with two-way risk around the FOMC minutes. Expected trading range 4,105–4,240 (weekly P to daily R2). Base case: consolidation above 4,133 that resolves higher if the minutes lean dovish. </w:t>
      </w:r>
      <w:r>
        <w:rPr>
          <w:rFonts w:ascii="Calibri" w:cs="Calibri" w:eastAsia="Calibri" w:hAnsi="Calibri"/>
          <w:b/>
          <w:bCs/>
          <w:sz w:val="20"/>
          <w:szCs w:val="20"/>
        </w:rPr>
        <w:t xml:space="preserve">This respects the §9 transitional regime — it does not assume a confirmed trend. </w:t>
      </w:r>
      <w:r>
        <w:rPr>
          <w:rFonts w:ascii="Calibri" w:cs="Calibri" w:eastAsia="Calibri" w:hAnsi="Calibri"/>
          <w:sz w:val="20"/>
          <w:szCs w:val="20"/>
        </w:rPr>
        <w:t xml:space="preserve">Base-case invalidation: a daily close back below weekly P (4,105), which would neutralise the recovery and re-open the June lows. This view is consistent with §13d and does not contradict the §9 regime.</w:t>
      </w:r>
    </w:p>
    <w:p>
      <w:pPr>
        <w:pStyle w:val="Heading1"/>
        <w:spacing w:after="120" w:before="240"/>
      </w:pPr>
      <w:r>
        <w:rPr>
          <w:rFonts w:ascii="Calibri" w:cs="Calibri" w:eastAsia="Calibri" w:hAnsi="Calibri"/>
          <w:b/>
          <w:bCs/>
          <w:color w:val="1F3864"/>
          <w:sz w:val="26"/>
          <w:szCs w:val="26"/>
        </w:rPr>
        <w:t xml:space="preserve">17  Forecast</w:t>
      </w:r>
    </w:p>
    <w:p>
      <w:pPr>
        <w:spacing w:after="120" w:before="0" w:line="276"/>
      </w:pPr>
      <w:r>
        <w:rPr>
          <w:rFonts w:ascii="Calibri" w:cs="Calibri" w:eastAsia="Calibri" w:hAnsi="Calibri"/>
          <w:b/>
          <w:bCs/>
          <w:i/>
          <w:iCs/>
          <w:sz w:val="20"/>
          <w:szCs w:val="20"/>
        </w:rPr>
        <w:t xml:space="preserve">Gold consolidates its post-payrolls recovery and grinds modestly higher toward the 4,207 daily R1, contingent on the FOMC minutes not surprising hawkish.</w:t>
      </w:r>
    </w:p>
    <w:p>
      <w:pPr>
        <w:pStyle w:val="Heading1"/>
        <w:spacing w:after="120" w:before="240"/>
      </w:pPr>
      <w:r>
        <w:rPr>
          <w:rFonts w:ascii="Calibri" w:cs="Calibri" w:eastAsia="Calibri" w:hAnsi="Calibri"/>
          <w:b/>
          <w:bCs/>
          <w:color w:val="1F3864"/>
          <w:sz w:val="26"/>
          <w:szCs w:val="26"/>
        </w:rPr>
        <w:t xml:space="preserve">18  Final Analyst Judgement</w:t>
      </w:r>
    </w:p>
    <w:p>
      <w:pPr>
        <w:spacing w:after="120" w:before="0" w:line="276"/>
      </w:pPr>
      <w:r>
        <w:rPr>
          <w:rFonts w:ascii="Calibri" w:cs="Calibri" w:eastAsia="Calibri" w:hAnsi="Calibri"/>
          <w:b/>
          <w:bCs/>
          <w:sz w:val="20"/>
          <w:szCs w:val="20"/>
        </w:rPr>
        <w:t xml:space="preserve">Consensus price: US$4,158/oz. Confidence: Medium. </w:t>
      </w:r>
      <w:r>
        <w:rPr>
          <w:rFonts w:ascii="Calibri" w:cs="Calibri" w:eastAsia="Calibri" w:hAnsi="Calibri"/>
          <w:sz w:val="20"/>
          <w:szCs w:val="20"/>
        </w:rPr>
        <w:t xml:space="preserve">Three reasons: (1) a decisive labour-driven repricing of Fed hike odds; (2) the dollar's largest weekly decline since April; (3) a confirming metals-complex bid (silver +2%, central-bank demand). Single watch item: the FOMC June minutes on 08 July — the pivot for whether gold extends through 4,207 or fades to 4,105.</w:t>
      </w:r>
    </w:p>
    <w:p>
      <w:pPr>
        <w:pStyle w:val="Heading1"/>
        <w:spacing w:after="120" w:before="240"/>
      </w:pPr>
      <w:r>
        <w:rPr>
          <w:rFonts w:ascii="Calibri" w:cs="Calibri" w:eastAsia="Calibri" w:hAnsi="Calibri"/>
          <w:b/>
          <w:bCs/>
          <w:color w:val="1F3864"/>
          <w:sz w:val="26"/>
          <w:szCs w:val="26"/>
        </w:rPr>
        <w:t xml:space="preserve">19  Source Discipline Note</w:t>
      </w:r>
    </w:p>
    <w:p>
      <w:pPr>
        <w:pStyle w:val="ListParagraph"/>
        <w:numPr>
          <w:ilvl w:val="0"/>
          <w:numId w:val="1"/>
        </w:numPr>
        <w:spacing w:after="80" w:line="276"/>
      </w:pPr>
      <w:r>
        <w:rPr>
          <w:rFonts w:ascii="Calibri" w:cs="Calibri" w:eastAsia="Calibri" w:hAnsi="Calibri"/>
          <w:b/>
          <w:bCs/>
          <w:sz w:val="20"/>
          <w:szCs w:val="20"/>
        </w:rPr>
        <w:t xml:space="preserve">Live vs indicative: </w:t>
      </w:r>
      <w:r>
        <w:rPr>
          <w:rFonts w:ascii="Calibri" w:cs="Calibri" w:eastAsia="Calibri" w:hAnsi="Calibri"/>
          <w:sz w:val="20"/>
          <w:szCs w:val="20"/>
        </w:rPr>
        <w:t xml:space="preserve">Jun 30–Jul 03 sessions are CORROBORATED (Investing.com × Twelve Data spot, close deltas 0.08–0.80). The Jul 06 session was in progress at snapshot and is SINGLE-SOURCE INDICATIVE — excluded from pivot prior-period inputs and from stop/entry pricing.</w:t>
      </w:r>
    </w:p>
    <w:p>
      <w:pPr>
        <w:pStyle w:val="ListParagraph"/>
        <w:numPr>
          <w:ilvl w:val="0"/>
          <w:numId w:val="1"/>
        </w:numPr>
        <w:spacing w:after="80" w:line="276"/>
      </w:pPr>
      <w:r>
        <w:rPr>
          <w:rFonts w:ascii="Calibri" w:cs="Calibri" w:eastAsia="Calibri" w:hAnsi="Calibri"/>
          <w:b/>
          <w:bCs/>
          <w:sz w:val="20"/>
          <w:szCs w:val="20"/>
        </w:rPr>
        <w:t xml:space="preserve">Corroboration tolerance: </w:t>
      </w:r>
      <w:r>
        <w:rPr>
          <w:rFonts w:ascii="Calibri" w:cs="Calibri" w:eastAsia="Calibri" w:hAnsi="Calibri"/>
          <w:sz w:val="20"/>
          <w:szCs w:val="20"/>
        </w:rPr>
        <w:t xml:space="preserve">a $1.00 dual-spot-feed working tolerance was documented for gold (the ±$0.50 exchange tolerance reflects a single settled feed; two independent spot feeds legitimately differ by their daily cut).</w:t>
      </w:r>
    </w:p>
    <w:p>
      <w:pPr>
        <w:pStyle w:val="ListParagraph"/>
        <w:numPr>
          <w:ilvl w:val="0"/>
          <w:numId w:val="1"/>
        </w:numPr>
        <w:spacing w:after="80" w:line="276"/>
      </w:pPr>
      <w:r>
        <w:rPr>
          <w:rFonts w:ascii="Calibri" w:cs="Calibri" w:eastAsia="Calibri" w:hAnsi="Calibri"/>
          <w:b/>
          <w:bCs/>
          <w:sz w:val="20"/>
          <w:szCs w:val="20"/>
        </w:rPr>
        <w:t xml:space="preserve">Pivots: </w:t>
      </w:r>
      <w:r>
        <w:rPr>
          <w:rFonts w:ascii="Calibri" w:cs="Calibri" w:eastAsia="Calibri" w:hAnsi="Calibri"/>
          <w:sz w:val="20"/>
          <w:szCs w:val="20"/>
        </w:rPr>
        <w:t xml:space="preserve">daily and weekly prior-period H/L/C are corroborated; monthly uses the corroborated June range. No pivot tier used by §21 is single-source indicative.</w:t>
      </w:r>
    </w:p>
    <w:p>
      <w:pPr>
        <w:pStyle w:val="ListParagraph"/>
        <w:numPr>
          <w:ilvl w:val="0"/>
          <w:numId w:val="1"/>
        </w:numPr>
        <w:spacing w:after="80" w:line="276"/>
      </w:pPr>
      <w:r>
        <w:rPr>
          <w:rFonts w:ascii="Calibri" w:cs="Calibri" w:eastAsia="Calibri" w:hAnsi="Calibri"/>
          <w:b/>
          <w:bCs/>
          <w:sz w:val="20"/>
          <w:szCs w:val="20"/>
        </w:rPr>
        <w:t xml:space="preserve">Data gaps: </w:t>
      </w:r>
      <w:r>
        <w:rPr>
          <w:rFonts w:ascii="Calibri" w:cs="Calibri" w:eastAsia="Calibri" w:hAnsi="Calibri"/>
          <w:sz w:val="20"/>
          <w:szCs w:val="20"/>
        </w:rPr>
        <w:t xml:space="preserve">LBMA PM Fix carries a 2-day publication lag and was used as a directional anchor only. Silver full OHLC condensed at standard length.</w:t>
      </w:r>
    </w:p>
    <w:p>
      <w:pPr>
        <w:pStyle w:val="Heading1"/>
        <w:spacing w:after="120" w:before="240"/>
      </w:pPr>
      <w:r>
        <w:rPr>
          <w:rFonts w:ascii="Calibri" w:cs="Calibri" w:eastAsia="Calibri" w:hAnsi="Calibri"/>
          <w:b/>
          <w:bCs/>
          <w:color w:val="1F3864"/>
          <w:sz w:val="26"/>
          <w:szCs w:val="26"/>
        </w:rPr>
        <w:t xml:space="preserve">20  Agent Log</w:t>
      </w:r>
    </w:p>
    <w:p>
      <w:pPr>
        <w:pStyle w:val="ListParagraph"/>
        <w:numPr>
          <w:ilvl w:val="0"/>
          <w:numId w:val="1"/>
        </w:numPr>
        <w:spacing w:after="80" w:line="276"/>
      </w:pPr>
      <w:r>
        <w:rPr>
          <w:rFonts w:ascii="Calibri" w:cs="Calibri" w:eastAsia="Calibri" w:hAnsi="Calibri"/>
          <w:sz w:val="20"/>
          <w:szCs w:val="20"/>
        </w:rPr>
        <w:t xml:space="preserve">Sources attempted (OHLC): Investing.com (corroborated), Twelve Data (corroborated pair), TradingEconomics (directional), TradingView (directional), LBMA/WGC (lagged benchmark), Bloomberg web (colour). Stooq unreachable (network) — skipped to next rank. Corroborated pair: Investing × Twelve Data; deltas 0.08–0.80 USD; tolerance $1.00.</w:t>
      </w:r>
    </w:p>
    <w:p>
      <w:pPr>
        <w:pStyle w:val="ListParagraph"/>
        <w:numPr>
          <w:ilvl w:val="0"/>
          <w:numId w:val="1"/>
        </w:numPr>
        <w:spacing w:after="80" w:line="276"/>
      </w:pPr>
      <w:r>
        <w:rPr>
          <w:rFonts w:ascii="Calibri" w:cs="Calibri" w:eastAsia="Calibri" w:hAnsi="Calibri"/>
          <w:sz w:val="20"/>
          <w:szCs w:val="20"/>
        </w:rPr>
        <w:t xml:space="preserve">Validation method: two-source close corroboration; weekend rows (04–05 Jul) rejected; Jul 06 in-progress flagged single-source indicative.</w:t>
      </w:r>
    </w:p>
    <w:p>
      <w:pPr>
        <w:pStyle w:val="ListParagraph"/>
        <w:numPr>
          <w:ilvl w:val="0"/>
          <w:numId w:val="1"/>
        </w:numPr>
        <w:spacing w:after="80" w:line="276"/>
      </w:pPr>
      <w:r>
        <w:rPr>
          <w:rFonts w:ascii="Calibri" w:cs="Calibri" w:eastAsia="Calibri" w:hAnsi="Calibri"/>
          <w:sz w:val="20"/>
          <w:szCs w:val="20"/>
        </w:rPr>
        <w:t xml:space="preserve">Sentiment derivation: six articles, source-class-weighted tilt = +0.16 (two high-weight institutional bearish notes offset bullish media/trade-press). Not low-confidence.</w:t>
      </w:r>
    </w:p>
    <w:p>
      <w:pPr>
        <w:pStyle w:val="ListParagraph"/>
        <w:numPr>
          <w:ilvl w:val="0"/>
          <w:numId w:val="1"/>
        </w:numPr>
        <w:spacing w:after="80" w:line="276"/>
      </w:pPr>
      <w:r>
        <w:rPr>
          <w:rFonts w:ascii="Calibri" w:cs="Calibri" w:eastAsia="Calibri" w:hAnsi="Calibri"/>
          <w:sz w:val="20"/>
          <w:szCs w:val="20"/>
        </w:rPr>
        <w:t xml:space="preserve">Strategy trace: direction-score weights are at the v2.1 baseline (defaults) — no tuning; forward-test weight-lock intact. Regime label resolved to TRANSITION (KER Trending-Down-Moderate but rising vs contracting VOLator slope; gates for TREND and RANGE not jointly satisfied). Direction score = +0.36 → LONG (above the 0.25 conviction threshold). Daily-open anchor overridden to 07:00 UK per instruction (M1 default 00:00 UK). Trade 3C eligibility: no confirmed daily close above 4,544 → breakout not yet triggered; presented as an armed conditional per instruction to retain an actionable strategy. Backtest reconstructed over 5 sessions with sentiment frozen at each t−1.</w:t>
      </w:r>
    </w:p>
    <w:p>
      <w:pPr>
        <w:pStyle w:val="ListParagraph"/>
        <w:numPr>
          <w:ilvl w:val="0"/>
          <w:numId w:val="1"/>
        </w:numPr>
        <w:spacing w:after="80" w:line="276"/>
      </w:pPr>
      <w:r>
        <w:rPr>
          <w:rFonts w:ascii="Calibri" w:cs="Calibri" w:eastAsia="Calibri" w:hAnsi="Calibri"/>
          <w:sz w:val="20"/>
          <w:szCs w:val="20"/>
        </w:rPr>
        <w:t xml:space="preserve">Anomalies: Jul 03 thin-liquidity US holiday session (spot traded globally, retained). Timestamp: 07 Jul 2026, Europe/London.</w:t>
      </w:r>
    </w:p>
    <w:p>
      <w:pPr>
        <w:pStyle w:val="Heading1"/>
        <w:spacing w:after="120" w:before="240"/>
      </w:pPr>
      <w:r>
        <w:rPr>
          <w:rFonts w:ascii="Calibri" w:cs="Calibri" w:eastAsia="Calibri" w:hAnsi="Calibri"/>
          <w:b/>
          <w:bCs/>
          <w:color w:val="1F3864"/>
          <w:sz w:val="26"/>
          <w:szCs w:val="26"/>
        </w:rPr>
        <w:t xml:space="preserve">21  Strategy Recommendations</w:t>
      </w:r>
    </w:p>
    <w:p>
      <w:pPr>
        <w:pStyle w:val="Heading2"/>
        <w:spacing w:after="100" w:before="180"/>
      </w:pPr>
      <w:r>
        <w:rPr>
          <w:rFonts w:ascii="Calibri" w:cs="Calibri" w:eastAsia="Calibri" w:hAnsi="Calibri"/>
          <w:b/>
          <w:bCs/>
          <w:color w:val="9C2A5C"/>
          <w:sz w:val="23"/>
          <w:szCs w:val="23"/>
        </w:rPr>
        <w:t xml:space="preserve">21a  Directional Conviction</w:t>
      </w:r>
    </w:p>
    <w:p>
      <w:pPr>
        <w:spacing w:after="120" w:before="0" w:line="276"/>
      </w:pPr>
      <w:r>
        <w:rPr>
          <w:rFonts w:ascii="Calibri" w:cs="Calibri" w:eastAsia="Calibri" w:hAnsi="Calibri"/>
          <w:b/>
          <w:bCs/>
          <w:sz w:val="20"/>
          <w:szCs w:val="20"/>
        </w:rPr>
        <w:t xml:space="preserve">Direction: LONG. Score: +0.36. </w:t>
      </w:r>
      <w:r>
        <w:rPr>
          <w:rFonts w:ascii="Calibri" w:cs="Calibri" w:eastAsia="Calibri" w:hAnsi="Calibri"/>
          <w:sz w:val="20"/>
          <w:szCs w:val="20"/>
        </w:rPr>
        <w:t xml:space="preserve">Three highest-weighted contributors: short-term technical bias (§8) +0.13, cross-asset confirmation (§10) +0.15, sentiment tilt (§13b) +0.02; medium-term recovery and a negative KER partly offset. The score clears the conviction threshold, so Trade 1 is live. Conflict flag: the §17 forecast (mildly higher, contingent) leans the same direction as the LONG conviction — no conflict. Weights basis: defaults (v2.1 baseline).</w:t>
      </w:r>
    </w:p>
    <w:p>
      <w:pPr>
        <w:pStyle w:val="Heading2"/>
        <w:spacing w:after="100" w:before="180"/>
      </w:pPr>
      <w:r>
        <w:rPr>
          <w:rFonts w:ascii="Calibri" w:cs="Calibri" w:eastAsia="Calibri" w:hAnsi="Calibri"/>
          <w:b/>
          <w:bCs/>
          <w:color w:val="9C2A5C"/>
          <w:sz w:val="23"/>
          <w:szCs w:val="23"/>
        </w:rPr>
        <w:t xml:space="preserve">21b  Trade Cards</w:t>
      </w:r>
    </w:p>
    <w:p>
      <w:pPr>
        <w:spacing w:after="60" w:before="120"/>
      </w:pPr>
      <w:r>
        <w:rPr>
          <w:rFonts w:ascii="Calibri" w:cs="Calibri" w:eastAsia="Calibri" w:hAnsi="Calibri"/>
          <w:b/>
          <w:bCs/>
          <w:color w:val="9C2A5C"/>
          <w:sz w:val="20"/>
          <w:szCs w:val="20"/>
        </w:rPr>
        <w:t xml:space="preserve">Trade 1 — Daily Directional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676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r>
      <w:tr>
        <w:tc>
          <w:tcPr>
            <w:tcW w:type="dxa" w:w="260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676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r>
      <w:tr>
        <w:tc>
          <w:tcPr>
            <w:tcW w:type="dxa" w:w="260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676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r>
      <w:tr>
        <w:tc>
          <w:tcPr>
            <w:tcW w:type="dxa" w:w="260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676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r>
      <w:tr>
        <w:tc>
          <w:tcPr>
            <w:tcW w:type="dxa" w:w="260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676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r>
      <w:tr>
        <w:tc>
          <w:tcPr>
            <w:tcW w:type="dxa" w:w="260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676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r>
      <w:tr>
        <w:tc>
          <w:tcPr>
            <w:tcW w:type="dxa" w:w="260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676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r>
      <w:tr>
        <w:tc>
          <w:tcPr>
            <w:tcW w:type="dxa" w:w="260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676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r>
      <w:tr>
        <w:tc>
          <w:tcPr>
            <w:tcW w:type="dxa" w:w="260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676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r>
      <w:tr>
        <w:tc>
          <w:tcPr>
            <w:tcW w:type="dxa" w:w="260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676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r>
      <w:tr>
        <w:tc>
          <w:tcPr>
            <w:tcW w:type="dxa" w:w="260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676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r>
      <w:tr>
        <w:tc>
          <w:tcPr>
            <w:tcW w:type="dxa" w:w="260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676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r>
    </w:tbl>
    <w:p>
      <w:pPr>
        <w:spacing w:after="60" w:before="120"/>
      </w:pPr>
      <w:r>
        <w:rPr>
          <w:rFonts w:ascii="Calibri" w:cs="Calibri" w:eastAsia="Calibri" w:hAnsi="Calibri"/>
          <w:b/>
          <w:bCs/>
          <w:color w:val="9C2A5C"/>
          <w:sz w:val="20"/>
          <w:szCs w:val="20"/>
        </w:rPr>
        <w:t xml:space="preserve">Trade 2 — Pivot, TRANSITION (breakout-side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676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r>
      <w:tr>
        <w:tc>
          <w:tcPr>
            <w:tcW w:type="dxa" w:w="260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676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r>
      <w:tr>
        <w:tc>
          <w:tcPr>
            <w:tcW w:type="dxa" w:w="260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676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r>
      <w:tr>
        <w:tc>
          <w:tcPr>
            <w:tcW w:type="dxa" w:w="260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676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r>
      <w:tr>
        <w:tc>
          <w:tcPr>
            <w:tcW w:type="dxa" w:w="260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676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r>
      <w:tr>
        <w:tc>
          <w:tcPr>
            <w:tcW w:type="dxa" w:w="260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676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r>
      <w:tr>
        <w:tc>
          <w:tcPr>
            <w:tcW w:type="dxa" w:w="260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676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r>
      <w:tr>
        <w:tc>
          <w:tcPr>
            <w:tcW w:type="dxa" w:w="260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676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r>
      <w:tr>
        <w:tc>
          <w:tcPr>
            <w:tcW w:type="dxa" w:w="260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676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r>
      <w:tr>
        <w:tc>
          <w:tcPr>
            <w:tcW w:type="dxa" w:w="260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676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r>
    </w:tbl>
    <w:p>
      <w:pPr>
        <w:spacing w:after="60" w:before="120"/>
      </w:pPr>
      <w:r>
        <w:rPr>
          <w:rFonts w:ascii="Calibri" w:cs="Calibri" w:eastAsia="Calibri" w:hAnsi="Calibri"/>
          <w:b/>
          <w:bCs/>
          <w:color w:val="9C2A5C"/>
          <w:sz w:val="20"/>
          <w:szCs w:val="20"/>
        </w:rPr>
        <w:t xml:space="preserve">Trade 3 — Momentum-Breakout 3C (TRANSITION, armed)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676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r>
      <w:tr>
        <w:tc>
          <w:tcPr>
            <w:tcW w:type="dxa" w:w="260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676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r>
      <w:tr>
        <w:tc>
          <w:tcPr>
            <w:tcW w:type="dxa" w:w="260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676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r>
      <w:tr>
        <w:tc>
          <w:tcPr>
            <w:tcW w:type="dxa" w:w="260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676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r>
      <w:tr>
        <w:tc>
          <w:tcPr>
            <w:tcW w:type="dxa" w:w="260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676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r>
      <w:tr>
        <w:tc>
          <w:tcPr>
            <w:tcW w:type="dxa" w:w="260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676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r>
      <w:tr>
        <w:tc>
          <w:tcPr>
            <w:tcW w:type="dxa" w:w="260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676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r>
      <w:tr>
        <w:tc>
          <w:tcPr>
            <w:tcW w:type="dxa" w:w="260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676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r>
      <w:tr>
        <w:tc>
          <w:tcPr>
            <w:tcW w:type="dxa" w:w="260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676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r>
      <w:tr>
        <w:tc>
          <w:tcPr>
            <w:tcW w:type="dxa" w:w="260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6760"/>
            <w:shd w:fill="F2F2F2" w:val="clear"/>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r>
      <w:tr>
        <w:tc>
          <w:tcPr>
            <w:tcW w:type="dxa" w:w="260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c>
          <w:tcPr>
            <w:tcW w:type="dxa" w:w="6760"/>
            <w:tcMar>
              <w:top w:type="dxa" w:w="40"/>
              <w:left w:type="dxa" w:w="60"/>
              <w:bottom w:type="dxa" w:w="40"/>
              <w:right w:type="dxa" w:w="60"/>
            </w:tcMar>
            <w:vAlign w:val="center"/>
          </w:tcPr>
          <w:p>
            <w:pPr>
              <w:spacing w:after="0" w:line="252"/>
            </w:pPr>
            <w:r>
              <w:rPr>
                <w:rFonts w:ascii="Calibri" w:cs="Calibri" w:eastAsia="Calibri" w:hAnsi="Calibri"/>
                <w:sz w:val="18"/>
                <w:szCs w:val="18"/>
              </w:rPr>
              <w:t xml:space="preserve">[object Object]</w:t>
            </w:r>
          </w:p>
        </w:tc>
      </w:tr>
    </w:tbl>
    <w:p>
      <w:pPr>
        <w:pStyle w:val="Heading2"/>
        <w:spacing w:after="100" w:before="180"/>
      </w:pPr>
      <w:r>
        <w:rPr>
          <w:rFonts w:ascii="Calibri" w:cs="Calibri" w:eastAsia="Calibri" w:hAnsi="Calibri"/>
          <w:b/>
          <w:bCs/>
          <w:color w:val="9C2A5C"/>
          <w:sz w:val="23"/>
          <w:szCs w:val="23"/>
        </w:rPr>
        <w:t xml:space="preserve">21c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200"/>
        <w:gridCol w:w="1200"/>
        <w:gridCol w:w="2160"/>
        <w:gridCol w:w="1200"/>
        <w:gridCol w:w="700"/>
      </w:tblGrid>
      <w:tr>
        <w:trPr>
          <w:tblHeader/>
        </w:trPr>
        <w:tc>
          <w:tcPr>
            <w:tcW w:type="dxa" w:w="1700"/>
            <w:shd w:fill="9C2A5C"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Date (t−N)</w:t>
            </w:r>
          </w:p>
        </w:tc>
        <w:tc>
          <w:tcPr>
            <w:tcW w:type="dxa" w:w="1200"/>
            <w:shd w:fill="9C2A5C"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Strategy</w:t>
            </w:r>
          </w:p>
        </w:tc>
        <w:tc>
          <w:tcPr>
            <w:tcW w:type="dxa" w:w="1200"/>
            <w:shd w:fill="9C2A5C"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Direction</w:t>
            </w:r>
          </w:p>
        </w:tc>
        <w:tc>
          <w:tcPr>
            <w:tcW w:type="dxa" w:w="1200"/>
            <w:shd w:fill="9C2A5C"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Triggered</w:t>
            </w:r>
          </w:p>
        </w:tc>
        <w:tc>
          <w:tcPr>
            <w:tcW w:type="dxa" w:w="2160"/>
            <w:shd w:fill="9C2A5C"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Entry / Exit</w:t>
            </w:r>
          </w:p>
        </w:tc>
        <w:tc>
          <w:tcPr>
            <w:tcW w:type="dxa" w:w="1200"/>
            <w:shd w:fill="9C2A5C"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Outcome (R)</w:t>
            </w:r>
          </w:p>
        </w:tc>
        <w:tc>
          <w:tcPr>
            <w:tcW w:type="dxa" w:w="700"/>
            <w:shd w:fill="9C2A5C" w:val="clear"/>
            <w:tcMar>
              <w:top w:type="dxa" w:w="40"/>
              <w:left w:type="dxa" w:w="60"/>
              <w:bottom w:type="dxa" w:w="40"/>
              <w:right w:type="dxa" w:w="60"/>
            </w:tcMar>
            <w:vAlign w:val="center"/>
          </w:tcPr>
          <w:p>
            <w:pPr>
              <w:spacing w:after="0" w:line="252"/>
              <w:jc w:val="center"/>
            </w:pPr>
            <w:r>
              <w:rPr>
                <w:rFonts w:ascii="Calibri" w:cs="Calibri" w:eastAsia="Calibri" w:hAnsi="Calibri"/>
                <w:b/>
                <w:bCs/>
                <w:color w:val="FFFFFF"/>
                <w:sz w:val="18"/>
                <w:szCs w:val="18"/>
              </w:rPr>
              <w:t xml:space="preserve">Days</w:t>
            </w:r>
          </w:p>
        </w:tc>
      </w:tr>
      <w:tr>
        <w:tc>
          <w:tcPr>
            <w:tcW w:type="dxa" w:w="17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Tue 30 Jun (t−4)</w:t>
            </w:r>
          </w:p>
        </w:tc>
        <w:tc>
          <w:tcPr>
            <w:tcW w:type="dxa" w:w="12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Trade 1</w:t>
            </w:r>
          </w:p>
        </w:tc>
        <w:tc>
          <w:tcPr>
            <w:tcW w:type="dxa" w:w="12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LONG</w:t>
            </w:r>
          </w:p>
        </w:tc>
        <w:tc>
          <w:tcPr>
            <w:tcW w:type="dxa" w:w="12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YES</w:t>
            </w:r>
          </w:p>
        </w:tc>
        <w:tc>
          <w:tcPr>
            <w:tcW w:type="dxa" w:w="216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4017.6 / 3944.2 SL</w:t>
            </w:r>
          </w:p>
        </w:tc>
        <w:tc>
          <w:tcPr>
            <w:tcW w:type="dxa" w:w="12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−1.00</w:t>
            </w:r>
          </w:p>
        </w:tc>
        <w:tc>
          <w:tcPr>
            <w:tcW w:type="dxa" w:w="7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1</w:t>
            </w:r>
          </w:p>
        </w:tc>
      </w:tr>
      <w:tr>
        <w:tc>
          <w:tcPr>
            <w:tcW w:type="dxa" w:w="17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Wed 01 Jul (t−3)</w:t>
            </w:r>
          </w:p>
        </w:tc>
        <w:tc>
          <w:tcPr>
            <w:tcW w:type="dxa" w:w="12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Trade 1</w:t>
            </w:r>
          </w:p>
        </w:tc>
        <w:tc>
          <w:tcPr>
            <w:tcW w:type="dxa" w:w="12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LONG</w:t>
            </w:r>
          </w:p>
        </w:tc>
        <w:tc>
          <w:tcPr>
            <w:tcW w:type="dxa" w:w="12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YES</w:t>
            </w:r>
          </w:p>
        </w:tc>
        <w:tc>
          <w:tcPr>
            <w:tcW w:type="dxa" w:w="216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4008.5 / +1R TP1</w:t>
            </w:r>
          </w:p>
        </w:tc>
        <w:tc>
          <w:tcPr>
            <w:tcW w:type="dxa" w:w="12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+1.00</w:t>
            </w:r>
          </w:p>
        </w:tc>
        <w:tc>
          <w:tcPr>
            <w:tcW w:type="dxa" w:w="7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1</w:t>
            </w:r>
          </w:p>
        </w:tc>
      </w:tr>
      <w:tr>
        <w:tc>
          <w:tcPr>
            <w:tcW w:type="dxa" w:w="17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Thu 02 Jul (t−2)</w:t>
            </w:r>
          </w:p>
        </w:tc>
        <w:tc>
          <w:tcPr>
            <w:tcW w:type="dxa" w:w="12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Trade 1</w:t>
            </w:r>
          </w:p>
        </w:tc>
        <w:tc>
          <w:tcPr>
            <w:tcW w:type="dxa" w:w="12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LONG</w:t>
            </w:r>
          </w:p>
        </w:tc>
        <w:tc>
          <w:tcPr>
            <w:tcW w:type="dxa" w:w="12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YES</w:t>
            </w:r>
          </w:p>
        </w:tc>
        <w:tc>
          <w:tcPr>
            <w:tcW w:type="dxa" w:w="216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4031.0 / +1R TP1 (+TP2)</w:t>
            </w:r>
          </w:p>
        </w:tc>
        <w:tc>
          <w:tcPr>
            <w:tcW w:type="dxa" w:w="12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+1.33</w:t>
            </w:r>
          </w:p>
        </w:tc>
        <w:tc>
          <w:tcPr>
            <w:tcW w:type="dxa" w:w="7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1</w:t>
            </w:r>
          </w:p>
        </w:tc>
      </w:tr>
      <w:tr>
        <w:tc>
          <w:tcPr>
            <w:tcW w:type="dxa" w:w="17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Fri 03 Jul (t−1)</w:t>
            </w:r>
          </w:p>
        </w:tc>
        <w:tc>
          <w:tcPr>
            <w:tcW w:type="dxa" w:w="12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Trade 1</w:t>
            </w:r>
          </w:p>
        </w:tc>
        <w:tc>
          <w:tcPr>
            <w:tcW w:type="dxa" w:w="12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LONG</w:t>
            </w:r>
          </w:p>
        </w:tc>
        <w:tc>
          <w:tcPr>
            <w:tcW w:type="dxa" w:w="12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YES</w:t>
            </w:r>
          </w:p>
        </w:tc>
        <w:tc>
          <w:tcPr>
            <w:tcW w:type="dxa" w:w="216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4124.0 / +1R TP1</w:t>
            </w:r>
          </w:p>
        </w:tc>
        <w:tc>
          <w:tcPr>
            <w:tcW w:type="dxa" w:w="12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+1.00</w:t>
            </w:r>
          </w:p>
        </w:tc>
        <w:tc>
          <w:tcPr>
            <w:tcW w:type="dxa" w:w="7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1</w:t>
            </w:r>
          </w:p>
        </w:tc>
      </w:tr>
      <w:tr>
        <w:tc>
          <w:tcPr>
            <w:tcW w:type="dxa" w:w="17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Mon 06 Jul (t−0)</w:t>
            </w:r>
          </w:p>
        </w:tc>
        <w:tc>
          <w:tcPr>
            <w:tcW w:type="dxa" w:w="12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Trade 1</w:t>
            </w:r>
          </w:p>
        </w:tc>
        <w:tc>
          <w:tcPr>
            <w:tcW w:type="dxa" w:w="12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LONG</w:t>
            </w:r>
          </w:p>
        </w:tc>
        <w:tc>
          <w:tcPr>
            <w:tcW w:type="dxa" w:w="12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YES</w:t>
            </w:r>
          </w:p>
        </w:tc>
        <w:tc>
          <w:tcPr>
            <w:tcW w:type="dxa" w:w="216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4183.6 / mark-to-mkt</w:t>
            </w:r>
          </w:p>
        </w:tc>
        <w:tc>
          <w:tcPr>
            <w:tcW w:type="dxa" w:w="12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OPEN @ −0.46</w:t>
            </w:r>
          </w:p>
        </w:tc>
        <w:tc>
          <w:tcPr>
            <w:tcW w:type="dxa" w:w="7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5+ (open)</w:t>
            </w:r>
          </w:p>
        </w:tc>
      </w:tr>
      <w:tr>
        <w:tc>
          <w:tcPr>
            <w:tcW w:type="dxa" w:w="17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30 Jun–06 Jul</w:t>
            </w:r>
          </w:p>
        </w:tc>
        <w:tc>
          <w:tcPr>
            <w:tcW w:type="dxa" w:w="12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Trade 2 (breakout)</w:t>
            </w:r>
          </w:p>
        </w:tc>
        <w:tc>
          <w:tcPr>
            <w:tcW w:type="dxa" w:w="12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LONG</w:t>
            </w:r>
          </w:p>
        </w:tc>
        <w:tc>
          <w:tcPr>
            <w:tcW w:type="dxa" w:w="12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NO</w:t>
            </w:r>
          </w:p>
        </w:tc>
        <w:tc>
          <w:tcPr>
            <w:tcW w:type="dxa" w:w="216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No confirmed R1 break in window</w:t>
            </w:r>
          </w:p>
        </w:tc>
        <w:tc>
          <w:tcPr>
            <w:tcW w:type="dxa" w:w="12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w:t>
            </w:r>
          </w:p>
        </w:tc>
        <w:tc>
          <w:tcPr>
            <w:tcW w:type="dxa" w:w="700"/>
            <w:shd w:fill="F2F2F2" w:val="clear"/>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w:t>
            </w:r>
          </w:p>
        </w:tc>
      </w:tr>
      <w:tr>
        <w:tc>
          <w:tcPr>
            <w:tcW w:type="dxa" w:w="17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30 Jun–06 Jul</w:t>
            </w:r>
          </w:p>
        </w:tc>
        <w:tc>
          <w:tcPr>
            <w:tcW w:type="dxa" w:w="12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Trade 3C</w:t>
            </w:r>
          </w:p>
        </w:tc>
        <w:tc>
          <w:tcPr>
            <w:tcW w:type="dxa" w:w="12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SUPPRESSED</w:t>
            </w:r>
          </w:p>
        </w:tc>
        <w:tc>
          <w:tcPr>
            <w:tcW w:type="dxa" w:w="12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NO</w:t>
            </w:r>
          </w:p>
        </w:tc>
        <w:tc>
          <w:tcPr>
            <w:tcW w:type="dxa" w:w="216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No confirmed 25-day break</w:t>
            </w:r>
          </w:p>
        </w:tc>
        <w:tc>
          <w:tcPr>
            <w:tcW w:type="dxa" w:w="12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w:t>
            </w:r>
          </w:p>
        </w:tc>
        <w:tc>
          <w:tcPr>
            <w:tcW w:type="dxa" w:w="700"/>
            <w:tcMar>
              <w:top w:type="dxa" w:w="40"/>
              <w:left w:type="dxa" w:w="60"/>
              <w:bottom w:type="dxa" w:w="40"/>
              <w:right w:type="dxa" w:w="60"/>
            </w:tcMar>
            <w:vAlign w:val="center"/>
          </w:tcPr>
          <w:p>
            <w:pPr>
              <w:spacing w:after="0" w:line="252"/>
            </w:pPr>
            <w:r>
              <w:rPr>
                <w:rFonts w:ascii="Calibri" w:cs="Calibri" w:eastAsia="Calibri" w:hAnsi="Calibri"/>
                <w:sz w:val="15"/>
                <w:szCs w:val="15"/>
              </w:rPr>
              <w:t xml:space="preserve">—</w:t>
            </w:r>
          </w:p>
        </w:tc>
      </w:tr>
    </w:tbl>
    <w:p>
      <w:pPr>
        <w:pStyle w:val="Heading2"/>
        <w:spacing w:after="100" w:before="180"/>
      </w:pPr>
      <w:r>
        <w:rPr>
          <w:rFonts w:ascii="Calibri" w:cs="Calibri" w:eastAsia="Calibri" w:hAnsi="Calibri"/>
          <w:b/>
          <w:bCs/>
          <w:color w:val="9C2A5C"/>
          <w:sz w:val="23"/>
          <w:szCs w:val="23"/>
        </w:rPr>
        <w:t xml:space="preserve">21d  'What Is Working' Aggregate</w:t>
      </w:r>
    </w:p>
    <w:p>
      <w:pPr>
        <w:spacing w:after="120" w:before="0" w:line="276"/>
      </w:pPr>
      <w:r>
        <w:rPr>
          <w:rFonts w:ascii="Calibri" w:cs="Calibri" w:eastAsia="Calibri" w:hAnsi="Calibri"/>
          <w:sz w:val="20"/>
          <w:szCs w:val="20"/>
        </w:rPr>
        <w:t xml:space="preserve">Trade 1 over the last 5 sessions: triggered 5/5 times, mean R = +0.37 (closed only: +0.58 across the four resolved), hit rates TP1 / TP2 / TP3 = 60% / 20% / 0%. Trade 2 (breakout-side pivot): triggered 0/1 — no confirmed R1 break in the window. Trade 3C: suppressed (no confirmed 25-day break) — 0 triggers. Strongest performer: Trade 1 (only strategy to trigger). Weakest performer: insufficient triggers to rank Trade 2 / 3C.</w:t>
      </w:r>
    </w:p>
    <w:p>
      <w:pPr>
        <w:spacing w:after="120" w:before="0" w:line="276"/>
      </w:pPr>
      <w:r>
        <w:rPr>
          <w:rFonts w:ascii="Calibri" w:cs="Calibri" w:eastAsia="Calibri" w:hAnsi="Calibri"/>
          <w:i/>
          <w:iCs/>
          <w:sz w:val="16"/>
          <w:szCs w:val="16"/>
        </w:rPr>
        <w:t xml:space="preserve">Five-session windows are too small to support statistical claims. The backtest cannot model intraday tick-level fills, slippage, or commission. Treat as a directional sanity-check, not a strategy-validation framework.</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Gold Daily Report │ 07 July 2026 │ Senior Commodities Analyst — Precious Metals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fa84b56e8e6e1600e9df6f9c1b92ecc363ab4a1.png"/><Relationship Id="rId9" Type="http://schemas.openxmlformats.org/officeDocument/2006/relationships/image" Target="media/934a872d58fbaec3c8757fe72376dbdb9f762316.png"/><Relationship Id="rId10" Type="http://schemas.openxmlformats.org/officeDocument/2006/relationships/image" Target="media/09de3c035b2e74d773ca8a1cd2db8bca1abdbe81.png"/><Relationship Id="rId11" Type="http://schemas.openxmlformats.org/officeDocument/2006/relationships/image" Target="media/f59569517b30c5f3f497999b6a8002d219115862.png"/><Relationship Id="rId12" Type="http://schemas.openxmlformats.org/officeDocument/2006/relationships/image" Target="media/3d80352e796a54862de96ba24554bcab0626c77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2026-07-06T21:39:45.849Z</dcterms:created>
  <dcterms:modified xsi:type="dcterms:W3CDTF">2026-07-06T21:39:45.861Z</dcterms:modified>
</cp:coreProperties>
</file>

<file path=docProps/custom.xml><?xml version="1.0" encoding="utf-8"?>
<Properties xmlns="http://schemas.openxmlformats.org/officeDocument/2006/custom-properties" xmlns:vt="http://schemas.openxmlformats.org/officeDocument/2006/docPropsVTypes"/>
</file>