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a2332"/>
          <w:sz w:val="34"/>
          <w:szCs w:val="34"/>
        </w:rPr>
        <w:t xml:space="preserve">Gold Report — Daily: 8 June 2026</w:t>
      </w:r>
    </w:p>
    <w:p>
      <w:pPr>
        <w:spacing w:after="60"/>
      </w:pPr>
      <w:r>
        <w:rPr>
          <w:rFonts w:ascii="Calibri" w:cs="Calibri" w:eastAsia="Calibri" w:hAnsi="Calibri"/>
          <w:color w:val="55606b"/>
          <w:sz w:val="20"/>
          <w:szCs w:val="20"/>
        </w:rPr>
        <w:t xml:space="preserve">With reference to: Silver · USDX · S&amp;P 500 · DAX 40</w:t>
      </w:r>
    </w:p>
    <w:p>
      <w:pPr>
        <w:pBdr>
          <w:bottom w:val="single" w:color="1565c0" w:sz="8" w:space="1"/>
        </w:pBdr>
        <w:spacing w:after="160"/>
      </w:pPr>
      <w:r>
        <w:rPr>
          <w:rFonts w:ascii="Calibri" w:cs="Calibri" w:eastAsia="Calibri" w:hAnsi="Calibri"/>
        </w:rPr>
        <w:t xml:space="preserve"/>
      </w:r>
    </w:p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  <w:color w:val="1a2332"/>
          <w:sz w:val="26"/>
          <w:szCs w:val="26"/>
        </w:rPr>
        <w:t xml:space="preserve">1 · Executive Snapshot</w:t>
      </w:r>
    </w:p>
    <w:p>
      <w:pPr>
        <w:spacing w:after="120" w:before="0"/>
      </w:pPr>
      <w:r>
        <w:rPr>
          <w:rFonts w:ascii="Calibri" w:cs="Calibri" w:eastAsia="Calibri" w:hAnsi="Calibri"/>
        </w:rPr>
        <w:t xml:space="preserve">Consensus spot gold is assessed at </w:t>
      </w:r>
      <w:r>
        <w:rPr>
          <w:rFonts w:ascii="Calibri" w:cs="Calibri" w:eastAsia="Calibri" w:hAnsi="Calibri"/>
          <w:b/>
          <w:bCs/>
        </w:rPr>
        <w:t xml:space="preserve">$4,335/oz</w:t>
      </w:r>
      <w:r>
        <w:rPr>
          <w:rFonts w:ascii="Calibri" w:cs="Calibri" w:eastAsia="Calibri" w:hAnsi="Calibri"/>
        </w:rPr>
        <w:t xml:space="preserve"> (range $4,325–$4,345), confidence Medium, market tone bearish. The metal closed Friday 5 June at roughly $4,340 after a one-day collapse of about $146 (−3.3%), the sharpest single session of the year, triggered by a hot May payrolls print (172k vs ~85k expected) that doubled Fed-rate-hike pricing, a stronger dollar (USDX +0.67% to a two-month high), and a back-up in the 10-year yield to 4.54%. The three dominant drivers are the repricing of US monetary policy toward a possible hike, a haven bid into the dollar rather than gold, and unresolved Middle-East risk that has so far failed to put a floor under the metal. Short-term technical state is Trending–Bearish and the medium-term 25-session structure is also Trending–Bearish off the early-year record near $5,598; the Kaufman efficiency read is firmly negative (Trending Down). The single most important watch item is the May CPI release in the upcoming week — a hot print would confirm Friday's selloff thesis and open the $4,200 shelf, while a cool print could spark a sharp mean-reversion bounce into the $4,440 pivot resistance.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</w:rPr>
        <w:t xml:space="preserve">Strategy stance (see §21): </w:t>
      </w:r>
      <w:r>
        <w:rPr>
          <w:rFonts w:ascii="Calibri" w:cs="Calibri" w:eastAsia="Calibri" w:hAnsi="Calibri"/>
        </w:rPr>
        <w:t xml:space="preserve">the direction score is net SHORT, and a daily-directional short, a regime-aware pivot trade and a momentum-continuation trade are all live for the 8 June session, with entries anchored to the 8 June daily open.</w:t>
      </w:r>
    </w:p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  <w:color w:val="1a2332"/>
          <w:sz w:val="26"/>
          <w:szCs w:val="26"/>
        </w:rPr>
        <w:t xml:space="preserve">2 · Market Definition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1a233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1a233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Asset</w:t>
            </w:r>
          </w:p>
        </w:tc>
        <w:tc>
          <w:tcPr>
            <w:tcW w:type="dxa" w:w="696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Gold — XAU/USD spot (GC=F front-month for corroboration)</w:t>
            </w:r>
          </w:p>
        </w:tc>
      </w:tr>
      <w:tr>
        <w:tc>
          <w:tcPr>
            <w:tcW w:type="dxa" w:w="24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Specification</w:t>
            </w:r>
          </w:p>
        </w:tc>
        <w:tc>
          <w:tcPr>
            <w:tcW w:type="dxa" w:w="696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London Good Delivery bar, 99.99% pure, 400-oz spot quote</w:t>
            </w:r>
          </w:p>
        </w:tc>
      </w:tr>
      <w:tr>
        <w:tc>
          <w:tcPr>
            <w:tcW w:type="dxa" w:w="24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Scope</w:t>
            </w:r>
          </w:p>
        </w:tc>
        <w:tc>
          <w:tcPr>
            <w:tcW w:type="dxa" w:w="696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Global · 24-hour OTC market</w:t>
            </w:r>
          </w:p>
        </w:tc>
      </w:tr>
      <w:tr>
        <w:tc>
          <w:tcPr>
            <w:tcW w:type="dxa" w:w="24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Delivery / price basis</w:t>
            </w:r>
          </w:p>
        </w:tc>
        <w:tc>
          <w:tcPr>
            <w:tcW w:type="dxa" w:w="696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OTC London spot, T+2 settlement · immediate-settlement spot (loco London)</w:t>
            </w:r>
          </w:p>
        </w:tc>
      </w:tr>
      <w:tr>
        <w:tc>
          <w:tcPr>
            <w:tcW w:type="dxa" w:w="24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Unit / currency</w:t>
            </w:r>
          </w:p>
        </w:tc>
        <w:tc>
          <w:tcPr>
            <w:tcW w:type="dxa" w:w="696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USD per troy ounce · USD</w:t>
            </w:r>
          </w:p>
        </w:tc>
      </w:tr>
      <w:tr>
        <w:tc>
          <w:tcPr>
            <w:tcW w:type="dxa" w:w="24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As-of date</w:t>
            </w:r>
          </w:p>
        </w:tc>
        <w:tc>
          <w:tcPr>
            <w:tcW w:type="dxa" w:w="696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 June 2026 (Europe/London)</w:t>
            </w:r>
          </w:p>
        </w:tc>
      </w:tr>
      <w:tr>
        <w:tc>
          <w:tcPr>
            <w:tcW w:type="dxa" w:w="24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Lookback window</w:t>
            </w:r>
          </w:p>
        </w:tc>
        <w:tc>
          <w:tcPr>
            <w:tcW w:type="dxa" w:w="696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 trading sessions (1–5 June 2026)</w:t>
            </w:r>
          </w:p>
        </w:tc>
      </w:tr>
      <w:tr>
        <w:tc>
          <w:tcPr>
            <w:tcW w:type="dxa" w:w="24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Secondary asset</w:t>
            </w:r>
          </w:p>
        </w:tc>
        <w:tc>
          <w:tcPr>
            <w:tcW w:type="dxa" w:w="696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Silver (XAG/USD spot)</w:t>
            </w:r>
          </w:p>
        </w:tc>
      </w:tr>
    </w:tbl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  <w:color w:val="1a2332"/>
          <w:sz w:val="26"/>
          <w:szCs w:val="26"/>
        </w:rPr>
        <w:t xml:space="preserve">3 · Consensus Price Call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200"/>
        <w:gridCol w:w="2360"/>
        <w:gridCol w:w="1550"/>
        <w:gridCol w:w="1550"/>
      </w:tblGrid>
      <w:tr>
        <w:trPr>
          <w:tblHeader/>
        </w:trPr>
        <w:tc>
          <w:tcPr>
            <w:tcW w:type="dxa" w:w="17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1a233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Consensus</w:t>
            </w:r>
          </w:p>
        </w:tc>
        <w:tc>
          <w:tcPr>
            <w:tcW w:type="dxa" w:w="22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1a233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Range</w:t>
            </w:r>
          </w:p>
        </w:tc>
        <w:tc>
          <w:tcPr>
            <w:tcW w:type="dxa" w:w="236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1a233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Basis</w:t>
            </w:r>
          </w:p>
        </w:tc>
        <w:tc>
          <w:tcPr>
            <w:tcW w:type="dxa" w:w="15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1a233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Confidence</w:t>
            </w:r>
          </w:p>
        </w:tc>
        <w:tc>
          <w:tcPr>
            <w:tcW w:type="dxa" w:w="15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1a233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Tone</w:t>
            </w:r>
          </w:p>
        </w:tc>
      </w:tr>
      <w:tr>
        <w:tc>
          <w:tcPr>
            <w:tcW w:type="dxa" w:w="17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$4,335/oz</w:t>
            </w:r>
          </w:p>
        </w:tc>
        <w:tc>
          <w:tcPr>
            <w:tcW w:type="dxa" w:w="22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$4,325 – $4,345</w:t>
            </w:r>
          </w:p>
        </w:tc>
        <w:tc>
          <w:tcPr>
            <w:tcW w:type="dxa" w:w="236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Spot, loco London</w:t>
            </w:r>
          </w:p>
        </w:tc>
        <w:tc>
          <w:tcPr>
            <w:tcW w:type="dxa" w:w="15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Medium</w:t>
            </w:r>
          </w:p>
        </w:tc>
        <w:tc>
          <w:tcPr>
            <w:tcW w:type="dxa" w:w="15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Bearish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i/>
          <w:iCs/>
          <w:color w:val="55606b"/>
          <w:sz w:val="16"/>
          <w:szCs w:val="16"/>
        </w:rPr>
        <w:t xml:space="preserve">Rationale: weighted-median of six independent reads taken around the 5 June close and the 7 June indicative spot quote. Gold spot does not trade 6–7 June; the call is the most defensible level carried into the 8 June open. Confidence is Medium — not High — because spot prints span a wide $4,328–$4,366 band across providers in the immediate aftermath of the payrolls shock.</w:t>
      </w:r>
    </w:p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  <w:color w:val="1a2332"/>
          <w:sz w:val="26"/>
          <w:szCs w:val="26"/>
        </w:rPr>
        <w:t xml:space="preserve">4 · Price Evidence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50"/>
        <w:gridCol w:w="1250"/>
        <w:gridCol w:w="1500"/>
        <w:gridCol w:w="1100"/>
        <w:gridCol w:w="900"/>
        <w:gridCol w:w="1860"/>
      </w:tblGrid>
      <w:tr>
        <w:trPr>
          <w:tblHeader/>
        </w:trPr>
        <w:tc>
          <w:tcPr>
            <w:tcW w:type="dxa" w:w="15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1a233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  <w:tc>
          <w:tcPr>
            <w:tcW w:type="dxa" w:w="12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1a233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Date/Time</w:t>
            </w:r>
          </w:p>
        </w:tc>
        <w:tc>
          <w:tcPr>
            <w:tcW w:type="dxa" w:w="12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1a233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Raw quote</w:t>
            </w:r>
          </w:p>
        </w:tc>
        <w:tc>
          <w:tcPr>
            <w:tcW w:type="dxa" w:w="15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1a233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Normalized (USD/oz)</w:t>
            </w:r>
          </w:p>
        </w:tc>
        <w:tc>
          <w:tcPr>
            <w:tcW w:type="dxa" w:w="11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1a233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Basis</w:t>
            </w:r>
          </w:p>
        </w:tc>
        <w:tc>
          <w:tcPr>
            <w:tcW w:type="dxa" w:w="9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1a233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Class</w:t>
            </w:r>
          </w:p>
        </w:tc>
        <w:tc>
          <w:tcPr>
            <w:tcW w:type="dxa" w:w="186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1a233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15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TradingEconomics</w:t>
            </w:r>
          </w:p>
        </w:tc>
        <w:tc>
          <w:tcPr>
            <w:tcW w:type="dxa" w:w="12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 Jun close</w:t>
            </w:r>
          </w:p>
        </w:tc>
        <w:tc>
          <w:tcPr>
            <w:tcW w:type="dxa" w:w="12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4,331</w:t>
            </w:r>
          </w:p>
        </w:tc>
        <w:tc>
          <w:tcPr>
            <w:tcW w:type="dxa" w:w="15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4,331</w:t>
            </w:r>
          </w:p>
        </w:tc>
        <w:tc>
          <w:tcPr>
            <w:tcW w:type="dxa" w:w="11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Spot CFD</w:t>
            </w:r>
          </w:p>
        </w:tc>
        <w:tc>
          <w:tcPr>
            <w:tcW w:type="dxa" w:w="9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Core</w:t>
            </w:r>
          </w:p>
        </w:tc>
        <w:tc>
          <w:tcPr>
            <w:tcW w:type="dxa" w:w="186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Lowest since Mar 2026</w:t>
            </w:r>
          </w:p>
        </w:tc>
      </w:tr>
      <w:tr>
        <w:tc>
          <w:tcPr>
            <w:tcW w:type="dxa" w:w="15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TexMetals mkt report</w:t>
            </w:r>
          </w:p>
        </w:tc>
        <w:tc>
          <w:tcPr>
            <w:tcW w:type="dxa" w:w="12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 Jun close</w:t>
            </w:r>
          </w:p>
        </w:tc>
        <w:tc>
          <w:tcPr>
            <w:tcW w:type="dxa" w:w="12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$4,339.61</w:t>
            </w:r>
          </w:p>
        </w:tc>
        <w:tc>
          <w:tcPr>
            <w:tcW w:type="dxa" w:w="15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4,339.61</w:t>
            </w:r>
          </w:p>
        </w:tc>
        <w:tc>
          <w:tcPr>
            <w:tcW w:type="dxa" w:w="11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Spot</w:t>
            </w:r>
          </w:p>
        </w:tc>
        <w:tc>
          <w:tcPr>
            <w:tcW w:type="dxa" w:w="9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Core</w:t>
            </w:r>
          </w:p>
        </w:tc>
        <w:tc>
          <w:tcPr>
            <w:tcW w:type="dxa" w:w="186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−$146.50 / −3.27%</w:t>
            </w:r>
          </w:p>
        </w:tc>
      </w:tr>
      <w:tr>
        <w:tc>
          <w:tcPr>
            <w:tcW w:type="dxa" w:w="15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Investing.com</w:t>
            </w:r>
          </w:p>
        </w:tc>
        <w:tc>
          <w:tcPr>
            <w:tcW w:type="dxa" w:w="12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 Jun</w:t>
            </w:r>
          </w:p>
        </w:tc>
        <w:tc>
          <w:tcPr>
            <w:tcW w:type="dxa" w:w="12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4,329.33</w:t>
            </w:r>
          </w:p>
        </w:tc>
        <w:tc>
          <w:tcPr>
            <w:tcW w:type="dxa" w:w="15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4,329.33</w:t>
            </w:r>
          </w:p>
        </w:tc>
        <w:tc>
          <w:tcPr>
            <w:tcW w:type="dxa" w:w="11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Spot</w:t>
            </w:r>
          </w:p>
        </w:tc>
        <w:tc>
          <w:tcPr>
            <w:tcW w:type="dxa" w:w="9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Core</w:t>
            </w:r>
          </w:p>
        </w:tc>
        <w:tc>
          <w:tcPr>
            <w:tcW w:type="dxa" w:w="186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Prev close 4,475.41</w:t>
            </w:r>
          </w:p>
        </w:tc>
      </w:tr>
      <w:tr>
        <w:tc>
          <w:tcPr>
            <w:tcW w:type="dxa" w:w="15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LiteFinance</w:t>
            </w:r>
          </w:p>
        </w:tc>
        <w:tc>
          <w:tcPr>
            <w:tcW w:type="dxa" w:w="12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 Jun 07:00</w:t>
            </w:r>
          </w:p>
        </w:tc>
        <w:tc>
          <w:tcPr>
            <w:tcW w:type="dxa" w:w="12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$4,328.40</w:t>
            </w:r>
          </w:p>
        </w:tc>
        <w:tc>
          <w:tcPr>
            <w:tcW w:type="dxa" w:w="15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4,328.40</w:t>
            </w:r>
          </w:p>
        </w:tc>
        <w:tc>
          <w:tcPr>
            <w:tcW w:type="dxa" w:w="11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Spot</w:t>
            </w:r>
          </w:p>
        </w:tc>
        <w:tc>
          <w:tcPr>
            <w:tcW w:type="dxa" w:w="9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Core</w:t>
            </w:r>
          </w:p>
        </w:tc>
        <w:tc>
          <w:tcPr>
            <w:tcW w:type="dxa" w:w="186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Indicative weekend quote</w:t>
            </w:r>
          </w:p>
        </w:tc>
      </w:tr>
      <w:tr>
        <w:tc>
          <w:tcPr>
            <w:tcW w:type="dxa" w:w="15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forex.com analysis</w:t>
            </w:r>
          </w:p>
        </w:tc>
        <w:tc>
          <w:tcPr>
            <w:tcW w:type="dxa" w:w="12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 Jun</w:t>
            </w:r>
          </w:p>
        </w:tc>
        <w:tc>
          <w:tcPr>
            <w:tcW w:type="dxa" w:w="12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~4,340</w:t>
            </w:r>
          </w:p>
        </w:tc>
        <w:tc>
          <w:tcPr>
            <w:tcW w:type="dxa" w:w="15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4,340</w:t>
            </w:r>
          </w:p>
        </w:tc>
        <w:tc>
          <w:tcPr>
            <w:tcW w:type="dxa" w:w="11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Spot</w:t>
            </w:r>
          </w:p>
        </w:tc>
        <w:tc>
          <w:tcPr>
            <w:tcW w:type="dxa" w:w="9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Direct.</w:t>
            </w:r>
          </w:p>
        </w:tc>
        <w:tc>
          <w:tcPr>
            <w:tcW w:type="dxa" w:w="186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Yearly-open support test</w:t>
            </w:r>
          </w:p>
        </w:tc>
      </w:tr>
      <w:tr>
        <w:tc>
          <w:tcPr>
            <w:tcW w:type="dxa" w:w="15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Unum Capital</w:t>
            </w:r>
          </w:p>
        </w:tc>
        <w:tc>
          <w:tcPr>
            <w:tcW w:type="dxa" w:w="12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 Jun</w:t>
            </w:r>
          </w:p>
        </w:tc>
        <w:tc>
          <w:tcPr>
            <w:tcW w:type="dxa" w:w="12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$4,464.76*</w:t>
            </w:r>
          </w:p>
        </w:tc>
        <w:tc>
          <w:tcPr>
            <w:tcW w:type="dxa" w:w="15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Spot</w:t>
            </w:r>
          </w:p>
        </w:tc>
        <w:tc>
          <w:tcPr>
            <w:tcW w:type="dxa" w:w="9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Excl.</w:t>
            </w:r>
          </w:p>
        </w:tc>
        <w:tc>
          <w:tcPr>
            <w:tcW w:type="dxa" w:w="186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Stale/divergent — excluded</w:t>
            </w:r>
          </w:p>
        </w:tc>
      </w:tr>
      <w:tr>
        <w:tc>
          <w:tcPr>
            <w:tcW w:type="dxa" w:w="15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World Gold Council</w:t>
            </w:r>
          </w:p>
        </w:tc>
        <w:tc>
          <w:tcPr>
            <w:tcW w:type="dxa" w:w="12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 Jun (LBMA)</w:t>
            </w:r>
          </w:p>
        </w:tc>
        <w:tc>
          <w:tcPr>
            <w:tcW w:type="dxa" w:w="12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wkly upd</w:t>
            </w:r>
          </w:p>
        </w:tc>
        <w:tc>
          <w:tcPr>
            <w:tcW w:type="dxa" w:w="15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~4,366</w:t>
            </w:r>
          </w:p>
        </w:tc>
        <w:tc>
          <w:tcPr>
            <w:tcW w:type="dxa" w:w="11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LBMA ref</w:t>
            </w:r>
          </w:p>
        </w:tc>
        <w:tc>
          <w:tcPr>
            <w:tcW w:type="dxa" w:w="9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Direct.</w:t>
            </w:r>
          </w:p>
        </w:tc>
        <w:tc>
          <w:tcPr>
            <w:tcW w:type="dxa" w:w="186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Updated weekly, T-lag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i/>
          <w:iCs/>
          <w:color w:val="55606b"/>
          <w:sz w:val="16"/>
          <w:szCs w:val="16"/>
        </w:rPr>
        <w:t xml:space="preserve">*Unum Capital print ($4,464.76) diverges materially from the cluster and is excluded as stale per the outlier-screening rule. The five core/directional reads cluster at $4,328–$4,366.</w:t>
      </w:r>
    </w:p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  <w:color w:val="1a2332"/>
          <w:sz w:val="26"/>
          <w:szCs w:val="26"/>
        </w:rPr>
        <w:t xml:space="preserve">5 · Consensus Build Explanation</w:t>
      </w:r>
    </w:p>
    <w:p>
      <w:pPr>
        <w:spacing w:after="120" w:before="0"/>
      </w:pPr>
      <w:r>
        <w:rPr>
          <w:rFonts w:ascii="Calibri" w:cs="Calibri" w:eastAsia="Calibri" w:hAnsi="Calibri"/>
        </w:rPr>
        <w:t xml:space="preserve">All observations are already quoted in USD/oz on a spot loco-London basis, so no FX, freight or grade conversion is required. The weighted median favours the exchange- and reporting-agency reads taken at or immediately after the 5 June close (TradingEconomics, TexMetals, Investing.com), which agree within a $10 band around $4,332–$4,340. The 7 June weekend indicative quote ($4,328.40) and the forex.com level (~$4,340) corroborate that cluster. The single divergent print ($4,464.76) was down-weighted to zero as a stale/mismatched quote. The resulting $4,335 figure is the most defensible level: it sits at the centre of the corroborated cluster and is consistent with a session that settled near the lower third of a violently expanded daily range ($4,311.86–$4,481.65).</w:t>
      </w:r>
    </w:p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  <w:color w:val="1a2332"/>
          <w:sz w:val="26"/>
          <w:szCs w:val="26"/>
        </w:rPr>
        <w:t xml:space="preserve">6 · Validated OHLC + RSI2 Table (5-Day)</w:t>
      </w:r>
    </w:p>
    <w:p>
      <w:pPr>
        <w:pStyle w:val="Heading2"/>
        <w:spacing w:after="100" w:before="180"/>
      </w:pPr>
      <w:r>
        <w:rPr>
          <w:rFonts w:ascii="Calibri" w:cs="Calibri" w:eastAsia="Calibri" w:hAnsi="Calibri"/>
          <w:b/>
          <w:bCs/>
          <w:color w:val="1a2332"/>
          <w:sz w:val="22"/>
          <w:szCs w:val="22"/>
        </w:rPr>
        <w:t xml:space="preserve">Gold (XAU/USD spot) — USD/oz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950"/>
        <w:gridCol w:w="950"/>
        <w:gridCol w:w="950"/>
        <w:gridCol w:w="950"/>
        <w:gridCol w:w="650"/>
        <w:gridCol w:w="950"/>
        <w:gridCol w:w="950"/>
        <w:gridCol w:w="950"/>
        <w:gridCol w:w="1000"/>
      </w:tblGrid>
      <w:tr>
        <w:trPr>
          <w:tblHeader/>
        </w:trPr>
        <w:tc>
          <w:tcPr>
            <w:tcW w:type="dxa" w:w="11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1a233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9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1a233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Open</w:t>
            </w:r>
          </w:p>
        </w:tc>
        <w:tc>
          <w:tcPr>
            <w:tcW w:type="dxa" w:w="9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1a233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9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1a233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Low</w:t>
            </w:r>
          </w:p>
        </w:tc>
        <w:tc>
          <w:tcPr>
            <w:tcW w:type="dxa" w:w="9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1a233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Close</w:t>
            </w:r>
          </w:p>
        </w:tc>
        <w:tc>
          <w:tcPr>
            <w:tcW w:type="dxa" w:w="6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1a233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RSI2</w:t>
            </w:r>
          </w:p>
        </w:tc>
        <w:tc>
          <w:tcPr>
            <w:tcW w:type="dxa" w:w="9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1a233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Trend</w:t>
            </w:r>
          </w:p>
        </w:tc>
        <w:tc>
          <w:tcPr>
            <w:tcW w:type="dxa" w:w="9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1a233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Src A</w:t>
            </w:r>
          </w:p>
        </w:tc>
        <w:tc>
          <w:tcPr>
            <w:tcW w:type="dxa" w:w="9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1a233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Src B</w:t>
            </w:r>
          </w:p>
        </w:tc>
        <w:tc>
          <w:tcPr>
            <w:tcW w:type="dxa" w:w="10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1a233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Validation</w:t>
            </w:r>
          </w:p>
        </w:tc>
      </w:tr>
      <w:tr>
        <w:tc>
          <w:tcPr>
            <w:tcW w:type="dxa" w:w="11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Mon 1 Jun</w:t>
            </w:r>
          </w:p>
        </w:tc>
        <w:tc>
          <w:tcPr>
            <w:tcW w:type="dxa" w:w="9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4,561.0</w:t>
            </w:r>
          </w:p>
        </w:tc>
        <w:tc>
          <w:tcPr>
            <w:tcW w:type="dxa" w:w="9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4,582.5</w:t>
            </w:r>
          </w:p>
        </w:tc>
        <w:tc>
          <w:tcPr>
            <w:tcW w:type="dxa" w:w="9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4,536.0</w:t>
            </w:r>
          </w:p>
        </w:tc>
        <w:tc>
          <w:tcPr>
            <w:tcW w:type="dxa" w:w="9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4,549.0</w:t>
            </w:r>
          </w:p>
        </w:tc>
        <w:tc>
          <w:tcPr>
            <w:tcW w:type="dxa" w:w="6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9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Bearish</w:t>
            </w:r>
          </w:p>
        </w:tc>
        <w:tc>
          <w:tcPr>
            <w:tcW w:type="dxa" w:w="9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Investing</w:t>
            </w:r>
          </w:p>
        </w:tc>
        <w:tc>
          <w:tcPr>
            <w:tcW w:type="dxa" w:w="9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TradingEcon</w:t>
            </w:r>
          </w:p>
        </w:tc>
        <w:tc>
          <w:tcPr>
            <w:tcW w:type="dxa" w:w="10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CORROB Δ&lt;2.0</w:t>
            </w:r>
          </w:p>
        </w:tc>
      </w:tr>
      <w:tr>
        <w:tc>
          <w:tcPr>
            <w:tcW w:type="dxa" w:w="11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Tue 2 Jun</w:t>
            </w:r>
          </w:p>
        </w:tc>
        <w:tc>
          <w:tcPr>
            <w:tcW w:type="dxa" w:w="9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4,548.0</w:t>
            </w:r>
          </w:p>
        </w:tc>
        <w:tc>
          <w:tcPr>
            <w:tcW w:type="dxa" w:w="9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4,566.0</w:t>
            </w:r>
          </w:p>
        </w:tc>
        <w:tc>
          <w:tcPr>
            <w:tcW w:type="dxa" w:w="9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4,505.0</w:t>
            </w:r>
          </w:p>
        </w:tc>
        <w:tc>
          <w:tcPr>
            <w:tcW w:type="dxa" w:w="9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4,517.0</w:t>
            </w:r>
          </w:p>
        </w:tc>
        <w:tc>
          <w:tcPr>
            <w:tcW w:type="dxa" w:w="6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9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Bearish</w:t>
            </w:r>
          </w:p>
        </w:tc>
        <w:tc>
          <w:tcPr>
            <w:tcW w:type="dxa" w:w="9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Investing</w:t>
            </w:r>
          </w:p>
        </w:tc>
        <w:tc>
          <w:tcPr>
            <w:tcW w:type="dxa" w:w="9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Barchart</w:t>
            </w:r>
          </w:p>
        </w:tc>
        <w:tc>
          <w:tcPr>
            <w:tcW w:type="dxa" w:w="10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CORROB Δ&lt;2.5</w:t>
            </w:r>
          </w:p>
        </w:tc>
      </w:tr>
      <w:tr>
        <w:tc>
          <w:tcPr>
            <w:tcW w:type="dxa" w:w="11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Wed 3 Jun</w:t>
            </w:r>
          </w:p>
        </w:tc>
        <w:tc>
          <w:tcPr>
            <w:tcW w:type="dxa" w:w="9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4,516.0</w:t>
            </w:r>
          </w:p>
        </w:tc>
        <w:tc>
          <w:tcPr>
            <w:tcW w:type="dxa" w:w="9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4,541.0</w:t>
            </w:r>
          </w:p>
        </w:tc>
        <w:tc>
          <w:tcPr>
            <w:tcW w:type="dxa" w:w="9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4,496.0</w:t>
            </w:r>
          </w:p>
        </w:tc>
        <w:tc>
          <w:tcPr>
            <w:tcW w:type="dxa" w:w="9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4,528.0</w:t>
            </w:r>
          </w:p>
        </w:tc>
        <w:tc>
          <w:tcPr>
            <w:tcW w:type="dxa" w:w="6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26</w:t>
            </w:r>
          </w:p>
        </w:tc>
        <w:tc>
          <w:tcPr>
            <w:tcW w:type="dxa" w:w="9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Neutral</w:t>
            </w:r>
          </w:p>
        </w:tc>
        <w:tc>
          <w:tcPr>
            <w:tcW w:type="dxa" w:w="9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Investing</w:t>
            </w:r>
          </w:p>
        </w:tc>
        <w:tc>
          <w:tcPr>
            <w:tcW w:type="dxa" w:w="9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Stooq</w:t>
            </w:r>
          </w:p>
        </w:tc>
        <w:tc>
          <w:tcPr>
            <w:tcW w:type="dxa" w:w="10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CORROB Δ&lt;3.0</w:t>
            </w:r>
          </w:p>
        </w:tc>
      </w:tr>
      <w:tr>
        <w:tc>
          <w:tcPr>
            <w:tcW w:type="dxa" w:w="11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Thu 4 Jun</w:t>
            </w:r>
          </w:p>
        </w:tc>
        <w:tc>
          <w:tcPr>
            <w:tcW w:type="dxa" w:w="9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4,505.0</w:t>
            </w:r>
          </w:p>
        </w:tc>
        <w:tc>
          <w:tcPr>
            <w:tcW w:type="dxa" w:w="9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4,533.0</w:t>
            </w:r>
          </w:p>
        </w:tc>
        <w:tc>
          <w:tcPr>
            <w:tcW w:type="dxa" w:w="9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4,470.0</w:t>
            </w:r>
          </w:p>
        </w:tc>
        <w:tc>
          <w:tcPr>
            <w:tcW w:type="dxa" w:w="9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4,475.4</w:t>
            </w:r>
          </w:p>
        </w:tc>
        <w:tc>
          <w:tcPr>
            <w:tcW w:type="dxa" w:w="6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17</w:t>
            </w:r>
          </w:p>
        </w:tc>
        <w:tc>
          <w:tcPr>
            <w:tcW w:type="dxa" w:w="9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Bearish</w:t>
            </w:r>
          </w:p>
        </w:tc>
        <w:tc>
          <w:tcPr>
            <w:tcW w:type="dxa" w:w="9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Investing</w:t>
            </w:r>
          </w:p>
        </w:tc>
        <w:tc>
          <w:tcPr>
            <w:tcW w:type="dxa" w:w="9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TradingEcon</w:t>
            </w:r>
          </w:p>
        </w:tc>
        <w:tc>
          <w:tcPr>
            <w:tcW w:type="dxa" w:w="10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CORROB Δ&lt;2.0</w:t>
            </w:r>
          </w:p>
        </w:tc>
      </w:tr>
      <w:tr>
        <w:tc>
          <w:tcPr>
            <w:tcW w:type="dxa" w:w="11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Fri 5 Jun</w:t>
            </w:r>
          </w:p>
        </w:tc>
        <w:tc>
          <w:tcPr>
            <w:tcW w:type="dxa" w:w="9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4,476.2</w:t>
            </w:r>
          </w:p>
        </w:tc>
        <w:tc>
          <w:tcPr>
            <w:tcW w:type="dxa" w:w="9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4,481.6</w:t>
            </w:r>
          </w:p>
        </w:tc>
        <w:tc>
          <w:tcPr>
            <w:tcW w:type="dxa" w:w="9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4,311.9</w:t>
            </w:r>
          </w:p>
        </w:tc>
        <w:tc>
          <w:tcPr>
            <w:tcW w:type="dxa" w:w="9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4,339.6</w:t>
            </w:r>
          </w:p>
        </w:tc>
        <w:tc>
          <w:tcPr>
            <w:tcW w:type="dxa" w:w="6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9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Bearish</w:t>
            </w:r>
          </w:p>
        </w:tc>
        <w:tc>
          <w:tcPr>
            <w:tcW w:type="dxa" w:w="9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TexMetals</w:t>
            </w:r>
          </w:p>
        </w:tc>
        <w:tc>
          <w:tcPr>
            <w:tcW w:type="dxa" w:w="9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TradingEcon</w:t>
            </w:r>
          </w:p>
        </w:tc>
        <w:tc>
          <w:tcPr>
            <w:tcW w:type="dxa" w:w="10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CORROB Δ~8.0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i/>
          <w:iCs/>
          <w:color w:val="55606b"/>
          <w:sz w:val="16"/>
          <w:szCs w:val="16"/>
        </w:rPr>
        <w:t xml:space="preserve">Close values bold in source; RSI2 fixed at period 2 from the validated close sequence. Friday's two-source delta (~$8) is wider than the routine sub-$3 deltas because of provider timing differences during the payrolls-driven spike; both sources remain inside the documented commodity tolerance and the row is accepted as corroborated.</w:t>
      </w:r>
    </w:p>
    <w:p>
      <w:pPr>
        <w:pStyle w:val="Heading2"/>
        <w:spacing w:after="100" w:before="180"/>
      </w:pPr>
      <w:r>
        <w:rPr>
          <w:rFonts w:ascii="Calibri" w:cs="Calibri" w:eastAsia="Calibri" w:hAnsi="Calibri"/>
          <w:b/>
          <w:bCs/>
          <w:color w:val="1a2332"/>
          <w:sz w:val="22"/>
          <w:szCs w:val="22"/>
        </w:rPr>
        <w:t xml:space="preserve">Silver (XAG/USD spot) — condensed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2400"/>
        <w:gridCol w:w="3760"/>
      </w:tblGrid>
      <w:tr>
        <w:trPr>
          <w:tblHeader/>
        </w:trPr>
        <w:tc>
          <w:tcPr>
            <w:tcW w:type="dxa" w:w="15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1a233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17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1a233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Close</w:t>
            </w:r>
          </w:p>
        </w:tc>
        <w:tc>
          <w:tcPr>
            <w:tcW w:type="dxa" w:w="24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1a233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Range</w:t>
            </w:r>
          </w:p>
        </w:tc>
        <w:tc>
          <w:tcPr>
            <w:tcW w:type="dxa" w:w="376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1a233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Note</w:t>
            </w:r>
          </w:p>
        </w:tc>
      </w:tr>
      <w:tr>
        <w:tc>
          <w:tcPr>
            <w:tcW w:type="dxa" w:w="15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Fri 5 Jun</w:t>
            </w:r>
          </w:p>
        </w:tc>
        <w:tc>
          <w:tcPr>
            <w:tcW w:type="dxa" w:w="17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$68.57</w:t>
            </w:r>
          </w:p>
        </w:tc>
        <w:tc>
          <w:tcPr>
            <w:tcW w:type="dxa" w:w="24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$67.57 – $74.13</w:t>
            </w:r>
          </w:p>
        </w:tc>
        <w:tc>
          <w:tcPr>
            <w:tcW w:type="dxa" w:w="376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−7.17% / −$5.26; led complex lower</w:t>
            </w:r>
          </w:p>
        </w:tc>
      </w:tr>
    </w:tbl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  <w:color w:val="1a2332"/>
          <w:sz w:val="26"/>
          <w:szCs w:val="26"/>
        </w:rPr>
        <w:t xml:space="preserve">7 · Charts</w:t>
      </w:r>
    </w:p>
    <w:p>
      <w:pPr>
        <w:pStyle w:val="Heading2"/>
        <w:spacing w:after="100" w:before="180"/>
      </w:pPr>
      <w:r>
        <w:rPr>
          <w:rFonts w:ascii="Calibri" w:cs="Calibri" w:eastAsia="Calibri" w:hAnsi="Calibri"/>
          <w:b/>
          <w:bCs/>
          <w:color w:val="1a2332"/>
          <w:sz w:val="22"/>
          <w:szCs w:val="22"/>
        </w:rPr>
        <w:t xml:space="preserve">Chart 1 — 5-Session Candlestick</w:t>
      </w:r>
    </w:p>
    <w:p>
      <w:pPr>
        <w:spacing w:after="160" w:before="8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chart" descr="chart" title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180"/>
      </w:pPr>
      <w:r>
        <w:rPr>
          <w:rFonts w:ascii="Calibri" w:cs="Calibri" w:eastAsia="Calibri" w:hAnsi="Calibri"/>
          <w:b/>
          <w:bCs/>
          <w:color w:val="1a2332"/>
          <w:sz w:val="22"/>
          <w:szCs w:val="22"/>
        </w:rPr>
        <w:t xml:space="preserve">Chart 2 — Distance From Open</w:t>
      </w:r>
    </w:p>
    <w:p>
      <w:pPr>
        <w:spacing w:after="160" w:before="8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chart" descr="chart" title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180"/>
      </w:pPr>
      <w:r>
        <w:rPr>
          <w:rFonts w:ascii="Calibri" w:cs="Calibri" w:eastAsia="Calibri" w:hAnsi="Calibri"/>
          <w:b/>
          <w:bCs/>
          <w:color w:val="1a2332"/>
          <w:sz w:val="22"/>
          <w:szCs w:val="22"/>
        </w:rPr>
        <w:t xml:space="preserve">Chart 3 — 25-Session Structure</w:t>
      </w:r>
    </w:p>
    <w:p>
      <w:pPr>
        <w:spacing w:after="160" w:before="8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chart" descr="chart" title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180"/>
      </w:pPr>
      <w:r>
        <w:rPr>
          <w:rFonts w:ascii="Calibri" w:cs="Calibri" w:eastAsia="Calibri" w:hAnsi="Calibri"/>
          <w:b/>
          <w:bCs/>
          <w:color w:val="1a2332"/>
          <w:sz w:val="22"/>
          <w:szCs w:val="22"/>
        </w:rPr>
        <w:t xml:space="preserve">Chart 4 — Comparative Volatility (VOLator)</w:t>
      </w:r>
    </w:p>
    <w:p>
      <w:pPr>
        <w:spacing w:after="160" w:before="80"/>
        <w:jc w:val="center"/>
      </w:pPr>
      <w:r>
        <w:drawing>
          <wp:inline distT="0" distB="0" distL="0" distR="0">
            <wp:extent cx="5715000" cy="3171825"/>
            <wp:effectExtent t="0" r="0" b="0" l="0"/>
            <wp:docPr id="1" name="chart" descr="chart" title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180"/>
      </w:pPr>
      <w:r>
        <w:rPr>
          <w:rFonts w:ascii="Calibri" w:cs="Calibri" w:eastAsia="Calibri" w:hAnsi="Calibri"/>
          <w:b/>
          <w:bCs/>
          <w:color w:val="1a2332"/>
          <w:sz w:val="22"/>
          <w:szCs w:val="22"/>
        </w:rPr>
        <w:t xml:space="preserve">Chart 5 — Pivot Structure</w:t>
      </w:r>
    </w:p>
    <w:p>
      <w:pPr>
        <w:spacing w:after="160" w:before="80"/>
        <w:jc w:val="center"/>
      </w:pPr>
      <w:r>
        <w:drawing>
          <wp:inline distT="0" distB="0" distL="0" distR="0">
            <wp:extent cx="5486400" cy="3962400"/>
            <wp:effectExtent t="0" r="0" b="0" l="0"/>
            <wp:docPr id="1" name="chart" descr="chart" title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  <w:color w:val="1a2332"/>
          <w:sz w:val="26"/>
          <w:szCs w:val="26"/>
        </w:rPr>
        <w:t xml:space="preserve">8 · Short-Term Technical Analysis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Mon 1 Jun (see §6): </w:t>
      </w:r>
      <w:r>
        <w:rPr>
          <w:rFonts w:ascii="Calibri" w:cs="Calibri" w:eastAsia="Calibri" w:hAnsi="Calibri"/>
        </w:rPr>
        <w:t xml:space="preserve">bearish body, close in the lower third (28% of range), RSI2 pinned at 0 — sellers in control from the open.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Tue 2 Jun: </w:t>
      </w:r>
      <w:r>
        <w:rPr>
          <w:rFonts w:ascii="Calibri" w:cs="Calibri" w:eastAsia="Calibri" w:hAnsi="Calibri"/>
        </w:rPr>
        <w:t xml:space="preserve">continuation lower, close at 20% of range, RSI2 still 0 — orderly distribution, no demand response.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Wed 3 Jun: </w:t>
      </w:r>
      <w:r>
        <w:rPr>
          <w:rFonts w:ascii="Calibri" w:cs="Calibri" w:eastAsia="Calibri" w:hAnsi="Calibri"/>
        </w:rPr>
        <w:t xml:space="preserve">a single counter-trend up-close at 71% of range lifted RSI2 to ~26; a relief bounce inside the downtrend, not a reversal.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Thu 4 Jun: </w:t>
      </w:r>
      <w:r>
        <w:rPr>
          <w:rFonts w:ascii="Calibri" w:cs="Calibri" w:eastAsia="Calibri" w:hAnsi="Calibri"/>
        </w:rPr>
        <w:t xml:space="preserve">bearish, close at just 9% of range, RSI2 ~17 — the bounce was rejected and sellers resumed into the payrolls event.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Fri 5 Jun: </w:t>
      </w:r>
      <w:r>
        <w:rPr>
          <w:rFonts w:ascii="Calibri" w:cs="Calibri" w:eastAsia="Calibri" w:hAnsi="Calibri"/>
        </w:rPr>
        <w:t xml:space="preserve">the decisive session — a $170 true range (≈2.8× ATR), gap-and-collapse on the jobs print, close at 16% of range with RSI2 back to 0. Outsized range with a lower close confirms trend, not exhaustion.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</w:rPr>
        <w:t xml:space="preserve">Sequence assessment: Continuation. </w:t>
      </w:r>
      <w:r>
        <w:rPr>
          <w:rFonts w:ascii="Calibri" w:cs="Calibri" w:eastAsia="Calibri" w:hAnsi="Calibri"/>
        </w:rPr>
        <w:t xml:space="preserve">Four of five sessions closed in the lower fifth of their range, overlap was low, and the closes travelled in one direction. The Friday expansion is a momentum thrust, not a reversal wick.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</w:rPr>
        <w:t xml:space="preserve">Nearest support / resistance (from the window): </w:t>
      </w:r>
      <w:r>
        <w:rPr>
          <w:rFonts w:ascii="Calibri" w:cs="Calibri" w:eastAsia="Calibri" w:hAnsi="Calibri"/>
        </w:rPr>
        <w:t xml:space="preserve">support $4,311.86 (Fri low), then the psychological $4,300; resistance $4,476 (Fri open) and $4,481.6 (Fri high), with the 5-day swing high at $4,582.5.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</w:rPr>
        <w:t xml:space="preserve">Judgement label: Bearish continuation. </w:t>
      </w:r>
      <w:r>
        <w:rPr>
          <w:rFonts w:ascii="Calibri" w:cs="Calibri" w:eastAsia="Calibri" w:hAnsi="Calibri"/>
        </w:rPr>
        <w:t xml:space="preserve">Consistent with the §9 regime classification — no conflict.</w:t>
      </w:r>
    </w:p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  <w:color w:val="1a2332"/>
          <w:sz w:val="26"/>
          <w:szCs w:val="26"/>
        </w:rPr>
        <w:t xml:space="preserve">9 · Medium-Term Regime &amp; VOLator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Regime: Trending — Bearish. </w:t>
      </w:r>
      <w:r>
        <w:rPr>
          <w:rFonts w:ascii="Calibri" w:cs="Calibri" w:eastAsia="Calibri" w:hAnsi="Calibri"/>
        </w:rPr>
        <w:t xml:space="preserve">Supporting metrics over 25 sessions: overlap ratio ~0.38 (&lt;0.45, directional), directional persistence ~0.64 (&gt;0.55), VOLator slope positive (expanding), median RSI2 ~28, range-position bias at the bottom decile (new low close).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Bias: </w:t>
      </w:r>
      <w:r>
        <w:rPr>
          <w:rFonts w:ascii="Calibri" w:cs="Calibri" w:eastAsia="Calibri" w:hAnsi="Calibri"/>
        </w:rPr>
        <w:t xml:space="preserve">Bearish — price is making fresh multi-month lows off the early-year record near $5,598.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VOLator current readings: </w:t>
      </w:r>
      <w:r>
        <w:rPr>
          <w:rFonts w:ascii="Calibri" w:cs="Calibri" w:eastAsia="Calibri" w:hAnsi="Calibri"/>
        </w:rPr>
        <w:t xml:space="preserve">Gold +0.85 (above midpoint, expanding); S&amp;P 500 +0.78 (expanding, risk-off); USDX +0.35 (above midpoint, firming); DAX +0.25 (mild expansion). Volatility expansion across the board signals an active, not quiescent, tape.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Preferred trade protocol: </w:t>
      </w:r>
      <w:r>
        <w:rPr>
          <w:rFonts w:ascii="Calibri" w:cs="Calibri" w:eastAsia="Calibri" w:hAnsi="Calibri"/>
        </w:rPr>
        <w:t xml:space="preserve">Trend-pullback — sell rallies toward pivot resistance in the direction of the established downtrend; avoid fading the lows.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Kaufman confirmation: </w:t>
      </w:r>
      <w:r>
        <w:rPr>
          <w:rFonts w:ascii="Calibri" w:cs="Calibri" w:eastAsia="Calibri" w:hAnsi="Calibri"/>
        </w:rPr>
        <w:t xml:space="preserve">KER(13) ≈ −0.95, far beyond the 0.13 trend threshold → Trending Down — Strong. Agrees with the regime synthesis and increases confidence.</w:t>
      </w:r>
    </w:p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  <w:color w:val="1a2332"/>
          <w:sz w:val="26"/>
          <w:szCs w:val="26"/>
        </w:rPr>
        <w:t xml:space="preserve">10 · Cross-Asset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100"/>
        <w:gridCol w:w="3300"/>
        <w:gridCol w:w="1300"/>
        <w:gridCol w:w="2410"/>
      </w:tblGrid>
      <w:tr>
        <w:trPr>
          <w:tblHeader/>
        </w:trPr>
        <w:tc>
          <w:tcPr>
            <w:tcW w:type="dxa" w:w="12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1a233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Counter</w:t>
            </w:r>
          </w:p>
        </w:tc>
        <w:tc>
          <w:tcPr>
            <w:tcW w:type="dxa" w:w="11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1a233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5-day dir.</w:t>
            </w:r>
          </w:p>
        </w:tc>
        <w:tc>
          <w:tcPr>
            <w:tcW w:type="dxa" w:w="33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1a233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Mechanism to Gold</w:t>
            </w:r>
          </w:p>
        </w:tc>
        <w:tc>
          <w:tcPr>
            <w:tcW w:type="dxa" w:w="13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1a233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241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1a233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Implication</w:t>
            </w:r>
          </w:p>
        </w:tc>
      </w:tr>
      <w:tr>
        <w:tc>
          <w:tcPr>
            <w:tcW w:type="dxa" w:w="12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USDX</w:t>
            </w:r>
          </w:p>
        </w:tc>
        <w:tc>
          <w:tcPr>
            <w:tcW w:type="dxa" w:w="11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Rising</w:t>
            </w:r>
          </w:p>
        </w:tc>
        <w:tc>
          <w:tcPr>
            <w:tcW w:type="dxa" w:w="33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Stronger dollar raises the opportunity cost of holding non-yielding gold and lowers its price in USD terms</w:t>
            </w:r>
          </w:p>
        </w:tc>
        <w:tc>
          <w:tcPr>
            <w:tcW w:type="dxa" w:w="13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Confirms</w:t>
            </w:r>
          </w:p>
        </w:tc>
        <w:tc>
          <w:tcPr>
            <w:tcW w:type="dxa" w:w="241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Dollar at a 2-month high is a direct headwind — bearish</w:t>
            </w:r>
          </w:p>
        </w:tc>
      </w:tr>
      <w:tr>
        <w:tc>
          <w:tcPr>
            <w:tcW w:type="dxa" w:w="12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S&amp;P 500</w:t>
            </w:r>
          </w:p>
        </w:tc>
        <w:tc>
          <w:tcPr>
            <w:tcW w:type="dxa" w:w="11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Falling</w:t>
            </w:r>
          </w:p>
        </w:tc>
        <w:tc>
          <w:tcPr>
            <w:tcW w:type="dxa" w:w="33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Risk-off normally aids gold's haven bid, but here the haven flow went to the dollar and Treasuries, not gold</w:t>
            </w:r>
          </w:p>
        </w:tc>
        <w:tc>
          <w:tcPr>
            <w:tcW w:type="dxa" w:w="13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Contradicts</w:t>
            </w:r>
          </w:p>
        </w:tc>
        <w:tc>
          <w:tcPr>
            <w:tcW w:type="dxa" w:w="241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Equity weakness is NOT supporting gold — a notable divergence</w:t>
            </w:r>
          </w:p>
        </w:tc>
      </w:tr>
      <w:tr>
        <w:tc>
          <w:tcPr>
            <w:tcW w:type="dxa" w:w="12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DAX 40</w:t>
            </w:r>
          </w:p>
        </w:tc>
        <w:tc>
          <w:tcPr>
            <w:tcW w:type="dxa" w:w="11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Falling</w:t>
            </w:r>
          </w:p>
        </w:tc>
        <w:tc>
          <w:tcPr>
            <w:tcW w:type="dxa" w:w="33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European risk-off confirms the global de-risking but, like the S&amp;P, is bypassing gold</w:t>
            </w:r>
          </w:p>
        </w:tc>
        <w:tc>
          <w:tcPr>
            <w:tcW w:type="dxa" w:w="13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Neutral</w:t>
            </w:r>
          </w:p>
        </w:tc>
        <w:tc>
          <w:tcPr>
            <w:tcW w:type="dxa" w:w="241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Confirms macro tape; no direct gold support</w:t>
            </w:r>
          </w:p>
        </w:tc>
      </w:tr>
      <w:tr>
        <w:tc>
          <w:tcPr>
            <w:tcW w:type="dxa" w:w="12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Silver</w:t>
            </w:r>
          </w:p>
        </w:tc>
        <w:tc>
          <w:tcPr>
            <w:tcW w:type="dxa" w:w="11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Falling</w:t>
            </w:r>
          </w:p>
        </w:tc>
        <w:tc>
          <w:tcPr>
            <w:tcW w:type="dxa" w:w="33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High-beta precious-metals partner; −7.2% session amplifies the complex-wide selloff</w:t>
            </w:r>
          </w:p>
        </w:tc>
        <w:tc>
          <w:tcPr>
            <w:tcW w:type="dxa" w:w="13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Confirms</w:t>
            </w:r>
          </w:p>
        </w:tc>
        <w:tc>
          <w:tcPr>
            <w:tcW w:type="dxa" w:w="241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Silver leading lower reinforces bearish metals read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b/>
          <w:bCs/>
          <w:color w:val="c0392b"/>
        </w:rPr>
        <w:t xml:space="preserve">Contradiction flag: </w:t>
      </w:r>
      <w:r>
        <w:rPr>
          <w:rFonts w:ascii="Calibri" w:cs="Calibri" w:eastAsia="Calibri" w:hAnsi="Calibri"/>
        </w:rPr>
        <w:t xml:space="preserve">falling equities are normally gold-supportive but gold fell with them — the haven bid is accruing to USD and Treasuries instead. This divergence is carried into §15 and §16; it caps the bearish conviction slightly because a reversal in the dollar could quickly restore gold's safe-haven role.</w:t>
      </w:r>
    </w:p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  <w:color w:val="1a2332"/>
          <w:sz w:val="26"/>
          <w:szCs w:val="26"/>
        </w:rPr>
        <w:t xml:space="preserve">11 · Floor Pivot Analysis</w:t>
      </w:r>
    </w:p>
    <w:p>
      <w:pPr>
        <w:pStyle w:val="Heading2"/>
        <w:spacing w:after="100" w:before="180"/>
      </w:pPr>
      <w:r>
        <w:rPr>
          <w:rFonts w:ascii="Calibri" w:cs="Calibri" w:eastAsia="Calibri" w:hAnsi="Calibri"/>
          <w:b/>
          <w:bCs/>
          <w:color w:val="1a2332"/>
          <w:sz w:val="22"/>
          <w:szCs w:val="22"/>
        </w:rPr>
        <w:t xml:space="preserve">Daily pivots — from Fri 5 Jun H/L/C (for the 8 Jun session)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1a233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Level</w:t>
            </w:r>
          </w:p>
        </w:tc>
        <w:tc>
          <w:tcPr>
            <w:tcW w:type="dxa" w:w="696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1a233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Price (USD/oz)</w:t>
            </w:r>
          </w:p>
        </w:tc>
      </w:tr>
      <w:tr>
        <w:tc>
          <w:tcPr>
            <w:tcW w:type="dxa" w:w="24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R5</w:t>
            </w:r>
          </w:p>
        </w:tc>
        <w:tc>
          <w:tcPr>
            <w:tcW w:type="dxa" w:w="696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4,952.92</w:t>
            </w:r>
          </w:p>
        </w:tc>
      </w:tr>
      <w:tr>
        <w:tc>
          <w:tcPr>
            <w:tcW w:type="dxa" w:w="24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R4</w:t>
            </w:r>
          </w:p>
        </w:tc>
        <w:tc>
          <w:tcPr>
            <w:tcW w:type="dxa" w:w="696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4,783.13</w:t>
            </w:r>
          </w:p>
        </w:tc>
      </w:tr>
      <w:tr>
        <w:tc>
          <w:tcPr>
            <w:tcW w:type="dxa" w:w="24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R3</w:t>
            </w:r>
          </w:p>
        </w:tc>
        <w:tc>
          <w:tcPr>
            <w:tcW w:type="dxa" w:w="696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4,613.34</w:t>
            </w:r>
          </w:p>
        </w:tc>
      </w:tr>
      <w:tr>
        <w:tc>
          <w:tcPr>
            <w:tcW w:type="dxa" w:w="24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R2</w:t>
            </w:r>
          </w:p>
        </w:tc>
        <w:tc>
          <w:tcPr>
            <w:tcW w:type="dxa" w:w="696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4,547.49</w:t>
            </w:r>
          </w:p>
        </w:tc>
      </w:tr>
      <w:tr>
        <w:tc>
          <w:tcPr>
            <w:tcW w:type="dxa" w:w="24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R1</w:t>
            </w:r>
          </w:p>
        </w:tc>
        <w:tc>
          <w:tcPr>
            <w:tcW w:type="dxa" w:w="696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4,443.55</w:t>
            </w:r>
          </w:p>
        </w:tc>
      </w:tr>
      <w:tr>
        <w:tc>
          <w:tcPr>
            <w:tcW w:type="dxa" w:w="24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</w:t>
            </w:r>
          </w:p>
        </w:tc>
        <w:tc>
          <w:tcPr>
            <w:tcW w:type="dxa" w:w="696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4,377.70</w:t>
            </w:r>
          </w:p>
        </w:tc>
      </w:tr>
      <w:tr>
        <w:tc>
          <w:tcPr>
            <w:tcW w:type="dxa" w:w="24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S1</w:t>
            </w:r>
          </w:p>
        </w:tc>
        <w:tc>
          <w:tcPr>
            <w:tcW w:type="dxa" w:w="696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4,273.76</w:t>
            </w:r>
          </w:p>
        </w:tc>
      </w:tr>
      <w:tr>
        <w:tc>
          <w:tcPr>
            <w:tcW w:type="dxa" w:w="24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S2</w:t>
            </w:r>
          </w:p>
        </w:tc>
        <w:tc>
          <w:tcPr>
            <w:tcW w:type="dxa" w:w="696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4,207.91</w:t>
            </w:r>
          </w:p>
        </w:tc>
      </w:tr>
      <w:tr>
        <w:tc>
          <w:tcPr>
            <w:tcW w:type="dxa" w:w="24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S3</w:t>
            </w:r>
          </w:p>
        </w:tc>
        <w:tc>
          <w:tcPr>
            <w:tcW w:type="dxa" w:w="696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4,103.97</w:t>
            </w:r>
          </w:p>
        </w:tc>
      </w:tr>
      <w:tr>
        <w:tc>
          <w:tcPr>
            <w:tcW w:type="dxa" w:w="24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S4</w:t>
            </w:r>
          </w:p>
        </w:tc>
        <w:tc>
          <w:tcPr>
            <w:tcW w:type="dxa" w:w="696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3,934.18</w:t>
            </w:r>
          </w:p>
        </w:tc>
      </w:tr>
      <w:tr>
        <w:tc>
          <w:tcPr>
            <w:tcW w:type="dxa" w:w="24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S5</w:t>
            </w:r>
          </w:p>
        </w:tc>
        <w:tc>
          <w:tcPr>
            <w:tcW w:type="dxa" w:w="696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3,764.39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i/>
          <w:iCs/>
          <w:color w:val="55606b"/>
          <w:sz w:val="16"/>
          <w:szCs w:val="16"/>
        </w:rPr>
        <w:t xml:space="preserve">Source status: prior-session H/L/C corroborated by two independent sources (TexMetals × TradingEconomics) within commodity tolerance — daily pivots are CORROBORATED, not indicative. Weekly and monthly pivots are enabled in configuration; weekly prior-period H/L/C are corroborated, monthly carried as directional.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</w:rPr>
        <w:t xml:space="preserve">Position narrative: </w:t>
      </w:r>
      <w:r>
        <w:rPr>
          <w:rFonts w:ascii="Calibri" w:cs="Calibri" w:eastAsia="Calibri" w:hAnsi="Calibri"/>
        </w:rPr>
        <w:t xml:space="preserve">the 5 June close ($4,339.6) sits below the daily pivot P ($4,377.70) and between S1 ($4,273.76) and P — a bearish position. First resistance overhead is P then R1 ($4,443.55); first support below is S1 ($4,273.76). No daily/weekly/monthly confluence zone within 0.05% is currently active.</w:t>
      </w:r>
    </w:p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  <w:color w:val="1a2332"/>
          <w:sz w:val="26"/>
          <w:szCs w:val="26"/>
        </w:rPr>
        <w:t xml:space="preserve">12 · Key Market Considerations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</w:rPr>
        <w:t xml:space="preserve">Demand — price-negative (cyclical). </w:t>
      </w:r>
      <w:r>
        <w:rPr>
          <w:rFonts w:ascii="Calibri" w:cs="Calibri" w:eastAsia="Calibri" w:hAnsi="Calibri"/>
        </w:rPr>
        <w:t xml:space="preserve">The May payrolls beat (172k vs ~85k, BLS) repriced Fed expectations toward a hike, lifting real yields and the opportunity cost of holding gold. Investment demand via ETFs typically softens as real yields rise.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</w:rPr>
        <w:t xml:space="preserve">Supply / central banks — price-supportive (structural). </w:t>
      </w:r>
      <w:r>
        <w:rPr>
          <w:rFonts w:ascii="Calibri" w:cs="Calibri" w:eastAsia="Calibri" w:hAnsi="Calibri"/>
        </w:rPr>
        <w:t xml:space="preserve">China's PBoC added to gold reserves for a 19th consecutive month in May (per Investing.com); sustained official-sector buying remains a structural floor beneath the cyclical selloff.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</w:rPr>
        <w:t xml:space="preserve">Substitution / spreads — price-negative (cyclical). </w:t>
      </w:r>
      <w:r>
        <w:rPr>
          <w:rFonts w:ascii="Calibri" w:cs="Calibri" w:eastAsia="Calibri" w:hAnsi="Calibri"/>
        </w:rPr>
        <w:t xml:space="preserve">Silver fell harder (−7.2%) than gold, lifting the gold/silver ratio toward ~62 and signalling broad precious-complex liquidation rather than gold-specific stress.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</w:rPr>
        <w:t xml:space="preserve">Macro / FX — price-negative (cyclical). </w:t>
      </w:r>
      <w:r>
        <w:rPr>
          <w:rFonts w:ascii="Calibri" w:cs="Calibri" w:eastAsia="Calibri" w:hAnsi="Calibri"/>
        </w:rPr>
        <w:t xml:space="preserve">USDX at a two-month high and the 10-year at 4.54% form a compounding headwind for a non-yielding asset.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</w:rPr>
        <w:t xml:space="preserve">Near-term catalysts (from §13d): </w:t>
      </w:r>
      <w:r>
        <w:rPr>
          <w:rFonts w:ascii="Calibri" w:cs="Calibri" w:eastAsia="Calibri" w:hAnsi="Calibri"/>
        </w:rPr>
        <w:t xml:space="preserve">May CPI and the University of Michigan June inflation expectations dominate the week; both can swing rate-hike odds and therefore gold. Middle-East headlines (Hezbollah ceasefire rejection) remain a two-way risk.</w:t>
      </w:r>
    </w:p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  <w:color w:val="1a2332"/>
          <w:sz w:val="26"/>
          <w:szCs w:val="26"/>
        </w:rPr>
        <w:t xml:space="preserve">13 · Sentiment, News &amp; Calendar</w:t>
      </w:r>
    </w:p>
    <w:p>
      <w:pPr>
        <w:pStyle w:val="Heading2"/>
        <w:spacing w:after="100" w:before="180"/>
      </w:pPr>
      <w:r>
        <w:rPr>
          <w:rFonts w:ascii="Calibri" w:cs="Calibri" w:eastAsia="Calibri" w:hAnsi="Calibri"/>
          <w:b/>
          <w:bCs/>
          <w:color w:val="1a2332"/>
          <w:sz w:val="22"/>
          <w:szCs w:val="22"/>
        </w:rPr>
        <w:t xml:space="preserve">13a · Per-Article Sentiment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800"/>
        <w:gridCol w:w="2550"/>
        <w:gridCol w:w="1050"/>
        <w:gridCol w:w="1100"/>
        <w:gridCol w:w="2610"/>
      </w:tblGrid>
      <w:tr>
        <w:trPr>
          <w:tblHeader/>
        </w:trPr>
        <w:tc>
          <w:tcPr>
            <w:tcW w:type="dxa" w:w="12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1a233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  <w:tc>
          <w:tcPr>
            <w:tcW w:type="dxa" w:w="8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1a233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25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1a233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Headline (abbrev.)</w:t>
            </w:r>
          </w:p>
        </w:tc>
        <w:tc>
          <w:tcPr>
            <w:tcW w:type="dxa" w:w="10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1a233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Class</w:t>
            </w:r>
          </w:p>
        </w:tc>
        <w:tc>
          <w:tcPr>
            <w:tcW w:type="dxa" w:w="11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1a233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Sentiment</w:t>
            </w:r>
          </w:p>
        </w:tc>
        <w:tc>
          <w:tcPr>
            <w:tcW w:type="dxa" w:w="261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1a233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Derivation quote (≤15 w)</w:t>
            </w:r>
          </w:p>
        </w:tc>
      </w:tr>
      <w:tr>
        <w:tc>
          <w:tcPr>
            <w:tcW w:type="dxa" w:w="12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TradingEconomics</w:t>
            </w:r>
          </w:p>
        </w:tc>
        <w:tc>
          <w:tcPr>
            <w:tcW w:type="dxa" w:w="8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 Jun</w:t>
            </w:r>
          </w:p>
        </w:tc>
        <w:tc>
          <w:tcPr>
            <w:tcW w:type="dxa" w:w="25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Gold drops below $4,370, lowest of 2026 on strong jobs</w:t>
            </w:r>
          </w:p>
        </w:tc>
        <w:tc>
          <w:tcPr>
            <w:tcW w:type="dxa" w:w="10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Media</w:t>
            </w:r>
          </w:p>
        </w:tc>
        <w:tc>
          <w:tcPr>
            <w:tcW w:type="dxa" w:w="11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Bearish</w:t>
            </w:r>
          </w:p>
        </w:tc>
        <w:tc>
          <w:tcPr>
            <w:tcW w:type="dxa" w:w="261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“lowest level of 2026 … strong jobs report”</w:t>
            </w:r>
          </w:p>
        </w:tc>
      </w:tr>
      <w:tr>
        <w:tc>
          <w:tcPr>
            <w:tcW w:type="dxa" w:w="12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TexMetals</w:t>
            </w:r>
          </w:p>
        </w:tc>
        <w:tc>
          <w:tcPr>
            <w:tcW w:type="dxa" w:w="8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 Jun</w:t>
            </w:r>
          </w:p>
        </w:tc>
        <w:tc>
          <w:tcPr>
            <w:tcW w:type="dxa" w:w="25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Jobs shock hits precious metals</w:t>
            </w:r>
          </w:p>
        </w:tc>
        <w:tc>
          <w:tcPr>
            <w:tcW w:type="dxa" w:w="10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Trade Press</w:t>
            </w:r>
          </w:p>
        </w:tc>
        <w:tc>
          <w:tcPr>
            <w:tcW w:type="dxa" w:w="11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Bearish</w:t>
            </w:r>
          </w:p>
        </w:tc>
        <w:tc>
          <w:tcPr>
            <w:tcW w:type="dxa" w:w="261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“rate-cut expectations sharply reduced … further pressure”</w:t>
            </w:r>
          </w:p>
        </w:tc>
      </w:tr>
      <w:tr>
        <w:tc>
          <w:tcPr>
            <w:tcW w:type="dxa" w:w="12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forex.com</w:t>
            </w:r>
          </w:p>
        </w:tc>
        <w:tc>
          <w:tcPr>
            <w:tcW w:type="dxa" w:w="8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 Jun</w:t>
            </w:r>
          </w:p>
        </w:tc>
        <w:tc>
          <w:tcPr>
            <w:tcW w:type="dxa" w:w="25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XAU/USD drops 12%, yearly support critical</w:t>
            </w:r>
          </w:p>
        </w:tc>
        <w:tc>
          <w:tcPr>
            <w:tcW w:type="dxa" w:w="10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Trade Press</w:t>
            </w:r>
          </w:p>
        </w:tc>
        <w:tc>
          <w:tcPr>
            <w:tcW w:type="dxa" w:w="11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Bearish</w:t>
            </w:r>
          </w:p>
        </w:tc>
        <w:tc>
          <w:tcPr>
            <w:tcW w:type="dxa" w:w="261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“close below 4319 needed to fuel next leg lower”</w:t>
            </w:r>
          </w:p>
        </w:tc>
      </w:tr>
      <w:tr>
        <w:tc>
          <w:tcPr>
            <w:tcW w:type="dxa" w:w="12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DailyForex</w:t>
            </w:r>
          </w:p>
        </w:tc>
        <w:tc>
          <w:tcPr>
            <w:tcW w:type="dxa" w:w="8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late May</w:t>
            </w:r>
          </w:p>
        </w:tc>
        <w:tc>
          <w:tcPr>
            <w:tcW w:type="dxa" w:w="25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June forecast: testing key support</w:t>
            </w:r>
          </w:p>
        </w:tc>
        <w:tc>
          <w:tcPr>
            <w:tcW w:type="dxa" w:w="10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Media</w:t>
            </w:r>
          </w:p>
        </w:tc>
        <w:tc>
          <w:tcPr>
            <w:tcW w:type="dxa" w:w="11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Mixed</w:t>
            </w:r>
          </w:p>
        </w:tc>
        <w:tc>
          <w:tcPr>
            <w:tcW w:type="dxa" w:w="261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“demand near $4,500 … possible rally if rate relief”</w:t>
            </w:r>
          </w:p>
        </w:tc>
      </w:tr>
      <w:tr>
        <w:tc>
          <w:tcPr>
            <w:tcW w:type="dxa" w:w="12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Unum Capital</w:t>
            </w:r>
          </w:p>
        </w:tc>
        <w:tc>
          <w:tcPr>
            <w:tcW w:type="dxa" w:w="8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 Jun</w:t>
            </w:r>
          </w:p>
        </w:tc>
        <w:tc>
          <w:tcPr>
            <w:tcW w:type="dxa" w:w="25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Structural breakdown, sell on rally</w:t>
            </w:r>
          </w:p>
        </w:tc>
        <w:tc>
          <w:tcPr>
            <w:tcW w:type="dxa" w:w="10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Trade Press</w:t>
            </w:r>
          </w:p>
        </w:tc>
        <w:tc>
          <w:tcPr>
            <w:tcW w:type="dxa" w:w="11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Bearish</w:t>
            </w:r>
          </w:p>
        </w:tc>
        <w:tc>
          <w:tcPr>
            <w:tcW w:type="dxa" w:w="261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“Structural Breakdown … Sell on Rally”</w:t>
            </w:r>
          </w:p>
        </w:tc>
      </w:tr>
      <w:tr>
        <w:tc>
          <w:tcPr>
            <w:tcW w:type="dxa" w:w="12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LiteFinance</w:t>
            </w:r>
          </w:p>
        </w:tc>
        <w:tc>
          <w:tcPr>
            <w:tcW w:type="dxa" w:w="8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 Jun</w:t>
            </w:r>
          </w:p>
        </w:tc>
        <w:tc>
          <w:tcPr>
            <w:tcW w:type="dxa" w:w="25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Gold $4,328; 8 Jun range 4,376–4,510</w:t>
            </w:r>
          </w:p>
        </w:tc>
        <w:tc>
          <w:tcPr>
            <w:tcW w:type="dxa" w:w="10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Media</w:t>
            </w:r>
          </w:p>
        </w:tc>
        <w:tc>
          <w:tcPr>
            <w:tcW w:type="dxa" w:w="11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Mixed</w:t>
            </w:r>
          </w:p>
        </w:tc>
        <w:tc>
          <w:tcPr>
            <w:tcW w:type="dxa" w:w="261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“price could move in either direction”</w:t>
            </w:r>
          </w:p>
        </w:tc>
      </w:tr>
      <w:tr>
        <w:tc>
          <w:tcPr>
            <w:tcW w:type="dxa" w:w="12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Investing.com</w:t>
            </w:r>
          </w:p>
        </w:tc>
        <w:tc>
          <w:tcPr>
            <w:tcW w:type="dxa" w:w="8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 Jun</w:t>
            </w:r>
          </w:p>
        </w:tc>
        <w:tc>
          <w:tcPr>
            <w:tcW w:type="dxa" w:w="25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Technical rating: Strong Sell</w:t>
            </w:r>
          </w:p>
        </w:tc>
        <w:tc>
          <w:tcPr>
            <w:tcW w:type="dxa" w:w="10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Media</w:t>
            </w:r>
          </w:p>
        </w:tc>
        <w:tc>
          <w:tcPr>
            <w:tcW w:type="dxa" w:w="11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Bearish</w:t>
            </w:r>
          </w:p>
        </w:tc>
        <w:tc>
          <w:tcPr>
            <w:tcW w:type="dxa" w:w="261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“rated Strong Sell”</w:t>
            </w:r>
          </w:p>
        </w:tc>
      </w:tr>
    </w:tbl>
    <w:p>
      <w:pPr>
        <w:pStyle w:val="Heading2"/>
        <w:spacing w:after="100" w:before="180"/>
      </w:pPr>
      <w:r>
        <w:rPr>
          <w:rFonts w:ascii="Calibri" w:cs="Calibri" w:eastAsia="Calibri" w:hAnsi="Calibri"/>
          <w:b/>
          <w:bCs/>
          <w:color w:val="1a2332"/>
          <w:sz w:val="22"/>
          <w:szCs w:val="22"/>
        </w:rPr>
        <w:t xml:space="preserve">13b · Aggregate Sentiment Summary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</w:rPr>
        <w:t xml:space="preserve">Categorical: </w:t>
      </w:r>
      <w:r>
        <w:rPr>
          <w:rFonts w:ascii="Calibri" w:cs="Calibri" w:eastAsia="Calibri" w:hAnsi="Calibri"/>
        </w:rPr>
        <w:t xml:space="preserve">5 Bearish (1 trade-press strong, 2 trade-press, 2 media), 2 Mixed (media) = Predominantly Bearish. </w:t>
      </w:r>
      <w:r>
        <w:rPr>
          <w:rFonts w:ascii="Calibri" w:cs="Calibri" w:eastAsia="Calibri" w:hAnsi="Calibri"/>
          <w:b/>
          <w:bCs/>
        </w:rPr>
        <w:t xml:space="preserve">Numeric tilt = −0.71</w:t>
      </w:r>
      <w:r>
        <w:rPr>
          <w:rFonts w:ascii="Calibri" w:cs="Calibri" w:eastAsia="Calibri" w:hAnsi="Calibri"/>
        </w:rPr>
        <w:t xml:space="preserve"> (source-class-weighted mean of article scores, clipped to [−1,+1]).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</w:rPr>
        <w:t xml:space="preserve">Divergence flag: </w:t>
      </w:r>
      <w:r>
        <w:rPr>
          <w:rFonts w:ascii="Calibri" w:cs="Calibri" w:eastAsia="Calibri" w:hAnsi="Calibri"/>
        </w:rPr>
        <w:t xml:space="preserve">sentiment agrees with both current price action and the §9 trending-bearish regime — no divergence. The two Mixed reads only soften, not reverse, the bearish skew.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55606b"/>
          <w:sz w:val="16"/>
          <w:szCs w:val="16"/>
        </w:rPr>
        <w:t xml:space="preserve">Tilt computed on seven articles — above the three-article low-confidence threshold; treated as a normal-confidence reading. This is the value consumed by the §21 direction score.</w:t>
      </w:r>
    </w:p>
    <w:p>
      <w:pPr>
        <w:pStyle w:val="Heading2"/>
        <w:spacing w:after="100" w:before="180"/>
      </w:pPr>
      <w:r>
        <w:rPr>
          <w:rFonts w:ascii="Calibri" w:cs="Calibri" w:eastAsia="Calibri" w:hAnsi="Calibri"/>
          <w:b/>
          <w:bCs/>
          <w:color w:val="1a2332"/>
          <w:sz w:val="22"/>
          <w:szCs w:val="22"/>
        </w:rPr>
        <w:t xml:space="preserve">13c · News Calendar — Previous Period (1–5 Jun)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050"/>
        <w:gridCol w:w="2050"/>
        <w:gridCol w:w="800"/>
        <w:gridCol w:w="3360"/>
      </w:tblGrid>
      <w:tr>
        <w:trPr>
          <w:tblHeader/>
        </w:trPr>
        <w:tc>
          <w:tcPr>
            <w:tcW w:type="dxa" w:w="11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1a233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20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1a233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Event</w:t>
            </w:r>
          </w:p>
        </w:tc>
        <w:tc>
          <w:tcPr>
            <w:tcW w:type="dxa" w:w="20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1a233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Prior / Context</w:t>
            </w:r>
          </w:p>
        </w:tc>
        <w:tc>
          <w:tcPr>
            <w:tcW w:type="dxa" w:w="8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1a233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Impact</w:t>
            </w:r>
          </w:p>
        </w:tc>
        <w:tc>
          <w:tcPr>
            <w:tcW w:type="dxa" w:w="336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1a233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Implication for Gold</w:t>
            </w:r>
          </w:p>
        </w:tc>
      </w:tr>
      <w:tr>
        <w:tc>
          <w:tcPr>
            <w:tcW w:type="dxa" w:w="11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Wed 3 Jun</w:t>
            </w:r>
          </w:p>
        </w:tc>
        <w:tc>
          <w:tcPr>
            <w:tcW w:type="dxa" w:w="20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ADP private payrolls</w:t>
            </w:r>
          </w:p>
        </w:tc>
        <w:tc>
          <w:tcPr>
            <w:tcW w:type="dxa" w:w="20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122k, beat consensus</w:t>
            </w:r>
          </w:p>
        </w:tc>
        <w:tc>
          <w:tcPr>
            <w:tcW w:type="dxa" w:w="8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Med</w:t>
            </w:r>
          </w:p>
        </w:tc>
        <w:tc>
          <w:tcPr>
            <w:tcW w:type="dxa" w:w="336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Early hawkish tilt; modest gold pressure</w:t>
            </w:r>
          </w:p>
        </w:tc>
      </w:tr>
      <w:tr>
        <w:tc>
          <w:tcPr>
            <w:tcW w:type="dxa" w:w="11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Thu 4 Jun</w:t>
            </w:r>
          </w:p>
        </w:tc>
        <w:tc>
          <w:tcPr>
            <w:tcW w:type="dxa" w:w="20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Broadcom earnings / chip selloff</w:t>
            </w:r>
          </w:p>
        </w:tc>
        <w:tc>
          <w:tcPr>
            <w:tcW w:type="dxa" w:w="20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Risk-off in tech</w:t>
            </w:r>
          </w:p>
        </w:tc>
        <w:tc>
          <w:tcPr>
            <w:tcW w:type="dxa" w:w="8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Med</w:t>
            </w:r>
          </w:p>
        </w:tc>
        <w:tc>
          <w:tcPr>
            <w:tcW w:type="dxa" w:w="336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Risk-off bypassed gold; haven bid to USD</w:t>
            </w:r>
          </w:p>
        </w:tc>
      </w:tr>
      <w:tr>
        <w:tc>
          <w:tcPr>
            <w:tcW w:type="dxa" w:w="11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Fri 5 Jun</w:t>
            </w:r>
          </w:p>
        </w:tc>
        <w:tc>
          <w:tcPr>
            <w:tcW w:type="dxa" w:w="20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May Nonfarm Payrolls</w:t>
            </w:r>
          </w:p>
        </w:tc>
        <w:tc>
          <w:tcPr>
            <w:tcW w:type="dxa" w:w="20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172k vs ~85k exp; U-rate 4.3%</w:t>
            </w:r>
          </w:p>
        </w:tc>
        <w:tc>
          <w:tcPr>
            <w:tcW w:type="dxa" w:w="8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−$146 gold; hike odds to ~52%; USDX +0.67%</w:t>
            </w:r>
          </w:p>
        </w:tc>
      </w:tr>
      <w:tr>
        <w:tc>
          <w:tcPr>
            <w:tcW w:type="dxa" w:w="11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Fri 5 Jun</w:t>
            </w:r>
          </w:p>
        </w:tc>
        <w:tc>
          <w:tcPr>
            <w:tcW w:type="dxa" w:w="20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Hezbollah rejects ceasefire</w:t>
            </w:r>
          </w:p>
        </w:tc>
        <w:tc>
          <w:tcPr>
            <w:tcW w:type="dxa" w:w="20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Middle-East escalation</w:t>
            </w:r>
          </w:p>
        </w:tc>
        <w:tc>
          <w:tcPr>
            <w:tcW w:type="dxa" w:w="8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Med</w:t>
            </w:r>
          </w:p>
        </w:tc>
        <w:tc>
          <w:tcPr>
            <w:tcW w:type="dxa" w:w="336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Two-way risk; failed to floor gold on the day</w:t>
            </w:r>
          </w:p>
        </w:tc>
      </w:tr>
    </w:tbl>
    <w:p>
      <w:pPr>
        <w:pStyle w:val="Heading2"/>
        <w:spacing w:after="100" w:before="180"/>
      </w:pPr>
      <w:r>
        <w:rPr>
          <w:rFonts w:ascii="Calibri" w:cs="Calibri" w:eastAsia="Calibri" w:hAnsi="Calibri"/>
          <w:b/>
          <w:bCs/>
          <w:color w:val="1a2332"/>
          <w:sz w:val="22"/>
          <w:szCs w:val="22"/>
        </w:rPr>
        <w:t xml:space="preserve">13d · News Calendar — Upcoming Period (8–12 Jun)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50"/>
        <w:gridCol w:w="1900"/>
        <w:gridCol w:w="800"/>
        <w:gridCol w:w="3610"/>
      </w:tblGrid>
      <w:tr>
        <w:trPr>
          <w:tblHeader/>
        </w:trPr>
        <w:tc>
          <w:tcPr>
            <w:tcW w:type="dxa" w:w="9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1a233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21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1a233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Event</w:t>
            </w:r>
          </w:p>
        </w:tc>
        <w:tc>
          <w:tcPr>
            <w:tcW w:type="dxa" w:w="19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1a233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Context</w:t>
            </w:r>
          </w:p>
        </w:tc>
        <w:tc>
          <w:tcPr>
            <w:tcW w:type="dxa" w:w="8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1a233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Impact</w:t>
            </w:r>
          </w:p>
        </w:tc>
        <w:tc>
          <w:tcPr>
            <w:tcW w:type="dxa" w:w="361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1a233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Implication (beat / miss)</w:t>
            </w:r>
          </w:p>
        </w:tc>
      </w:tr>
      <w:tr>
        <w:tc>
          <w:tcPr>
            <w:tcW w:type="dxa" w:w="9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~Wed</w:t>
            </w:r>
          </w:p>
        </w:tc>
        <w:tc>
          <w:tcPr>
            <w:tcW w:type="dxa" w:w="21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May CPI</w:t>
            </w:r>
          </w:p>
        </w:tc>
        <w:tc>
          <w:tcPr>
            <w:tcW w:type="dxa" w:w="19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Post-NFP inflation check</w:t>
            </w:r>
          </w:p>
        </w:tc>
        <w:tc>
          <w:tcPr>
            <w:tcW w:type="dxa" w:w="8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361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Hot → confirms selloff, opens $4,200; cool → bounce to P/R1</w:t>
            </w:r>
          </w:p>
        </w:tc>
      </w:tr>
      <w:tr>
        <w:tc>
          <w:tcPr>
            <w:tcW w:type="dxa" w:w="9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~Fri</w:t>
            </w:r>
          </w:p>
        </w:tc>
        <w:tc>
          <w:tcPr>
            <w:tcW w:type="dxa" w:w="21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UoM June inflation expectations</w:t>
            </w:r>
          </w:p>
        </w:tc>
        <w:tc>
          <w:tcPr>
            <w:tcW w:type="dxa" w:w="19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Sentiment gauge</w:t>
            </w:r>
          </w:p>
        </w:tc>
        <w:tc>
          <w:tcPr>
            <w:tcW w:type="dxa" w:w="8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Med</w:t>
            </w:r>
          </w:p>
        </w:tc>
        <w:tc>
          <w:tcPr>
            <w:tcW w:type="dxa" w:w="361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Higher exp → bearish gold; lower → relief</w:t>
            </w:r>
          </w:p>
        </w:tc>
      </w:tr>
      <w:tr>
        <w:tc>
          <w:tcPr>
            <w:tcW w:type="dxa" w:w="9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Week</w:t>
            </w:r>
          </w:p>
        </w:tc>
        <w:tc>
          <w:tcPr>
            <w:tcW w:type="dxa" w:w="21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Fed officials' commentary</w:t>
            </w:r>
          </w:p>
        </w:tc>
        <w:tc>
          <w:tcPr>
            <w:tcW w:type="dxa" w:w="19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Post-jobs guidance</w:t>
            </w:r>
          </w:p>
        </w:tc>
        <w:tc>
          <w:tcPr>
            <w:tcW w:type="dxa" w:w="8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Med</w:t>
            </w:r>
          </w:p>
        </w:tc>
        <w:tc>
          <w:tcPr>
            <w:tcW w:type="dxa" w:w="361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Hawkish tone pressures; balanced tone stabilises</w:t>
            </w:r>
          </w:p>
        </w:tc>
      </w:tr>
      <w:tr>
        <w:tc>
          <w:tcPr>
            <w:tcW w:type="dxa" w:w="9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Week</w:t>
            </w:r>
          </w:p>
        </w:tc>
        <w:tc>
          <w:tcPr>
            <w:tcW w:type="dxa" w:w="21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Middle-East / Iran headlines</w:t>
            </w:r>
          </w:p>
        </w:tc>
        <w:tc>
          <w:tcPr>
            <w:tcW w:type="dxa" w:w="19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Ceasefire talks stalled</w:t>
            </w:r>
          </w:p>
        </w:tc>
        <w:tc>
          <w:tcPr>
            <w:tcW w:type="dxa" w:w="8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Med</w:t>
            </w:r>
          </w:p>
        </w:tc>
        <w:tc>
          <w:tcPr>
            <w:tcW w:type="dxa" w:w="361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Escalation → potential haven re-bid (two-way)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b/>
          <w:bCs/>
        </w:rPr>
        <w:t xml:space="preserve">Highest-impact event: </w:t>
      </w:r>
      <w:r>
        <w:rPr>
          <w:rFonts w:ascii="Calibri" w:cs="Calibri" w:eastAsia="Calibri" w:hAnsi="Calibri"/>
          <w:b/>
          <w:bCs/>
        </w:rPr>
        <w:t xml:space="preserve">May CPI — a hotter-than-expected print would validate the rate-hike repricing and likely break the $4,311 / $4,300 support, whereas a cool print could trigger a rapid mean-reversion squeeze into the $4,440 pivot resistance.</w:t>
      </w:r>
    </w:p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  <w:color w:val="1a2332"/>
          <w:sz w:val="26"/>
          <w:szCs w:val="26"/>
        </w:rPr>
        <w:t xml:space="preserve">14 · Macro Context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Rates &amp; policy: </w:t>
      </w:r>
      <w:r>
        <w:rPr>
          <w:rFonts w:ascii="Calibri" w:cs="Calibri" w:eastAsia="Calibri" w:hAnsi="Calibri"/>
        </w:rPr>
        <w:t xml:space="preserve">the payrolls beat pushed Fed-hike odds to ~52% (from ~25%); 2-year yield at a 52-week high (~4.16%), 10-year at 4.54%. Higher-for-longer / hike risk is the central bearish macro driver for gold.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Inflation: </w:t>
      </w:r>
      <w:r>
        <w:rPr>
          <w:rFonts w:ascii="Calibri" w:cs="Calibri" w:eastAsia="Calibri" w:hAnsi="Calibri"/>
        </w:rPr>
        <w:t xml:space="preserve">war-fuelled inflation risk persists; the upcoming CPI (§13d) is the swing factor. Net effect on gold currently price-negative via the real-yield channel.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Liquidity &amp; FX — cites §10 USDX (Rising): </w:t>
      </w:r>
      <w:r>
        <w:rPr>
          <w:rFonts w:ascii="Calibri" w:cs="Calibri" w:eastAsia="Calibri" w:hAnsi="Calibri"/>
        </w:rPr>
        <w:t xml:space="preserve">the dollar at a two-month high on haven demand is the dominant transmission channel pressuring gold.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Safe-haven / real yields — cites §10: </w:t>
      </w:r>
      <w:r>
        <w:rPr>
          <w:rFonts w:ascii="Calibri" w:cs="Calibri" w:eastAsia="Calibri" w:hAnsi="Calibri"/>
        </w:rPr>
        <w:t xml:space="preserve">falling equities did not lift gold; the haven bid went to USD and Treasuries, indicating real-yield dominance over the safe-haven premium right now.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Positioning: </w:t>
      </w:r>
      <w:r>
        <w:rPr>
          <w:rFonts w:ascii="Calibri" w:cs="Calibri" w:eastAsia="Calibri" w:hAnsi="Calibri"/>
        </w:rPr>
        <w:t xml:space="preserve">VIX +39.7% to 21.51 signals a risk-off spike; the cross-asset divergence (§10) where gold fell with equities is the key watch item if the dollar reverses.</w:t>
      </w:r>
    </w:p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  <w:color w:val="1a2332"/>
          <w:sz w:val="26"/>
          <w:szCs w:val="26"/>
        </w:rPr>
        <w:t xml:space="preserve">15 · Bull / Bear Balance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1a233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Upside risks (bullish)</w:t>
            </w:r>
          </w:p>
        </w:tc>
        <w:tc>
          <w:tcPr>
            <w:tcW w:type="dxa" w:w="468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1a233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Downside risks (bearish)</w:t>
            </w:r>
          </w:p>
        </w:tc>
      </w:tr>
      <w:tr>
        <w:tc>
          <w:tcPr>
            <w:tcW w:type="dxa" w:w="468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Cool CPI print revives rate-cut hopes and squeezes shorts toward P $4,377 / R1 $4,443</w:t>
            </w:r>
          </w:p>
        </w:tc>
        <w:tc>
          <w:tcPr>
            <w:tcW w:type="dxa" w:w="468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Hot CPI confirms hike repricing; close below S1 $4,273 opens S2 $4,207</w:t>
            </w:r>
          </w:p>
        </w:tc>
      </w:tr>
      <w:tr>
        <w:tc>
          <w:tcPr>
            <w:tcW w:type="dxa" w:w="468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Middle-East escalation restores the safe-haven bid that was absent Friday</w:t>
            </w:r>
          </w:p>
        </w:tc>
        <w:tc>
          <w:tcPr>
            <w:tcW w:type="dxa" w:w="468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Dollar extends its 2-month-high run, compounding the headwind</w:t>
            </w:r>
          </w:p>
        </w:tc>
      </w:tr>
      <w:tr>
        <w:tc>
          <w:tcPr>
            <w:tcW w:type="dxa" w:w="468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Sustained PBoC / central-bank buying provides a structural floor</w:t>
            </w:r>
          </w:p>
        </w:tc>
        <w:tc>
          <w:tcPr>
            <w:tcW w:type="dxa" w:w="468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Equity-driven risk-off keeps bypassing gold for USD/Treasuries</w:t>
            </w:r>
          </w:p>
        </w:tc>
      </w:tr>
      <w:tr>
        <w:tc>
          <w:tcPr>
            <w:tcW w:type="dxa" w:w="468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Deeply oversold RSI2 (0) raises odds of a technical bounce</w:t>
            </w:r>
          </w:p>
        </w:tc>
        <w:tc>
          <w:tcPr>
            <w:tcW w:type="dxa" w:w="468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Trend + KER + VOLator all align bearish; rallies likely sold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b/>
          <w:bCs/>
        </w:rPr>
        <w:t xml:space="preserve">Pivot &amp; event cross-reference: </w:t>
      </w:r>
      <w:r>
        <w:rPr>
          <w:rFonts w:ascii="Calibri" w:cs="Calibri" w:eastAsia="Calibri" w:hAnsi="Calibri"/>
        </w:rPr>
        <w:t xml:space="preserve">price sits below daily P ($4,377.70) and above S1 ($4,273.76); the §13d May CPI is the highest-impact swing event for this balance.</w:t>
      </w:r>
    </w:p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  <w:color w:val="1a2332"/>
          <w:sz w:val="26"/>
          <w:szCs w:val="26"/>
        </w:rPr>
        <w:t xml:space="preserve">16 · Forward View</w:t>
      </w:r>
    </w:p>
    <w:p>
      <w:pPr>
        <w:spacing w:after="120" w:before="0"/>
      </w:pPr>
      <w:r>
        <w:rPr>
          <w:rFonts w:ascii="Calibri" w:cs="Calibri" w:eastAsia="Calibri" w:hAnsi="Calibri"/>
        </w:rPr>
        <w:t xml:space="preserve">Expected direction over the next five sessions is lower-to-sideways with a bearish skew, respecting the trending-bearish regime (§9). Base-case trading range $4,250–$4,450, pivoting on the May CPI outcome. The base case is invalidated on a decisive daily close back above the daily pivot P ($4,377.70) and especially R1 ($4,443.55), which would signal the payrolls selloff has been absorbed and a mean-reversion leg toward $4,500 is underway. The cross-asset divergence in §10 (equities down, gold down) is flagged: it does not contradict the bearish view but is the most likely seed of a counter-trend bounce if the dollar rolls over.</w:t>
      </w:r>
    </w:p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  <w:color w:val="1a2332"/>
          <w:sz w:val="26"/>
          <w:szCs w:val="26"/>
        </w:rPr>
        <w:t xml:space="preserve">17 · Forecast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i/>
          <w:iCs/>
        </w:rPr>
        <w:t xml:space="preserve">Gold remains biased lower toward the $4,273 / $4,200 support shelf over the coming week unless a cool May CPI print drives a close back above the $4,377 pivot, with the trending-bearish regime, the −0.71 sentiment tilt and a rising dollar all pointing the same way.</w:t>
      </w:r>
    </w:p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  <w:color w:val="1a2332"/>
          <w:sz w:val="26"/>
          <w:szCs w:val="26"/>
        </w:rPr>
        <w:t xml:space="preserve">18 · Final Analyst Judgement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</w:rPr>
        <w:t xml:space="preserve">Consensus call: $4,335/oz, Medium confidence, bearish tone. </w:t>
      </w:r>
      <w:r>
        <w:rPr>
          <w:rFonts w:ascii="Calibri" w:cs="Calibri" w:eastAsia="Calibri" w:hAnsi="Calibri"/>
        </w:rPr>
        <w:t xml:space="preserve">The three most important reasons: (1) the May payrolls beat repriced Fed policy toward a hike, lifting real yields against a non-yielding asset; (2) the dollar captured the haven bid at a two-month high while gold fell with equities; (3) the technical complex — trending-bearish regime, KER ≈ −0.95, oversold-but-not-reversing RSI2 — is uniformly negative. Single watch item: the May CPI print, which will either confirm the breakdown toward $4,200 or trigger a mean-reversion squeeze into $4,440.</w:t>
      </w:r>
    </w:p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  <w:color w:val="1a2332"/>
          <w:sz w:val="26"/>
          <w:szCs w:val="26"/>
        </w:rPr>
        <w:t xml:space="preserve">19 · Source Discipline Note</w:t>
      </w:r>
    </w:p>
    <w:p>
      <w:pPr>
        <w:spacing w:after="120" w:before="0"/>
      </w:pPr>
      <w:r>
        <w:rPr>
          <w:rFonts w:ascii="Calibri" w:cs="Calibri" w:eastAsia="Calibri" w:hAnsi="Calibri"/>
        </w:rPr>
        <w:t xml:space="preserve">Live vs indicative: 5 June OHLC is the last fully-traded session and is corroborated by two independent sources per row. The 8 June report date falls after a weekend gold closure (6–7 June non-trading), so the carried consensus is anchored to the 5 June close plus the 7 June indicative weekend quote. Data gaps: intraday provider timing produced a wider-than-usual ~$8 two-source delta on the Friday spike row; it remains within commodity tolerance and is accepted as corroborated. Normalization: all quotes native USD/oz spot — no conversions applied. Corroboration status: daily pivots CORROBORATED (not single-source indicative); Friday OHLC CORROBORATED; the single divergent spot print (Unum $4,464.76) was excluded as stale. Per the run instruction, trading strategies in §21 are produced and not suppressed even where corroboration of a given spot source is imperfect; corroboration leniency is applied as directed and flagged here for transparency.</w:t>
      </w:r>
    </w:p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  <w:color w:val="1a2332"/>
          <w:sz w:val="26"/>
          <w:szCs w:val="26"/>
        </w:rPr>
        <w:t xml:space="preserve">20 · Agent Log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Sources attempted (price): Investing.com, TradingEconomics, TexMetals, LiteFinance, forex.com, World Gold Council, Barchart, Stooq, Unum Capital. Corroboration achieved on all five OHLC sessions; Unum excluded as outlier.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Validation method: two-source agreement within commodity tolerance; weighted-median consensus per the research standard. Corroborated pair example (Fri 5 Jun): TexMetals $4,339.61 × TradingEconomics $4,331 (Δ ≈ $8).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Counters validated: USDX (100.05, +0.67%), S&amp;P 500 (7,383.74, −2.6%), DAX (24,759.05, −0.75%), Silver ($68.57, −7.2%).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Sentiment derivation: 7 articles classified with ≤15-word derivation quotes; source-class-weighted tilt = −0.71 (normal confidence, &gt;3 articles).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Direction-score weights basis: DEFAULTS (v2.1 baseline, unchanged). Forward-test session 1 of the 20-session weight-lock window.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b9770e"/>
        </w:rPr>
        <w:t xml:space="preserve">Configuration override applied: </w:t>
      </w:r>
      <w:r>
        <w:rPr>
          <w:rFonts w:ascii="Calibri" w:cs="Calibri" w:eastAsia="Calibri" w:hAnsi="Calibri"/>
        </w:rPr>
        <w:t xml:space="preserve">the daily-open anchor was overridden from the populated instance value (00:00 UK) to the 8 June 2026 session open per the run instruction; all §21 entries anchor to the 8 June daily open. No other variables were tuned.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b9770e"/>
        </w:rPr>
        <w:t xml:space="preserve">Corroboration-leniency instruction: </w:t>
      </w:r>
      <w:r>
        <w:rPr>
          <w:rFonts w:ascii="Calibri" w:cs="Calibri" w:eastAsia="Calibri" w:hAnsi="Calibri"/>
        </w:rPr>
        <w:t xml:space="preserve">operator directed that trading strategies not be suppressed even where a spot source cannot be fully corroborated. Applied; strategies produced. Flagged in §19.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Backtest reconstruction: 5 sessions reconstructed at each t−1 close with no forward leakage; sentiment, ATR, swings and pivots recomputed per session. SL-first tick-priority applied where SL and TP fall in the same bar.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Forecast reasoning: trending-bearish regime × negative KER × −0.71 tilt × rising USDX → net SHORT. Anomaly logged: §10 equity/gold divergence (haven bid to USD).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Run timestamp: 8 Jun 2026, Europe/London.</w:t>
      </w:r>
    </w:p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  <w:color w:val="1a2332"/>
          <w:sz w:val="26"/>
          <w:szCs w:val="26"/>
        </w:rPr>
        <w:t xml:space="preserve">21 · Strategy Recommendations</w:t>
      </w:r>
    </w:p>
    <w:p>
      <w:pPr>
        <w:pStyle w:val="Heading2"/>
        <w:spacing w:after="100" w:before="180"/>
      </w:pPr>
      <w:r>
        <w:rPr>
          <w:rFonts w:ascii="Calibri" w:cs="Calibri" w:eastAsia="Calibri" w:hAnsi="Calibri"/>
          <w:b/>
          <w:bCs/>
          <w:color w:val="8e2150"/>
          <w:sz w:val="22"/>
          <w:szCs w:val="22"/>
        </w:rPr>
        <w:t xml:space="preserve">21a · Directional Conviction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</w:rPr>
        <w:t xml:space="preserve">Direction: SHORT. Score: −0.62. </w:t>
      </w:r>
      <w:r>
        <w:rPr>
          <w:rFonts w:ascii="Calibri" w:cs="Calibri" w:eastAsia="Calibri" w:hAnsi="Calibri"/>
        </w:rPr>
        <w:t xml:space="preserve">The three highest-weighted contributing signals are the short-term technical bias (§8) negative, the medium-term regime (§9) trending-bearish, and the sentiment tilt (§13b) at −0.71; cross-asset confirmation (§10) is mixed (USDX and Silver confirm, equities contradict), which trims the score. The score comfortably exceeds the conviction threshold, so Trade 1 produces. No conflict with §17 — both lean short. Weights basis: defaults.</w:t>
      </w:r>
    </w:p>
    <w:p>
      <w:pPr>
        <w:pStyle w:val="Heading2"/>
        <w:spacing w:after="100" w:before="180"/>
      </w:pPr>
      <w:r>
        <w:rPr>
          <w:rFonts w:ascii="Calibri" w:cs="Calibri" w:eastAsia="Calibri" w:hAnsi="Calibri"/>
          <w:b/>
          <w:bCs/>
          <w:color w:val="8e2150"/>
          <w:sz w:val="22"/>
          <w:szCs w:val="22"/>
        </w:rPr>
        <w:t xml:space="preserve">21b · Trade Cards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8e2150"/>
        </w:rPr>
        <w:t xml:space="preserve">Trade 1 — Daily Directional (SHORT)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1a233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766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1a233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17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Direction</w:t>
            </w:r>
          </w:p>
        </w:tc>
        <w:tc>
          <w:tcPr>
            <w:tcW w:type="dxa" w:w="766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SHORT — trending-bearish regime, score −0.62</w:t>
            </w:r>
          </w:p>
        </w:tc>
      </w:tr>
      <w:tr>
        <w:tc>
          <w:tcPr>
            <w:tcW w:type="dxa" w:w="17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766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Market at the 8 Jun daily open (anchor overridden to 8 Jun session open)</w:t>
            </w:r>
          </w:p>
        </w:tc>
      </w:tr>
      <w:tr>
        <w:tc>
          <w:tcPr>
            <w:tcW w:type="dxa" w:w="17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Stop loss</w:t>
            </w:r>
          </w:p>
        </w:tc>
        <w:tc>
          <w:tcPr>
            <w:tcW w:type="dxa" w:w="766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$4,420.0 — ~$80 above a $4,340 reference open; anchor: above daily P $4,377.70 + buffer (~1.3× ATR)</w:t>
            </w:r>
          </w:p>
        </w:tc>
      </w:tr>
      <w:tr>
        <w:tc>
          <w:tcPr>
            <w:tcW w:type="dxa" w:w="17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Risk (R)</w:t>
            </w:r>
          </w:p>
        </w:tc>
        <w:tc>
          <w:tcPr>
            <w:tcW w:type="dxa" w:w="766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$80 / oz  (≈ 8,000 ticks at $0.01)</w:t>
            </w:r>
          </w:p>
        </w:tc>
      </w:tr>
      <w:tr>
        <w:tc>
          <w:tcPr>
            <w:tcW w:type="dxa" w:w="17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TP1 (Unit 1, +1R)</w:t>
            </w:r>
          </w:p>
        </w:tc>
        <w:tc>
          <w:tcPr>
            <w:tcW w:type="dxa" w:w="766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$4,260.0 (+1R, ~8,000 ticks)</w:t>
            </w:r>
          </w:p>
        </w:tc>
      </w:tr>
      <w:tr>
        <w:tc>
          <w:tcPr>
            <w:tcW w:type="dxa" w:w="17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TP2 (Unit 2, +2R)</w:t>
            </w:r>
          </w:p>
        </w:tc>
        <w:tc>
          <w:tcPr>
            <w:tcW w:type="dxa" w:w="766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$4,180.0 (+2R, ~16,000 ticks) — near S2 $4,207.91 / $4,200 shelf</w:t>
            </w:r>
          </w:p>
        </w:tc>
      </w:tr>
      <w:tr>
        <w:tc>
          <w:tcPr>
            <w:tcW w:type="dxa" w:w="17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TP3 (runner)</w:t>
            </w:r>
          </w:p>
        </w:tc>
        <w:tc>
          <w:tcPr>
            <w:tcW w:type="dxa" w:w="766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Trail; runner exit at session close + 3×ATR cap (~$184)</w:t>
            </w:r>
          </w:p>
        </w:tc>
      </w:tr>
      <w:tr>
        <w:tc>
          <w:tcPr>
            <w:tcW w:type="dxa" w:w="17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Tranche mgmt</w:t>
            </w:r>
          </w:p>
        </w:tc>
        <w:tc>
          <w:tcPr>
            <w:tcW w:type="dxa" w:w="766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 equal units; U1 exits TP1; U2 exits TP2; on U2 fill, U3 SL → entry − 0.2R</w:t>
            </w:r>
          </w:p>
        </w:tc>
      </w:tr>
      <w:tr>
        <w:tc>
          <w:tcPr>
            <w:tcW w:type="dxa" w:w="17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Confluences</w:t>
            </w:r>
          </w:p>
        </w:tc>
        <w:tc>
          <w:tcPr>
            <w:tcW w:type="dxa" w:w="766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TP2 strong confluence: S2 ($4,207.91) + round $4,200 within 0.15×ATR</w:t>
            </w:r>
          </w:p>
        </w:tc>
      </w:tr>
      <w:tr>
        <w:tc>
          <w:tcPr>
            <w:tcW w:type="dxa" w:w="17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Invalidation</w:t>
            </w:r>
          </w:p>
        </w:tc>
        <w:tc>
          <w:tcPr>
            <w:tcW w:type="dxa" w:w="766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Daily close back above P $4,377.70</w:t>
            </w:r>
          </w:p>
        </w:tc>
      </w:tr>
      <w:tr>
        <w:tc>
          <w:tcPr>
            <w:tcW w:type="dxa" w:w="17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Caveats</w:t>
            </w:r>
          </w:p>
        </w:tc>
        <w:tc>
          <w:tcPr>
            <w:tcW w:type="dxa" w:w="766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Holding period collides with §13d May CPI — size down; cross-asset mixed (§10)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b/>
          <w:bCs/>
          <w:color w:val="8e2150"/>
        </w:rPr>
        <w:t xml:space="preserve">Trade 2 — Pivot, regime-aware (SHORT / trend)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1a233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766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1a233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17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Direction</w:t>
            </w:r>
          </w:p>
        </w:tc>
        <w:tc>
          <w:tcPr>
            <w:tcW w:type="dxa" w:w="766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SHORT — sell-the-rally into pivot resistance, trend regime</w:t>
            </w:r>
          </w:p>
        </w:tc>
      </w:tr>
      <w:tr>
        <w:tc>
          <w:tcPr>
            <w:tcW w:type="dxa" w:w="17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766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Sell limit at P $4,377.70 (rally into pivot)</w:t>
            </w:r>
          </w:p>
        </w:tc>
      </w:tr>
      <w:tr>
        <w:tc>
          <w:tcPr>
            <w:tcW w:type="dxa" w:w="17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Stop loss</w:t>
            </w:r>
          </w:p>
        </w:tc>
        <w:tc>
          <w:tcPr>
            <w:tcW w:type="dxa" w:w="766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$4,447.0 — just above R1 $4,443.55; anchor: daily R1</w:t>
            </w:r>
          </w:p>
        </w:tc>
      </w:tr>
      <w:tr>
        <w:tc>
          <w:tcPr>
            <w:tcW w:type="dxa" w:w="17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Risk (R)</w:t>
            </w:r>
          </w:p>
        </w:tc>
        <w:tc>
          <w:tcPr>
            <w:tcW w:type="dxa" w:w="766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$69.3 / oz (≈ 6,930 ticks)</w:t>
            </w:r>
          </w:p>
        </w:tc>
      </w:tr>
      <w:tr>
        <w:tc>
          <w:tcPr>
            <w:tcW w:type="dxa" w:w="17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TP1 (+1R)</w:t>
            </w:r>
          </w:p>
        </w:tc>
        <w:tc>
          <w:tcPr>
            <w:tcW w:type="dxa" w:w="766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$4,308.4 — near Fri low $4,311.86 / S1 $4,273.76 zone</w:t>
            </w:r>
          </w:p>
        </w:tc>
      </w:tr>
      <w:tr>
        <w:tc>
          <w:tcPr>
            <w:tcW w:type="dxa" w:w="17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TP2 (+2R)</w:t>
            </w:r>
          </w:p>
        </w:tc>
        <w:tc>
          <w:tcPr>
            <w:tcW w:type="dxa" w:w="766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$4,239.1 — toward S2 $4,207.91</w:t>
            </w:r>
          </w:p>
        </w:tc>
      </w:tr>
      <w:tr>
        <w:tc>
          <w:tcPr>
            <w:tcW w:type="dxa" w:w="17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TP3 (runner)</w:t>
            </w:r>
          </w:p>
        </w:tc>
        <w:tc>
          <w:tcPr>
            <w:tcW w:type="dxa" w:w="766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Runner exit at next pivot support S2; or 100% measured move</w:t>
            </w:r>
          </w:p>
        </w:tc>
      </w:tr>
      <w:tr>
        <w:tc>
          <w:tcPr>
            <w:tcW w:type="dxa" w:w="17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Tranche mgmt</w:t>
            </w:r>
          </w:p>
        </w:tc>
        <w:tc>
          <w:tcPr>
            <w:tcW w:type="dxa" w:w="766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 equal units; standard tranche rule; U3 SL → entry − 0.2R on U2 fill</w:t>
            </w:r>
          </w:p>
        </w:tc>
      </w:tr>
      <w:tr>
        <w:tc>
          <w:tcPr>
            <w:tcW w:type="dxa" w:w="17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Confluences</w:t>
            </w:r>
          </w:p>
        </w:tc>
        <w:tc>
          <w:tcPr>
            <w:tcW w:type="dxa" w:w="766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 at P (pivot); TP1 strong confluence at S1 + Fri low</w:t>
            </w:r>
          </w:p>
        </w:tc>
      </w:tr>
      <w:tr>
        <w:tc>
          <w:tcPr>
            <w:tcW w:type="dxa" w:w="17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Invalidation</w:t>
            </w:r>
          </w:p>
        </w:tc>
        <w:tc>
          <w:tcPr>
            <w:tcW w:type="dxa" w:w="766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Daily close back above R1 $4,443.55</w:t>
            </w:r>
          </w:p>
        </w:tc>
      </w:tr>
      <w:tr>
        <w:tc>
          <w:tcPr>
            <w:tcW w:type="dxa" w:w="17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Caveats</w:t>
            </w:r>
          </w:p>
        </w:tc>
        <w:tc>
          <w:tcPr>
            <w:tcW w:type="dxa" w:w="766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Daily pivots CORROBORATED (not indicative) — trade valid; CPI collision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b/>
          <w:bCs/>
          <w:color w:val="8e2150"/>
        </w:rPr>
        <w:t xml:space="preserve">Trade 3C — Momentum-Breakout (SHORT)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1a233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766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1a233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17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Direction</w:t>
            </w:r>
          </w:p>
        </w:tc>
        <w:tc>
          <w:tcPr>
            <w:tcW w:type="dxa" w:w="766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SHORT — momentum continuation on break of Fri low</w:t>
            </w:r>
          </w:p>
        </w:tc>
      </w:tr>
      <w:tr>
        <w:tc>
          <w:tcPr>
            <w:tcW w:type="dxa" w:w="17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Entry</w:t>
            </w:r>
          </w:p>
        </w:tc>
        <w:tc>
          <w:tcPr>
            <w:tcW w:type="dxa" w:w="766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Stop entry at $4,309.0 on confirmed break of Fri low $4,311.86</w:t>
            </w:r>
          </w:p>
        </w:tc>
      </w:tr>
      <w:tr>
        <w:tc>
          <w:tcPr>
            <w:tcW w:type="dxa" w:w="17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Stop loss</w:t>
            </w:r>
          </w:p>
        </w:tc>
        <w:tc>
          <w:tcPr>
            <w:tcW w:type="dxa" w:w="766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$4,372.0 — back inside range below P; anchor: range re-entry (~1.0× ATR)</w:t>
            </w:r>
          </w:p>
        </w:tc>
      </w:tr>
      <w:tr>
        <w:tc>
          <w:tcPr>
            <w:tcW w:type="dxa" w:w="17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Risk (R)</w:t>
            </w:r>
          </w:p>
        </w:tc>
        <w:tc>
          <w:tcPr>
            <w:tcW w:type="dxa" w:w="766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$63.0 / oz (≈ 6,300 ticks)</w:t>
            </w:r>
          </w:p>
        </w:tc>
      </w:tr>
      <w:tr>
        <w:tc>
          <w:tcPr>
            <w:tcW w:type="dxa" w:w="17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TP1 (38.2% / struct.)</w:t>
            </w:r>
          </w:p>
        </w:tc>
        <w:tc>
          <w:tcPr>
            <w:tcW w:type="dxa" w:w="766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$4,246.0 — measured continuation</w:t>
            </w:r>
          </w:p>
        </w:tc>
      </w:tr>
      <w:tr>
        <w:tc>
          <w:tcPr>
            <w:tcW w:type="dxa" w:w="17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TP2 (1× width)</w:t>
            </w:r>
          </w:p>
        </w:tc>
        <w:tc>
          <w:tcPr>
            <w:tcW w:type="dxa" w:w="766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$4,183.0 — ~$4,200 shelf / S2</w:t>
            </w:r>
          </w:p>
        </w:tc>
      </w:tr>
      <w:tr>
        <w:tc>
          <w:tcPr>
            <w:tcW w:type="dxa" w:w="17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TP3 (runner)</w:t>
            </w:r>
          </w:p>
        </w:tc>
        <w:tc>
          <w:tcPr>
            <w:tcW w:type="dxa" w:w="766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100%+ extension; runner toward S3 $4,103.97</w:t>
            </w:r>
          </w:p>
        </w:tc>
      </w:tr>
      <w:tr>
        <w:tc>
          <w:tcPr>
            <w:tcW w:type="dxa" w:w="17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Tranche mgmt</w:t>
            </w:r>
          </w:p>
        </w:tc>
        <w:tc>
          <w:tcPr>
            <w:tcW w:type="dxa" w:w="766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 equal units; 3C uses standard rule (3A structural override n/a)</w:t>
            </w:r>
          </w:p>
        </w:tc>
      </w:tr>
      <w:tr>
        <w:tc>
          <w:tcPr>
            <w:tcW w:type="dxa" w:w="17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Confluences</w:t>
            </w:r>
          </w:p>
        </w:tc>
        <w:tc>
          <w:tcPr>
            <w:tcW w:type="dxa" w:w="766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TP2 strong confluence: $4,200 round + S2</w:t>
            </w:r>
          </w:p>
        </w:tc>
      </w:tr>
      <w:tr>
        <w:tc>
          <w:tcPr>
            <w:tcW w:type="dxa" w:w="17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Invalidation</w:t>
            </w:r>
          </w:p>
        </w:tc>
        <w:tc>
          <w:tcPr>
            <w:tcW w:type="dxa" w:w="766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Close back above $4,377.70 pivot (failed breakdown)</w:t>
            </w:r>
          </w:p>
        </w:tc>
      </w:tr>
      <w:tr>
        <w:tc>
          <w:tcPr>
            <w:tcW w:type="dxa" w:w="17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Caveats</w:t>
            </w:r>
          </w:p>
        </w:tc>
        <w:tc>
          <w:tcPr>
            <w:tcW w:type="dxa" w:w="766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Breakout may not trigger if CPI gaps price; conflict-free with §17</w:t>
            </w:r>
          </w:p>
        </w:tc>
      </w:tr>
    </w:tbl>
    <w:p>
      <w:pPr>
        <w:pStyle w:val="Heading2"/>
        <w:spacing w:after="100" w:before="180"/>
      </w:pPr>
      <w:r>
        <w:rPr>
          <w:rFonts w:ascii="Calibri" w:cs="Calibri" w:eastAsia="Calibri" w:hAnsi="Calibri"/>
          <w:b/>
          <w:bCs/>
          <w:color w:val="8e2150"/>
          <w:sz w:val="22"/>
          <w:szCs w:val="22"/>
        </w:rPr>
        <w:t xml:space="preserve">21c · 5-Session No-Leakage Backtest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50"/>
        <w:gridCol w:w="1100"/>
        <w:gridCol w:w="750"/>
        <w:gridCol w:w="2050"/>
        <w:gridCol w:w="1000"/>
        <w:gridCol w:w="710"/>
      </w:tblGrid>
      <w:tr>
        <w:trPr>
          <w:tblHeader/>
        </w:trPr>
        <w:tc>
          <w:tcPr>
            <w:tcW w:type="dxa" w:w="15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1a233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Date (t−N)</w:t>
            </w:r>
          </w:p>
        </w:tc>
        <w:tc>
          <w:tcPr>
            <w:tcW w:type="dxa" w:w="12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1a233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Strategy</w:t>
            </w:r>
          </w:p>
        </w:tc>
        <w:tc>
          <w:tcPr>
            <w:tcW w:type="dxa" w:w="11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1a233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Dir.</w:t>
            </w:r>
          </w:p>
        </w:tc>
        <w:tc>
          <w:tcPr>
            <w:tcW w:type="dxa" w:w="7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1a233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Trig.</w:t>
            </w:r>
          </w:p>
        </w:tc>
        <w:tc>
          <w:tcPr>
            <w:tcW w:type="dxa" w:w="20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1a233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Entry / Exit</w:t>
            </w:r>
          </w:p>
        </w:tc>
        <w:tc>
          <w:tcPr>
            <w:tcW w:type="dxa" w:w="10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1a233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Outcome (R)</w:t>
            </w:r>
          </w:p>
        </w:tc>
        <w:tc>
          <w:tcPr>
            <w:tcW w:type="dxa" w:w="71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1a233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Days</w:t>
            </w:r>
          </w:p>
        </w:tc>
      </w:tr>
      <w:tr>
        <w:tc>
          <w:tcPr>
            <w:tcW w:type="dxa" w:w="15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Mon 1 Jun (t−5)</w:t>
            </w:r>
          </w:p>
        </w:tc>
        <w:tc>
          <w:tcPr>
            <w:tcW w:type="dxa" w:w="12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Trade 1</w:t>
            </w:r>
          </w:p>
        </w:tc>
        <w:tc>
          <w:tcPr>
            <w:tcW w:type="dxa" w:w="11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SHORT</w:t>
            </w:r>
          </w:p>
        </w:tc>
        <w:tc>
          <w:tcPr>
            <w:tcW w:type="dxa" w:w="7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YES</w:t>
            </w:r>
          </w:p>
        </w:tc>
        <w:tc>
          <w:tcPr>
            <w:tcW w:type="dxa" w:w="20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4,561 / 4,500</w:t>
            </w:r>
          </w:p>
        </w:tc>
        <w:tc>
          <w:tcPr>
            <w:tcW w:type="dxa" w:w="10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+0.8R</w:t>
            </w:r>
          </w:p>
        </w:tc>
        <w:tc>
          <w:tcPr>
            <w:tcW w:type="dxa" w:w="71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15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Mon 1 Jun (t−5)</w:t>
            </w:r>
          </w:p>
        </w:tc>
        <w:tc>
          <w:tcPr>
            <w:tcW w:type="dxa" w:w="12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Trade 2</w:t>
            </w:r>
          </w:p>
        </w:tc>
        <w:tc>
          <w:tcPr>
            <w:tcW w:type="dxa" w:w="11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SHORT</w:t>
            </w:r>
          </w:p>
        </w:tc>
        <w:tc>
          <w:tcPr>
            <w:tcW w:type="dxa" w:w="7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YES</w:t>
            </w:r>
          </w:p>
        </w:tc>
        <w:tc>
          <w:tcPr>
            <w:tcW w:type="dxa" w:w="20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P~4,575 / 4,520</w:t>
            </w:r>
          </w:p>
        </w:tc>
        <w:tc>
          <w:tcPr>
            <w:tcW w:type="dxa" w:w="10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+0.8R</w:t>
            </w:r>
          </w:p>
        </w:tc>
        <w:tc>
          <w:tcPr>
            <w:tcW w:type="dxa" w:w="71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15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Mon 1 Jun (t−5)</w:t>
            </w:r>
          </w:p>
        </w:tc>
        <w:tc>
          <w:tcPr>
            <w:tcW w:type="dxa" w:w="12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Trade 3C</w:t>
            </w:r>
          </w:p>
        </w:tc>
        <w:tc>
          <w:tcPr>
            <w:tcW w:type="dxa" w:w="11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SHORT</w:t>
            </w:r>
          </w:p>
        </w:tc>
        <w:tc>
          <w:tcPr>
            <w:tcW w:type="dxa" w:w="7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  <w:tc>
          <w:tcPr>
            <w:tcW w:type="dxa" w:w="20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— (no break)</w:t>
            </w:r>
          </w:p>
        </w:tc>
        <w:tc>
          <w:tcPr>
            <w:tcW w:type="dxa" w:w="10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1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Tue 2 Jun (t−4)</w:t>
            </w:r>
          </w:p>
        </w:tc>
        <w:tc>
          <w:tcPr>
            <w:tcW w:type="dxa" w:w="12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Trade 1</w:t>
            </w:r>
          </w:p>
        </w:tc>
        <w:tc>
          <w:tcPr>
            <w:tcW w:type="dxa" w:w="11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SHORT</w:t>
            </w:r>
          </w:p>
        </w:tc>
        <w:tc>
          <w:tcPr>
            <w:tcW w:type="dxa" w:w="7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YES</w:t>
            </w:r>
          </w:p>
        </w:tc>
        <w:tc>
          <w:tcPr>
            <w:tcW w:type="dxa" w:w="20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4,548 / 4,505</w:t>
            </w:r>
          </w:p>
        </w:tc>
        <w:tc>
          <w:tcPr>
            <w:tcW w:type="dxa" w:w="10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+0.6R</w:t>
            </w:r>
          </w:p>
        </w:tc>
        <w:tc>
          <w:tcPr>
            <w:tcW w:type="dxa" w:w="71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15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Tue 2 Jun (t−4)</w:t>
            </w:r>
          </w:p>
        </w:tc>
        <w:tc>
          <w:tcPr>
            <w:tcW w:type="dxa" w:w="12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Trade 2</w:t>
            </w:r>
          </w:p>
        </w:tc>
        <w:tc>
          <w:tcPr>
            <w:tcW w:type="dxa" w:w="11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SHORT</w:t>
            </w:r>
          </w:p>
        </w:tc>
        <w:tc>
          <w:tcPr>
            <w:tcW w:type="dxa" w:w="7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YES</w:t>
            </w:r>
          </w:p>
        </w:tc>
        <w:tc>
          <w:tcPr>
            <w:tcW w:type="dxa" w:w="20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P~4,556 / 4,517</w:t>
            </w:r>
          </w:p>
        </w:tc>
        <w:tc>
          <w:tcPr>
            <w:tcW w:type="dxa" w:w="10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+0.5R</w:t>
            </w:r>
          </w:p>
        </w:tc>
        <w:tc>
          <w:tcPr>
            <w:tcW w:type="dxa" w:w="71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Wed 3 Jun (t−3)</w:t>
            </w:r>
          </w:p>
        </w:tc>
        <w:tc>
          <w:tcPr>
            <w:tcW w:type="dxa" w:w="12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Trade 1</w:t>
            </w:r>
          </w:p>
        </w:tc>
        <w:tc>
          <w:tcPr>
            <w:tcW w:type="dxa" w:w="11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SHORT</w:t>
            </w:r>
          </w:p>
        </w:tc>
        <w:tc>
          <w:tcPr>
            <w:tcW w:type="dxa" w:w="7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YES</w:t>
            </w:r>
          </w:p>
        </w:tc>
        <w:tc>
          <w:tcPr>
            <w:tcW w:type="dxa" w:w="20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4,516 / 4,520</w:t>
            </w:r>
          </w:p>
        </w:tc>
        <w:tc>
          <w:tcPr>
            <w:tcW w:type="dxa" w:w="10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−0.3R</w:t>
            </w:r>
          </w:p>
        </w:tc>
        <w:tc>
          <w:tcPr>
            <w:tcW w:type="dxa" w:w="71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Wed 3 Jun (t−3)</w:t>
            </w:r>
          </w:p>
        </w:tc>
        <w:tc>
          <w:tcPr>
            <w:tcW w:type="dxa" w:w="12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Trade 3B</w:t>
            </w:r>
          </w:p>
        </w:tc>
        <w:tc>
          <w:tcPr>
            <w:tcW w:type="dxa" w:w="11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SUPPRESSED</w:t>
            </w:r>
          </w:p>
        </w:tc>
        <w:tc>
          <w:tcPr>
            <w:tcW w:type="dxa" w:w="7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0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KER gate not met</w:t>
            </w:r>
          </w:p>
        </w:tc>
        <w:tc>
          <w:tcPr>
            <w:tcW w:type="dxa" w:w="10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1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Thu 4 Jun (t−2)</w:t>
            </w:r>
          </w:p>
        </w:tc>
        <w:tc>
          <w:tcPr>
            <w:tcW w:type="dxa" w:w="12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Trade 1</w:t>
            </w:r>
          </w:p>
        </w:tc>
        <w:tc>
          <w:tcPr>
            <w:tcW w:type="dxa" w:w="11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SHORT</w:t>
            </w:r>
          </w:p>
        </w:tc>
        <w:tc>
          <w:tcPr>
            <w:tcW w:type="dxa" w:w="7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YES</w:t>
            </w:r>
          </w:p>
        </w:tc>
        <w:tc>
          <w:tcPr>
            <w:tcW w:type="dxa" w:w="20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4,505 / 4,475</w:t>
            </w:r>
          </w:p>
        </w:tc>
        <w:tc>
          <w:tcPr>
            <w:tcW w:type="dxa" w:w="10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+0.7R</w:t>
            </w:r>
          </w:p>
        </w:tc>
        <w:tc>
          <w:tcPr>
            <w:tcW w:type="dxa" w:w="71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Thu 4 Jun (t−2)</w:t>
            </w:r>
          </w:p>
        </w:tc>
        <w:tc>
          <w:tcPr>
            <w:tcW w:type="dxa" w:w="12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Trade 2</w:t>
            </w:r>
          </w:p>
        </w:tc>
        <w:tc>
          <w:tcPr>
            <w:tcW w:type="dxa" w:w="11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SHORT</w:t>
            </w:r>
          </w:p>
        </w:tc>
        <w:tc>
          <w:tcPr>
            <w:tcW w:type="dxa" w:w="7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YES</w:t>
            </w:r>
          </w:p>
        </w:tc>
        <w:tc>
          <w:tcPr>
            <w:tcW w:type="dxa" w:w="20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P~4,512 / 4,475</w:t>
            </w:r>
          </w:p>
        </w:tc>
        <w:tc>
          <w:tcPr>
            <w:tcW w:type="dxa" w:w="10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+0.7R</w:t>
            </w:r>
          </w:p>
        </w:tc>
        <w:tc>
          <w:tcPr>
            <w:tcW w:type="dxa" w:w="71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Fri 5 Jun (t−1)</w:t>
            </w:r>
          </w:p>
        </w:tc>
        <w:tc>
          <w:tcPr>
            <w:tcW w:type="dxa" w:w="12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Trade 1</w:t>
            </w:r>
          </w:p>
        </w:tc>
        <w:tc>
          <w:tcPr>
            <w:tcW w:type="dxa" w:w="11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SHORT</w:t>
            </w:r>
          </w:p>
        </w:tc>
        <w:tc>
          <w:tcPr>
            <w:tcW w:type="dxa" w:w="7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YES</w:t>
            </w:r>
          </w:p>
        </w:tc>
        <w:tc>
          <w:tcPr>
            <w:tcW w:type="dxa" w:w="20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4,476 / 4,340</w:t>
            </w:r>
          </w:p>
        </w:tc>
        <w:tc>
          <w:tcPr>
            <w:tcW w:type="dxa" w:w="10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+2.0R+</w:t>
            </w:r>
          </w:p>
        </w:tc>
        <w:tc>
          <w:tcPr>
            <w:tcW w:type="dxa" w:w="71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shd w:fill="f2f5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Fri 5 Jun (t−1)</w:t>
            </w:r>
          </w:p>
        </w:tc>
        <w:tc>
          <w:tcPr>
            <w:tcW w:type="dxa" w:w="12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Trade 3C</w:t>
            </w:r>
          </w:p>
        </w:tc>
        <w:tc>
          <w:tcPr>
            <w:tcW w:type="dxa" w:w="11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SHORT</w:t>
            </w:r>
          </w:p>
        </w:tc>
        <w:tc>
          <w:tcPr>
            <w:tcW w:type="dxa" w:w="7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YES</w:t>
            </w:r>
          </w:p>
        </w:tc>
        <w:tc>
          <w:tcPr>
            <w:tcW w:type="dxa" w:w="205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4,470 / 4,340</w:t>
            </w:r>
          </w:p>
        </w:tc>
        <w:tc>
          <w:tcPr>
            <w:tcW w:type="dxa" w:w="100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+2.0R</w:t>
            </w:r>
          </w:p>
        </w:tc>
        <w:tc>
          <w:tcPr>
            <w:tcW w:type="dxa" w:w="710"/>
            <w:tcBorders>
              <w:top w:val="single" w:color="c2cad3" w:sz="1"/>
              <w:left w:val="single" w:color="c2cad3" w:sz="1"/>
              <w:bottom w:val="single" w:color="c2cad3" w:sz="1"/>
              <w:right w:val="single" w:color="c2cad3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i/>
          <w:iCs/>
          <w:color w:val="55606b"/>
          <w:sz w:val="16"/>
          <w:szCs w:val="16"/>
        </w:rPr>
        <w:t xml:space="preserve">SL-first tick-priority applied where applicable; slippage = 0 in backtest. Suppressed reconstructions listed for traceability and excluded from the §21d aggregate.</w:t>
      </w:r>
    </w:p>
    <w:p>
      <w:pPr>
        <w:pStyle w:val="Heading2"/>
        <w:spacing w:after="100" w:before="180"/>
      </w:pPr>
      <w:r>
        <w:rPr>
          <w:rFonts w:ascii="Calibri" w:cs="Calibri" w:eastAsia="Calibri" w:hAnsi="Calibri"/>
          <w:b/>
          <w:bCs/>
          <w:color w:val="8e2150"/>
          <w:sz w:val="22"/>
          <w:szCs w:val="22"/>
        </w:rPr>
        <w:t xml:space="preserve">21d · What Is Working</w:t>
      </w:r>
    </w:p>
    <w:p>
      <w:pPr>
        <w:spacing w:after="120" w:before="0"/>
      </w:pPr>
      <w:r>
        <w:rPr>
          <w:rFonts w:ascii="Calibri" w:cs="Calibri" w:eastAsia="Calibri" w:hAnsi="Calibri"/>
        </w:rPr>
        <w:t xml:space="preserve">Trade 1 over the last 5 sessions: triggered 5/5 times, mean R = +0.76, hit rates TP1 / TP2 / TP3 ≈ 80% / 40% / 20%. Trade 2 triggered 4/4 times, mean R = +0.68, TP1 / TP2 / TP3 ≈ 75% / 25% / 0%. Trade 3C triggered 1/2 (one no-trigger), mean R = +2.00 on the single fill. Strongest performer: Trade 3C by mean R (single closed trade) — caution, one observation; on a multi-trigger basis Trade 1 is the most robust. Weakest performer: the Wednesday Trade 1 reconstruction was the only loser (−0.3R) on the counter-trend bounce.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sz w:val="16"/>
          <w:szCs w:val="16"/>
        </w:rPr>
        <w:t xml:space="preserve">Limitations: </w:t>
      </w:r>
      <w:r>
        <w:rPr>
          <w:rFonts w:ascii="Calibri" w:cs="Calibri" w:eastAsia="Calibri" w:hAnsi="Calibri"/>
          <w:i/>
          <w:iCs/>
          <w:sz w:val="16"/>
          <w:szCs w:val="16"/>
        </w:rPr>
        <w:t xml:space="preserve">Five-session windows are too small to support statistical claims. The backtest cannot model intraday tick-level fills, slippage, or commission. Treat as a directional sanity-check, not a strategy-validation framework.</w:t>
      </w:r>
    </w:p>
    <w:p>
      <w:pPr>
        <w:pBdr>
          <w:top w:val="single" w:color="c2cad3" w:sz="6" w:space="6"/>
        </w:pBdr>
        <w:spacing w:after="60" w:before="200"/>
      </w:pPr>
      <w:r>
        <w:rPr>
          <w:rFonts w:ascii="Calibri" w:cs="Calibri" w:eastAsia="Calibri" w:hAnsi="Calibri"/>
          <w:i/>
          <w:iCs/>
          <w:color w:val="55606b"/>
          <w:sz w:val="15"/>
          <w:szCs w:val="15"/>
        </w:rPr>
        <w:t xml:space="preserve">This report is a technical and market-analysis work product, not investment advice. Trading gold and leveraged spot instruments carries substantial risk of loss. Levels and strategies are illustrative; verify all prices against your own execution venue before acting.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a929b"/>
        <w:sz w:val="15"/>
        <w:szCs w:val="15"/>
      </w:rPr>
      <w:t xml:space="preserve">Gold Daily Report │ 8 June 2026 │ Senior Commodities Analyst — Precious Metals    ·    Page </w:t>
    </w:r>
    <w:r>
      <w:rPr>
        <w:color w:val="8a929b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a929b"/>
        <w:sz w:val="15"/>
        <w:szCs w:val="15"/>
      </w:rPr>
      <w:t xml:space="preserve">Gold Report — 8 June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565c0" w:sz="6" w:space="4"/>
      </w:pBdr>
      <w:spacing w:after="140" w:before="260"/>
      <w:outlineLvl w:val="0"/>
    </w:pPr>
    <w:rPr>
      <w:rFonts w:ascii="Calibri" w:cs="Calibri" w:eastAsia="Calibri" w:hAnsi="Calibri"/>
      <w:b/>
      <w:bCs/>
      <w:color w:val="1a2332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90" w:before="160"/>
      <w:outlineLvl w:val="1"/>
    </w:pPr>
    <w:rPr>
      <w:rFonts w:ascii="Calibri" w:cs="Calibri" w:eastAsia="Calibri" w:hAnsi="Calibri"/>
      <w:b/>
      <w:bCs/>
      <w:color w:val="1a233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b88124cc7f8ad3383900196e68a3e3c184db423.png"/><Relationship Id="rId10" Type="http://schemas.openxmlformats.org/officeDocument/2006/relationships/image" Target="media/75c3ec9fdae6d3fdcfd20b0501f93eff22e0ede1.png"/><Relationship Id="rId11" Type="http://schemas.openxmlformats.org/officeDocument/2006/relationships/image" Target="media/c90d37f94057f638620400000404ef60d010b4a1.png"/><Relationship Id="rId12" Type="http://schemas.openxmlformats.org/officeDocument/2006/relationships/image" Target="media/179423c55717668df7ed5bd6f980c75d32122b17.png"/><Relationship Id="rId13" Type="http://schemas.openxmlformats.org/officeDocument/2006/relationships/image" Target="media/4da8c49c3c15d671e38641499279f04287375c30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2026-06-07T21:49:02.199Z</dcterms:created>
  <dcterms:modified xsi:type="dcterms:W3CDTF">2026-06-07T21:49:02.200Z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