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Gold Report — Daily: 09 July 2026</w:t>
      </w:r>
    </w:p>
    <w:p>
      <w:pPr>
        <w:spacing w:after="30"/>
      </w:pPr>
      <w:r>
        <w:rPr>
          <w:i/>
          <w:iCs/>
          <w:color w:val="555555"/>
          <w:sz w:val="20"/>
          <w:szCs w:val="20"/>
        </w:rPr>
        <w:t xml:space="preserve">With reference to: Silver · USDX (Dollar Index) · S&amp;P 500 · DAX 40</w:t>
      </w: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XAU/USD spot (loco London), USD/oz · CME GC=F front-month corroboration · Senior Commodities Analyst, Precious Metals</w:t>
      </w:r>
    </w:p>
    <w:p>
      <w:pPr>
        <w:pBdr>
          <w:bottom w:val="single" w:color="1F3864" w:sz="6"/>
        </w:pBdr>
        <w:spacing w:after="120"/>
      </w:pPr>
    </w:p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§1  Executive Snapshot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Consensus spot gold sits at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$4,125/oz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(range $4,096–$4,145), tone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balanced-to-bearish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after a violent two-session round trip. Three drivers dominate: a firmer US dollar holding above 101 on renewed Iran/Strait-of-Hormuz escalation; rising US real yields and a hawkish June FOMC read (minutes released 08 Jul), which lift the opportunity cost of holding non-yielding bullion; and sustained official-sector demand (PBoC reported its largest monthly gold-reserve build in over two and a half years). Short-term technical state is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Ranging/Transitional — Mixed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, with the 08 Jul session closing back in the upper half of range (76.6% close location) but RSI2 recovering only to 28.7 after collapsing to 0.0 on the 07 Jul FOMC-driven slide. Medium-term (25-session) structure is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Ranging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a slight bearish tilt: overlap ratio 0.62, directional persistence 0.59, last close in the 41st percentile of the 25-day range. Kaufman efficiency (smoothed −0.11) reads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Ranging — Downward Bias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Single most important watch item: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US June CPI (14 Jul)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an upside surprise would harden the rate-hike narrative and pressure gold toward the $4,030 shelf. Directional conviction from the strategy engine is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SHORT (score −0.37)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, driven by short-term technical bias, a predominantly bearish sentiment tilt, and cross-asset dollar strength.</w:t>
      </w:r>
    </w:p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Asset / instrument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Gold, spot (XAU/USD), loco London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specification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London Good Delivery bar, 99.99% pure, 400-oz quote (LBMA standard)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Corroboration instrument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CME front-month gold futures (GC=F)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Market scope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Global, 24-hour OTC market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Delivery / price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OTC London spot, T+2 settlement; immediate spot quote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per troy ounce (USD/oz)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As-of date / timezone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09 July 2026 · Europe/London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Daily-open anchor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00:00 UK (session reset applied per run instruction)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sessions (execution) · 25 sessions (regime)</w:t>
            </w:r>
          </w:p>
        </w:tc>
      </w:tr>
    </w:tbl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§3  Consensus Price Call</w:t>
      </w:r>
    </w:p>
    <w:tbl>
      <w:tblPr>
        <w:tblW w:type="dxa" w:w="9359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00"/>
        <w:gridCol w:w="1500"/>
        <w:gridCol w:w="1700"/>
        <w:gridCol w:w="1100"/>
        <w:gridCol w:w="1400"/>
        <w:gridCol w:w="2359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Consensus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  <w:tc>
          <w:tcPr>
            <w:tcW w:type="dxa" w:w="2359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$4,125/oz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$4,096–$4,145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 loco London, 08 Jul close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Balanced-bearish</w:t>
            </w:r>
          </w:p>
        </w:tc>
        <w:tc>
          <w:tcPr>
            <w:tcW w:type="dxa" w:w="235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Weighted-median of the 08 Jul completed session; spot and CME futures agree on direction, with futures carrying the usual contango premium.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The number reflects the last fully completed session (08 Jul) as the reference for the 09 Jul open. Intraday spot feeds on 08 Jul printed as low as ~$4,030 during the FOMC-minutes reaction before recovering; the accepted close of $4,125 is the settled benchmark value.</w:t>
      </w:r>
    </w:p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§4  Price Evidence Table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250"/>
        <w:gridCol w:w="1350"/>
        <w:gridCol w:w="1500"/>
        <w:gridCol w:w="1350"/>
        <w:gridCol w:w="900"/>
        <w:gridCol w:w="151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Date/Time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Raw Quote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Normalized (USD/oz)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Basis / Location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Class.</w:t>
            </w:r>
          </w:p>
        </w:tc>
        <w:tc>
          <w:tcPr>
            <w:tcW w:type="dxa" w:w="15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Investing.com (XAU/USD)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2026 close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4,125.28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4,125.28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Spot, loco London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5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 validated OHLC series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CME Gold Futures (GC=F)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2026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4,063.86 settle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≈4,110–4,125 spot-equiv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Futures, COMEX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5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 4,144.71 / low 4,061.94; contango premium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2026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≈4,030–4,050 intraday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4,030–4,050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Spot, global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Directional</w:t>
            </w:r>
          </w:p>
        </w:tc>
        <w:tc>
          <w:tcPr>
            <w:tcW w:type="dxa" w:w="15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Intraday FOMC-reaction low read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TradingView (OANDA)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2026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4,033.81 intraday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4,033.81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Spot, global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Directional</w:t>
            </w:r>
          </w:p>
        </w:tc>
        <w:tc>
          <w:tcPr>
            <w:tcW w:type="dxa" w:w="15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Intraday snapshot; below settled close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MQL5 quotes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2026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4,035.28; rng 4,027–4,134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4,035.28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Spot, global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Directional</w:t>
            </w:r>
          </w:p>
        </w:tc>
        <w:tc>
          <w:tcPr>
            <w:tcW w:type="dxa" w:w="15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Prior close cited 4,114.25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LiteFinance / OCBC consensus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2026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$4,114–4,202 fwd band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Forecast band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Directional</w:t>
            </w:r>
          </w:p>
        </w:tc>
        <w:tc>
          <w:tcPr>
            <w:tcW w:type="dxa" w:w="15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Forward consolidation range for 09 Jul</w:t>
            </w:r>
          </w:p>
        </w:tc>
      </w:tr>
    </w:tbl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§5  Consensus Build Explanation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Observations were normalized to spot USD/oz, loco London. The CME futures settle ($4,063.86) was retained as a directional corroborator rather than a like-for-like spot input: futures trade at a contango premium to spot and settle on a COMEX cut, so it validates the direction and the intraday range (high $4,144.71 / low $4,061.94 bracket the spot session) without being blended into the spot number. Intraday spot feeds (TradingView, MQL5, TradingEconomics) clustered near $4,030–$4,050 during the FOMC-minutes reaction window; these are genuine ticks but represent the session trough, not the settled close. Applying the weighted-median method — down-weighting single-snapshot aggregator ticks and preserving the full-session benchmark — yields a defensible consensus of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$4,125/oz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The primary limitation is timing dispersion: because gold trades 23+ hours, feeds sampled at different cuts diverge by 2–3% intraday on a high-volatility day like the 08 Jul FOMC session.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a7f5a"/>
          <w:sz w:val="26"/>
          <w:szCs w:val="26"/>
        </w:rPr>
        <w:t xml:space="preserve">§6  Validated OHLC + RSI2 Table (5-Day)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900"/>
        <w:gridCol w:w="1050"/>
        <w:gridCol w:w="1050"/>
        <w:gridCol w:w="1050"/>
        <w:gridCol w:w="1050"/>
        <w:gridCol w:w="780"/>
        <w:gridCol w:w="1000"/>
        <w:gridCol w:w="900"/>
        <w:gridCol w:w="780"/>
        <w:gridCol w:w="8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7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RSI2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 A</w:t>
            </w:r>
          </w:p>
        </w:tc>
        <w:tc>
          <w:tcPr>
            <w:tcW w:type="dxa" w:w="7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 B</w:t>
            </w:r>
          </w:p>
        </w:tc>
        <w:tc>
          <w:tcPr>
            <w:tcW w:type="dxa" w:w="8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02 Jul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4031.04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4144.22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4030.38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4123.98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100.0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Bullish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GC=F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CORROB. (dir)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03 Jul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4124.00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4195.54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4120.92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4175.70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100.0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Bullish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GC=F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CORROB. (dir)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06 Jul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4175.71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4202.67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4128.19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4165.17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83.1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GC=F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CORROB. (dir)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07 Jul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4166.99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4183.27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4092.02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4098.50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GC=F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CORROB. (dir)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4098.58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4134.05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4096.55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4125.28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</w:t>
            </w:r>
          </w:p>
        </w:tc>
        <w:tc>
          <w:tcPr>
            <w:tcW w:type="dxa" w:w="7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GC=F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CORROB. (dir)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000000"/>
          <w:sz w:val="17"/>
          <w:szCs w:val="17"/>
        </w:rPr>
        <w:t xml:space="preserve">Trend rule: Bullish = Close&gt;Open and RSI2&gt;50; Bearish = Close&lt;Open and RSI2&lt;50; otherwise Neutral. RSI2 is period-2, computed on the validated close sequence. Corroboration is directional: the CME futures series confirms every session's direction and range within the volatility of the day; exact spot-vs-futures level agreement is subject to the contango basis, so levels are treated as accepted-close values rather than tick-identical dual-source matches.</w:t>
      </w:r>
    </w:p>
    <w:p>
      <w:pPr>
        <w:spacing w:after="110" w:before="220"/>
      </w:pPr>
      <w:r>
        <w:rPr>
          <w:b/>
          <w:bCs/>
          <w:color w:val="1a7f5a"/>
          <w:sz w:val="26"/>
          <w:szCs w:val="26"/>
        </w:rPr>
        <w:t xml:space="preserve">§7  Charts</w:t>
      </w:r>
    </w:p>
    <w:p>
      <w:pPr>
        <w:spacing w:after="80" w:before="160"/>
      </w:pPr>
      <w:r>
        <w:rPr>
          <w:b/>
          <w:bCs/>
          <w:color w:val="1a7f5a"/>
          <w:sz w:val="22"/>
          <w:szCs w:val="22"/>
        </w:rPr>
        <w:t xml:space="preserve">Chart 1 — 5-Session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a7f5a"/>
          <w:sz w:val="22"/>
          <w:szCs w:val="22"/>
        </w:rPr>
        <w:t xml:space="preserve">Chart 2 — Distance From 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a7f5a"/>
          <w:sz w:val="22"/>
          <w:szCs w:val="22"/>
        </w:rPr>
        <w:t xml:space="preserve">Chart 3 —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a7f5a"/>
          <w:sz w:val="22"/>
          <w:szCs w:val="22"/>
        </w:rPr>
        <w:t xml:space="preserve">Chart 4 —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1a7f5a"/>
          <w:sz w:val="22"/>
          <w:szCs w:val="22"/>
        </w:rPr>
        <w:t xml:space="preserve">Chart 5 —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a7f5a"/>
          <w:sz w:val="26"/>
          <w:szCs w:val="26"/>
        </w:rPr>
        <w:t xml:space="preserve">§8  Short-Term Technical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02 Jul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(see §6): Strong bullish marubozu-style body, close at 82% of range, RSI2 saturated at 100. A powerful recovery session off the $4,030 area — demand rejection of the sub-$4,050 zone.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03 Jul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(see §6): Continuation higher, close 73% of range, RSI2 100. Two-day thrust into the $4,195 area established the near-term swing high.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06 Jul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(see §6): Indecision — close mid-range (50%), small bearish body after tagging $4,202. Upper-wick rejection at the swing high signals supply.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07 Jul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(see §6): Decisive bearish session, close at just 7% of range, RSI2 collapsed to 0.0. The FOMC-minutes-driven risk repricing drove a wide-range down-day — the dominant candle of the block.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08 Jul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(see §6): Bullish recovery body, close 77% of range, but RSI2 only back to 28.7 — momentum still sub-50. A bounce within a damaged structure rather than a confirmed reversal.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Sequence assessment: Indecision / Compression.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The block alternates direction with prominent wicks on both sides and RSI2 oscillating between the 0 and 100 extremes — classic two-sided volatility, not a clean directional run. Net 5-day change is essentially flat (+$1.3) despite a $172 high-low span.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Nearest support: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$4,092–$4,096 (07/08 Jul lows).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Nearest resistance: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$4,202 (06 Jul high), then $4,195 (03 Jul).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Judgement label: Indecision.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This is consistent with the §9 Ranging regime.</w:t>
      </w:r>
    </w:p>
    <w:p>
      <w:pPr>
        <w:spacing w:after="110" w:before="220"/>
      </w:pPr>
      <w:r>
        <w:rPr>
          <w:b/>
          <w:bCs/>
          <w:color w:val="1a7f5a"/>
          <w:sz w:val="26"/>
          <w:szCs w:val="26"/>
        </w:rPr>
        <w:t xml:space="preserve">§9  Medium-Term Regime &amp; VOLator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Regime classification: Ranging (slight bearish tilt).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Overlap ratio 0.62 (&gt;0.55 → range-bound); directional persistence 0.59; range-position bias 0.41 (mid-to-lower). Absolute directional mean is muted — the 25-session window is a wide, choppy rotation between ~$3,944 and ~$4,383, not a trend.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Bias: Neutral-to-Bearish.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Price sits below the 25-day mid-point and the medium-term sequence has been lower-highs since the 17 Jun $4,383 peak.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VOLator (ATR / historical z-score):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Gold scaled volatility latest −1.0 (at the floor of its own recent band); 10-observation slope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−0.28 (negative)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volatility contraction, a ranging/transitional signal, not trend expansion.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Preferred trade protocol: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Range-bound — favour fading validated range extremes and reduced-conviction breakout attempts. Short-term Indecision (§8) sits inside the medium-term Range — no conflict.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Kaufman confirmation: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Smoothed KER −0.11, |KER| below the 0.13 trend threshold and inside the lower inner band →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Ranging — Downward Bias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This agrees with the §9 regime (ranging) and adds a mild bearish lean. No contradiction to resolve.</w:t>
      </w:r>
    </w:p>
    <w:p>
      <w:pPr>
        <w:spacing w:after="110" w:before="220"/>
      </w:pPr>
      <w:r>
        <w:rPr>
          <w:b/>
          <w:bCs/>
          <w:color w:val="1a7f5a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500"/>
        <w:gridCol w:w="2760"/>
        <w:gridCol w:w="1300"/>
        <w:gridCol w:w="23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Counter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5-Day Dir.</w:t>
            </w:r>
          </w:p>
        </w:tc>
        <w:tc>
          <w:tcPr>
            <w:tcW w:type="dxa" w:w="27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USDX (Dollar Index)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 (held &gt;101)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Stronger dollar raises the USD price of gold for non-USD buyers and signals tighter conditions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Confirms bearish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Headwind — dollar strength caps gold upside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500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Falling (−0.9% 08 Jul)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Risk-off equity weakness can rotate flows into safe havens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Contradicts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Partial support — risk-off is gold-positive via haven demand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DAX 40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Falling (−2.1% 08 Jul)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European risk-off confirms the global de-risking read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Contradicts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Partial support — reinforces haven bid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Contradiction flag (bold):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the dollar channel is bearish for gold while the equity risk-off channel is supportive. The two offset, producing a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MIXED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cross-asset read. On the current FOMC-driven, real-yield-led tape the dollar/rate channel has been the stronger driver — hence the net bearish lean in the direction score — but the haven bid is the reason gold recovered into the 08 Jul close rather than extending lower.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a7f5a"/>
          <w:sz w:val="26"/>
          <w:szCs w:val="26"/>
        </w:rPr>
        <w:t xml:space="preserve">§11  Floor Pivot Analysis</w:t>
      </w:r>
    </w:p>
    <w:p>
      <w:pPr>
        <w:spacing w:after="80" w:before="160"/>
      </w:pPr>
      <w:r>
        <w:rPr>
          <w:b/>
          <w:bCs/>
          <w:color w:val="1a7f5a"/>
          <w:sz w:val="22"/>
          <w:szCs w:val="22"/>
        </w:rPr>
        <w:t xml:space="preserve">Daily Pivots (from 08 Jul H/L/C)</w:t>
      </w:r>
    </w:p>
    <w:tbl>
      <w:tblPr>
        <w:tblW w:type="dxa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000"/>
        <w:gridCol w:w="3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 (USD/oz)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4253.20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4215.70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4178.20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4156.13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4140.70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4118.63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4103.20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4081.13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4065.70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4028.20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3990.70</w:t>
            </w:r>
          </w:p>
        </w:tc>
      </w:tr>
    </w:tbl>
    <w:p>
      <w:pPr>
        <w:spacing w:after="80" w:before="160"/>
      </w:pPr>
      <w:r>
        <w:rPr>
          <w:b/>
          <w:bCs/>
          <w:color w:val="1a7f5a"/>
          <w:sz w:val="22"/>
          <w:szCs w:val="22"/>
        </w:rPr>
        <w:t xml:space="preserve">Weekly Pivots (prior week 29 Jun–03 Jul)</w:t>
      </w:r>
    </w:p>
    <w:tbl>
      <w:tblPr>
        <w:tblW w:type="dxa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000"/>
        <w:gridCol w:w="3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 (USD/oz)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5020.01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4768.70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4517.39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4356.47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4266.08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4105.16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4014.77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3853.85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3763.46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3512.15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3260.84</w:t>
            </w:r>
          </w:p>
        </w:tc>
      </w:tr>
    </w:tbl>
    <w:p>
      <w:pPr>
        <w:spacing w:after="80" w:before="160"/>
      </w:pPr>
      <w:r>
        <w:rPr>
          <w:b/>
          <w:bCs/>
          <w:color w:val="1a7f5a"/>
          <w:sz w:val="22"/>
          <w:szCs w:val="22"/>
        </w:rPr>
        <w:t xml:space="preserve">Monthly Pivots (June 2026)</w:t>
      </w:r>
    </w:p>
    <w:tbl>
      <w:tblPr>
        <w:tblW w:type="dxa" w:w="5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000"/>
        <w:gridCol w:w="3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 (USD/oz)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5595.34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5156.72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4718.10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4550.47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4279.48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4111.85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3840.86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3673.23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3402.24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2963.62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2525.00</w:t>
            </w:r>
          </w:p>
        </w:tc>
      </w:tr>
    </w:tbl>
    <w:p>
      <w:pPr>
        <w:spacing w:after="100"/>
      </w:pPr>
      <w:r>
        <w:rPr>
          <w:b/>
          <w:bCs/>
          <w:i/>
          <w:iCs/>
          <w:color w:val="000000"/>
          <w:sz w:val="18"/>
          <w:szCs w:val="18"/>
        </w:rPr>
        <w:t xml:space="preserve">Source status:</w:t>
      </w:r>
      <w:r>
        <w:rPr>
          <w:b w:val="false"/>
          <w:bCs w:val="false"/>
          <w:i/>
          <w:iCs/>
          <w:color w:val="000000"/>
          <w:sz w:val="18"/>
          <w:szCs w:val="18"/>
        </w:rPr>
        <w:t xml:space="preserve"> prior-period H/L/C are derived from the corroborated Investing.com series with directional CME confirmation. Because independent two-source tick-level agreement on the exact spot H/L was not fully established, all pivot levels are treated as </w:t>
      </w:r>
      <w:r>
        <w:rPr>
          <w:b/>
          <w:bCs/>
          <w:i/>
          <w:iCs/>
          <w:color w:val="000000"/>
          <w:sz w:val="18"/>
          <w:szCs w:val="18"/>
        </w:rPr>
        <w:t xml:space="preserve">indicative</w:t>
      </w:r>
      <w:r>
        <w:rPr>
          <w:b w:val="false"/>
          <w:bCs w:val="false"/>
          <w:i/>
          <w:iCs/>
          <w:color w:val="000000"/>
          <w:sz w:val="18"/>
          <w:szCs w:val="18"/>
        </w:rPr>
        <w:t xml:space="preserve"> for level-based order placement and are flagged accordingly to the strategy layer.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Position narrative: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The 08 Jul close ($4,125.28) sits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above the daily P ($4,118.63)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just above both the weekly P ($4,105.16) and monthly P ($4,111.85).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Confluence zone: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daily P, weekly P and monthly P cluster within ~$14 (≈0.34%) around $4,105–$4,119 — a dense pivot shelf that acts as the immediate decision zone. A daily close back below this cluster reopens the $4,081 (D.S2) / $4,065 (D.S3) supports.</w:t>
      </w:r>
    </w:p>
    <w:p>
      <w:pPr>
        <w:spacing w:after="110" w:before="220"/>
      </w:pPr>
      <w:r>
        <w:rPr>
          <w:b/>
          <w:bCs/>
          <w:color w:val="8a6d00"/>
          <w:sz w:val="26"/>
          <w:szCs w:val="26"/>
        </w:rPr>
        <w:t xml:space="preserve">§12  Key Market Considerations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Supply — neutral (structural).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Mine supply is inelastic short-term; the swing factor is official-sector buying. China's central bank reported its largest monthly gold-reserve increase in over two and a half years in June — a structural, price-supportive floor under the market.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Demand — supportive (structural) / mixed (cyclical).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Continued central-bank accumulation (PBoC, and historically RBI) is a durable support. Cyclically, investment demand is softening on higher real yields and OCBC-type calls for lower prices into year-end.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Substitution / Spreads — neutral.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Silver (XAG/USD) remains the high-beta partner; the gold/silver read is consistent with a broad precious-metals correction rather than gold-specific weakness. US 10-year real yields are the key competing 'asset' — rising real yields are the principal cyclical drag.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Policy / Geopolitics — cyclical, two-sided.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Renewed US–Iran escalation and Strait-of-Hormuz tanker attacks add a haven premium and lift oil (inflation channel). This is reversible within the scenario horizon and can whip both ways.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Macro / FX — price-negative (cyclical).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A firmer dollar (&gt;101) and a hawkish June FOMC (minutes 08 Jul) tighten financial conditions and raise bullion's opportunity cost. Markets moved to price ~50–69% odds of a September Fed hike, up from the high-40s/58% a day prior.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Near-term catalysts (from §13d):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FOMC minutes (08 Jul, delivered), initial jobless claims (09 Jul), and — the key item —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US June CPI (14 Jul)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A hot CPI hardens the hike narrative and pressures gold; a soft print relieves real-yield pressure and supports a bounce.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8a6d00"/>
          <w:sz w:val="26"/>
          <w:szCs w:val="26"/>
        </w:rPr>
        <w:t xml:space="preserve">§13  Sentiment, News &amp; Calendar</w:t>
      </w:r>
    </w:p>
    <w:p>
      <w:pPr>
        <w:spacing w:after="80" w:before="160"/>
      </w:pPr>
      <w:r>
        <w:rPr>
          <w:b/>
          <w:bCs/>
          <w:color w:val="8a6d00"/>
          <w:sz w:val="22"/>
          <w:szCs w:val="22"/>
        </w:rPr>
        <w:t xml:space="preserve">§13a  Per-Article Sentiment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50"/>
        <w:gridCol w:w="750"/>
        <w:gridCol w:w="2560"/>
        <w:gridCol w:w="1050"/>
        <w:gridCol w:w="1050"/>
        <w:gridCol w:w="2600"/>
      </w:tblGrid>
      <w:tr>
        <w:trPr>
          <w:tblHeader/>
        </w:trPr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7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Headline (abridged)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Class.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Sentiment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Derivation quote (≤15w)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Investing.com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prices fell &gt;1% on stronger dollar, spiking oil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"weighed down by a stronger dollar and spiking oil prices"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falls to lowest since 2 Jul after Trump ends Iran deal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"markets pricing in at least one Fed rate hike by end-2026"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Investing.com (Futures)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FOMC-driven selloff extends structural downtrend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"overwhelmingly bearish backdrop, driving prices... down"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LiteFinance / OCBC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to decline on yields, stronger dollar, weak demand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"expects gold prices to decline through the end of 2026"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TradingEconomics (PBoC)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China posts largest monthly gold-reserve build in 2.5y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Official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Bullish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"largest monthly increase in gold reserves in... over two and a half years"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LiteFinance (fwd)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XAU/USD to consolidate $4,114–4,202 on 9 Jul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"expected to continue consolidating... move in either direction"</w:t>
            </w:r>
          </w:p>
        </w:tc>
      </w:tr>
    </w:tbl>
    <w:p>
      <w:pPr>
        <w:spacing w:after="80" w:before="160"/>
      </w:pPr>
      <w:r>
        <w:rPr>
          <w:b/>
          <w:bCs/>
          <w:color w:val="8a6d00"/>
          <w:sz w:val="22"/>
          <w:szCs w:val="22"/>
        </w:rPr>
        <w:t xml:space="preserve">§13b  Aggregate Sentiment Summary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Counts: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4 Bearish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(1 institutional, 3 media),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1 Bullish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(official),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1 Neutral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(trade press) =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Predominantly Bearish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Source-class-weighted numeric tilt =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−0.55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(institutional and media bearish weight dominates the single official bullish and neutral entries). Reported as: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Predominantly Bearish (tilt = −0.55)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. This tilt feeds the §21 directional conviction.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Divergence flag: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Sentiment (bearish) broadly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agrees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price action (08 Jul session recovered but sits below the week's highs after a sharp drop) and with the §9 ranging-bearish regime. The one counter-signal — PBoC official buying — is a structural floor, not a near-term bullish trigger. On the current tape the bearish real-yield/dollar signal takes precedence.</w:t>
      </w:r>
    </w:p>
    <w:p>
      <w:pPr>
        <w:spacing w:after="80" w:before="160"/>
      </w:pPr>
      <w:r>
        <w:rPr>
          <w:b/>
          <w:bCs/>
          <w:color w:val="8a6d00"/>
          <w:sz w:val="22"/>
          <w:szCs w:val="22"/>
        </w:rPr>
        <w:t xml:space="preserve">§13c  News Calendar — Previous Period (04–08 Jul)</w:t>
      </w:r>
    </w:p>
    <w:tbl>
      <w:tblPr>
        <w:tblW w:type="dxa" w:w="841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150"/>
        <w:gridCol w:w="1900"/>
        <w:gridCol w:w="1900"/>
        <w:gridCol w:w="900"/>
        <w:gridCol w:w="256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 / 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03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 June payrolls (soft)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Weaker NFP trimmed hike bets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Initially gold-supportive; dollar dipped then recovered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06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Iran/Hormuz tanker attacks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Escalation resumes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Two-sided: haven bid vs oil-led inflation/hike risk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07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Dollar firms, Williams hawkish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DXY held &gt;101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 −1.6% session; real-yield channel dominant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08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FOMC June minutes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Divided, hawkish tone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Intraday plunge to ~$4,030 then recovery to 4,125 close</w:t>
            </w:r>
          </w:p>
        </w:tc>
      </w:tr>
    </w:tbl>
    <w:p>
      <w:pPr>
        <w:spacing w:after="80" w:before="160"/>
      </w:pPr>
      <w:r>
        <w:rPr>
          <w:b/>
          <w:bCs/>
          <w:color w:val="8a6d00"/>
          <w:sz w:val="22"/>
          <w:szCs w:val="22"/>
        </w:rPr>
        <w:t xml:space="preserve">§13d  News Calendar — Upcoming Period (09–15 Jul)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150"/>
        <w:gridCol w:w="1500"/>
        <w:gridCol w:w="1700"/>
        <w:gridCol w:w="900"/>
        <w:gridCol w:w="411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41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09 Jul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Initial jobless claims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Labour-market pulse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4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Hot claims → dovish → gold-supportive; low claims → hawkish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Mon 14 Jul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US June CPI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Key inflation print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Beat → hike odds up → gold pressured to $4,030; miss → relief bounce to $4,200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15 Jul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 June PPI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Pipeline inflation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4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Confirms/denies the CPI signal for real yields</w:t>
            </w:r>
          </w:p>
        </w:tc>
      </w:tr>
    </w:tbl>
    <w:p>
      <w:pPr>
        <w:spacing w:after="100"/>
      </w:pPr>
      <w:r>
        <w:rPr>
          <w:b/>
          <w:bCs/>
          <w:i/>
          <w:iCs/>
          <w:color w:val="000000"/>
          <w:sz w:val="18"/>
          <w:szCs w:val="18"/>
        </w:rPr>
        <w:t xml:space="preserve">Highest-impact event (bold): US June CPI, 14 Jul.</w:t>
      </w:r>
      <w:r>
        <w:rPr>
          <w:b w:val="false"/>
          <w:bCs w:val="false"/>
          <w:i/>
          <w:iCs/>
          <w:color w:val="000000"/>
          <w:sz w:val="18"/>
          <w:szCs w:val="18"/>
        </w:rPr>
        <w:t xml:space="preserve"> A hotter-than-expected print would cement the September-hike narrative, lift real yields and the dollar, and open the $4,030 shelf; a soft print would relieve real-yield pressure and support a move back toward the $4,200 resistance band.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8a6d00"/>
          <w:sz w:val="26"/>
          <w:szCs w:val="26"/>
        </w:rPr>
        <w:t xml:space="preserve">§14  Macro Context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Rates &amp; monetary policy — price-negative.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The June FOMC struck a hawkish tone and the 08 Jul minutes showed a divided committee discussing hikes; September-hike odds rose to roughly 50–69%. Higher-for-longer policy raises the opportunity cost of zero-yield gold. (Cross-ref §10: USDX rising.)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Inflation — two-sided.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Oil surging &gt;5% on the Iran escalation raises headline-inflation risk. For gold this is ambiguous: inflation hedging is supportive, but the rate-hike response it provokes is negative. Net near-term: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price-negative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the market prices hikes rather than cuts.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Safe-haven / real yields — the swing factor.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Rising US 10-year real yields (10Y nominal ~4.55%) are the principal drag. The offsetting haven bid from equity risk-off (§10: S&amp;P 500 and DAX both falling) is what cushioned gold into the 08 Jul close.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Liquidity &amp; FX — price-negative.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USDX holding above 101 (§10) tightens global dollar liquidity and mechanically raises the local-currency cost of gold, damping non-US demand.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Energy — cyclical inflation risk.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WTI/Brent spiked on the Hormuz escalation; sustained higher oil feeds the inflation-then-hike channel that has been net-negative for gold on this tape.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Positioning — corrective.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Gold has been in a structural pullback from the 29 Jan record (~$5,600); speculative length has been trimmed, leaving the market less over-owned but still sentiment-heavy to the downside.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Watch item (from §13d): US June CPI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 surprise in either direction is the largest single risk to the macro picture above.</w:t>
      </w:r>
    </w:p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§15  Bull / Bear Balance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Upside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Escalation-driven haven demand (Iran/Hormuz) and the equity risk-off already visible in the S&amp;P 500 and DAX (§10).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Structural official-sector buying — PBoC's record monthly reserve build provides a demand floor (§12).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soft US June CPI (14 Jul, §13d) would relieve real-yield pressure and drive a bounce toward the $4,200 resistance band.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 holding above the dense $4,105–$4,119 daily/weekly/monthly pivot confluence (§11) keeps the near-term bid intact.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Downside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Firmer dollar &gt;101 and hawkish FOMC / rising September-hike odds (§14) — the dominant driver on the current tape.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 hot June CPI (14 Jul) would harden the hike narrative and open $4,081 → $4,065 → $4,030 (§11).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Oil-led inflation provoking a policy-tightening response rather than a hedging bid (§14).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Loss of the $4,105–$4,119 pivot shelf on a daily close basis would confirm renewed downside within the ranging regime.</w:t>
      </w:r>
    </w:p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§16  Forward View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Base case over the next five sessions: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range-bound rotation between roughly $4,030 and $4,205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, with a mild downward bias while the dollar holds above 101 and the market prices a September hike. This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respects the §9 ranging regime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no trend conviction is asserted. The pivotal event is US June CPI (14 Jul, §13d): a hot print biases the range toward its $4,030 floor; a soft print biases it toward the $4,200 ceiling.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Base-case invalidation: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a decisive daily close above $4,205 (turns the structure constructive) or below $4,030 (confirms trend-down continuation and voids the range read).</w:t>
      </w:r>
    </w:p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§17  Forecast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Gold consolidates in a $4,030–$4,205 range with a mild bearish lean, pressured by a firm dollar and hawkish Fed expectations but cushioned by haven flows and official-sector demand, until the 14 July CPI print resolves direction.</w:t>
      </w:r>
    </w:p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§18  Final Analyst Judgement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Consensus price call: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$4,125/oz (range $4,096–$4,145), confidence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Medium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, tone balanced-bearish.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Three most important reasons: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(1) a hawkish June FOMC and rising real yields lifting bullion's opportunity cost; (2) a firmer dollar holding above 101; (3) a ranging medium-term structure with price below its 25-day mid-point and Kaufman reading ranging-downward.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Single watch item: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 June CPI on 14 July — the one release most likely to break the range in either direction.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1F3864"/>
          <w:sz w:val="26"/>
          <w:szCs w:val="26"/>
        </w:rPr>
        <w:t xml:space="preserve">§19  Source Discipline Note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Live vs indicative: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The spot XAU/USD 5-session OHLC is taken from a single primary vendor (Investing.com) with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directional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corroboration from CME GC=F futures (level agreement subject to the futures contango basis). Under a strict two-source tick-level standard these values are therefore best characterised as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accepted-close / directionally-corroborated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rather than tick-identical dual-source matches.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Data gaps: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Intraday spot feeds (TradingView, MQL5, TradingEconomics) diverged from the settled close by 2–3% on 08 Jul owing to the FOMC-minutes volatility and the 23-hour nature of the market — a timing-dispersion gap, not a data error.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Normalization assumptions: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Futures settle retained as directional corroborator only, not blended into spot. All pivots computed from the accepted spot H/L/C.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Corroboration status per instrument: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Gold spot — directionally corroborated (Investing.com × GC=F). Pivots —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indicative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(single-source spot H/L). Counters (USDX, S&amp;P 500, DAX) — directional reads from published session summaries.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Per run instruction, trading strategies are produced despite the indicative corroboration status; the reduced corroboration is flagged as a caveat on the affected trade cards rather than used to suppress them.</w:t>
      </w:r>
    </w:p>
    <w:p>
      <w:pPr>
        <w:spacing w:after="110" w:before="220"/>
      </w:pPr>
      <w:r>
        <w:rPr>
          <w:b/>
          <w:bCs/>
          <w:color w:val="8a6d00"/>
          <w:sz w:val="26"/>
          <w:szCs w:val="26"/>
        </w:rPr>
        <w:t xml:space="preserve">§20  Agent Log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Run configuration: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Primary asset Gold (XAU/USD spot). Daily-open anchor overridden to </w:t>
      </w:r>
      <w:r>
        <w:rPr>
          <w:b/>
          <w:bCs/>
          <w:i w:val="false"/>
          <w:iCs w:val="false"/>
          <w:color w:val="000000"/>
          <w:sz w:val="18"/>
          <w:szCs w:val="18"/>
        </w:rPr>
        <w:t xml:space="preserve">00:00 UK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per run instruction; report as-of </w:t>
      </w:r>
      <w:r>
        <w:rPr>
          <w:b/>
          <w:bCs/>
          <w:i w:val="false"/>
          <w:iCs w:val="false"/>
          <w:color w:val="000000"/>
          <w:sz w:val="18"/>
          <w:szCs w:val="18"/>
        </w:rPr>
        <w:t xml:space="preserve">09 Jul 2026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. Strategy module ENABLED. Output length: Standard.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Sources attempted: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Stooq / direct CSV (blocked by network egress allowlist — flagged); Investing.com XAU/USD historical (SUCCESS, full OHLC); Investing.com Gold Futures overview (SUCCESS, GC=F 08 Jul H/L/settle); FXEmpire history (JS-rendered, table not returned); TradingView, TradingEconomics, MQL5 (intraday spot reads). Corroboration achieved directionally on GC=F; strict tick-level two-source spot match not established.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Validation method: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Directional two-instrument (spot × futures) with contango-basis allowance. RSI2 period 2; ATR(14) Wilder; KER period 13, EMA-smooth 3; VOLator ATR/historical z-score, 10-obs slope.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Direction-score weights basis: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DEFAULTS (0.25 / 0.20 / 0.10 / 0.15 / 0.15 / 0.15), within the first-20-session lock window — no tuning applied. Direction score −0.37.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Suppression reasons: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Trade 1 produced (|−0.37| ≥ 0.25 conviction threshold). Trade 2 produced with an indicative-pivot caveat (not suppressed, per run instruction to be lenient on corroboration). Trade 3 forked to 3B mean-reversion given the ranging regime.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18"/>
          <w:szCs w:val="18"/>
        </w:rPr>
        <w:t xml:space="preserve">Backtest notes: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</w:rPr>
        <w:t xml:space="preserve"> 5 sessions reconstructed (02–08 Jul) under t−1 close logic; sentiment frozen at each reconstruction date (defaulted where no historical tilt series exists); SL-first tick priority applied. Anomaly: 07 Jul RSI2=0.0 / 02–03 Jul RSI2=100 reflect genuine two-sided volatility, not data error. Timestamp: 09 Jul 2026, 00:05 UK.</w:t>
      </w:r>
    </w:p>
    <w:p>
      <w:r>
        <w:br w:type="page"/>
      </w:r>
    </w:p>
    <w:p>
      <w:pPr>
        <w:spacing w:after="110" w:before="220"/>
      </w:pPr>
      <w:r>
        <w:rPr>
          <w:b/>
          <w:bCs/>
          <w:color w:val="9c2456"/>
          <w:sz w:val="26"/>
          <w:szCs w:val="26"/>
        </w:rPr>
        <w:t xml:space="preserve">§21  Strategy Recommendations</w:t>
      </w:r>
    </w:p>
    <w:p>
      <w:pPr>
        <w:spacing w:after="80" w:before="160"/>
      </w:pPr>
      <w:r>
        <w:rPr>
          <w:b/>
          <w:bCs/>
          <w:color w:val="9c2456"/>
          <w:sz w:val="22"/>
          <w:szCs w:val="22"/>
        </w:rPr>
        <w:t xml:space="preserve">§21a  Directional Conviction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Direction: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SHORT.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Score: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−0.37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(rounded, scale −1…+1), above the 0.25 conviction threshold. Three highest-weighted contributing signals: short-term technical bias (§8) contributing ≈ −0.10, sentiment tilt (§13b) contributing ≈ −0.08, and cross-asset dollar strength (§10) contributing ≈ −0.045, with the Kaufman ranging-downward read adding a further ≈ −0.075.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Conflict flag: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the SHORT trade direction and the §17 range-with-mild-bearish forecast are aligned — no material conflict; the equity risk-off haven bid (§10) is the main reason conviction is moderate rather than strong.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Weights basis: defaults.</w:t>
      </w:r>
    </w:p>
    <w:p>
      <w:pPr>
        <w:spacing w:after="80" w:before="160"/>
      </w:pPr>
      <w:r>
        <w:rPr>
          <w:b/>
          <w:bCs/>
          <w:color w:val="9c2456"/>
          <w:sz w:val="22"/>
          <w:szCs w:val="22"/>
        </w:rPr>
        <w:t xml:space="preserve">§21b  Trade Cards</w:t>
      </w:r>
    </w:p>
    <w:p>
      <w:pPr>
        <w:spacing w:after="60" w:before="120"/>
      </w:pPr>
      <w:r>
        <w:rPr>
          <w:b/>
          <w:bCs/>
          <w:color w:val="9c2456"/>
          <w:sz w:val="20"/>
          <w:szCs w:val="20"/>
        </w:rPr>
        <w:t xml:space="preserve">Trade 1 — Daily Directional (SHORT)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6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9c2456"/>
                <w:sz w:val="17"/>
                <w:szCs w:val="17"/>
              </w:rPr>
              <w:t xml:space="preserve">Field</w:t>
            </w:r>
          </w:p>
        </w:tc>
        <w:tc>
          <w:tcPr>
            <w:tcW w:type="dxa" w:w="7260"/>
            <w:shd w:fill="f6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9c2456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— ranging-bearish regime, direction score −0.37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Sell stop at 4,103.00 on confirmed break of daily S1 / lower pivot shelf (order placed at 00:00 UK anchor)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4,148.00 — 45.00 USD (450 ticks) above entry; anchored above daily R1 (4,140.70) and the 08 Jul recovery high (4,134)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45.00 USD (450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4,058.00 — +1R (45.00 USD / 450 ticks); confluence with daily S3 (4,065.70) / intraday 08 Jul low zone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4,013.00 — +2R (90.00 USD / 900 ticks); confluence with weekly S1 (4,014.77)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TP3 (Unit 3 — runner)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 runner; exit on session close +3×ATR cap (ATR14 ≈109 → ~4,006 floor) or time-stop at session close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equal units; Unit 1 exits TP1; Unit 2 exits TP2; on Unit 2 fill Unit 3 SL → entry −0.2R (to 4,094.00)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 near daily S1 (4,103.20); TP1 at daily S3; TP2 at weekly S1 — strong confluence at TP2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close back above the 4,118.63 daily P / 4,105–4,119 pivot cluster voids the short thesis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Indicative (single-source) pivots; holding period spans 09 Jul jobless claims; moderate-conviction score; ATR is elevated (~109) — size reduced</w:t>
            </w:r>
          </w:p>
        </w:tc>
      </w:tr>
    </w:tbl>
    <w:p>
      <w:pPr>
        <w:spacing w:after="60" w:before="120"/>
      </w:pPr>
      <w:r>
        <w:rPr>
          <w:b/>
          <w:bCs/>
          <w:color w:val="9c2456"/>
          <w:sz w:val="20"/>
          <w:szCs w:val="20"/>
        </w:rPr>
        <w:t xml:space="preserve">Trade 2 — Pivot, Range-Aware (SHORT fade of resistance)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6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9c2456"/>
                <w:sz w:val="17"/>
                <w:szCs w:val="17"/>
              </w:rPr>
              <w:t xml:space="preserve">Field</w:t>
            </w:r>
          </w:p>
        </w:tc>
        <w:tc>
          <w:tcPr>
            <w:tcW w:type="dxa" w:w="7260"/>
            <w:shd w:fill="f6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9c2456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— fade the range top in a ranging regime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Sell limit at 4,178.00 near daily R3 (4,178.20) / below the 4,195–4,202 swing-high supply band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4,215.00 — 37.00 USD (370 ticks) above; anchored above daily R4 (4,215.70)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37.00 USD (370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4,141.00 — +1R; confluence with daily R1 (4,140.70)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4,119.00 — +2R; the daily/weekly/monthly pivot confluence (~4,105–4,119)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TP3 (Unit 3 — runner)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Runner to daily P then trail; exit at pivot P (4,118.63) or lower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equal units; standard rule; on Unit 2 fill Unit 3 SL → entry −0.2R (to 4,170.60)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 at daily R3; TP1 at daily R1; TP2 at triple-pivot shelf — strong confluence at TP2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close above 4,205 (base-case §16 invalidation) turns structure constructive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Indicative pivots; limit may not trigger if price does not revisit 4,178; CPI (14 Jul) collision if held</w:t>
            </w:r>
          </w:p>
        </w:tc>
      </w:tr>
    </w:tbl>
    <w:p>
      <w:pPr>
        <w:spacing w:after="60" w:before="120"/>
      </w:pPr>
      <w:r>
        <w:rPr>
          <w:b/>
          <w:bCs/>
          <w:color w:val="9c2456"/>
          <w:sz w:val="20"/>
          <w:szCs w:val="20"/>
        </w:rPr>
        <w:t xml:space="preserve">Trade 3B — Mean-Reversion (range fade, regime-driven)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6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9c2456"/>
                <w:sz w:val="17"/>
                <w:szCs w:val="17"/>
              </w:rPr>
              <w:t xml:space="preserve">Field</w:t>
            </w:r>
          </w:p>
        </w:tc>
        <w:tc>
          <w:tcPr>
            <w:tcW w:type="dxa" w:w="7260"/>
            <w:shd w:fill="f6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9c2456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from range-top / LONG from range-floor — symmetric range fade; near-term active leg is SHORT from resistance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Primary: sell into 4,195–4,202 swing-high band (mean-reversion short). Secondary long trigger: buy into 4,030–4,045 range floor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leg: 4,225.00 (30.00 USD / 300 ticks above 4,195). Long leg: 4,010.00 (below weekly S1 4,014.77)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leg 30.00 USD (300 ticks)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Range mid ≈ 4,118 (triple-pivot shelf) — 38.2% / range-mid structural target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4,065–4,081 (daily S2/S3) on continued downside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TP3 (Unit 3 — runner)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Range floor 4,030; exit on range breakout or 100% range traverse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equal units; 3B structural rule; runner exits on range-floor tag or breakout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Fade anchored on 06 Jul high (4,202) and 03 Jul high (4,195); target on triple-pivot shelf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close outside 4,030–4,205 range voids the mean-reversion premise (regime shift to trend)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7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Indicative pivots; dual-gate RANGE label partially met (KER ranging, VOLator contracting) — regime is ranging/transitional so treat as reduced-conviction; CPI event risk</w:t>
            </w:r>
          </w:p>
        </w:tc>
      </w:tr>
    </w:tbl>
    <w:p>
      <w:pPr>
        <w:spacing w:after="80" w:before="160"/>
      </w:pPr>
      <w:r>
        <w:rPr>
          <w:b/>
          <w:bCs/>
          <w:color w:val="9c2456"/>
          <w:sz w:val="22"/>
          <w:szCs w:val="22"/>
        </w:rPr>
        <w:t xml:space="preserve">§21c  5-Session No-Leakage Backtest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50"/>
        <w:gridCol w:w="1150"/>
        <w:gridCol w:w="850"/>
        <w:gridCol w:w="800"/>
        <w:gridCol w:w="2560"/>
        <w:gridCol w:w="1550"/>
        <w:gridCol w:w="120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(t)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Dir.</w:t>
            </w:r>
          </w:p>
        </w:tc>
        <w:tc>
          <w:tcPr>
            <w:tcW w:type="dxa" w:w="8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Trig.</w:t>
            </w:r>
          </w:p>
        </w:tc>
        <w:tc>
          <w:tcPr>
            <w:tcW w:type="dxa" w:w="2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Entry / Exit</w:t>
            </w:r>
          </w:p>
        </w:tc>
        <w:tc>
          <w:tcPr>
            <w:tcW w:type="dxa" w:w="15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02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 (bullish reversal day; short not triggered)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02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limit not reached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02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4,045 → 4,124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+1.8R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03 Jul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trend up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03 Jul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4,178 → 4,195 (SL)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−1.0R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03 Jul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4,195 → 4,165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+0.9R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06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break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06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4,178 → 4,140 (TP1)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+1.0R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06 Jul (t−3)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4,202 → 4,128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partial +1.6R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07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4,103 → 4,058 (TP1+)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+1.4R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07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retest of 4,178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07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range-top tag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4,103 → SL 4,148 (rebound)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−1.0R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2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limit not reached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3B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4,096 → 4,125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 @ +0.6R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5+ (open)</w:t>
            </w:r>
          </w:p>
        </w:tc>
      </w:tr>
    </w:tbl>
    <w:p>
      <w:pPr>
        <w:spacing w:after="80" w:before="160"/>
      </w:pPr>
      <w:r>
        <w:rPr>
          <w:b/>
          <w:bCs/>
          <w:color w:val="9c2456"/>
          <w:sz w:val="22"/>
          <w:szCs w:val="22"/>
        </w:rPr>
        <w:t xml:space="preserve">§21d  'What Is Working' Aggregate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Trade 1 (Daily Directional) over the last 5 sessions: triggered 2/5 times, mean R = +0.20, hit rates TP1 / TP2 / TP3 = 50% / 0% / 0%. Trade 2 (Pivot fade) triggered 3/5, mean R = ±0.00, TP1 hit 33%. Trade 3B (Mean-Reversion) triggered 4/5, mean R = +1.23 (one still open), the strongest performer — the ranging regime rewarded fading extremes.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Strongest performer: Trade 3B (mean-reversion).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Weakest performer: Trade 2 (pivot fade), mean R ≈ 0.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 Limitations: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bottom w:val="single" w:color="1F3864" w:sz="6"/>
        </w:pBdr>
        <w:spacing w:after="120"/>
      </w:pPr>
    </w:p>
    <w:p>
      <w:r>
        <w:rPr>
          <w:i/>
          <w:iCs/>
          <w:color w:val="555555"/>
          <w:sz w:val="16"/>
          <w:szCs w:val="16"/>
        </w:rPr>
        <w:t xml:space="preserve">Gold Daily Report │ 09 July 2026 │ Senior Commodities Analyst, Precious Metals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dddfedbfcb6c77ff0cd2fb480c04006f442466.png"/><Relationship Id="rId8" Type="http://schemas.openxmlformats.org/officeDocument/2006/relationships/image" Target="media/6ef1a389915b437b9092a988ebb853d6ee21dc4c.png"/><Relationship Id="rId9" Type="http://schemas.openxmlformats.org/officeDocument/2006/relationships/image" Target="media/24721d91e203bea38b4b88ca5e64fe513a763cf9.png"/><Relationship Id="rId10" Type="http://schemas.openxmlformats.org/officeDocument/2006/relationships/image" Target="media/ed2fd48f901837c12cedf2af20ec37b99081a3ad.png"/><Relationship Id="rId11" Type="http://schemas.openxmlformats.org/officeDocument/2006/relationships/image" Target="media/93b41fe6755104ef6a1216bc3fe9eb8e9dbae89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2026-07-08T21:21:57.614Z</dcterms:created>
  <dcterms:modified xsi:type="dcterms:W3CDTF">2026-07-08T21:21:57.625Z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