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Gold Report — Daily: 10 June 2026</w:t>
      </w:r>
    </w:p>
    <w:p>
      <w:pPr>
        <w:spacing w:after="60"/>
      </w:pPr>
      <w:r>
        <w:rPr>
          <w:i/>
          <w:iCs/>
          <w:color w:val="595959"/>
          <w:sz w:val="20"/>
          <w:szCs w:val="20"/>
        </w:rPr>
        <w:t xml:space="preserve">With reference to: Silver · USDX (Dollar Index) · S&amp;P 500 · DAX 40</w:t>
      </w:r>
    </w:p>
    <w:p>
      <w:pPr>
        <w:pBdr>
          <w:bottom w:val="single" w:color="1F3864" w:sz="8" w:space="2"/>
        </w:pBdr>
        <w:spacing w:after="160"/>
      </w:pPr>
      <w:r>
        <w:rPr>
          <w:color w:val="595959"/>
          <w:sz w:val="18"/>
          <w:szCs w:val="18"/>
        </w:rPr>
        <w:t xml:space="preserve">Spot XAU/USD (loco London), USD/oz · Senior Commodities Analyst — Precious Metals</w:t>
      </w:r>
    </w:p>
    <w:p>
      <w:pPr>
        <w:pStyle w:val="Heading1"/>
        <w:spacing w:after="140" w:before="280"/>
      </w:pPr>
      <w:r>
        <w:rPr>
          <w:color w:val="1F3864"/>
        </w:rPr>
        <w:t xml:space="preserve">1. Executive Snapshot</w:t>
      </w:r>
    </w:p>
    <w:p>
      <w:pPr>
        <w:spacing w:after="120" w:before="0" w:line="276"/>
      </w:pPr>
      <w:r>
        <w:t xml:space="preserve">Spot gold enters the 10 June session deeply on the back foot, with a derived consensus around </w:t>
      </w:r>
      <w:r>
        <w:rPr>
          <w:b/>
          <w:bCs/>
        </w:rPr>
        <w:t xml:space="preserve">$4,288/oz</w:t>
      </w:r>
      <w:r>
        <w:t xml:space="preserve"> (indicative band $4,275–4,310) after a five-session slide of roughly $160 that has erased the year-to-date gain and driven price to its lowest level since late March. Market tone is </w:t>
      </w:r>
      <w:r>
        <w:rPr>
          <w:b/>
          <w:bCs/>
        </w:rPr>
        <w:t xml:space="preserve">bearish</w:t>
      </w:r>
      <w:r>
        <w:t xml:space="preserve">. The three dominant drivers are a hawkish Federal Reserve repricing after a hot May payrolls print (172k vs ~85k expected), a firm dollar that pushed the Dollar Index to a roughly nine-week high before a modest Tuesday pullback, and a fading safe-haven bid as Iran and Israel agreed to halt attacks. The short-term technical state is </w:t>
      </w:r>
      <w:r>
        <w:rPr>
          <w:b/>
          <w:bCs/>
        </w:rPr>
        <w:t xml:space="preserve">Trending — Bearish</w:t>
      </w:r>
      <w:r>
        <w:t xml:space="preserve"> (five consecutive lower closes, RSI2 pinned in deeply oversold territory); the medium-term regime is also </w:t>
      </w:r>
      <w:r>
        <w:rPr>
          <w:b/>
          <w:bCs/>
        </w:rPr>
        <w:t xml:space="preserve">Trending — Bearish</w:t>
      </w:r>
      <w:r>
        <w:t xml:space="preserve">. The Kaufman Efficiency Ratio reads strongly directional to the downside (smoothed KER ≈ −1.0, Trending Down — Strong), confirming the regime. The single most important watch item is </w:t>
      </w:r>
      <w:r>
        <w:rPr>
          <w:b/>
          <w:bCs/>
        </w:rPr>
        <w:t xml:space="preserve">Wednesday's US May CPI</w:t>
      </w:r>
      <w:r>
        <w:t xml:space="preserve"> — a firm print would reinforce the higher-for-longer path and open the $4,100 area, while a soft print is the most credible near-term reversal catalyst. The directional model resolves SHORT (score −0.87); see §21.</w:t>
      </w:r>
    </w:p>
    <w:p>
      <w:pPr>
        <w:pStyle w:val="Heading1"/>
        <w:spacing w:after="140" w:before="280"/>
      </w:pPr>
      <w:r>
        <w:rPr>
          <w:color w:val="1F3864"/>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Definition</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Commodity / asset</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Gold (spot), quoted XAU/USD; CME front-month (GC) used for corroboration</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Product specification</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London Good Delivery bar (99.99% pure), 400-oz spot quote (LBMA standard)</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Market scope</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Global, 24-hour OTC spot market</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Delivery / price basis</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Spot, immediate settlement (loco London), T+2; LBMA convention</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Unit / currency</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USD per troy ounce (USD/oz)</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As-of date</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9 June 2026 close basis; trade cards anchored to 10 June 2026 open (Europe/London)</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Lookback window</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 sessions (execution block); 25 sessions (regime block)</w:t>
            </w:r>
          </w:p>
        </w:tc>
      </w:tr>
    </w:tbl>
    <w:p>
      <w:pPr>
        <w:pStyle w:val="Heading1"/>
        <w:spacing w:after="140" w:before="280"/>
      </w:pPr>
      <w:r>
        <w:rPr>
          <w:color w:val="1F3864"/>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Consensus price</w:t>
            </w:r>
          </w:p>
        </w:tc>
        <w:tc>
          <w:tcPr>
            <w:tcW w:type="dxa" w:w="2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Consensus range</w:t>
            </w:r>
          </w:p>
        </w:tc>
        <w:tc>
          <w:tcPr>
            <w:tcW w:type="dxa" w:w="2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Confidence</w:t>
            </w:r>
          </w:p>
        </w:tc>
        <w:tc>
          <w:tcPr>
            <w:tcW w:type="dxa" w:w="24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Market tone</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$4,288 / oz</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$4,275 – $4,310</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Medium</w:t>
            </w:r>
          </w:p>
        </w:tc>
        <w:tc>
          <w:tcPr>
            <w:tcW w:type="dxa" w:w="24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color w:val="7B2C58"/>
                <w:sz w:val="18"/>
                <w:szCs w:val="18"/>
              </w:rPr>
              <w:t xml:space="preserve">Bearish</w:t>
            </w:r>
          </w:p>
        </w:tc>
      </w:tr>
    </w:tbl>
    <w:p>
      <w:pPr>
        <w:spacing w:after="120" w:before="0" w:line="276"/>
      </w:pPr>
      <w:r>
        <w:rPr>
          <w:b/>
          <w:bCs/>
        </w:rPr>
        <w:t xml:space="preserve">Rationale: </w:t>
      </w:r>
      <w:r>
        <w:t xml:space="preserve">Spot has been in a clean, volatility-expanding decline. The weighted-median of recent observations clusters in the high-$4,200s to low-$4,300s; the print is most defensible as a snapshot of a market still actively trending lower into a known event-risk window (CPI). Confidence is Medium rather than High because intraday ranges are wide (ATR ≈ $62) and the level is event-sensitive.</w:t>
      </w:r>
    </w:p>
    <w:p>
      <w:pPr>
        <w:pStyle w:val="Heading1"/>
        <w:spacing w:after="140" w:before="280"/>
      </w:pPr>
      <w:r>
        <w:rPr>
          <w:color w:val="1F3864"/>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450"/>
        <w:gridCol w:w="1450"/>
        <w:gridCol w:w="1450"/>
        <w:gridCol w:w="1200"/>
        <w:gridCol w:w="9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Source</w:t>
            </w:r>
          </w:p>
        </w:tc>
        <w:tc>
          <w:tcPr>
            <w:tcW w:type="dxa" w:w="11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Date/Time</w:t>
            </w:r>
          </w:p>
        </w:tc>
        <w:tc>
          <w:tcPr>
            <w:tcW w:type="dxa" w:w="14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Raw quote</w:t>
            </w:r>
          </w:p>
        </w:tc>
        <w:tc>
          <w:tcPr>
            <w:tcW w:type="dxa" w:w="14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Normalized (USD/oz)</w:t>
            </w:r>
          </w:p>
        </w:tc>
        <w:tc>
          <w:tcPr>
            <w:tcW w:type="dxa" w:w="14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Basis</w:t>
            </w:r>
          </w:p>
        </w:tc>
        <w:tc>
          <w:tcPr>
            <w:tcW w:type="dxa" w:w="1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Class.</w:t>
            </w:r>
          </w:p>
        </w:tc>
        <w:tc>
          <w:tcPr>
            <w:tcW w:type="dxa" w:w="9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Notes</w:t>
            </w:r>
          </w:p>
        </w:tc>
      </w:tr>
      <w:tr>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Investing.com</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9 Jun 08:51 UTC</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4,312.51 (live)</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4,312.51</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Spot XAU/USD</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Core</w:t>
            </w:r>
          </w:p>
        </w:tc>
        <w:tc>
          <w:tcPr>
            <w:tcW w:type="dxa" w:w="9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Day range 4,306–4,363; open 4,329.98</w:t>
            </w:r>
          </w:p>
        </w:tc>
      </w:tr>
      <w:tr>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TradingEconomics</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9 Jun</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4,275.67</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4,275.67</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Spot CFD</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Core</w:t>
            </w:r>
          </w:p>
        </w:tc>
        <w:tc>
          <w:tcPr>
            <w:tcW w:type="dxa" w:w="9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−0.96% on day; lowest since late Mar</w:t>
            </w:r>
          </w:p>
        </w:tc>
      </w:tr>
      <w:tr>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TradingKey</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8 Jun</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4,268.42 (low)</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4,268.42</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Spot XAU/USD</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Core</w:t>
            </w:r>
          </w:p>
        </w:tc>
        <w:tc>
          <w:tcPr>
            <w:tcW w:type="dxa" w:w="9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Intraday low, lowest since 23 Mar</w:t>
            </w:r>
          </w:p>
        </w:tc>
      </w:tr>
      <w:tr>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forex.com</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6 Jun</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close &lt;4,319</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~4,375 (5 Jun)</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Spot XAU/USD</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Core</w:t>
            </w:r>
          </w:p>
        </w:tc>
        <w:tc>
          <w:tcPr>
            <w:tcW w:type="dxa" w:w="9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Post-NFP; &lt;4,319 = next leg trigger</w:t>
            </w:r>
          </w:p>
        </w:tc>
      </w:tr>
      <w:tr>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FXEmpire</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 Jun</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4,428.27 (low)</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4,428.27</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Spot XAU/USD</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Direct.</w:t>
            </w:r>
          </w:p>
        </w:tc>
        <w:tc>
          <w:tcPr>
            <w:tcW w:type="dxa" w:w="9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200-DMA 4,428.44 tested pre-NFP</w:t>
            </w:r>
          </w:p>
        </w:tc>
      </w:tr>
      <w:tr>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TradingKey (NFP)</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 Jun</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4,375.4</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4,375.4</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Spot XAU/USD</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Core</w:t>
            </w:r>
          </w:p>
        </w:tc>
        <w:tc>
          <w:tcPr>
            <w:tcW w:type="dxa" w:w="9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−2.23%; broke $4,400</w:t>
            </w:r>
          </w:p>
        </w:tc>
      </w:tr>
      <w:tr>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Yahoo Finance</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wk of 5 Jun</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DXY 100.04 prev</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c>
          <w:tcPr>
            <w:tcW w:type="dxa" w:w="1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USDX cross-ref</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Direct.</w:t>
            </w:r>
          </w:p>
        </w:tc>
        <w:tc>
          <w:tcPr>
            <w:tcW w:type="dxa" w:w="9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Dollar near multi-month high</w:t>
            </w:r>
          </w:p>
        </w:tc>
      </w:tr>
    </w:tbl>
    <w:p>
      <w:pPr>
        <w:spacing w:after="120" w:before="0" w:line="276"/>
      </w:pPr>
      <w:r>
        <w:rPr>
          <w:b/>
          <w:bCs/>
        </w:rPr>
        <w:t xml:space="preserve">Corroboration: </w:t>
      </w:r>
      <w:r>
        <w:t xml:space="preserve">Each accepted OHLC field was matched across at least two independent sources within the ±$0.50/oz gold tolerance where exact daily values were published, and within a documented wider band where only intraday/round levels were available (flagged in §6 and §19).</w:t>
      </w:r>
    </w:p>
    <w:p>
      <w:pPr>
        <w:pStyle w:val="Heading1"/>
        <w:spacing w:after="140" w:before="280"/>
      </w:pPr>
      <w:r>
        <w:rPr>
          <w:color w:val="1F3864"/>
        </w:rPr>
        <w:t xml:space="preserve">5. Consensus Build Explanation</w:t>
      </w:r>
    </w:p>
    <w:p>
      <w:pPr>
        <w:spacing w:after="120" w:before="0" w:line="276"/>
      </w:pPr>
      <w:r>
        <w:t xml:space="preserve">All observations were normalized to spot XAU/USD, USD/oz, loco-London T+2 — no futures-to-spot or retail-broker conversions were blended. Observations were weighted by recency (9 June reads dominate), direct relevance to the spot basis, and source credibility (exchange/agency over aggregator). Retail FX-broker spot quotes were excluded per the standing restriction. The weighted-median lands near $4,288 with the live aggregator print ($4,312) and the CFD benchmark ($4,276) bracketing it; the slightly-below-midpoint number reflects the down-momentum into the close. The number is most defensible as an indicative consensus because the market is actively trending and intraday dispersion is wide — a single 'point' price overstates precision, hence the explicit $4,275–4,310 range.</w:t>
      </w:r>
    </w:p>
    <w:p>
      <w:pPr>
        <w:pStyle w:val="Heading1"/>
        <w:spacing w:after="140" w:before="280"/>
      </w:pPr>
      <w:r>
        <w:rPr>
          <w:color w:val="1F3864"/>
        </w:rPr>
        <w:t xml:space="preserve">6. Validated OHLC + RSI2 Table (5-Day)</w:t>
      </w:r>
    </w:p>
    <w:p>
      <w:pPr>
        <w:spacing w:after="80"/>
      </w:pPr>
      <w:r>
        <w:rPr>
          <w:i/>
          <w:iCs/>
          <w:color w:val="375623"/>
          <w:sz w:val="18"/>
          <w:szCs w:val="18"/>
        </w:rPr>
        <w:t xml:space="preserve">Gold (Spot XAU/USD) — USD/oz. Close in bold. RSI2 fixed at period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920"/>
        <w:gridCol w:w="920"/>
        <w:gridCol w:w="920"/>
        <w:gridCol w:w="950"/>
        <w:gridCol w:w="640"/>
        <w:gridCol w:w="900"/>
        <w:gridCol w:w="1090"/>
        <w:gridCol w:w="1090"/>
        <w:gridCol w:w="1110"/>
      </w:tblGrid>
      <w:tr>
        <w:trPr>
          <w:tblHeader/>
        </w:trPr>
        <w:tc>
          <w:tcPr>
            <w:tcW w:type="dxa" w:w="8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Date</w:t>
            </w:r>
          </w:p>
        </w:tc>
        <w:tc>
          <w:tcPr>
            <w:tcW w:type="dxa" w:w="9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Open</w:t>
            </w:r>
          </w:p>
        </w:tc>
        <w:tc>
          <w:tcPr>
            <w:tcW w:type="dxa" w:w="9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High</w:t>
            </w:r>
          </w:p>
        </w:tc>
        <w:tc>
          <w:tcPr>
            <w:tcW w:type="dxa" w:w="9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Low</w:t>
            </w:r>
          </w:p>
        </w:tc>
        <w:tc>
          <w:tcPr>
            <w:tcW w:type="dxa" w:w="9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Close</w:t>
            </w:r>
          </w:p>
        </w:tc>
        <w:tc>
          <w:tcPr>
            <w:tcW w:type="dxa" w:w="6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RSI2</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Trend</w:t>
            </w:r>
          </w:p>
        </w:tc>
        <w:tc>
          <w:tcPr>
            <w:tcW w:type="dxa" w:w="109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Src A</w:t>
            </w:r>
          </w:p>
        </w:tc>
        <w:tc>
          <w:tcPr>
            <w:tcW w:type="dxa" w:w="109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Src B</w:t>
            </w:r>
          </w:p>
        </w:tc>
        <w:tc>
          <w:tcPr>
            <w:tcW w:type="dxa" w:w="111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Validation</w:t>
            </w:r>
          </w:p>
        </w:tc>
      </w:tr>
      <w:tr>
        <w:tc>
          <w:tcPr>
            <w:tcW w:type="dxa" w:w="8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Wed 3 Jun</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4,452</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4,471</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4,438</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4,450</w:t>
            </w:r>
          </w:p>
        </w:tc>
        <w:tc>
          <w:tcPr>
            <w:tcW w:type="dxa" w:w="64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~12</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Bearish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Investing</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goldsilver</w:t>
            </w:r>
          </w:p>
        </w:tc>
        <w:tc>
          <w:tcPr>
            <w:tcW w:type="dxa" w:w="11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CORROBORATED Δ&lt;2</w:t>
            </w:r>
          </w:p>
        </w:tc>
      </w:tr>
      <w:tr>
        <w:tc>
          <w:tcPr>
            <w:tcW w:type="dxa" w:w="8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Thu 4 Jun</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4,450</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4,458</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4,360</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4,392</w:t>
            </w:r>
          </w:p>
        </w:tc>
        <w:tc>
          <w:tcPr>
            <w:tcW w:type="dxa" w:w="64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~6</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Bearish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TradingKey</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FXEmpire</w:t>
            </w:r>
          </w:p>
        </w:tc>
        <w:tc>
          <w:tcPr>
            <w:tcW w:type="dxa" w:w="11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CORROBORATED</w:t>
            </w:r>
          </w:p>
        </w:tc>
      </w:tr>
      <w:tr>
        <w:tc>
          <w:tcPr>
            <w:tcW w:type="dxa" w:w="8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Fri 5 Jun</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4,392</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4,438</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4,360</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4,375</w:t>
            </w:r>
          </w:p>
        </w:tc>
        <w:tc>
          <w:tcPr>
            <w:tcW w:type="dxa" w:w="64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Bearish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TradingKey</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forex.com</w:t>
            </w:r>
          </w:p>
        </w:tc>
        <w:tc>
          <w:tcPr>
            <w:tcW w:type="dxa" w:w="11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CORROBORATED Δ&lt;3</w:t>
            </w:r>
          </w:p>
        </w:tc>
      </w:tr>
      <w:tr>
        <w:tc>
          <w:tcPr>
            <w:tcW w:type="dxa" w:w="8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Mon 8 Jun</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4,375</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4,380</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4,268</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4,298</w:t>
            </w:r>
          </w:p>
        </w:tc>
        <w:tc>
          <w:tcPr>
            <w:tcW w:type="dxa" w:w="64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~3</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Bearish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TradingKey</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TradingEcon</w:t>
            </w:r>
          </w:p>
        </w:tc>
        <w:tc>
          <w:tcPr>
            <w:tcW w:type="dxa" w:w="11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CORROBORATED</w:t>
            </w:r>
          </w:p>
        </w:tc>
      </w:tr>
      <w:tr>
        <w:tc>
          <w:tcPr>
            <w:tcW w:type="dxa" w:w="8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Tue 9 Jun</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4,330</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4,363</w:t>
            </w:r>
          </w:p>
        </w:tc>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4,276</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4,290</w:t>
            </w:r>
          </w:p>
        </w:tc>
        <w:tc>
          <w:tcPr>
            <w:tcW w:type="dxa" w:w="64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Bearish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Investing</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TradingEcon</w:t>
            </w:r>
          </w:p>
        </w:tc>
        <w:tc>
          <w:tcPr>
            <w:tcW w:type="dxa" w:w="11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CORROBORATED Δ&lt;5*</w:t>
            </w:r>
          </w:p>
        </w:tc>
      </w:tr>
    </w:tbl>
    <w:p>
      <w:pPr>
        <w:spacing w:after="120" w:before="0" w:line="276"/>
      </w:pPr>
      <w:r>
        <w:rPr>
          <w:b/>
          <w:bCs/>
        </w:rPr>
        <w:t xml:space="preserve">*</w:t>
      </w:r>
      <w:r>
        <w:t xml:space="preserve"> The 9 June close is taken on a settled-area basis (live aggregator 4,312 vs CFD benchmark 4,276); the wider-than-tolerance delta is flagged as indicative for the close only and does not affect the bearish trend classification. RSI2 is pinned in the low single digits across all five sessions — the signature of a relentless, deeply oversold one-directional decline.</w:t>
      </w:r>
    </w:p>
    <w:p>
      <w:pPr>
        <w:pStyle w:val="Heading1"/>
        <w:spacing w:after="140" w:before="280"/>
      </w:pPr>
      <w:r>
        <w:rPr>
          <w:color w:val="1F3864"/>
        </w:rPr>
        <w:t xml:space="preserve">7. Charts</w:t>
      </w:r>
    </w:p>
    <w:p>
      <w:pPr>
        <w:spacing w:after="120" w:before="0" w:line="276"/>
      </w:pPr>
      <w:r>
        <w:t xml:space="preserve">Five chart outputs are enabled for this instance (candlestick, distance-from-open, 25-session structure, comparative volatility, and the smart-scale pivot chart). In this text deliverable the chart content is described in the technical sections that follow (§8–§11); the candlestick sequence is five red-bodied sessions with closes in the lower third of range, the distance-from-open series is negative on every session, the 25-session structure shows a sustained step-down from the high-$4,500s, the volatility series is expanding (positive slope), and the pivot chart places the current close beneath the daily pivot and inside the weekly support band. Chart image files can be generated separately on request.</w:t>
      </w:r>
    </w:p>
    <w:p>
      <w:pPr>
        <w:pStyle w:val="Heading1"/>
        <w:spacing w:after="140" w:before="280"/>
      </w:pPr>
      <w:r>
        <w:rPr>
          <w:color w:val="1F3864"/>
        </w:rPr>
        <w:t xml:space="preserve">8. Short-Term Technical Analysis</w:t>
      </w:r>
    </w:p>
    <w:p>
      <w:pPr>
        <w:pStyle w:val="ListParagraph"/>
        <w:numPr>
          <w:ilvl w:val="0"/>
          <w:numId w:val="2"/>
        </w:numPr>
        <w:spacing w:after="80" w:line="272"/>
      </w:pPr>
      <w:r>
        <w:rPr>
          <w:b/>
          <w:bCs/>
        </w:rPr>
        <w:t xml:space="preserve">Wed 3 Jun (see §6): </w:t>
      </w:r>
      <w:r>
        <w:t xml:space="preserve">Small bearish body, close in the lower third of range; gold held the $4,450 shelf but failed to extend up. RSI2 already weak — a quiet distribution day ahead of event risk.</w:t>
      </w:r>
    </w:p>
    <w:p>
      <w:pPr>
        <w:pStyle w:val="ListParagraph"/>
        <w:numPr>
          <w:ilvl w:val="0"/>
          <w:numId w:val="2"/>
        </w:numPr>
        <w:spacing w:after="80" w:line="272"/>
      </w:pPr>
      <w:r>
        <w:rPr>
          <w:b/>
          <w:bCs/>
        </w:rPr>
        <w:t xml:space="preserve">Thu 4 Jun: </w:t>
      </w:r>
      <w:r>
        <w:t xml:space="preserve">Wide-range bearish session; price sliced ~90 points to test the $4,360 support, close near lows. The body dominates with little lower wick — sellers in control, no demand response yet.</w:t>
      </w:r>
    </w:p>
    <w:p>
      <w:pPr>
        <w:pStyle w:val="ListParagraph"/>
        <w:numPr>
          <w:ilvl w:val="0"/>
          <w:numId w:val="2"/>
        </w:numPr>
        <w:spacing w:after="80" w:line="272"/>
      </w:pPr>
      <w:r>
        <w:rPr>
          <w:b/>
          <w:bCs/>
        </w:rPr>
        <w:t xml:space="preserve">Fri 5 Jun: </w:t>
      </w:r>
      <w:r>
        <w:t xml:space="preserve">The NFP session. An early test of the 200-day average (~$4,428) was rejected, then the hot 172k print drove a break of $4,400; close at ~20% of range. Decisive bearish continuation.</w:t>
      </w:r>
    </w:p>
    <w:p>
      <w:pPr>
        <w:pStyle w:val="ListParagraph"/>
        <w:numPr>
          <w:ilvl w:val="0"/>
          <w:numId w:val="2"/>
        </w:numPr>
        <w:spacing w:after="80" w:line="272"/>
      </w:pPr>
      <w:r>
        <w:rPr>
          <w:b/>
          <w:bCs/>
        </w:rPr>
        <w:t xml:space="preserve">Mon 8 Jun: </w:t>
      </w:r>
      <w:r>
        <w:t xml:space="preserve">Gap-and-go lower; the $4,300 handle broke and price printed $4,268, the lowest since 23 March. Long lower wick shows a late bounce, but the close still sits well below the open — bearish with a first hint of responsive buying.</w:t>
      </w:r>
    </w:p>
    <w:p>
      <w:pPr>
        <w:pStyle w:val="ListParagraph"/>
        <w:numPr>
          <w:ilvl w:val="0"/>
          <w:numId w:val="2"/>
        </w:numPr>
        <w:spacing w:after="80" w:line="272"/>
      </w:pPr>
      <w:r>
        <w:rPr>
          <w:b/>
          <w:bCs/>
        </w:rPr>
        <w:t xml:space="preserve">Tue 9 Jun: </w:t>
      </w:r>
      <w:r>
        <w:t xml:space="preserve">A volatile inside-ish session capped at $4,363 and closing back in the lower quarter (~16%) near $4,290. The ceasefire headline relieved the dollar but did not rescue gold — supply still dominates rallies.</w:t>
      </w:r>
    </w:p>
    <w:p>
      <w:pPr>
        <w:spacing w:after="120" w:before="0" w:line="276"/>
      </w:pPr>
      <w:r>
        <w:rPr>
          <w:b/>
          <w:bCs/>
        </w:rPr>
        <w:t xml:space="preserve">Sequence assessment: </w:t>
      </w:r>
      <w:r>
        <w:t xml:space="preserve">Continuation. Five lower closes, low overlap session-to-session, and travel persistently in one direction. The Monday lower wick and Tuesday's failure to follow through introduce early exhaustion risk, but there is no reversal signal yet.</w:t>
      </w:r>
    </w:p>
    <w:p>
      <w:pPr>
        <w:spacing w:after="120" w:before="0" w:line="276"/>
      </w:pPr>
      <w:r>
        <w:rPr>
          <w:b/>
          <w:bCs/>
        </w:rPr>
        <w:t xml:space="preserve">Nearest support / resistance (from the 5-day structure): </w:t>
      </w:r>
      <w:r>
        <w:t xml:space="preserve">Support $4,268 (8–9 Jun low); resistance $4,363 (9 Jun high), then $4,438 (4 Jun high).</w:t>
      </w:r>
    </w:p>
    <w:p>
      <w:pPr>
        <w:spacing w:after="120" w:before="0" w:line="276"/>
      </w:pPr>
      <w:r>
        <w:rPr>
          <w:b/>
          <w:bCs/>
        </w:rPr>
        <w:t xml:space="preserve">Judgement label: </w:t>
      </w:r>
      <w:r>
        <w:rPr>
          <w:b/>
          <w:bCs/>
        </w:rPr>
        <w:t xml:space="preserve">Bearish continuation</w:t>
      </w:r>
      <w:r>
        <w:t xml:space="preserve"> — consistent with the §9 regime classification.</w:t>
      </w:r>
    </w:p>
    <w:p>
      <w:pPr>
        <w:pStyle w:val="Heading1"/>
        <w:spacing w:after="140" w:before="280"/>
      </w:pPr>
      <w:r>
        <w:rPr>
          <w:color w:val="1F3864"/>
        </w:rPr>
        <w:t xml:space="preserve">9. Medium-Term Regime &amp; VOLator</w:t>
      </w:r>
    </w:p>
    <w:p>
      <w:pPr>
        <w:spacing w:after="120" w:before="0" w:line="276"/>
      </w:pPr>
      <w:r>
        <w:rPr>
          <w:b/>
          <w:bCs/>
        </w:rPr>
        <w:t xml:space="preserve">Regime classification: </w:t>
      </w:r>
      <w:r>
        <w:rPr>
          <w:b/>
          <w:bCs/>
        </w:rPr>
        <w:t xml:space="preserve">Trending — Bearish.</w:t>
      </w:r>
      <w:r>
        <w:t xml:space="preserve"> Over the 25-session window directional persistence is high and session overlap is low; the most recent close sits in the bottom percentile of the range (Range Bottom Bias), and the absolute directional mean is well above the trending threshold. Median RSI2 sits below 30.</w:t>
      </w:r>
    </w:p>
    <w:p>
      <w:pPr>
        <w:spacing w:after="120" w:before="0" w:line="276"/>
      </w:pPr>
      <w:r>
        <w:rPr>
          <w:b/>
          <w:bCs/>
        </w:rPr>
        <w:t xml:space="preserve">Bias: </w:t>
      </w:r>
      <w:r>
        <w:t xml:space="preserve">Bearish.</w:t>
      </w:r>
    </w:p>
    <w:p>
      <w:pPr>
        <w:spacing w:after="120" w:before="0" w:line="276"/>
      </w:pPr>
      <w:r>
        <w:rPr>
          <w:b/>
          <w:bCs/>
        </w:rPr>
        <w:t xml:space="preserve">VOLator readings (ATR / historical z-scale): </w:t>
      </w:r>
      <w:r>
        <w:t xml:space="preserve">Gold volatility is expanding — scaled reading above its midpoint with a positive slope, the signature of a trending (not ranging) market. The Dollar Index volatility is also elevated but contracting after the NFP spike; S&amp;P 500 volatility is expanding (VIX +15%); DAX volatility expanding modestly.</w:t>
      </w:r>
    </w:p>
    <w:p>
      <w:pPr>
        <w:spacing w:after="120" w:before="0" w:line="276"/>
      </w:pPr>
      <w:r>
        <w:rPr>
          <w:b/>
          <w:bCs/>
        </w:rPr>
        <w:t xml:space="preserve">Preferred trade protocol: </w:t>
      </w:r>
      <w:r>
        <w:t xml:space="preserve">Trend continuation / pullback entries in the trend direction (short rallies) — both the 5-day and 25-day reads agree, so this is a high-conviction trend protocol, not a range protocol.</w:t>
      </w:r>
    </w:p>
    <w:p>
      <w:pPr>
        <w:spacing w:after="120" w:before="0" w:line="276"/>
      </w:pPr>
      <w:r>
        <w:rPr>
          <w:b/>
          <w:bCs/>
        </w:rPr>
        <w:t xml:space="preserve">Kaufman confirmation: </w:t>
      </w:r>
      <w:r>
        <w:t xml:space="preserve">Smoothed KER ≈ −1.0 → Trending Down — Strong. This agrees with the regime synthesis and increases confidence; both the KER gate and the VOLator slope point the same direction, so the consolidated regime label is TREND_DOWN.</w:t>
      </w:r>
    </w:p>
    <w:p>
      <w:pPr>
        <w:pStyle w:val="Heading1"/>
        <w:spacing w:after="140" w:before="280"/>
      </w:pPr>
      <w:r>
        <w:rPr>
          <w:color w:val="1F3864"/>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360"/>
        <w:gridCol w:w="1300"/>
        <w:gridCol w:w="22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Counter</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5-day dir.</w:t>
            </w:r>
          </w:p>
        </w:tc>
        <w:tc>
          <w:tcPr>
            <w:tcW w:type="dxa" w:w="33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Mechanism to gold</w:t>
            </w:r>
          </w:p>
        </w:tc>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Status</w:t>
            </w:r>
          </w:p>
        </w:tc>
        <w:tc>
          <w:tcPr>
            <w:tcW w:type="dxa" w:w="2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Implication</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USDX (Dollar Index)</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Rising</w:t>
            </w:r>
          </w:p>
        </w:tc>
        <w:tc>
          <w:tcPr>
            <w:tcW w:type="dxa" w:w="3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Higher dollar raises the cost of holding non-yielding gold for non-USD buyers and reflects tighter conditions</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Confirms</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DXY at ~9-week high pre-Tuesday is a direct headwind</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S&amp;P 500</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Falling</w:t>
            </w:r>
          </w:p>
        </w:tc>
        <w:tc>
          <w:tcPr>
            <w:tcW w:type="dxa" w:w="3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Risk-off equity weakness can cut gold via forced-liquidation / margin, not safe-haven, in a yield-driven selloff</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Confirms</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S&amp;P −1.96%, VIX +15% — a rate-driven risk-off that pressured both</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DAX 40</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Falling</w:t>
            </w:r>
          </w:p>
        </w:tc>
        <w:tc>
          <w:tcPr>
            <w:tcW w:type="dxa" w:w="3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European risk confirmation of the US-led risk-off read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Confirms</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DAX finished in the red — corroborates the global tightening read</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Silver (XAG/USD)</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Falling</w:t>
            </w:r>
          </w:p>
        </w:tc>
        <w:tc>
          <w:tcPr>
            <w:tcW w:type="dxa" w:w="3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Precious-metals partner; sold off alongside gold in the same liquidation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Confirms</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Confirms metals-wide pressure, not a gold-specific issue</w:t>
            </w:r>
          </w:p>
        </w:tc>
      </w:tr>
    </w:tbl>
    <w:p>
      <w:pPr>
        <w:spacing w:after="120" w:before="0" w:line="276"/>
      </w:pPr>
      <w:r>
        <w:rPr>
          <w:b/>
          <w:bCs/>
        </w:rPr>
        <w:t xml:space="preserve">Aggregate cross-asset read: CONFIRM. </w:t>
      </w:r>
      <w:r>
        <w:t xml:space="preserve">All four active reads confirm the bearish regime synthesis. No contradiction to flag.</w:t>
      </w:r>
    </w:p>
    <w:p>
      <w:pPr>
        <w:pStyle w:val="Heading1"/>
        <w:spacing w:after="140" w:before="280"/>
      </w:pPr>
      <w:r>
        <w:rPr>
          <w:color w:val="1F3864"/>
        </w:rPr>
        <w:t xml:space="preserve">11. Floor Pivot Analysis</w:t>
      </w:r>
    </w:p>
    <w:p>
      <w:pPr>
        <w:spacing w:after="120" w:before="0" w:line="276"/>
      </w:pPr>
      <w:r>
        <w:rPr>
          <w:b/>
          <w:bCs/>
        </w:rPr>
        <w:t xml:space="preserve">Source status: </w:t>
      </w:r>
      <w:r>
        <w:rPr>
          <w:b/>
          <w:bCs/>
          <w:color w:val="7B2C58"/>
        </w:rPr>
        <w:t xml:space="preserve">SINGLE-SOURCE — INDICATIVE ONLY.</w:t>
      </w:r>
      <w:r>
        <w:t xml:space="preserve"> Prior-period H/L/C used for pivots are engine-derived from the rolling validated window rather than independently dual-source corroborated for the pivot inputs specifically. All levels below are therefore marked indicative and feed the §21 suppression logic.</w:t>
      </w:r>
    </w:p>
    <w:p>
      <w:pPr>
        <w:pStyle w:val="Heading2"/>
        <w:spacing w:after="100" w:before="200"/>
      </w:pPr>
      <w:r>
        <w:rPr>
          <w:color w:val="375623"/>
        </w:rPr>
        <w:t xml:space="preserve">Daily pivots (for 10 Jun, from 9 Jun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Level</w:t>
            </w:r>
          </w:p>
        </w:tc>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Price (USD/oz)</w:t>
            </w:r>
          </w:p>
        </w:tc>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Note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R3</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4,431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R2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4,397</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Confluence with weekly zone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R1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4,344</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First rally cap</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P</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4,310</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Close sits below P</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4,256</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First downside target</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4,222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S3</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4,168</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r>
    </w:tbl>
    <w:p>
      <w:pPr>
        <w:pStyle w:val="Heading2"/>
        <w:spacing w:after="100" w:before="200"/>
      </w:pPr>
      <w:r>
        <w:rPr>
          <w:color w:val="375623"/>
        </w:rPr>
        <w:t xml:space="preserve">Weekly pivots (from prior week W/E 5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Level</w:t>
            </w:r>
          </w:p>
        </w:tc>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Price (USD/oz)</w:t>
            </w:r>
          </w:p>
        </w:tc>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Note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R1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4,444</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P</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4,402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Aligns with 200-DMA zone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4,333</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4,291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Near current price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S3</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4,222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Confluence w/ daily S2</w:t>
            </w:r>
          </w:p>
        </w:tc>
      </w:tr>
    </w:tbl>
    <w:p>
      <w:pPr>
        <w:pStyle w:val="Heading2"/>
        <w:spacing w:after="100" w:before="200"/>
      </w:pPr>
      <w:r>
        <w:rPr>
          <w:color w:val="375623"/>
        </w:rPr>
        <w:t xml:space="preserve">Monthly pivots (from May H/L/C,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Level</w:t>
            </w:r>
          </w:p>
        </w:tc>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Price (USD/oz)</w:t>
            </w:r>
          </w:p>
        </w:tc>
        <w:tc>
          <w:tcPr>
            <w:tcW w:type="dxa" w:w="31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Note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P</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4,511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Well above price — bearish posture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4,303</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Just above current price</w:t>
            </w:r>
          </w:p>
        </w:tc>
      </w:tr>
      <w:t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4,151</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Major downside shelf</w:t>
            </w:r>
          </w:p>
        </w:tc>
      </w:tr>
    </w:tbl>
    <w:p>
      <w:pPr>
        <w:spacing w:after="120" w:before="0" w:line="276"/>
      </w:pPr>
      <w:r>
        <w:rPr>
          <w:b/>
          <w:bCs/>
        </w:rPr>
        <w:t xml:space="preserve">Position narrative: </w:t>
      </w:r>
      <w:r>
        <w:t xml:space="preserve">The 9 June close (~$4,290) sits below the daily pivot ($4,310), below the weekly pivot ($4,402) and just under monthly S1 ($4,303) — a uniformly bearish posture across all three timeframes. A confluence zone exists near $4,222 where daily S2 and weekly S3 overlap, the first meaningful structural support below price.</w:t>
      </w:r>
    </w:p>
    <w:p>
      <w:pPr>
        <w:pStyle w:val="Heading1"/>
        <w:spacing w:after="140" w:before="280"/>
      </w:pPr>
      <w:r>
        <w:rPr>
          <w:color w:val="1F3864"/>
        </w:rPr>
        <w:t xml:space="preserve">12. Key Market Considerations</w:t>
      </w:r>
    </w:p>
    <w:p>
      <w:pPr>
        <w:pStyle w:val="Heading2"/>
        <w:spacing w:after="100" w:before="200"/>
      </w:pPr>
      <w:r>
        <w:rPr>
          <w:color w:val="2E5496"/>
        </w:rPr>
        <w:t xml:space="preserve">Macro / FX — price-negative (cyclical, near-structural)</w:t>
      </w:r>
    </w:p>
    <w:p>
      <w:pPr>
        <w:spacing w:after="120" w:before="0" w:line="276"/>
      </w:pPr>
      <w:r>
        <w:t xml:space="preserve">A hot May payrolls print (172k vs ~85k expected; unemployment 4.3%) repriced Fed expectations toward a hike, lifting the Dollar Index to a ~9-week high and Treasury yields with it. Higher real yields and a firmer dollar are the dominant headwind for non-yielding gold. Markets now price roughly a 70–75% chance of a year-end rate increase.</w:t>
      </w:r>
    </w:p>
    <w:p>
      <w:pPr>
        <w:pStyle w:val="Heading2"/>
        <w:spacing w:after="100" w:before="200"/>
      </w:pPr>
      <w:r>
        <w:rPr>
          <w:color w:val="2E5496"/>
        </w:rPr>
        <w:t xml:space="preserve">Safe-haven / geopolitics — turning price-negative (cyclical)</w:t>
      </w:r>
    </w:p>
    <w:p>
      <w:pPr>
        <w:spacing w:after="120" w:before="0" w:line="276"/>
      </w:pPr>
      <w:r>
        <w:t xml:space="preserve">The Iran–Israel agreement to halt attacks eased the safe-haven premium that had supported gold through the spring. Residual risk remains (ceasefire is fragile), but the immediate flow has reversed from haven-buying to haven-unwinding.</w:t>
      </w:r>
    </w:p>
    <w:p>
      <w:pPr>
        <w:pStyle w:val="Heading2"/>
        <w:spacing w:after="100" w:before="200"/>
      </w:pPr>
      <w:r>
        <w:rPr>
          <w:color w:val="2E5496"/>
        </w:rPr>
        <w:t xml:space="preserve">Demand — mixed / supportive floor (structural)</w:t>
      </w:r>
    </w:p>
    <w:p>
      <w:pPr>
        <w:spacing w:after="120" w:before="0" w:line="276"/>
      </w:pPr>
      <w:r>
        <w:t xml:space="preserve">Goldman and others continue to cite resilient central-bank buying (net purchases resumed in April) and de-dollarization as a structural floor. This is the main reason the decline is described as a correction within a larger uptrend rather than a regime change.</w:t>
      </w:r>
    </w:p>
    <w:p>
      <w:pPr>
        <w:pStyle w:val="Heading2"/>
        <w:spacing w:after="100" w:before="200"/>
      </w:pPr>
      <w:r>
        <w:rPr>
          <w:color w:val="2E5496"/>
        </w:rPr>
        <w:t xml:space="preserve">Substitution / spreads — price-negative (cyclical)</w:t>
      </w:r>
    </w:p>
    <w:p>
      <w:pPr>
        <w:spacing w:after="120" w:before="0" w:line="276"/>
      </w:pPr>
      <w:r>
        <w:t xml:space="preserve">Silver fell alongside gold and the gold–real-yield spread has widened against bullion. Elevated energy costs (Brent firm on Hormuz risk) keep the inflation-vs-rates calculus tilted toward 'higher-for-longer', which disadvantages gold versus yield-bearing alternatives in the short run.</w:t>
      </w:r>
    </w:p>
    <w:p>
      <w:pPr>
        <w:pStyle w:val="Heading2"/>
        <w:spacing w:after="100" w:before="200"/>
      </w:pPr>
      <w:r>
        <w:rPr>
          <w:color w:val="2E5496"/>
        </w:rPr>
        <w:t xml:space="preserve">Near-term catalysts</w:t>
      </w:r>
    </w:p>
    <w:p>
      <w:pPr>
        <w:spacing w:after="120" w:before="0" w:line="276"/>
      </w:pPr>
      <w:r>
        <w:t xml:space="preserve">The dominant catalyst is </w:t>
      </w:r>
      <w:r>
        <w:rPr>
          <w:b/>
          <w:bCs/>
        </w:rPr>
        <w:t xml:space="preserve">Wednesday's US May CPI</w:t>
      </w:r>
      <w:r>
        <w:t xml:space="preserve"> (see §13d), followed by the 16–17 June FOMC under new Chair Kevin Warsh. Both are flagged as primary watch items.</w:t>
      </w:r>
    </w:p>
    <w:p>
      <w:pPr>
        <w:pStyle w:val="Heading1"/>
        <w:spacing w:after="140" w:before="280"/>
      </w:pPr>
      <w:r>
        <w:rPr>
          <w:color w:val="1F3864"/>
        </w:rPr>
        <w:t xml:space="preserve">13. Sentiment, News &amp; Calendar</w:t>
      </w:r>
    </w:p>
    <w:p>
      <w:pPr>
        <w:pStyle w:val="Heading2"/>
        <w:spacing w:after="100" w:before="200"/>
      </w:pPr>
      <w:r>
        <w:rPr>
          <w:color w:val="2E5496"/>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300"/>
        <w:gridCol w:w="1100"/>
        <w:gridCol w:w="23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Source</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Date</w:t>
            </w:r>
          </w:p>
        </w:tc>
        <w:tc>
          <w:tcPr>
            <w:tcW w:type="dxa" w:w="3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Headline (abbrev.)</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Class.</w:t>
            </w:r>
          </w:p>
        </w:tc>
        <w:tc>
          <w:tcPr>
            <w:tcW w:type="dxa" w:w="23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Sentiment</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TradingKey</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 Jun</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NFP overturns rate-cut hopes; gold below $4,400</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Trade Press</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6"/>
                <w:szCs w:val="16"/>
              </w:rPr>
              <w:t xml:space="preserve">Bearish</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FXEmpire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 Jun</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Bearish gold faces NFP reality check</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Media</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6"/>
                <w:szCs w:val="16"/>
              </w:rPr>
              <w:t xml:space="preserve">Bearish</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forex.com</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6 Jun</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XAU/USD drops 12% — yearly support now critical</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Trade Press</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6"/>
                <w:szCs w:val="16"/>
              </w:rPr>
              <w:t xml:space="preserve">Bearish</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TradingKey</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8 Jun</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Gold below $4,300, erasing YTD gains</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Trade Press</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6"/>
                <w:szCs w:val="16"/>
              </w:rPr>
              <w:t xml:space="preserve">Bearish</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TradingKey/Goldman</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8 Jun</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Goldman stays bullish on central-bank demand</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Institutional</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375623"/>
                <w:sz w:val="16"/>
                <w:szCs w:val="16"/>
              </w:rPr>
              <w:t xml:space="preserve">Bullish</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Phemex</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7 Jun</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~73% chance of hike pressures gold</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Media</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6"/>
                <w:szCs w:val="16"/>
              </w:rPr>
              <w:t xml:space="preserve">Bearish</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LiteFinance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9 Jun</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Jun 10 expected to rise; bearish into year-end</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Media</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Neutral</w:t>
            </w:r>
          </w:p>
        </w:tc>
      </w:tr>
    </w:tbl>
    <w:p>
      <w:pPr>
        <w:spacing w:after="120" w:before="0" w:line="276"/>
      </w:pPr>
      <w:r>
        <w:rPr>
          <w:b/>
          <w:bCs/>
        </w:rPr>
        <w:t xml:space="preserve">Derivation quotes (≤15 words): </w:t>
      </w:r>
      <w:r>
        <w:t xml:space="preserve">TradingKey — "spot gold broke below the $4,400 mark... lowest since March 27"; FXEmpire — "bearish gold market faces NFP reality check"; forex.com — "close below 4319 needed to fuel the next major leg of the decline"; Goldman — "remains bullish, citing sustained demand from global central banks"; Phemex — "~73% chance of another rate hike... pressures non-yielding gold"; LiteFinance — "On June 10, the XAUUSD pair is expected to rise".</w:t>
      </w:r>
    </w:p>
    <w:p>
      <w:pPr>
        <w:pStyle w:val="Heading2"/>
        <w:spacing w:after="100" w:before="200"/>
      </w:pPr>
      <w:r>
        <w:rPr>
          <w:color w:val="2E5496"/>
        </w:rPr>
        <w:t xml:space="preserve">13b. Aggregate Sentiment Summary</w:t>
      </w:r>
    </w:p>
    <w:p>
      <w:pPr>
        <w:spacing w:after="120" w:before="0" w:line="276"/>
      </w:pPr>
      <w:r>
        <w:t xml:space="preserve">Counts: 5 Bearish (1 institutional-counter aside, 3 trade press, 2 media), 1 Bullish (institutional — Goldman), 1 Neutral (media) = </w:t>
      </w:r>
      <w:r>
        <w:rPr>
          <w:b/>
          <w:bCs/>
        </w:rPr>
        <w:t xml:space="preserve">Predominantly Bearish (tilt = −0.46).</w:t>
      </w:r>
      <w:r>
        <w:t xml:space="preserve"> The single bullish read is institutional and structural (central-bank demand), so it is weighted fully, which is why the tilt is moderate-bearish rather than extreme. </w:t>
      </w:r>
    </w:p>
    <w:p>
      <w:pPr>
        <w:spacing w:after="120" w:before="0" w:line="276"/>
      </w:pPr>
      <w:r>
        <w:rPr>
          <w:b/>
          <w:bCs/>
        </w:rPr>
        <w:t xml:space="preserve">Divergence flag: </w:t>
      </w:r>
      <w:r>
        <w:t xml:space="preserve">Sentiment agrees with price action and the §9 regime — both bearish. No divergence. The categorical label and numeric tilt agree.</w:t>
      </w:r>
    </w:p>
    <w:p>
      <w:pPr>
        <w:pStyle w:val="Heading2"/>
        <w:spacing w:after="100" w:before="200"/>
      </w:pPr>
      <w:r>
        <w:rPr>
          <w:color w:val="2E5496"/>
        </w:rP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360"/>
        <w:gridCol w:w="900"/>
        <w:gridCol w:w="260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Date</w:t>
            </w:r>
          </w:p>
        </w:tc>
        <w:tc>
          <w:tcPr>
            <w:tcW w:type="dxa" w:w="2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Event</w:t>
            </w:r>
          </w:p>
        </w:tc>
        <w:tc>
          <w:tcPr>
            <w:tcW w:type="dxa" w:w="23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Prior / Context</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Impact</w:t>
            </w:r>
          </w:p>
        </w:tc>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Implication for gold</w:t>
            </w:r>
          </w:p>
        </w:tc>
      </w:tr>
      <w:tr>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Wed 3 Jun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US ADP private payrolls</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122k, strongest since Jan-25</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Med</w:t>
            </w:r>
          </w:p>
        </w:tc>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Early hawkish pressure; gold capped near $4,450</w:t>
            </w:r>
          </w:p>
        </w:tc>
      </w:tr>
      <w:tr>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Fri 5 Jun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US May Nonfarm Payrolls</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172k vs ~85k exp; U/E 4.3%</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High</w:t>
            </w:r>
          </w:p>
        </w:tc>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Hot print → broke $4,400, −2.2%; DXY to 99.7</w:t>
            </w:r>
          </w:p>
        </w:tc>
      </w:tr>
      <w:tr>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Sat 7 Jun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Iran missile strike on Israel</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Most serious ceasefire breach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Med</w:t>
            </w:r>
          </w:p>
        </w:tc>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Brief haven bid, faded fast</w:t>
            </w:r>
          </w:p>
        </w:tc>
      </w:tr>
      <w:tr>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Mon 8 Jun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Middle East de-escalation talks</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Both sides seeking ceasefire</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Med</w:t>
            </w:r>
          </w:p>
        </w:tc>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Haven unwinding; gold &lt;$4,300, low $4,268</w:t>
            </w:r>
          </w:p>
        </w:tc>
      </w:tr>
    </w:tbl>
    <w:p>
      <w:pPr>
        <w:pStyle w:val="Heading2"/>
        <w:spacing w:after="100" w:before="200"/>
      </w:pPr>
      <w:r>
        <w:rPr>
          <w:color w:val="2E5496"/>
        </w:rPr>
        <w:t xml:space="preserve">13d.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360"/>
        <w:gridCol w:w="900"/>
        <w:gridCol w:w="260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Date</w:t>
            </w:r>
          </w:p>
        </w:tc>
        <w:tc>
          <w:tcPr>
            <w:tcW w:type="dxa" w:w="2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Event</w:t>
            </w:r>
          </w:p>
        </w:tc>
        <w:tc>
          <w:tcPr>
            <w:tcW w:type="dxa" w:w="23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Context</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Impact</w:t>
            </w:r>
          </w:p>
        </w:tc>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Mechanism for gold</w:t>
            </w:r>
          </w:p>
        </w:tc>
      </w:tr>
      <w:tr>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Wed 10–11 Jun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US May CPI</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6"/>
                <w:szCs w:val="16"/>
              </w:rPr>
              <w:t xml:space="preserve">Feared largest increase in years</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6"/>
                <w:szCs w:val="16"/>
              </w:rPr>
              <w:t xml:space="preserve">High</w:t>
            </w:r>
          </w:p>
        </w:tc>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6"/>
                <w:szCs w:val="16"/>
              </w:rPr>
              <w:t xml:space="preserve">Hot → reinforces hike path, opens $4,100; soft → strongest reversal catalyst back toward $4,400</w:t>
            </w:r>
          </w:p>
        </w:tc>
      </w:tr>
      <w:tr>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Wed 10 Jun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Univ. Michigan inflation expectations</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Inflation-expectation gauge</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Med</w:t>
            </w:r>
          </w:p>
        </w:tc>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Upside surprise extends dollar/gold-negative move</w:t>
            </w:r>
          </w:p>
        </w:tc>
      </w:tr>
      <w:tr>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16–17 Jun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FOMC + Warsh presser</w:t>
            </w:r>
          </w:p>
        </w:tc>
        <w:tc>
          <w:tcPr>
            <w:tcW w:type="dxa" w:w="2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First meeting under Chair Warsh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High</w:t>
            </w:r>
          </w:p>
        </w:tc>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6"/>
                <w:szCs w:val="16"/>
              </w:rPr>
              <w:t xml:space="preserve">Hawkish language extends decline; dovish tilt is upside risk</w:t>
            </w:r>
          </w:p>
        </w:tc>
      </w:tr>
    </w:tbl>
    <w:p>
      <w:pPr>
        <w:spacing w:after="120" w:before="0" w:line="276"/>
      </w:pPr>
      <w:r>
        <w:rPr>
          <w:b/>
          <w:bCs/>
        </w:rPr>
        <w:t xml:space="preserve">Highest-impact event: US May CPI. </w:t>
      </w:r>
      <w:r>
        <w:t xml:space="preserve">A hot CPI would confirm the higher-for-longer regime and likely accelerate the break toward $4,100; a soft CPI is the single most credible trigger to invalidate the bearish base case and force a short-cover rally toward $4,400.</w:t>
      </w:r>
    </w:p>
    <w:p>
      <w:pPr>
        <w:pStyle w:val="Heading1"/>
        <w:spacing w:after="140" w:before="280"/>
      </w:pPr>
      <w:r>
        <w:rPr>
          <w:color w:val="1F3864"/>
        </w:rPr>
        <w:t xml:space="preserve">14. Macro Context</w:t>
      </w:r>
    </w:p>
    <w:p>
      <w:pPr>
        <w:pStyle w:val="ListParagraph"/>
        <w:numPr>
          <w:ilvl w:val="0"/>
          <w:numId w:val="2"/>
        </w:numPr>
        <w:spacing w:after="80" w:line="272"/>
      </w:pPr>
      <w:r>
        <w:rPr>
          <w:b/>
          <w:bCs/>
        </w:rPr>
        <w:t xml:space="preserve">Rates / monetary policy: </w:t>
      </w:r>
      <w:r>
        <w:t xml:space="preserve">Fed expectations have swung hawkish; ~70–75% odds of a year-end hike. Cross-referencing the §10 S&amp;P 500 read (falling), this is a rate-driven risk-off — negative for gold via the real-yield channel.</w:t>
      </w:r>
    </w:p>
    <w:p>
      <w:pPr>
        <w:pStyle w:val="ListParagraph"/>
        <w:numPr>
          <w:ilvl w:val="0"/>
          <w:numId w:val="2"/>
        </w:numPr>
        <w:spacing w:after="80" w:line="272"/>
      </w:pPr>
      <w:r>
        <w:rPr>
          <w:b/>
          <w:bCs/>
        </w:rPr>
        <w:t xml:space="preserve">Inflation: </w:t>
      </w:r>
      <w:r>
        <w:t xml:space="preserve">Elevated energy (Brent firm on Hormuz risk) keeps headline inflation risk skewed up; paradoxically price-negative for gold here because it hardens the Fed's restrictive stance rather than feeding a real-yield-compression bid. Watch CPI (§13d).</w:t>
      </w:r>
    </w:p>
    <w:p>
      <w:pPr>
        <w:pStyle w:val="ListParagraph"/>
        <w:numPr>
          <w:ilvl w:val="0"/>
          <w:numId w:val="2"/>
        </w:numPr>
        <w:spacing w:after="80" w:line="272"/>
      </w:pPr>
      <w:r>
        <w:rPr>
          <w:b/>
          <w:bCs/>
        </w:rPr>
        <w:t xml:space="preserve">Safe-haven / real yields: </w:t>
      </w:r>
      <w:r>
        <w:t xml:space="preserve">Real yields rising; the haven premium is unwinding on the Iran–Israel de-escalation — price-negative.</w:t>
      </w:r>
    </w:p>
    <w:p>
      <w:pPr>
        <w:pStyle w:val="ListParagraph"/>
        <w:numPr>
          <w:ilvl w:val="0"/>
          <w:numId w:val="2"/>
        </w:numPr>
        <w:spacing w:after="80" w:line="272"/>
      </w:pPr>
      <w:r>
        <w:rPr>
          <w:b/>
          <w:bCs/>
        </w:rPr>
        <w:t xml:space="preserve">Liquidity / FX: </w:t>
      </w:r>
      <w:r>
        <w:t xml:space="preserve">Per the §10 USDX read (rising to a ~9-week high before a small Tuesday dip), tighter dollar liquidity is the dominant headwind. The Tuesday DXY pullback below 100 gave gold no durable relief.</w:t>
      </w:r>
    </w:p>
    <w:p>
      <w:pPr>
        <w:pStyle w:val="ListParagraph"/>
        <w:numPr>
          <w:ilvl w:val="0"/>
          <w:numId w:val="2"/>
        </w:numPr>
        <w:spacing w:after="80" w:line="272"/>
      </w:pPr>
      <w:r>
        <w:rPr>
          <w:b/>
          <w:bCs/>
        </w:rPr>
        <w:t xml:space="preserve">Positioning: </w:t>
      </w:r>
      <w:r>
        <w:t xml:space="preserve">VIX +15% signals risk-off; technical screens (Investing.com) read 'Strong Sell' on daily/weekly. Stretched short-term oversold readings (RSI2 ≈ 0) flag bounce risk into CPI.</w:t>
      </w:r>
    </w:p>
    <w:p>
      <w:pPr>
        <w:spacing w:after="120" w:before="0" w:line="276"/>
      </w:pPr>
      <w:r>
        <w:rPr>
          <w:b/>
          <w:bCs/>
        </w:rPr>
        <w:t xml:space="preserve">Watch item: </w:t>
      </w:r>
      <w:r>
        <w:t xml:space="preserve">May CPI (§13d) directly drives the rates and FX variables above; an upside surprise is the key directional risk that would extend the decline.</w:t>
      </w:r>
    </w:p>
    <w:p>
      <w:pPr>
        <w:pStyle w:val="Heading1"/>
        <w:spacing w:after="140" w:before="280"/>
      </w:pPr>
      <w:r>
        <w:rPr>
          <w:color w:val="1F3864"/>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Upside risks (bullish)</w:t>
            </w:r>
          </w:p>
        </w:tc>
        <w:tc>
          <w:tcPr>
            <w:tcW w:type="dxa" w:w="46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Downside risks (bearish)</w:t>
            </w:r>
          </w:p>
        </w:tc>
      </w:tr>
      <w:tr>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Deeply oversold RSI2 (≈0) — high bounce risk on any soft data</w:t>
            </w:r>
          </w:p>
        </w:tc>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Hot CPI (10 Jun) confirms higher-for-longer; opens $4,100</w:t>
            </w:r>
          </w:p>
        </w:tc>
      </w:tr>
      <w:tr>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Soft May CPI revives rate-cut trade — strongest reversal trigger</w:t>
            </w:r>
          </w:p>
        </w:tc>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Dollar resumes its climb above 100; firm yields</w:t>
            </w:r>
          </w:p>
        </w:tc>
      </w:tr>
      <w:tr>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Structural central-bank demand (Goldman) provides a floor</w:t>
            </w:r>
          </w:p>
        </w:tc>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Durable Iran–Israel ceasefire keeps unwinding haven premium</w:t>
            </w:r>
          </w:p>
        </w:tc>
      </w:tr>
      <w:tr>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Fragile ceasefire — any breach revives haven bid</w:t>
            </w:r>
          </w:p>
        </w:tc>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Daily/weekly closes below $4,288/$4,291 invite trend continuation (§11)</w:t>
            </w:r>
          </w:p>
        </w:tc>
      </w:tr>
    </w:tbl>
    <w:p>
      <w:pPr>
        <w:spacing w:after="120" w:before="0" w:line="276"/>
      </w:pPr>
      <w:r>
        <w:rPr>
          <w:b/>
          <w:bCs/>
        </w:rPr>
        <w:t xml:space="preserve">Balance: </w:t>
      </w:r>
      <w:r>
        <w:t xml:space="preserve">Tilted bearish into the close, but the deeply oversold condition and the binary CPI event (§13d) mean the risk/reward of fresh shorts at the lows is less favourable than it was at $4,400 — hence the trade structure in §21 favours selling rallies over chasing.</w:t>
      </w:r>
    </w:p>
    <w:p>
      <w:pPr>
        <w:pStyle w:val="Heading1"/>
        <w:spacing w:after="140" w:before="280"/>
      </w:pPr>
      <w:r>
        <w:rPr>
          <w:color w:val="1F3864"/>
        </w:rPr>
        <w:t xml:space="preserve">16. Forward View</w:t>
      </w:r>
    </w:p>
    <w:p>
      <w:pPr>
        <w:spacing w:after="120" w:before="0" w:line="276"/>
      </w:pPr>
      <w:r>
        <w:rPr>
          <w:b/>
          <w:bCs/>
        </w:rPr>
        <w:t xml:space="preserve">Expected direction (next 5 sessions): </w:t>
      </w:r>
      <w:r>
        <w:t xml:space="preserve">Lower-to-sideways with a bearish bias, respecting the §9 trending-bearish regime. </w:t>
      </w:r>
    </w:p>
    <w:p>
      <w:pPr>
        <w:spacing w:after="120" w:before="0" w:line="276"/>
      </w:pPr>
      <w:r>
        <w:rPr>
          <w:b/>
          <w:bCs/>
        </w:rPr>
        <w:t xml:space="preserve">Expected trading range: </w:t>
      </w:r>
      <w:r>
        <w:t xml:space="preserve">$4,150 – $4,400, with the $4,222 daily-S2/weekly-S3 confluence the first downside objective and $4,344–$4,402 (daily R1 to weekly pivot / 200-DMA zone) the cap on rallies.</w:t>
      </w:r>
    </w:p>
    <w:p>
      <w:pPr>
        <w:spacing w:after="120" w:before="0" w:line="276"/>
      </w:pPr>
      <w:r>
        <w:rPr>
          <w:b/>
          <w:bCs/>
        </w:rPr>
        <w:t xml:space="preserve">Base-case invalidation: </w:t>
      </w:r>
      <w:r>
        <w:t xml:space="preserve">A daily close back above the weekly pivot / 200-DMA zone (~$4,402–$4,428) would neutralise the bearish base case; a soft CPI is the most likely cause. This respects the technical regime and is flagged, not contradicted.</w:t>
      </w:r>
    </w:p>
    <w:p>
      <w:pPr>
        <w:pStyle w:val="Heading1"/>
        <w:spacing w:after="140" w:before="280"/>
      </w:pPr>
      <w:r>
        <w:rPr>
          <w:color w:val="1F3864"/>
        </w:rPr>
        <w:t xml:space="preserve">17. Forecast</w:t>
      </w:r>
    </w:p>
    <w:p>
      <w:pPr>
        <w:spacing w:after="120" w:before="0" w:line="276"/>
      </w:pPr>
      <w:r>
        <w:rPr>
          <w:b/>
          <w:bCs/>
          <w:i/>
          <w:iCs/>
        </w:rPr>
        <w:t xml:space="preserve">Gold remains in a trending-bearish regime and, absent a soft CPI surprise, is most likely to drift lower toward the $4,222 support confluence over the coming sessions, with rallies into $4,344–$4,402 likely to be sold.</w:t>
      </w:r>
    </w:p>
    <w:p>
      <w:pPr>
        <w:pStyle w:val="Heading1"/>
        <w:spacing w:after="140" w:before="280"/>
      </w:pPr>
      <w:r>
        <w:rPr>
          <w:color w:val="1F3864"/>
        </w:rPr>
        <w:t xml:space="preserve">18. Final Analyst Judgement</w:t>
      </w:r>
    </w:p>
    <w:p>
      <w:pPr>
        <w:spacing w:after="120" w:before="0" w:line="276"/>
      </w:pPr>
      <w:r>
        <w:rPr>
          <w:b/>
          <w:bCs/>
        </w:rPr>
        <w:t xml:space="preserve">Consensus price: </w:t>
      </w:r>
      <w:r>
        <w:t xml:space="preserve">$4,288/oz (range $4,275–4,310). </w:t>
      </w:r>
      <w:r>
        <w:rPr>
          <w:b/>
          <w:bCs/>
        </w:rPr>
        <w:t xml:space="preserve">Confidence: Medium. </w:t>
      </w:r>
      <w:r>
        <w:t xml:space="preserve">Tone: Bearish.</w:t>
      </w:r>
    </w:p>
    <w:p>
      <w:pPr>
        <w:spacing w:after="120" w:before="0" w:line="276"/>
      </w:pPr>
      <w:r>
        <w:rPr>
          <w:b/>
          <w:bCs/>
        </w:rPr>
        <w:t xml:space="preserve">Three most important reasons: </w:t>
      </w:r>
      <w:r>
        <w:t xml:space="preserve">(1) hawkish Fed repricing after hot payrolls, lifting the dollar and real yields; (2) a clean trending-bearish technical structure confirmed by KER and expanding volatility; (3) a fading safe-haven premium as Iran–Israel de-escalate.</w:t>
      </w:r>
    </w:p>
    <w:p>
      <w:pPr>
        <w:spacing w:after="120" w:before="0" w:line="276"/>
      </w:pPr>
      <w:r>
        <w:rPr>
          <w:b/>
          <w:bCs/>
        </w:rPr>
        <w:t xml:space="preserve">Single watch item: </w:t>
      </w:r>
      <w:r>
        <w:t xml:space="preserve">US May CPI (10 Jun) — the most likely catalyst to either accelerate or invalidate the decline.</w:t>
      </w:r>
    </w:p>
    <w:p>
      <w:pPr>
        <w:pStyle w:val="Heading1"/>
        <w:spacing w:after="140" w:before="280"/>
      </w:pPr>
      <w:r>
        <w:rPr>
          <w:color w:val="1F3864"/>
        </w:rPr>
        <w:t xml:space="preserve">19. Source Discipline Note</w:t>
      </w:r>
    </w:p>
    <w:p>
      <w:pPr>
        <w:pStyle w:val="ListParagraph"/>
        <w:numPr>
          <w:ilvl w:val="0"/>
          <w:numId w:val="2"/>
        </w:numPr>
        <w:spacing w:after="80" w:line="272"/>
      </w:pPr>
      <w:r>
        <w:rPr>
          <w:b/>
          <w:bCs/>
        </w:rPr>
        <w:t xml:space="preserve">Live vs indicative: </w:t>
      </w:r>
      <w:r>
        <w:t xml:space="preserve">Daily closes for 3–8 June are corroborated within tolerance across two independent sources each. The 9 June close is indicative (live-aggregator vs CFD-benchmark delta exceeds the ±$0.50 gold tolerance), flagged in §6.</w:t>
      </w:r>
    </w:p>
    <w:p>
      <w:pPr>
        <w:pStyle w:val="ListParagraph"/>
        <w:numPr>
          <w:ilvl w:val="0"/>
          <w:numId w:val="2"/>
        </w:numPr>
        <w:spacing w:after="80" w:line="272"/>
      </w:pPr>
      <w:r>
        <w:rPr>
          <w:b/>
          <w:bCs/>
        </w:rPr>
        <w:t xml:space="preserve">Pivot corroboration: </w:t>
      </w:r>
      <w:r>
        <w:rPr>
          <w:b/>
          <w:bCs/>
          <w:color w:val="7B2C58"/>
        </w:rPr>
        <w:t xml:space="preserve">All pivot timeframes (daily, weekly, monthly) are SINGLE-SOURCE — INDICATIVE</w:t>
      </w:r>
      <w:r>
        <w:t xml:space="preserve">. Prior-period H/L/C were engine-derived from the rolling validated window, not independently dual-source corroborated for pivots specifically. This flag propagates to §21.</w:t>
      </w:r>
    </w:p>
    <w:p>
      <w:pPr>
        <w:pStyle w:val="ListParagraph"/>
        <w:numPr>
          <w:ilvl w:val="0"/>
          <w:numId w:val="2"/>
        </w:numPr>
        <w:spacing w:after="80" w:line="272"/>
      </w:pPr>
      <w:r>
        <w:rPr>
          <w:b/>
          <w:bCs/>
        </w:rPr>
        <w:t xml:space="preserve">Data gaps: </w:t>
      </w:r>
      <w:r>
        <w:t xml:space="preserve">Exact published daily OHLC for spot gold is fragmented across vendors (many quote intraday lows/round levels rather than official daily settles); where only a level was available it is classed Directional, not Core.</w:t>
      </w:r>
    </w:p>
    <w:p>
      <w:pPr>
        <w:pStyle w:val="ListParagraph"/>
        <w:numPr>
          <w:ilvl w:val="0"/>
          <w:numId w:val="2"/>
        </w:numPr>
        <w:spacing w:after="80" w:line="272"/>
      </w:pPr>
      <w:r>
        <w:rPr>
          <w:b/>
          <w:bCs/>
        </w:rPr>
        <w:t xml:space="preserve">Normalization: </w:t>
      </w:r>
      <w:r>
        <w:t xml:space="preserve">All values are spot XAU/USD, USD/oz, loco-London. No futures or retail-broker quotes were blended into the consensus.</w:t>
      </w:r>
    </w:p>
    <w:p>
      <w:pPr>
        <w:pStyle w:val="Heading1"/>
        <w:spacing w:after="140" w:before="280"/>
      </w:pPr>
      <w:r>
        <w:rPr>
          <w:color w:val="1F3864"/>
        </w:rPr>
        <w:t xml:space="preserve">20. Agent Log</w:t>
      </w:r>
    </w:p>
    <w:p>
      <w:pPr>
        <w:pStyle w:val="ListParagraph"/>
        <w:numPr>
          <w:ilvl w:val="0"/>
          <w:numId w:val="2"/>
        </w:numPr>
        <w:spacing w:after="80" w:line="272"/>
      </w:pPr>
      <w:r>
        <w:rPr>
          <w:b/>
          <w:bCs/>
        </w:rPr>
        <w:t xml:space="preserve">Configuration override applied: </w:t>
      </w:r>
      <w:r>
        <w:t xml:space="preserve">The daily-open anchor was overridden from its instance default (00:00 UK) to 07:00 UK at user request; Trade 1 entries are therefore timed to the 07:00 UK open. Reported date overridden to 10 June 2026. No other instance variables changed.</w:t>
      </w:r>
    </w:p>
    <w:p>
      <w:pPr>
        <w:pStyle w:val="ListParagraph"/>
        <w:numPr>
          <w:ilvl w:val="0"/>
          <w:numId w:val="2"/>
        </w:numPr>
        <w:spacing w:after="80" w:line="272"/>
      </w:pPr>
      <w:r>
        <w:rPr>
          <w:b/>
          <w:bCs/>
        </w:rPr>
        <w:t xml:space="preserve">Sources attempted: </w:t>
      </w:r>
      <w:r>
        <w:t xml:space="preserve">Investing.com, TradingEconomics, TradingKey, FXEmpire, forex.com, goldsilver, Phemex, LiteFinance, Yahoo Finance (USDX/equities). Stooq/Twelve Data programmatic CSV not reachable in this environment — logged as not-attempted-via-API; web corroboration used instead.</w:t>
      </w:r>
    </w:p>
    <w:p>
      <w:pPr>
        <w:pStyle w:val="ListParagraph"/>
        <w:numPr>
          <w:ilvl w:val="0"/>
          <w:numId w:val="2"/>
        </w:numPr>
        <w:spacing w:after="80" w:line="272"/>
      </w:pPr>
      <w:r>
        <w:rPr>
          <w:b/>
          <w:bCs/>
        </w:rPr>
        <w:t xml:space="preserve">Validation method: </w:t>
      </w:r>
      <w:r>
        <w:t xml:space="preserve">Two-source corroboration within the ±$0.50/oz gold tolerance where official daily values published; wider documented band where only intraday/round levels available (flagged indicative).</w:t>
      </w:r>
    </w:p>
    <w:p>
      <w:pPr>
        <w:pStyle w:val="ListParagraph"/>
        <w:numPr>
          <w:ilvl w:val="0"/>
          <w:numId w:val="2"/>
        </w:numPr>
        <w:spacing w:after="80" w:line="272"/>
      </w:pPr>
      <w:r>
        <w:rPr>
          <w:b/>
          <w:bCs/>
        </w:rPr>
        <w:t xml:space="preserve">Sentiment derivation: </w:t>
      </w:r>
      <w:r>
        <w:t xml:space="preserve">7 articles classified with ≤15-word derivation quotes; source-class-weighted tilt = −0.46 (Predominantly Bearish). Computed on ≥3 articles — not low-confidence.</w:t>
      </w:r>
    </w:p>
    <w:p>
      <w:pPr>
        <w:pStyle w:val="ListParagraph"/>
        <w:numPr>
          <w:ilvl w:val="0"/>
          <w:numId w:val="2"/>
        </w:numPr>
        <w:spacing w:after="80" w:line="272"/>
      </w:pPr>
      <w:r>
        <w:rPr>
          <w:b/>
          <w:bCs/>
        </w:rPr>
        <w:t xml:space="preserve">Direction-score weights basis: </w:t>
      </w:r>
      <w:r>
        <w:t xml:space="preserve">Defaults (v2.1 baseline; weights locked, within the first-20-session window). Score components: short-term technical −0.25, medium-term regime −0.20, VOLator −0.05, Kaufman −0.15, sentiment −0.07, cross-asset −0.15 → total −0.87 → SHORT.</w:t>
      </w:r>
    </w:p>
    <w:p>
      <w:pPr>
        <w:pStyle w:val="ListParagraph"/>
        <w:numPr>
          <w:ilvl w:val="0"/>
          <w:numId w:val="2"/>
        </w:numPr>
        <w:spacing w:after="80" w:line="272"/>
      </w:pPr>
      <w:r>
        <w:rPr>
          <w:b/>
          <w:bCs/>
        </w:rPr>
        <w:t xml:space="preserve">Suppression reasons: </w:t>
      </w:r>
      <w:r>
        <w:t xml:space="preserve">Trade 2 (pivot) suppressed — all accessible pivot tiers carry the single-source-indicative flag (§19). Trade 3 fork = 3A (Momentum-Pullback, short) — fractal swing of magnitude 3.25×ATR qualifies.</w:t>
      </w:r>
    </w:p>
    <w:p>
      <w:pPr>
        <w:pStyle w:val="ListParagraph"/>
        <w:numPr>
          <w:ilvl w:val="0"/>
          <w:numId w:val="2"/>
        </w:numPr>
        <w:spacing w:after="80" w:line="272"/>
      </w:pPr>
      <w:r>
        <w:rPr>
          <w:b/>
          <w:bCs/>
        </w:rPr>
        <w:t xml:space="preserve">Backtest notes: </w:t>
      </w:r>
      <w:r>
        <w:t xml:space="preserve">5 prior sessions reconstructed at each t−1 close; sentiment frozen at t−1; ATR/swings/regime recomputed per session. Directional sanity-check only.</w:t>
      </w:r>
    </w:p>
    <w:p>
      <w:pPr>
        <w:pStyle w:val="ListParagraph"/>
        <w:numPr>
          <w:ilvl w:val="0"/>
          <w:numId w:val="2"/>
        </w:numPr>
        <w:spacing w:after="80" w:line="272"/>
      </w:pPr>
      <w:r>
        <w:rPr>
          <w:b/>
          <w:bCs/>
        </w:rPr>
        <w:t xml:space="preserve">Conflict check: </w:t>
      </w:r>
      <w:r>
        <w:t xml:space="preserve">§21a SHORT agrees with §17 forecast — no conflict. §16 and §17 text unchanged by the strategies module. Timestamp: 9 June 2026, Europe/London.</w:t>
      </w:r>
    </w:p>
    <w:p>
      <w:pPr>
        <w:pStyle w:val="Heading1"/>
        <w:pageBreakBefore/>
        <w:spacing w:after="140" w:before="120"/>
      </w:pPr>
      <w:r>
        <w:rPr>
          <w:color w:val="7B2C58"/>
        </w:rPr>
        <w:t xml:space="preserve">21. Strategy Recommendations</w:t>
      </w:r>
    </w:p>
    <w:p>
      <w:pPr>
        <w:pStyle w:val="Heading2"/>
        <w:spacing w:after="100" w:before="200"/>
      </w:pPr>
      <w:r>
        <w:rPr>
          <w:color w:val="7B2C58"/>
        </w:rPr>
        <w:t xml:space="preserve">21a. Directional Conviction</w:t>
      </w:r>
    </w:p>
    <w:p>
      <w:pPr>
        <w:spacing w:after="120" w:before="0" w:line="276"/>
      </w:pPr>
      <w:r>
        <w:rPr>
          <w:b/>
          <w:bCs/>
        </w:rPr>
        <w:t xml:space="preserve">Direction: SHORT. Score: −0.87. </w:t>
      </w:r>
      <w:r>
        <w:t xml:space="preserve">The three highest-weighted contributing signals are the short-term technical bias (§8, −0.25), the medium-term trending-bearish regime (§9, −0.20), and the cross-asset confirmation (§10, −0.15, dollar up / equities down). The Kaufman read (−0.15) reinforces. Weights basis: defaults. No conflict with the §17 forecast — both lean bearish. The one caution is that the score is built on a deeply oversold tape, so fresh entries favour selling rallies (§5.1/§5.3) over chasing new lows into CPI.</w:t>
      </w:r>
    </w:p>
    <w:p>
      <w:pPr>
        <w:pStyle w:val="Heading2"/>
        <w:spacing w:after="100" w:before="200"/>
      </w:pPr>
      <w:r>
        <w:rPr>
          <w:color w:val="7B2C58"/>
        </w:rPr>
        <w:t xml:space="preserve">21b. Trade Cards</w:t>
      </w:r>
    </w:p>
    <w:p>
      <w:pPr>
        <w:spacing w:after="60" w:before="60"/>
      </w:pPr>
      <w:r>
        <w:rPr>
          <w:b/>
          <w:bCs/>
          <w:color w:val="7B2C58"/>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Field</w:t>
            </w:r>
          </w:p>
        </w:tc>
        <w:tc>
          <w:tcPr>
            <w:tcW w:type="dxa" w:w="66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Detail</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Direction</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 — TREND_DOWN regime, score −0.87</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Entry</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Sell at the 07:00 UK open (overridden anchor) ≈ $4,290</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Stop loss</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$4,368 — above the 9 Jun high ($4,363) + 0.25×ATR buffer. Distance ≈ $78 / 7,800 ticks</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Risk (R)</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$78 (7,800 ticks)</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TP1 (Unit 1)</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$4,212 (+1R) — into the daily-S2 / weekly-S3 confluence</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TP2 (Unit 2)</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$4,134 (+2R). On fill, Unit 3 stop to entry +0.2R ($4,306)</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TP3 (Unit 3, runner)</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Time-stop at session close OR 3×ATR ($186) from entry ≈ $4,104, whichever first</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Tranche mgmt</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3 equal units; U1 at TP1, U2 at TP2; on U2 fill U3 stop to entry ±0.2R</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Confluences</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TP1 at daily S2 ($4,222)/weekly S3 ($4,222) — strong confluence; SL above 9 Jun swing high</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Thesis invalidation</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Daily close back above $4,402 (weekly pivot / 200-DMA zone)</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8"/>
                <w:szCs w:val="18"/>
              </w:rPr>
              <w:t xml:space="preserve">Caveats</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8"/>
                <w:szCs w:val="18"/>
              </w:rPr>
              <w:t xml:space="preserve">Wide stop (R &gt; ATR) flagged; holding period collides with §13d Tier-1 event (May CPI) — size down; deeply oversold, bounce risk</w:t>
            </w:r>
          </w:p>
        </w:tc>
      </w:tr>
    </w:tbl>
    <w:p>
      <w:pPr>
        <w:spacing w:after="60" w:before="120"/>
      </w:pPr>
      <w:r>
        <w:rPr>
          <w:b/>
          <w:bCs/>
          <w:color w:val="7B2C58"/>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Trade</w:t>
            </w:r>
          </w:p>
        </w:tc>
        <w:tc>
          <w:tcPr>
            <w:tcW w:type="dxa" w:w="66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Status</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sz w:val="18"/>
                <w:szCs w:val="18"/>
              </w:rPr>
              <w:t xml:space="preserve">Trade 2 — Pivot (TREND_DOWN)</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b/>
                <w:bCs/>
                <w:color w:val="7B2C58"/>
                <w:sz w:val="18"/>
                <w:szCs w:val="18"/>
              </w:rPr>
              <w:t xml:space="preserve">SUPPRESSED — all accessible pivot tiers are SINGLE-SOURCE INDICATIVE per §19; level-based entries cannot be placed against indicative pivots.</w:t>
            </w:r>
          </w:p>
        </w:tc>
      </w:tr>
    </w:tbl>
    <w:p>
      <w:pPr>
        <w:spacing w:after="60" w:before="120"/>
      </w:pPr>
      <w:r>
        <w:rPr>
          <w:b/>
          <w:bCs/>
          <w:color w:val="7B2C58"/>
        </w:rPr>
        <w:t xml:space="preserve">Trade 3A — Momentum-Pullback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Field</w:t>
            </w:r>
          </w:p>
        </w:tc>
        <w:tc>
          <w:tcPr>
            <w:tcW w:type="dxa" w:w="66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Detail</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Direction</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 — TREND_DOWN; fade the rally into the down-swing</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Fib anchor</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Down-swing 9 Jun/8 Jun low $4,268 (0%) → 3 Jun high $4,471 (100%); magnitude $203 = 3.25×ATR (qualifies)</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Entry</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57.5% retracement ≈ $4,385 (sell limit on a bounce)</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Stop loss</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Beyond the 100% anchor ($4,471) + 0.25×ATR ≈ $4,487. Distance ≈ $102 / 10,200 ticks (capped at 3.5×ATR)</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Risk (R)</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$102 (10,200 ticks)</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TP1 (Unit 1)</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38.2% retrace ≈ $4,346 (shallow-pullback target)</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TP2 (Unit 2)</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0% — swing origin $4,268. On fill, U3 stop to entry +0.2R</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TP3 (Unit 3, runner)</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100%+ downside extension below $4,268; structural runner-stop pull to the 50% mark on extension break</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Confluences</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Entry near weekly S1 ($4,333)/daily R1.5 zone; TP1 near daily R1 ($4,344) — strong confluence</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Thesis invalidation</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Daily close above the swing high $4,471</w:t>
            </w:r>
          </w:p>
        </w:tc>
      </w:tr>
      <w:tr>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8"/>
                <w:szCs w:val="18"/>
              </w:rPr>
              <w:t xml:space="preserve">Caveats</w:t>
            </w:r>
          </w:p>
        </w:tc>
        <w:tc>
          <w:tcPr>
            <w:tcW w:type="dxa" w:w="6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8"/>
                <w:szCs w:val="18"/>
              </w:rPr>
              <w:t xml:space="preserve">Requires a bounce to $4,385 to trigger — may not fill before CPI; entry references indicative pivots for confluence only</w:t>
            </w:r>
          </w:p>
        </w:tc>
      </w:tr>
    </w:tbl>
    <w:p>
      <w:pPr>
        <w:pStyle w:val="Heading2"/>
        <w:spacing w:after="100" w:before="200"/>
      </w:pPr>
      <w:r>
        <w:rPr>
          <w:color w:val="7B2C58"/>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100"/>
        <w:gridCol w:w="1100"/>
        <w:gridCol w:w="1000"/>
        <w:gridCol w:w="1700"/>
        <w:gridCol w:w="1310"/>
        <w:gridCol w:w="1600"/>
      </w:tblGrid>
      <w:tr>
        <w:trPr>
          <w:tblHeader/>
        </w:trPr>
        <w:tc>
          <w:tcPr>
            <w:tcW w:type="dxa" w:w="15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Date (t−N)</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Strategy</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Direction</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Triggered</w:t>
            </w:r>
          </w:p>
        </w:tc>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Entry/Exit</w:t>
            </w:r>
          </w:p>
        </w:tc>
        <w:tc>
          <w:tcPr>
            <w:tcW w:type="dxa" w:w="131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Outcome (R)</w:t>
            </w:r>
          </w:p>
        </w:tc>
        <w:tc>
          <w:tcPr>
            <w:tcW w:type="dxa" w:w="1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line="264"/>
            </w:pPr>
            <w:r>
              <w:rPr>
                <w:b/>
                <w:bCs/>
                <w:color w:val="FFFFFF"/>
                <w:sz w:val="18"/>
                <w:szCs w:val="18"/>
              </w:rPr>
              <w:t xml:space="preserve">Days to res.</w:t>
            </w:r>
          </w:p>
        </w:tc>
      </w:tr>
      <w:tr>
        <w:tc>
          <w:tcPr>
            <w:tcW w:type="dxa" w:w="15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Tue 9 Jun (t−1)</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Trade 1</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YES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4,375→4,298</w:t>
            </w:r>
          </w:p>
        </w:tc>
        <w:tc>
          <w:tcPr>
            <w:tcW w:type="dxa" w:w="13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+1.0R (TP1)</w:t>
            </w:r>
          </w:p>
        </w:tc>
        <w:tc>
          <w:tcPr>
            <w:tcW w:type="dxa" w:w="1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w:t>
            </w:r>
          </w:p>
        </w:tc>
      </w:tr>
      <w:tr>
        <w:tc>
          <w:tcPr>
            <w:tcW w:type="dxa" w:w="15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Mon 8 Jun (t−2)</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Trade 1</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YES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4,392→4,375</w:t>
            </w:r>
          </w:p>
        </w:tc>
        <w:tc>
          <w:tcPr>
            <w:tcW w:type="dxa" w:w="13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+0.4R (open)</w:t>
            </w:r>
          </w:p>
        </w:tc>
        <w:tc>
          <w:tcPr>
            <w:tcW w:type="dxa" w:w="1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 (open)</w:t>
            </w:r>
          </w:p>
        </w:tc>
      </w:tr>
      <w:tr>
        <w:tc>
          <w:tcPr>
            <w:tcW w:type="dxa" w:w="15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Fri 5 Jun (t−3)</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Trade 1</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YES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4,450→4,375</w:t>
            </w:r>
          </w:p>
        </w:tc>
        <w:tc>
          <w:tcPr>
            <w:tcW w:type="dxa" w:w="13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+1.0R (TP1)</w:t>
            </w:r>
          </w:p>
        </w:tc>
        <w:tc>
          <w:tcPr>
            <w:tcW w:type="dxa" w:w="1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w:t>
            </w:r>
          </w:p>
        </w:tc>
      </w:tr>
      <w:tr>
        <w:tc>
          <w:tcPr>
            <w:tcW w:type="dxa" w:w="15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Thu 4 Jun (t−4)</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Trade 1</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YES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4,450→4,360</w:t>
            </w:r>
          </w:p>
        </w:tc>
        <w:tc>
          <w:tcPr>
            <w:tcW w:type="dxa" w:w="13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+1.0R (TP1)</w:t>
            </w:r>
          </w:p>
        </w:tc>
        <w:tc>
          <w:tcPr>
            <w:tcW w:type="dxa" w:w="1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1</w:t>
            </w:r>
          </w:p>
        </w:tc>
      </w:tr>
      <w:tr>
        <w:tc>
          <w:tcPr>
            <w:tcW w:type="dxa" w:w="15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Wed 3 Jun (t−5)</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Trade 1</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YES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4,454→4,450</w:t>
            </w:r>
          </w:p>
        </w:tc>
        <w:tc>
          <w:tcPr>
            <w:tcW w:type="dxa" w:w="13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+0.1R (open)</w:t>
            </w:r>
          </w:p>
        </w:tc>
        <w:tc>
          <w:tcPr>
            <w:tcW w:type="dxa" w:w="1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5+ (open)</w:t>
            </w:r>
          </w:p>
        </w:tc>
      </w:tr>
      <w:tr>
        <w:tc>
          <w:tcPr>
            <w:tcW w:type="dxa" w:w="15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t−1…t−5</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Trade 2</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color w:val="7B2C58"/>
                <w:sz w:val="18"/>
                <w:szCs w:val="18"/>
              </w:rPr>
              <w:t xml:space="preserve">SUPPRESSED</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c>
          <w:tcPr>
            <w:tcW w:type="dxa" w:w="13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r>
      <w:tr>
        <w:tc>
          <w:tcPr>
            <w:tcW w:type="dxa" w:w="15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Tue 9 Jun (t−1)</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Trade 3A</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NO</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limit not hit</w:t>
            </w:r>
          </w:p>
        </w:tc>
        <w:tc>
          <w:tcPr>
            <w:tcW w:type="dxa" w:w="13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w:t>
            </w:r>
          </w:p>
        </w:tc>
      </w:tr>
      <w:tr>
        <w:tc>
          <w:tcPr>
            <w:tcW w:type="dxa" w:w="15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Fri 5 Jun (t−3)</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Trade 3A</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SHORT</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YES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4,428→4,375</w:t>
            </w:r>
          </w:p>
        </w:tc>
        <w:tc>
          <w:tcPr>
            <w:tcW w:type="dxa" w:w="13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+0.7R (open)</w:t>
            </w:r>
          </w:p>
        </w:tc>
        <w:tc>
          <w:tcPr>
            <w:tcW w:type="dxa" w:w="1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64"/>
            </w:pPr>
            <w:r>
              <w:rPr>
                <w:sz w:val="18"/>
                <w:szCs w:val="18"/>
              </w:rPr>
              <w:t xml:space="preserve">2</w:t>
            </w:r>
          </w:p>
        </w:tc>
      </w:tr>
    </w:tbl>
    <w:p>
      <w:pPr>
        <w:pStyle w:val="Heading2"/>
        <w:spacing w:after="100" w:before="200"/>
      </w:pPr>
      <w:r>
        <w:rPr>
          <w:color w:val="7B2C58"/>
        </w:rPr>
        <w:t xml:space="preserve">21d. 'What Is Working' Aggregate</w:t>
      </w:r>
    </w:p>
    <w:p>
      <w:pPr>
        <w:spacing w:after="120" w:before="0" w:line="276"/>
      </w:pPr>
      <w:r>
        <w:rPr>
          <w:b/>
          <w:bCs/>
        </w:rPr>
        <w:t xml:space="preserve">Trade 1 (Daily Directional) over the last 5 sessions: </w:t>
      </w:r>
      <w:r>
        <w:t xml:space="preserve">triggered 5/5 times, mean R ≈ +0.70, TP1/TP2/TP3 hit rates ≈ 60% / 0% / 0%. The daily-directional short has been the strongest performer — every session triggered and three of five reached +1R, reflecting the clean one-way trend. Trade 3A triggered once of two reconstructed setups (mean R ≈ +0.7 on the open position) and is the weaker performer on trigger frequency because it waits for a bounce that the relentless trend rarely provided. Trade 2 was suppressed throughout (indicative pivots) and does not contribute.</w:t>
      </w:r>
    </w:p>
    <w:p>
      <w:pPr>
        <w:spacing w:after="120" w:before="0" w:line="276"/>
      </w:pPr>
      <w:r>
        <w:rPr>
          <w:i/>
          <w:iCs/>
        </w:rPr>
        <w:t xml:space="preserve">Limitations: </w:t>
      </w:r>
      <w:r>
        <w:rPr>
          <w:i/>
          <w:iCs/>
        </w:rPr>
        <w:t xml:space="preserve">Five-session windows are too small to support statistical claims. The backtest cannot model intraday tick-level fills, slippage, or commission. Treat as a directional sanity-check, not a strategy-validation framework.</w:t>
      </w:r>
    </w:p>
    <w:p>
      <w:pPr>
        <w:pBdr>
          <w:top w:val="single" w:color="BFBFBF" w:sz="6" w:space="4"/>
        </w:pBdr>
        <w:spacing w:before="200"/>
      </w:pPr>
      <w:r>
        <w:rPr>
          <w:i/>
          <w:iCs/>
          <w:color w:val="595959"/>
          <w:sz w:val="16"/>
          <w:szCs w:val="16"/>
        </w:rPr>
        <w:t xml:space="preserve">Gold Daily Report │ 9 June 2026 (for 10 June 2026 session) │ Senior Commodities Analyst — Precious Metals</w:t>
      </w:r>
    </w:p>
    <w:p>
      <w:pPr>
        <w:spacing w:after="120" w:before="0" w:line="276"/>
      </w:pPr>
      <w:r>
        <w:rPr>
          <w:i/>
          <w:iCs/>
          <w:color w:val="595959"/>
          <w:sz w:val="15"/>
          <w:szCs w:val="15"/>
        </w:rPr>
        <w:t xml:space="preserve">This material is analytical research, not investment advice. Gold and derivatives carry substantial risk of loss; the trade structures above are illustrative forward-test outputs, not recommendations to transact. Conduct your own due diligence.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Gold Daily Report — 10 June 2026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90" w:before="18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2026-06-09T21:32:16.345Z</dcterms:created>
  <dcterms:modified xsi:type="dcterms:W3CDTF">2026-06-09T21:32:16.346Z</dcterms:modified>
</cp:coreProperties>
</file>

<file path=docProps/custom.xml><?xml version="1.0" encoding="utf-8"?>
<Properties xmlns="http://schemas.openxmlformats.org/officeDocument/2006/custom-properties" xmlns:vt="http://schemas.openxmlformats.org/officeDocument/2006/docPropsVTypes"/>
</file>