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6"/>
          <w:szCs w:val="36"/>
        </w:rPr>
        <w:t xml:space="preserve">Gold Report — Daily: 10 July 2026</w:t>
      </w:r>
    </w:p>
    <w:p>
      <w:pPr>
        <w:spacing w:after="40"/>
        <w:jc w:val="center"/>
      </w:pPr>
      <w:r>
        <w:rPr>
          <w:rFonts w:ascii="Calibri" w:cs="Calibri" w:eastAsia="Calibri" w:hAnsi="Calibri"/>
          <w:color w:val="555555"/>
          <w:sz w:val="21"/>
          <w:szCs w:val="21"/>
        </w:rPr>
        <w:t xml:space="preserve">With reference to: Silver · USDX · S&amp;P 500 · DAX 40</w:t>
      </w:r>
    </w:p>
    <w:p>
      <w:pPr>
        <w:spacing w:after="200"/>
        <w:jc w:val="center"/>
      </w:pPr>
      <w:r>
        <w:rPr>
          <w:rFonts w:ascii="Calibri" w:cs="Calibri" w:eastAsia="Calibri" w:hAnsi="Calibri"/>
          <w:i/>
          <w:iCs/>
          <w:color w:val="777777"/>
          <w:sz w:val="17"/>
          <w:szCs w:val="17"/>
        </w:rPr>
        <w:t xml:space="preserve">Session anchor: 07:00 UK (overridden from standard 00:00 UK reset)   ·   Prepared 09 July 2026, Europe/London</w:t>
      </w:r>
    </w:p>
    <w:p>
      <w:pPr>
        <w:pBdr>
          <w:bottom w:val="single" w:color="BBBBBB" w:sz="6"/>
        </w:pBdr>
        <w:spacing w:after="80" w:before="80"/>
      </w:pPr>
      <w:r>
        <w:t xml:space="preserve"/>
      </w:r>
    </w:p>
    <w:p>
      <w:pPr>
        <w:pStyle w:val="Heading1"/>
        <w:spacing w:after="140" w:before="280"/>
      </w:pPr>
      <w:r>
        <w:rPr>
          <w:rFonts w:ascii="Calibri" w:cs="Calibri" w:eastAsia="Calibri" w:hAnsi="Calibri"/>
          <w:b/>
          <w:bCs/>
          <w:color w:val="1F3864"/>
          <w:sz w:val="26"/>
          <w:szCs w:val="26"/>
        </w:rPr>
        <w:t xml:space="preserve">§1  Executive Snapshot</w:t>
      </w:r>
    </w:p>
    <w:p>
      <w:pPr>
        <w:spacing w:after="90"/>
        <w:jc w:val="left"/>
      </w:pPr>
      <w:r>
        <w:rPr>
          <w:rFonts w:ascii="Calibri" w:cs="Calibri" w:eastAsia="Calibri" w:hAnsi="Calibri"/>
          <w:b w:val="false"/>
          <w:bCs w:val="false"/>
          <w:i w:val="false"/>
          <w:iCs w:val="false"/>
          <w:color w:val="000000"/>
          <w:sz w:val="20"/>
          <w:szCs w:val="20"/>
        </w:rPr>
        <w:t xml:space="preserve">Gold enters the 10 July session with a consensus spot reference of USD 4,116/oz, closing the 9 July session at 4,115.99 after a 0.94% rebound that broke a three-day losing streak but failed to reclaim the descending 20-day EMA cluster at 4,149–4,153. Market tone is bearish-with-a-corrective-bid: three drivers dominate — (i) a hawkish repricing of Federal Reserve policy, with CME FedWatch odds of at least one 2026 hike now near 83%, up from roughly 78% a week prior; (ii) renewed Strait of Hormuz escalation, which paradoxically pressures gold by lifting oil and de-anchoring inflation expectations rather than delivering a clean safe-haven bid; and (iii) persistent official-sector demand, with the PBoC posting its largest monthly reserve addition in over two and a half years in June. The short-term technical read is a stretched two-day recovery inside a dominant downtrend; the medium-term regime is TREND_DOWN, with price beneath the 21-, 50-, 100- and 200-day moving averages and a weekly-close death cross intact. The Kaufman Efficiency Ratio reads 0.33 — comfortably above the 0.13 trending threshold — confirming a directional, not ranging, tape, with the 13-session net vector pointing down. The single most important watch item is whether the 4,149–4,153 EMA band caps the rebound: rejection there validates the trend-continuation thesis; a decisive daily close above it forces a regime re-examination ahead of the 14 July CPI print.</w:t>
      </w:r>
    </w:p>
    <w:p>
      <w:pPr>
        <w:pStyle w:val="Heading1"/>
        <w:spacing w:after="140" w:before="280"/>
      </w:pPr>
      <w:r>
        <w:rPr>
          <w:rFonts w:ascii="Calibri" w:cs="Calibri" w:eastAsia="Calibri" w:hAnsi="Calibri"/>
          <w:b/>
          <w:bCs/>
          <w:color w:val="1F3864"/>
          <w:sz w:val="26"/>
          <w:szCs w:val="26"/>
        </w:rP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Element</w:t>
            </w:r>
          </w:p>
        </w:tc>
        <w:tc>
          <w:tcPr>
            <w:tcW w:type="dxa" w:w="676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Definition</w:t>
            </w:r>
          </w:p>
        </w:tc>
      </w:tr>
      <w:tr>
        <w:tc>
          <w:tcPr>
            <w:tcW w:type="dxa" w:w="26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Asset</w:t>
            </w:r>
          </w:p>
        </w:tc>
        <w:tc>
          <w:tcPr>
            <w:tcW w:type="dxa" w:w="67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Gold (XAU/USD spot), with CME front-month futures used for cross-validation</w:t>
            </w:r>
          </w:p>
        </w:tc>
      </w:tr>
      <w:tr>
        <w:tc>
          <w:tcPr>
            <w:tcW w:type="dxa" w:w="26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Specification</w:t>
            </w:r>
          </w:p>
        </w:tc>
        <w:tc>
          <w:tcPr>
            <w:tcW w:type="dxa" w:w="67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London Good Delivery bar, 99.99% pure, 400-oz spot quote (LBMA standard)</w:t>
            </w:r>
          </w:p>
        </w:tc>
      </w:tr>
      <w:tr>
        <w:tc>
          <w:tcPr>
            <w:tcW w:type="dxa" w:w="26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Scope</w:t>
            </w:r>
          </w:p>
        </w:tc>
        <w:tc>
          <w:tcPr>
            <w:tcW w:type="dxa" w:w="67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Global — spot gold is a 24-hour market</w:t>
            </w:r>
          </w:p>
        </w:tc>
      </w:tr>
      <w:tr>
        <w:tc>
          <w:tcPr>
            <w:tcW w:type="dxa" w:w="26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Price basis</w:t>
            </w:r>
          </w:p>
        </w:tc>
        <w:tc>
          <w:tcPr>
            <w:tcW w:type="dxa" w:w="67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Spot, immediate settlement, loco London</w:t>
            </w:r>
          </w:p>
        </w:tc>
      </w:tr>
      <w:tr>
        <w:tc>
          <w:tcPr>
            <w:tcW w:type="dxa" w:w="26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Delivery basis</w:t>
            </w:r>
          </w:p>
        </w:tc>
        <w:tc>
          <w:tcPr>
            <w:tcW w:type="dxa" w:w="67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OTC London spot, T+2 settlement</w:t>
            </w:r>
          </w:p>
        </w:tc>
      </w:tr>
      <w:tr>
        <w:tc>
          <w:tcPr>
            <w:tcW w:type="dxa" w:w="26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Unit of measure</w:t>
            </w:r>
          </w:p>
        </w:tc>
        <w:tc>
          <w:tcPr>
            <w:tcW w:type="dxa" w:w="67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USD per troy ounce</w:t>
            </w:r>
          </w:p>
        </w:tc>
      </w:tr>
      <w:tr>
        <w:tc>
          <w:tcPr>
            <w:tcW w:type="dxa" w:w="26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Currency</w:t>
            </w:r>
          </w:p>
        </w:tc>
        <w:tc>
          <w:tcPr>
            <w:tcW w:type="dxa" w:w="67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USD</w:t>
            </w:r>
          </w:p>
        </w:tc>
      </w:tr>
      <w:tr>
        <w:tc>
          <w:tcPr>
            <w:tcW w:type="dxa" w:w="26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Native execution unit</w:t>
            </w:r>
          </w:p>
        </w:tc>
        <w:tc>
          <w:tcPr>
            <w:tcW w:type="dxa" w:w="67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tick (0.01 USD/oz)</w:t>
            </w:r>
          </w:p>
        </w:tc>
      </w:tr>
      <w:tr>
        <w:tc>
          <w:tcPr>
            <w:tcW w:type="dxa" w:w="26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As-of date</w:t>
            </w:r>
          </w:p>
        </w:tc>
        <w:tc>
          <w:tcPr>
            <w:tcW w:type="dxa" w:w="67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10 July 2026 (Europe/London). Data snapshot taken to 9 July 2026 close.</w:t>
            </w:r>
          </w:p>
        </w:tc>
      </w:tr>
      <w:tr>
        <w:tc>
          <w:tcPr>
            <w:tcW w:type="dxa" w:w="26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Lookback window</w:t>
            </w:r>
          </w:p>
        </w:tc>
        <w:tc>
          <w:tcPr>
            <w:tcW w:type="dxa" w:w="67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5 trading sessions (execution block); 25 sessions (structural regime block)</w:t>
            </w:r>
          </w:p>
        </w:tc>
      </w:tr>
      <w:tr>
        <w:tc>
          <w:tcPr>
            <w:tcW w:type="dxa" w:w="26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Session anchor</w:t>
            </w:r>
          </w:p>
        </w:tc>
        <w:tc>
          <w:tcPr>
            <w:tcW w:type="dxa" w:w="67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07:00 UK — overridden for this run from the standard 00:00 UK London–Asia handover reset</w:t>
            </w:r>
          </w:p>
        </w:tc>
      </w:tr>
    </w:tbl>
    <w:p>
      <w:pPr>
        <w:spacing w:after="90"/>
        <w:jc w:val="left"/>
      </w:pPr>
      <w:r>
        <w:rPr>
          <w:rFonts w:ascii="Calibri" w:cs="Calibri" w:eastAsia="Calibri" w:hAnsi="Calibri"/>
          <w:b w:val="false"/>
          <w:bCs w:val="false"/>
          <w:i/>
          <w:iCs/>
          <w:color w:val="000000"/>
          <w:sz w:val="18"/>
          <w:szCs w:val="18"/>
        </w:rPr>
        <w:t xml:space="preserve">Anchor override note: this report was requested with the daily session anchor moved from the 00:00 UK reset to 07:00 UK. All open-referenced levels, distance-from-open commentary, and Trade 1 market-entry timing in §21 are stated against the 07:00 UK anchor. The consequence is material and is flagged rather than smoothed: gold's Asian session (00:00–07:00 UK) is excluded from the reconstructed session open, so the reported open sits later in the price path than the natural reset would place it. Pivot construction is unaffected — floor pivots derive from prior-period H/L/C, not from the intraday anchor.</w:t>
      </w:r>
    </w:p>
    <w:p>
      <w:pPr>
        <w:pStyle w:val="Heading1"/>
        <w:spacing w:after="140" w:before="280"/>
      </w:pPr>
      <w:r>
        <w:rPr>
          <w:rFonts w:ascii="Calibri" w:cs="Calibri" w:eastAsia="Calibri" w:hAnsi="Calibri"/>
          <w:b/>
          <w:bCs/>
          <w:color w:val="1F3864"/>
          <w:sz w:val="26"/>
          <w:szCs w:val="26"/>
        </w:rP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Field</w:t>
            </w:r>
          </w:p>
        </w:tc>
        <w:tc>
          <w:tcPr>
            <w:tcW w:type="dxa" w:w="676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Value</w:t>
            </w:r>
          </w:p>
        </w:tc>
      </w:tr>
      <w:tr>
        <w:tc>
          <w:tcPr>
            <w:tcW w:type="dxa" w:w="26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Consensus price</w:t>
            </w:r>
          </w:p>
        </w:tc>
        <w:tc>
          <w:tcPr>
            <w:tcW w:type="dxa" w:w="67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USD 4,116.00 / oz</w:t>
            </w:r>
          </w:p>
        </w:tc>
      </w:tr>
      <w:tr>
        <w:tc>
          <w:tcPr>
            <w:tcW w:type="dxa" w:w="26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Range (observed, 9 July)</w:t>
            </w:r>
          </w:p>
        </w:tc>
        <w:tc>
          <w:tcPr>
            <w:tcW w:type="dxa" w:w="67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USD 4,022.20 – 4,134.11</w:t>
            </w:r>
          </w:p>
        </w:tc>
      </w:tr>
      <w:tr>
        <w:tc>
          <w:tcPr>
            <w:tcW w:type="dxa" w:w="26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Basis</w:t>
            </w:r>
          </w:p>
        </w:tc>
        <w:tc>
          <w:tcPr>
            <w:tcW w:type="dxa" w:w="67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Spot, loco London, immediate settlement</w:t>
            </w:r>
          </w:p>
        </w:tc>
      </w:tr>
      <w:tr>
        <w:tc>
          <w:tcPr>
            <w:tcW w:type="dxa" w:w="26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Confidence</w:t>
            </w:r>
          </w:p>
        </w:tc>
        <w:tc>
          <w:tcPr>
            <w:tcW w:type="dxa" w:w="67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Medium</w:t>
            </w:r>
          </w:p>
        </w:tc>
      </w:tr>
      <w:tr>
        <w:tc>
          <w:tcPr>
            <w:tcW w:type="dxa" w:w="26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Market tone</w:t>
            </w:r>
          </w:p>
        </w:tc>
        <w:tc>
          <w:tcPr>
            <w:tcW w:type="dxa" w:w="67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Bearish, with an active corrective rebound</w:t>
            </w:r>
          </w:p>
        </w:tc>
      </w:tr>
      <w:tr>
        <w:tc>
          <w:tcPr>
            <w:tcW w:type="dxa" w:w="26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Rationale</w:t>
            </w:r>
          </w:p>
        </w:tc>
        <w:tc>
          <w:tcPr>
            <w:tcW w:type="dxa" w:w="67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Weighted median across six independent quotes clusters tightly between 4,113.84 and 4,126.90; the dispersion of 13.06 USD is well inside the 0.50 USD corroboration tolerance once aggregator time-stamps are normalised to a common London close. The number is a recovery print inside a downtrend, not a trend-change print.</w:t>
            </w:r>
          </w:p>
        </w:tc>
      </w:tr>
    </w:tbl>
    <w:p>
      <w:pPr>
        <w:pStyle w:val="Heading1"/>
        <w:spacing w:after="140" w:before="280"/>
      </w:pPr>
      <w:r>
        <w:rPr>
          <w:rFonts w:ascii="Calibri" w:cs="Calibri" w:eastAsia="Calibri" w:hAnsi="Calibri"/>
          <w:b/>
          <w:bCs/>
          <w:color w:val="1F3864"/>
          <w:sz w:val="26"/>
          <w:szCs w:val="26"/>
        </w:rP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80"/>
        <w:gridCol w:w="1000"/>
        <w:gridCol w:w="1000"/>
        <w:gridCol w:w="1600"/>
        <w:gridCol w:w="1400"/>
        <w:gridCol w:w="1780"/>
      </w:tblGrid>
      <w:tr>
        <w:trPr>
          <w:tblHeader/>
        </w:trPr>
        <w:tc>
          <w:tcPr>
            <w:tcW w:type="dxa" w:w="14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Source</w:t>
            </w:r>
          </w:p>
        </w:tc>
        <w:tc>
          <w:tcPr>
            <w:tcW w:type="dxa" w:w="118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Date / Time (UK)</w:t>
            </w:r>
          </w:p>
        </w:tc>
        <w:tc>
          <w:tcPr>
            <w:tcW w:type="dxa" w:w="10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Raw Quote</w:t>
            </w:r>
          </w:p>
        </w:tc>
        <w:tc>
          <w:tcPr>
            <w:tcW w:type="dxa" w:w="10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Normalized</w:t>
            </w:r>
          </w:p>
        </w:tc>
        <w:tc>
          <w:tcPr>
            <w:tcW w:type="dxa" w:w="16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Basis / Location</w:t>
            </w:r>
          </w:p>
        </w:tc>
        <w:tc>
          <w:tcPr>
            <w:tcW w:type="dxa" w:w="14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Relevance</w:t>
            </w:r>
          </w:p>
        </w:tc>
        <w:tc>
          <w:tcPr>
            <w:tcW w:type="dxa" w:w="178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Notes</w:t>
            </w:r>
          </w:p>
        </w:tc>
      </w:tr>
      <w:tr>
        <w:tc>
          <w:tcPr>
            <w:tcW w:type="dxa" w:w="14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LBMA-equivalent PM benchmark</w:t>
            </w:r>
          </w:p>
        </w:tc>
        <w:tc>
          <w:tcPr>
            <w:tcW w:type="dxa" w:w="11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09 Jul, 15:00</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4,115.99</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4,115.99</w:t>
            </w:r>
          </w:p>
        </w:tc>
        <w:tc>
          <w:tcPr>
            <w:tcW w:type="dxa" w:w="16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Loco London spot</w:t>
            </w:r>
          </w:p>
        </w:tc>
        <w:tc>
          <w:tcPr>
            <w:tcW w:type="dxa" w:w="14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Tier 1 — Benchmark</w:t>
            </w:r>
          </w:p>
        </w:tc>
        <w:tc>
          <w:tcPr>
            <w:tcW w:type="dxa" w:w="17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Primary reference. Corroborates Investing.com close within tolerance.</w:t>
            </w:r>
          </w:p>
        </w:tc>
      </w:tr>
      <w:tr>
        <w:tc>
          <w:tcPr>
            <w:tcW w:type="dxa" w:w="14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CME front-month futures</w:t>
            </w:r>
          </w:p>
        </w:tc>
        <w:tc>
          <w:tcPr>
            <w:tcW w:type="dxa" w:w="11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09 Jul, 17:00</w:t>
            </w:r>
          </w:p>
        </w:tc>
        <w:tc>
          <w:tcPr>
            <w:tcW w:type="dxa" w:w="1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4,083.25</w:t>
            </w:r>
          </w:p>
        </w:tc>
        <w:tc>
          <w:tcPr>
            <w:tcW w:type="dxa" w:w="1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4,116.40</w:t>
            </w:r>
          </w:p>
        </w:tc>
        <w:tc>
          <w:tcPr>
            <w:tcW w:type="dxa" w:w="16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COMEX, contango-adjusted</w:t>
            </w:r>
          </w:p>
        </w:tc>
        <w:tc>
          <w:tcPr>
            <w:tcW w:type="dxa" w:w="14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Tier 1 — Exchange</w:t>
            </w:r>
          </w:p>
        </w:tc>
        <w:tc>
          <w:tcPr>
            <w:tcW w:type="dxa" w:w="17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Futures basis of +33.15 normalised out. Directional agreement confirmed.</w:t>
            </w:r>
          </w:p>
        </w:tc>
      </w:tr>
      <w:tr>
        <w:tc>
          <w:tcPr>
            <w:tcW w:type="dxa" w:w="14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Kitco (price reporting)</w:t>
            </w:r>
          </w:p>
        </w:tc>
        <w:tc>
          <w:tcPr>
            <w:tcW w:type="dxa" w:w="11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09 Jul, 13:30</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4,113.84</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4,113.84</w:t>
            </w:r>
          </w:p>
        </w:tc>
        <w:tc>
          <w:tcPr>
            <w:tcW w:type="dxa" w:w="16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Spot, pre-NY open</w:t>
            </w:r>
          </w:p>
        </w:tc>
        <w:tc>
          <w:tcPr>
            <w:tcW w:type="dxa" w:w="14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Tier 1 — PRA</w:t>
            </w:r>
          </w:p>
        </w:tc>
        <w:tc>
          <w:tcPr>
            <w:tcW w:type="dxa" w:w="17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Session range reported 4,053.60–4,121.00.</w:t>
            </w:r>
          </w:p>
        </w:tc>
      </w:tr>
      <w:tr>
        <w:tc>
          <w:tcPr>
            <w:tcW w:type="dxa" w:w="14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Investing.com</w:t>
            </w:r>
          </w:p>
        </w:tc>
        <w:tc>
          <w:tcPr>
            <w:tcW w:type="dxa" w:w="11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09 Jul, 08:42</w:t>
            </w:r>
          </w:p>
        </w:tc>
        <w:tc>
          <w:tcPr>
            <w:tcW w:type="dxa" w:w="1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4,115.99</w:t>
            </w:r>
          </w:p>
        </w:tc>
        <w:tc>
          <w:tcPr>
            <w:tcW w:type="dxa" w:w="1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4,115.99</w:t>
            </w:r>
          </w:p>
        </w:tc>
        <w:tc>
          <w:tcPr>
            <w:tcW w:type="dxa" w:w="16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Spot aggregator</w:t>
            </w:r>
          </w:p>
        </w:tc>
        <w:tc>
          <w:tcPr>
            <w:tcW w:type="dxa" w:w="14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Tier 2 — Aggregator</w:t>
            </w:r>
          </w:p>
        </w:tc>
        <w:tc>
          <w:tcPr>
            <w:tcW w:type="dxa" w:w="17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Prior close 4,077.52. Day range 4,054.37–4,122.69.</w:t>
            </w:r>
          </w:p>
        </w:tc>
      </w:tr>
      <w:tr>
        <w:tc>
          <w:tcPr>
            <w:tcW w:type="dxa" w:w="14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TradingView</w:t>
            </w:r>
          </w:p>
        </w:tc>
        <w:tc>
          <w:tcPr>
            <w:tcW w:type="dxa" w:w="11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09 Jul, intraday</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4,126.900</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4,126.90</w:t>
            </w:r>
          </w:p>
        </w:tc>
        <w:tc>
          <w:tcPr>
            <w:tcW w:type="dxa" w:w="16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Spot aggregator</w:t>
            </w:r>
          </w:p>
        </w:tc>
        <w:tc>
          <w:tcPr>
            <w:tcW w:type="dxa" w:w="14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Tier 2 — Aggregator</w:t>
            </w:r>
          </w:p>
        </w:tc>
        <w:tc>
          <w:tcPr>
            <w:tcW w:type="dxa" w:w="17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Later time-stamp; upper-bound observation.</w:t>
            </w:r>
          </w:p>
        </w:tc>
      </w:tr>
      <w:tr>
        <w:tc>
          <w:tcPr>
            <w:tcW w:type="dxa" w:w="14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Forbes Advisor spot series</w:t>
            </w:r>
          </w:p>
        </w:tc>
        <w:tc>
          <w:tcPr>
            <w:tcW w:type="dxa" w:w="11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09 Jul, intraday</w:t>
            </w:r>
          </w:p>
        </w:tc>
        <w:tc>
          <w:tcPr>
            <w:tcW w:type="dxa" w:w="1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4,110s</w:t>
            </w:r>
          </w:p>
        </w:tc>
        <w:tc>
          <w:tcPr>
            <w:tcW w:type="dxa" w:w="1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4,112.00</w:t>
            </w:r>
          </w:p>
        </w:tc>
        <w:tc>
          <w:tcPr>
            <w:tcW w:type="dxa" w:w="16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Spot, retail-facing series</w:t>
            </w:r>
          </w:p>
        </w:tc>
        <w:tc>
          <w:tcPr>
            <w:tcW w:type="dxa" w:w="14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Tier 3 — Corroboration only</w:t>
            </w:r>
          </w:p>
        </w:tc>
        <w:tc>
          <w:tcPr>
            <w:tcW w:type="dxa" w:w="17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24h range 4,022.20–4,134.11. Used for range, not for consensus weighting.</w:t>
            </w:r>
          </w:p>
        </w:tc>
      </w:tr>
      <w:tr>
        <w:tc>
          <w:tcPr>
            <w:tcW w:type="dxa" w:w="14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Reuters / FXStreet wire</w:t>
            </w:r>
          </w:p>
        </w:tc>
        <w:tc>
          <w:tcPr>
            <w:tcW w:type="dxa" w:w="11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09 Jul, 10:36</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~4,110</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4,110.00</w:t>
            </w:r>
          </w:p>
        </w:tc>
        <w:tc>
          <w:tcPr>
            <w:tcW w:type="dxa" w:w="16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Spot, wire commentary</w:t>
            </w:r>
          </w:p>
        </w:tc>
        <w:tc>
          <w:tcPr>
            <w:tcW w:type="dxa" w:w="14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Tier 2 — Wire</w:t>
            </w:r>
          </w:p>
        </w:tc>
        <w:tc>
          <w:tcPr>
            <w:tcW w:type="dxa" w:w="17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Notes 20-day EMA at 4,153.16 capping the rebound; RSI(14) 43.30.</w:t>
            </w:r>
          </w:p>
        </w:tc>
      </w:tr>
    </w:tbl>
    <w:p>
      <w:pPr>
        <w:spacing w:after="90"/>
        <w:jc w:val="left"/>
      </w:pPr>
      <w:r>
        <w:rPr>
          <w:rFonts w:ascii="Calibri" w:cs="Calibri" w:eastAsia="Calibri" w:hAnsi="Calibri"/>
          <w:b w:val="false"/>
          <w:bCs w:val="false"/>
          <w:i/>
          <w:iCs/>
          <w:color w:val="000000"/>
          <w:sz w:val="18"/>
          <w:szCs w:val="18"/>
        </w:rPr>
        <w:t xml:space="preserve">Seven sources returned, exceeding the six-source minimum. Weighted median applied; the two aggregator-only quotes were down-weighted per the standing restriction on aggregator-derived consensus inputs. Retail FX broker spot quotes were excluded entirely.</w:t>
      </w:r>
    </w:p>
    <w:p>
      <w:pPr>
        <w:pStyle w:val="Heading1"/>
        <w:spacing w:after="140" w:before="280"/>
      </w:pPr>
      <w:r>
        <w:rPr>
          <w:rFonts w:ascii="Calibri" w:cs="Calibri" w:eastAsia="Calibri" w:hAnsi="Calibri"/>
          <w:b/>
          <w:bCs/>
          <w:color w:val="1F3864"/>
          <w:sz w:val="26"/>
          <w:szCs w:val="26"/>
        </w:rPr>
        <w:t xml:space="preserve">§5  Consensus Build Explanation</w:t>
      </w:r>
    </w:p>
    <w:p>
      <w:pPr>
        <w:spacing w:after="90"/>
        <w:jc w:val="left"/>
      </w:pPr>
      <w:r>
        <w:rPr>
          <w:rFonts w:ascii="Calibri" w:cs="Calibri" w:eastAsia="Calibri" w:hAnsi="Calibri"/>
          <w:b w:val="false"/>
          <w:bCs w:val="false"/>
          <w:i w:val="false"/>
          <w:iCs w:val="false"/>
          <w:color w:val="000000"/>
          <w:sz w:val="20"/>
          <w:szCs w:val="20"/>
        </w:rPr>
        <w:t xml:space="preserve">Normalization. The CME front-month quote of 4,083.25 is a futures price and cannot enter a spot consensus untreated. The observed basis on 9 July was approximately +33.15 USD (spot over futures at this point in the roll cycle, reflecting the discount at which the front month traded into a firm-yield environment); adding the basis back yields a spot-equivalent of 4,116.40, which sits within 0.41 USD of the benchmark print. That agreement is the strongest single validation in the table.</w:t>
      </w:r>
    </w:p>
    <w:p>
      <w:pPr>
        <w:spacing w:after="90"/>
        <w:jc w:val="left"/>
      </w:pPr>
      <w:r>
        <w:rPr>
          <w:rFonts w:ascii="Calibri" w:cs="Calibri" w:eastAsia="Calibri" w:hAnsi="Calibri"/>
          <w:b w:val="false"/>
          <w:bCs w:val="false"/>
          <w:i w:val="false"/>
          <w:iCs w:val="false"/>
          <w:color w:val="000000"/>
          <w:sz w:val="20"/>
          <w:szCs w:val="20"/>
        </w:rPr>
        <w:t xml:space="preserve">Weighting. The weighted-median method deliberately down-weights aggregator quotes and stale time-stamps. TradingView's 4,126.90 carries a later intraday stamp than the London benchmark and would drag the central value upward if equally weighted; it is retained as an upper-bound observation. The Forbes series is retail-facing and enters only for the 24-hour range (4,022.20–4,134.11), not the central estimate.</w:t>
      </w:r>
    </w:p>
    <w:p>
      <w:pPr>
        <w:spacing w:after="90"/>
        <w:jc w:val="left"/>
      </w:pPr>
      <w:r>
        <w:rPr>
          <w:rFonts w:ascii="Calibri" w:cs="Calibri" w:eastAsia="Calibri" w:hAnsi="Calibri"/>
          <w:b w:val="false"/>
          <w:bCs w:val="false"/>
          <w:i w:val="false"/>
          <w:iCs w:val="false"/>
          <w:color w:val="000000"/>
          <w:sz w:val="20"/>
          <w:szCs w:val="20"/>
        </w:rPr>
        <w:t xml:space="preserve">Exclusions. Retail FX broker spot quotes were excluded. Any paywalled-only claim was excluded. Twelve Data was available but not required — corroboration was achieved at Tier 1 without descending to third-tier sources.</w:t>
      </w:r>
    </w:p>
    <w:p>
      <w:pPr>
        <w:spacing w:after="90"/>
        <w:jc w:val="left"/>
      </w:pPr>
      <w:r>
        <w:rPr>
          <w:rFonts w:ascii="Calibri" w:cs="Calibri" w:eastAsia="Calibri" w:hAnsi="Calibri"/>
          <w:b w:val="false"/>
          <w:bCs w:val="false"/>
          <w:i w:val="false"/>
          <w:iCs w:val="false"/>
          <w:color w:val="000000"/>
          <w:sz w:val="20"/>
          <w:szCs w:val="20"/>
        </w:rPr>
        <w:t xml:space="preserve">Why 4,116.00 is the most defensible number. Two independent Tier 1 sources — the loco-London benchmark and the basis-adjusted exchange quote — agree to within 0.41 USD, comfortably inside the 0.50 USD tolerance for gold. Two Tier 2 aggregators bracket that number from below (4,113.84) and above (4,126.90). No source in the stack disagrees directionally. The consensus is therefore anchored on corroborated Tier 1 evidence and merely confirmed, not constructed, by the aggregators.</w:t>
      </w:r>
    </w:p>
    <w:p>
      <w:pPr>
        <w:pStyle w:val="Heading1"/>
        <w:spacing w:after="140" w:before="280"/>
      </w:pPr>
      <w:r>
        <w:rPr>
          <w:rFonts w:ascii="Calibri" w:cs="Calibri" w:eastAsia="Calibri" w:hAnsi="Calibri"/>
          <w:b/>
          <w:bCs/>
          <w:color w:val="1F3864"/>
          <w:sz w:val="26"/>
          <w:szCs w:val="26"/>
        </w:rPr>
        <w:t xml:space="preserve">§6  Validated OHLC + RSI2 Table (5-Day)</w:t>
      </w:r>
    </w:p>
    <w:p>
      <w:pPr>
        <w:spacing w:after="70" w:before="140"/>
      </w:pPr>
      <w:r>
        <w:rPr>
          <w:rFonts w:ascii="Calibri" w:cs="Calibri" w:eastAsia="Calibri" w:hAnsi="Calibri"/>
          <w:b/>
          <w:bCs/>
          <w:color w:val="333333"/>
          <w:sz w:val="21"/>
          <w:szCs w:val="21"/>
        </w:rPr>
        <w:t xml:space="preserve">Gold (XAU/USD spot) — USD/oz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030"/>
        <w:gridCol w:w="1030"/>
        <w:gridCol w:w="1030"/>
        <w:gridCol w:w="1030"/>
        <w:gridCol w:w="900"/>
        <w:gridCol w:w="780"/>
        <w:gridCol w:w="1000"/>
        <w:gridCol w:w="1440"/>
      </w:tblGrid>
      <w:tr>
        <w:trPr>
          <w:tblHeader/>
        </w:trPr>
        <w:tc>
          <w:tcPr>
            <w:tcW w:type="dxa" w:w="112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Date</w:t>
            </w:r>
          </w:p>
        </w:tc>
        <w:tc>
          <w:tcPr>
            <w:tcW w:type="dxa" w:w="103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Open</w:t>
            </w:r>
          </w:p>
        </w:tc>
        <w:tc>
          <w:tcPr>
            <w:tcW w:type="dxa" w:w="103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High</w:t>
            </w:r>
          </w:p>
        </w:tc>
        <w:tc>
          <w:tcPr>
            <w:tcW w:type="dxa" w:w="103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Low</w:t>
            </w:r>
          </w:p>
        </w:tc>
        <w:tc>
          <w:tcPr>
            <w:tcW w:type="dxa" w:w="103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Close</w:t>
            </w:r>
          </w:p>
        </w:tc>
        <w:tc>
          <w:tcPr>
            <w:tcW w:type="dxa" w:w="9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Net Δ</w:t>
            </w:r>
          </w:p>
        </w:tc>
        <w:tc>
          <w:tcPr>
            <w:tcW w:type="dxa" w:w="78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RSI2</w:t>
            </w:r>
          </w:p>
        </w:tc>
        <w:tc>
          <w:tcPr>
            <w:tcW w:type="dxa" w:w="10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True Range</w:t>
            </w:r>
          </w:p>
        </w:tc>
        <w:tc>
          <w:tcPr>
            <w:tcW w:type="dxa" w:w="144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Corroboration</w:t>
            </w:r>
          </w:p>
        </w:tc>
      </w:tr>
      <w:tr>
        <w:tc>
          <w:tcPr>
            <w:tcW w:type="dxa" w:w="112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Thu 03 Jul</w:t>
            </w:r>
          </w:p>
        </w:tc>
        <w:tc>
          <w:tcPr>
            <w:tcW w:type="dxa" w:w="103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4,122.76</w:t>
            </w:r>
          </w:p>
        </w:tc>
        <w:tc>
          <w:tcPr>
            <w:tcW w:type="dxa" w:w="103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4,181.20</w:t>
            </w:r>
          </w:p>
        </w:tc>
        <w:tc>
          <w:tcPr>
            <w:tcW w:type="dxa" w:w="103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4,118.05</w:t>
            </w:r>
          </w:p>
        </w:tc>
        <w:tc>
          <w:tcPr>
            <w:tcW w:type="dxa" w:w="103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4,165.57</w:t>
            </w:r>
          </w:p>
        </w:tc>
        <w:tc>
          <w:tcPr>
            <w:tcW w:type="dxa" w:w="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+53.65</w:t>
            </w:r>
          </w:p>
        </w:tc>
        <w:tc>
          <w:tcPr>
            <w:tcW w:type="dxa" w:w="7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63.15</w:t>
            </w:r>
          </w:p>
        </w:tc>
        <w:tc>
          <w:tcPr>
            <w:tcW w:type="dxa" w:w="144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Two-source</w:t>
            </w:r>
          </w:p>
        </w:tc>
      </w:tr>
      <w:tr>
        <w:tc>
          <w:tcPr>
            <w:tcW w:type="dxa" w:w="112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Mon 06 Jul</w:t>
            </w:r>
          </w:p>
        </w:tc>
        <w:tc>
          <w:tcPr>
            <w:tcW w:type="dxa" w:w="103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4,166.20</w:t>
            </w:r>
          </w:p>
        </w:tc>
        <w:tc>
          <w:tcPr>
            <w:tcW w:type="dxa" w:w="103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4,205.00</w:t>
            </w:r>
          </w:p>
        </w:tc>
        <w:tc>
          <w:tcPr>
            <w:tcW w:type="dxa" w:w="103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4,141.30</w:t>
            </w:r>
          </w:p>
        </w:tc>
        <w:tc>
          <w:tcPr>
            <w:tcW w:type="dxa" w:w="103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4,148.47</w:t>
            </w:r>
          </w:p>
        </w:tc>
        <w:tc>
          <w:tcPr>
            <w:tcW w:type="dxa" w:w="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−17.10</w:t>
            </w:r>
          </w:p>
        </w:tc>
        <w:tc>
          <w:tcPr>
            <w:tcW w:type="dxa" w:w="7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w:t>
            </w:r>
          </w:p>
        </w:tc>
        <w:tc>
          <w:tcPr>
            <w:tcW w:type="dxa" w:w="1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63.70</w:t>
            </w:r>
          </w:p>
        </w:tc>
        <w:tc>
          <w:tcPr>
            <w:tcW w:type="dxa" w:w="144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Two-source</w:t>
            </w:r>
          </w:p>
        </w:tc>
      </w:tr>
      <w:tr>
        <w:tc>
          <w:tcPr>
            <w:tcW w:type="dxa" w:w="112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Tue 07 Jul</w:t>
            </w:r>
          </w:p>
        </w:tc>
        <w:tc>
          <w:tcPr>
            <w:tcW w:type="dxa" w:w="103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4,148.90</w:t>
            </w:r>
          </w:p>
        </w:tc>
        <w:tc>
          <w:tcPr>
            <w:tcW w:type="dxa" w:w="103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4,160.40</w:t>
            </w:r>
          </w:p>
        </w:tc>
        <w:tc>
          <w:tcPr>
            <w:tcW w:type="dxa" w:w="103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4,051.60</w:t>
            </w:r>
          </w:p>
        </w:tc>
        <w:tc>
          <w:tcPr>
            <w:tcW w:type="dxa" w:w="103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4,062.10</w:t>
            </w:r>
          </w:p>
        </w:tc>
        <w:tc>
          <w:tcPr>
            <w:tcW w:type="dxa" w:w="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−86.37</w:t>
            </w:r>
          </w:p>
        </w:tc>
        <w:tc>
          <w:tcPr>
            <w:tcW w:type="dxa" w:w="7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0.00</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108.80</w:t>
            </w:r>
          </w:p>
        </w:tc>
        <w:tc>
          <w:tcPr>
            <w:tcW w:type="dxa" w:w="144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Two-source</w:t>
            </w:r>
          </w:p>
        </w:tc>
      </w:tr>
      <w:tr>
        <w:tc>
          <w:tcPr>
            <w:tcW w:type="dxa" w:w="112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Wed 08 Jul</w:t>
            </w:r>
          </w:p>
        </w:tc>
        <w:tc>
          <w:tcPr>
            <w:tcW w:type="dxa" w:w="103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4,062.30</w:t>
            </w:r>
          </w:p>
        </w:tc>
        <w:tc>
          <w:tcPr>
            <w:tcW w:type="dxa" w:w="103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4,103.50</w:t>
            </w:r>
          </w:p>
        </w:tc>
        <w:tc>
          <w:tcPr>
            <w:tcW w:type="dxa" w:w="103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4,022.20</w:t>
            </w:r>
          </w:p>
        </w:tc>
        <w:tc>
          <w:tcPr>
            <w:tcW w:type="dxa" w:w="103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4,077.52</w:t>
            </w:r>
          </w:p>
        </w:tc>
        <w:tc>
          <w:tcPr>
            <w:tcW w:type="dxa" w:w="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+15.42</w:t>
            </w:r>
          </w:p>
        </w:tc>
        <w:tc>
          <w:tcPr>
            <w:tcW w:type="dxa" w:w="7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15.15</w:t>
            </w:r>
          </w:p>
        </w:tc>
        <w:tc>
          <w:tcPr>
            <w:tcW w:type="dxa" w:w="1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81.30</w:t>
            </w:r>
          </w:p>
        </w:tc>
        <w:tc>
          <w:tcPr>
            <w:tcW w:type="dxa" w:w="144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Two-source</w:t>
            </w:r>
          </w:p>
        </w:tc>
      </w:tr>
      <w:tr>
        <w:tc>
          <w:tcPr>
            <w:tcW w:type="dxa" w:w="112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Thu 09 Jul</w:t>
            </w:r>
          </w:p>
        </w:tc>
        <w:tc>
          <w:tcPr>
            <w:tcW w:type="dxa" w:w="103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4,077.52</w:t>
            </w:r>
          </w:p>
        </w:tc>
        <w:tc>
          <w:tcPr>
            <w:tcW w:type="dxa" w:w="103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4,134.11</w:t>
            </w:r>
          </w:p>
        </w:tc>
        <w:tc>
          <w:tcPr>
            <w:tcW w:type="dxa" w:w="103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4,022.20</w:t>
            </w:r>
          </w:p>
        </w:tc>
        <w:tc>
          <w:tcPr>
            <w:tcW w:type="dxa" w:w="103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4,115.99</w:t>
            </w:r>
          </w:p>
        </w:tc>
        <w:tc>
          <w:tcPr>
            <w:tcW w:type="dxa" w:w="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+38.47</w:t>
            </w:r>
          </w:p>
        </w:tc>
        <w:tc>
          <w:tcPr>
            <w:tcW w:type="dxa" w:w="7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100.00</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111.91</w:t>
            </w:r>
          </w:p>
        </w:tc>
        <w:tc>
          <w:tcPr>
            <w:tcW w:type="dxa" w:w="144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Two-source</w:t>
            </w:r>
          </w:p>
        </w:tc>
      </w:tr>
    </w:tbl>
    <w:p>
      <w:pPr>
        <w:spacing w:after="90"/>
        <w:jc w:val="left"/>
      </w:pPr>
      <w:r>
        <w:rPr>
          <w:rFonts w:ascii="Calibri" w:cs="Calibri" w:eastAsia="Calibri" w:hAnsi="Calibri"/>
          <w:b w:val="false"/>
          <w:bCs w:val="false"/>
          <w:i/>
          <w:iCs/>
          <w:color w:val="000000"/>
          <w:sz w:val="18"/>
          <w:szCs w:val="18"/>
        </w:rPr>
        <w:t xml:space="preserve">Sessions validated: 5 of 5. All Monday–Friday. Friday 3 July is a full session (the US Independence Day observance fell on Friday 3 July for equity markets, but spot gold traded through). No weekend rows, no unjustified duplicates. Mean true range across the window: 85.77 USD. Note the low of 4,022.20 recurs on 8 and 9 July — this is a verified double-bottom test at an identical print, not a duplicate row: the surrounding OHLC values differ.</w:t>
      </w:r>
    </w:p>
    <w:p>
      <w:pPr>
        <w:spacing w:after="70" w:before="140"/>
      </w:pPr>
      <w:r>
        <w:rPr>
          <w:rFonts w:ascii="Calibri" w:cs="Calibri" w:eastAsia="Calibri" w:hAnsi="Calibri"/>
          <w:b/>
          <w:bCs/>
          <w:color w:val="333333"/>
          <w:sz w:val="21"/>
          <w:szCs w:val="21"/>
        </w:rPr>
        <w:t xml:space="preserve">Silver (XAG/USD spot) — USD/oz  ·  designated comparator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3560"/>
        <w:gridCol w:w="1900"/>
      </w:tblGrid>
      <w:tr>
        <w:trPr>
          <w:tblHeader/>
        </w:trPr>
        <w:tc>
          <w:tcPr>
            <w:tcW w:type="dxa" w:w="13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Date</w:t>
            </w:r>
          </w:p>
        </w:tc>
        <w:tc>
          <w:tcPr>
            <w:tcW w:type="dxa" w:w="13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Close</w:t>
            </w:r>
          </w:p>
        </w:tc>
        <w:tc>
          <w:tcPr>
            <w:tcW w:type="dxa" w:w="13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Net Δ</w:t>
            </w:r>
          </w:p>
        </w:tc>
        <w:tc>
          <w:tcPr>
            <w:tcW w:type="dxa" w:w="356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Note</w:t>
            </w:r>
          </w:p>
        </w:tc>
        <w:tc>
          <w:tcPr>
            <w:tcW w:type="dxa" w:w="19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Corroboration</w:t>
            </w:r>
          </w:p>
        </w:tc>
      </w:tr>
      <w:tr>
        <w:tc>
          <w:tcPr>
            <w:tcW w:type="dxa" w:w="13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Fri 03 Jul</w:t>
            </w:r>
          </w:p>
        </w:tc>
        <w:tc>
          <w:tcPr>
            <w:tcW w:type="dxa" w:w="13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62.24</w:t>
            </w:r>
          </w:p>
        </w:tc>
        <w:tc>
          <w:tcPr>
            <w:tcW w:type="dxa" w:w="13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+1.31</w:t>
            </w:r>
          </w:p>
        </w:tc>
        <w:tc>
          <w:tcPr>
            <w:tcW w:type="dxa" w:w="35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Precious complex bid on weak payrolls</w:t>
            </w:r>
          </w:p>
        </w:tc>
        <w:tc>
          <w:tcPr>
            <w:tcW w:type="dxa" w:w="1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Two-source</w:t>
            </w:r>
          </w:p>
        </w:tc>
      </w:tr>
      <w:tr>
        <w:tc>
          <w:tcPr>
            <w:tcW w:type="dxa" w:w="13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Mon 06 Jul</w:t>
            </w:r>
          </w:p>
        </w:tc>
        <w:tc>
          <w:tcPr>
            <w:tcW w:type="dxa" w:w="13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61.60</w:t>
            </w:r>
          </w:p>
        </w:tc>
        <w:tc>
          <w:tcPr>
            <w:tcW w:type="dxa" w:w="13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−0.64</w:t>
            </w:r>
          </w:p>
        </w:tc>
        <w:tc>
          <w:tcPr>
            <w:tcW w:type="dxa" w:w="35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Rebound stalls with gold</w:t>
            </w:r>
          </w:p>
        </w:tc>
        <w:tc>
          <w:tcPr>
            <w:tcW w:type="dxa" w:w="1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Two-source</w:t>
            </w:r>
          </w:p>
        </w:tc>
      </w:tr>
      <w:tr>
        <w:tc>
          <w:tcPr>
            <w:tcW w:type="dxa" w:w="13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Tue 07 Jul</w:t>
            </w:r>
          </w:p>
        </w:tc>
        <w:tc>
          <w:tcPr>
            <w:tcW w:type="dxa" w:w="13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59.80</w:t>
            </w:r>
          </w:p>
        </w:tc>
        <w:tc>
          <w:tcPr>
            <w:tcW w:type="dxa" w:w="13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−1.80</w:t>
            </w:r>
          </w:p>
        </w:tc>
        <w:tc>
          <w:tcPr>
            <w:tcW w:type="dxa" w:w="35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Sharp complex-wide unwind</w:t>
            </w:r>
          </w:p>
        </w:tc>
        <w:tc>
          <w:tcPr>
            <w:tcW w:type="dxa" w:w="1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Two-source</w:t>
            </w:r>
          </w:p>
        </w:tc>
      </w:tr>
      <w:tr>
        <w:tc>
          <w:tcPr>
            <w:tcW w:type="dxa" w:w="13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Wed 08 Jul</w:t>
            </w:r>
          </w:p>
        </w:tc>
        <w:tc>
          <w:tcPr>
            <w:tcW w:type="dxa" w:w="13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58.32</w:t>
            </w:r>
          </w:p>
        </w:tc>
        <w:tc>
          <w:tcPr>
            <w:tcW w:type="dxa" w:w="13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−1.48</w:t>
            </w:r>
          </w:p>
        </w:tc>
        <w:tc>
          <w:tcPr>
            <w:tcW w:type="dxa" w:w="35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Session low 57.47; ceasefire-over headline</w:t>
            </w:r>
          </w:p>
        </w:tc>
        <w:tc>
          <w:tcPr>
            <w:tcW w:type="dxa" w:w="1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Two-source</w:t>
            </w:r>
          </w:p>
        </w:tc>
      </w:tr>
      <w:tr>
        <w:tc>
          <w:tcPr>
            <w:tcW w:type="dxa" w:w="13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Thu 09 Jul</w:t>
            </w:r>
          </w:p>
        </w:tc>
        <w:tc>
          <w:tcPr>
            <w:tcW w:type="dxa" w:w="13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59.17</w:t>
            </w:r>
          </w:p>
        </w:tc>
        <w:tc>
          <w:tcPr>
            <w:tcW w:type="dxa" w:w="13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+0.85</w:t>
            </w:r>
          </w:p>
        </w:tc>
        <w:tc>
          <w:tcPr>
            <w:tcW w:type="dxa" w:w="35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+1.45%; range 57.5875–60.6195</w:t>
            </w:r>
          </w:p>
        </w:tc>
        <w:tc>
          <w:tcPr>
            <w:tcW w:type="dxa" w:w="1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Two-source</w:t>
            </w:r>
          </w:p>
        </w:tc>
      </w:tr>
    </w:tbl>
    <w:p>
      <w:pPr>
        <w:spacing w:after="90"/>
        <w:jc w:val="left"/>
      </w:pPr>
      <w:r>
        <w:rPr>
          <w:rFonts w:ascii="Calibri" w:cs="Calibri" w:eastAsia="Calibri" w:hAnsi="Calibri"/>
          <w:b w:val="false"/>
          <w:bCs w:val="false"/>
          <w:i/>
          <w:iCs/>
          <w:color w:val="000000"/>
          <w:sz w:val="18"/>
          <w:szCs w:val="18"/>
        </w:rPr>
        <w:t xml:space="preserve">The gold/silver ratio closed at 69.44 on 9 July, down from 69.89 on 8 July. Silver outperformed gold on the rebound (+1.45% versus +0.94%), which is the conventional signature of a risk-appetite-driven bounce in the precious complex rather than a defensive safe-haven bid. This distinction matters and is carried forward into §10 and §15.</w:t>
      </w:r>
    </w:p>
    <w:p>
      <w:r>
        <w:br w:type="page"/>
      </w:r>
    </w:p>
    <w:p>
      <w:pPr>
        <w:pStyle w:val="Heading1"/>
        <w:spacing w:after="140" w:before="280"/>
      </w:pPr>
      <w:r>
        <w:rPr>
          <w:rFonts w:ascii="Calibri" w:cs="Calibri" w:eastAsia="Calibri" w:hAnsi="Calibri"/>
          <w:b/>
          <w:bCs/>
          <w:color w:val="1F3864"/>
          <w:sz w:val="26"/>
          <w:szCs w:val="26"/>
        </w:rPr>
        <w:t xml:space="preserve">§7  Charts</w:t>
      </w:r>
    </w:p>
    <w:p>
      <w:pPr>
        <w:spacing w:after="90"/>
        <w:jc w:val="left"/>
      </w:pPr>
      <w:r>
        <w:rPr>
          <w:rFonts w:ascii="Calibri" w:cs="Calibri" w:eastAsia="Calibri" w:hAnsi="Calibri"/>
          <w:b w:val="false"/>
          <w:bCs w:val="false"/>
          <w:i w:val="false"/>
          <w:iCs w:val="false"/>
          <w:color w:val="000000"/>
          <w:sz w:val="20"/>
          <w:szCs w:val="20"/>
        </w:rPr>
        <w:t xml:space="preserve">Chart rendering is not embedded in this text deliverable. The five configured chart outputs — the 5-day candlestick, the distance-from-open overlay, the 25-session structure chart, the comparative volatility panel, and the smart-scale floor-pivot chart — are described numerically in §6, §8, §9, §10 and §11 respectively, and every level plotted on them is stated in those tables. The candlestick sequence is fully reconstructable from §6; the pivot chart levels are fully enumerated in §11. No chart in this run contains a level that does not also appear in a table.</w:t>
      </w:r>
    </w:p>
    <w:p>
      <w:pPr>
        <w:spacing w:after="90"/>
        <w:jc w:val="left"/>
      </w:pPr>
      <w:r>
        <w:rPr>
          <w:rFonts w:ascii="Calibri" w:cs="Calibri" w:eastAsia="Calibri" w:hAnsi="Calibri"/>
          <w:b w:val="false"/>
          <w:bCs w:val="false"/>
          <w:i/>
          <w:iCs/>
          <w:color w:val="000000"/>
          <w:sz w:val="18"/>
          <w:szCs w:val="18"/>
        </w:rPr>
        <w:t xml:space="preserve">Distance-from-open, 07:00 UK anchor (Thursday 9 July): the anchored open of 4,077.52 sat 38.47 USD below the close, a full-session positive excursion. Peak favourable excursion was +56.59 (to 4,134.11); peak adverse excursion was −55.32 (to 4,022.20). The excursion profile is symmetric — a hallmark of a two-way, indecisive session rather than a directional impulse.</w:t>
      </w:r>
    </w:p>
    <w:p>
      <w:pPr>
        <w:pStyle w:val="Heading1"/>
        <w:spacing w:after="140" w:before="280"/>
      </w:pPr>
      <w:r>
        <w:rPr>
          <w:rFonts w:ascii="Calibri" w:cs="Calibri" w:eastAsia="Calibri" w:hAnsi="Calibri"/>
          <w:b/>
          <w:bCs/>
          <w:color w:val="1F3864"/>
          <w:sz w:val="26"/>
          <w:szCs w:val="26"/>
        </w:rPr>
        <w:t xml:space="preserve">§8  Short-Term Technical Analysis</w:t>
      </w:r>
    </w:p>
    <w:p>
      <w:pPr>
        <w:spacing w:after="70" w:before="140"/>
      </w:pPr>
      <w:r>
        <w:rPr>
          <w:rFonts w:ascii="Calibri" w:cs="Calibri" w:eastAsia="Calibri" w:hAnsi="Calibri"/>
          <w:b/>
          <w:bCs/>
          <w:color w:val="333333"/>
          <w:sz w:val="21"/>
          <w:szCs w:val="21"/>
        </w:rPr>
        <w:t xml:space="preserve">Candle-by-candle</w:t>
      </w:r>
    </w:p>
    <w:p>
      <w:pPr>
        <w:pStyle w:val="ListParagraph"/>
        <w:numPr>
          <w:ilvl w:val="0"/>
          <w:numId w:val="1"/>
        </w:numPr>
        <w:spacing w:after="60"/>
      </w:pPr>
      <w:r>
        <w:rPr>
          <w:rFonts w:ascii="Calibri" w:cs="Calibri" w:eastAsia="Calibri" w:hAnsi="Calibri"/>
          <w:sz w:val="20"/>
          <w:szCs w:val="20"/>
        </w:rPr>
        <w:t xml:space="preserve">3 July — Wide-range bullish candle, close in the upper quartile of the range. Payrolls printed 57,000 against a 110,000 forecast; the metal rallied on the reduced probability of a near-term hike. Close at 4,165.57, the high-water mark of the window.</w:t>
      </w:r>
    </w:p>
    <w:p>
      <w:pPr>
        <w:pStyle w:val="ListParagraph"/>
        <w:numPr>
          <w:ilvl w:val="0"/>
          <w:numId w:val="1"/>
        </w:numPr>
        <w:spacing w:after="60"/>
      </w:pPr>
      <w:r>
        <w:rPr>
          <w:rFonts w:ascii="Calibri" w:cs="Calibri" w:eastAsia="Calibri" w:hAnsi="Calibri"/>
          <w:sz w:val="20"/>
          <w:szCs w:val="20"/>
        </w:rPr>
        <w:t xml:space="preserve">6 July — Reversal candle. The session reached 4,205.00 intraday, the window high, then surrendered the gains to close at 4,148.47, below its own open. A failed extension: buyers could not sustain the probe above 4,200. This candle marks the swing high that anchors the fibonacci construction in §21.</w:t>
      </w:r>
    </w:p>
    <w:p>
      <w:pPr>
        <w:pStyle w:val="ListParagraph"/>
        <w:numPr>
          <w:ilvl w:val="0"/>
          <w:numId w:val="1"/>
        </w:numPr>
        <w:spacing w:after="60"/>
      </w:pPr>
      <w:r>
        <w:rPr>
          <w:rFonts w:ascii="Calibri" w:cs="Calibri" w:eastAsia="Calibri" w:hAnsi="Calibri"/>
          <w:sz w:val="20"/>
          <w:szCs w:val="20"/>
        </w:rPr>
        <w:t xml:space="preserve">7 July — Decisive bearish marubozu-adjacent candle. True range 108.80, the second-widest of the window. Close 4,062.10, in the lower decile of the range. RSI2 pinned at 0.00 — a formal oversold extreme. Trend acceleration, not noise.</w:t>
      </w:r>
    </w:p>
    <w:p>
      <w:pPr>
        <w:pStyle w:val="ListParagraph"/>
        <w:numPr>
          <w:ilvl w:val="0"/>
          <w:numId w:val="1"/>
        </w:numPr>
        <w:spacing w:after="60"/>
      </w:pPr>
      <w:r>
        <w:rPr>
          <w:rFonts w:ascii="Calibri" w:cs="Calibri" w:eastAsia="Calibri" w:hAnsi="Calibri"/>
          <w:sz w:val="20"/>
          <w:szCs w:val="20"/>
        </w:rPr>
        <w:t xml:space="preserve">8 July — Inside-adjacent doji. Range 4,022.20–4,103.50, close 4,077.52 barely above the open. Selling pressure decelerating; the 4,022.20 print establishes the swing low. RSI2 recovers only to 15.15, still deeply oversold.</w:t>
      </w:r>
    </w:p>
    <w:p>
      <w:pPr>
        <w:pStyle w:val="ListParagraph"/>
        <w:numPr>
          <w:ilvl w:val="0"/>
          <w:numId w:val="1"/>
        </w:numPr>
        <w:spacing w:after="60"/>
      </w:pPr>
      <w:r>
        <w:rPr>
          <w:rFonts w:ascii="Calibri" w:cs="Calibri" w:eastAsia="Calibri" w:hAnsi="Calibri"/>
          <w:sz w:val="20"/>
          <w:szCs w:val="20"/>
        </w:rPr>
        <w:t xml:space="preserve">9 July — Bullish candle, close 4,115.99 in the upper third of a 111.91 range. Retested 4,022.20 exactly and held. RSI2 snaps to 100.00. The candle body is constructive; the RSI2 reading is a warning, not a confirmation.</w:t>
      </w:r>
    </w:p>
    <w:p>
      <w:pPr>
        <w:spacing w:after="70" w:before="140"/>
      </w:pPr>
      <w:r>
        <w:rPr>
          <w:rFonts w:ascii="Calibri" w:cs="Calibri" w:eastAsia="Calibri" w:hAnsi="Calibri"/>
          <w:b/>
          <w:bCs/>
          <w:color w:val="333333"/>
          <w:sz w:val="21"/>
          <w:szCs w:val="21"/>
        </w:rPr>
        <w:t xml:space="preserve">Sequence assessment</w:t>
      </w:r>
    </w:p>
    <w:p>
      <w:pPr>
        <w:spacing w:after="90"/>
        <w:jc w:val="left"/>
      </w:pPr>
      <w:r>
        <w:rPr>
          <w:rFonts w:ascii="Calibri" w:cs="Calibri" w:eastAsia="Calibri" w:hAnsi="Calibri"/>
          <w:b w:val="false"/>
          <w:bCs w:val="false"/>
          <w:i w:val="false"/>
          <w:iCs w:val="false"/>
          <w:color w:val="000000"/>
          <w:sz w:val="20"/>
          <w:szCs w:val="20"/>
        </w:rPr>
        <w:t xml:space="preserve">The five-session sequence is: impulse up → failed extension → impulse down → deceleration → corrective bounce. This is a textbook trend-continuation sequence with the corrective leg currently in progress, not a bottoming sequence. The distinction rests on three observations. First, the 9 July high of 4,134.11 did not exceed the 8 July high of 4,103.50 by enough to break structure — it exceeded it, but the sequence of lower highs from 4,205.00 remains intact at the swing level. Second, the double-touch of 4,022.20 on consecutive sessions is a liquidity shelf, and shelves of that kind are more often swept than respected in a trending tape. Third, and decisively, RSI2 at 100.00 after a two-day bounce from an oversold extreme is the classic short-entry signature of the RSI2 methodology, not a long signal: in a confirmed downtrend, an RSI2 reading at the upper bound is a mean-reversion sell trigger.</w:t>
      </w:r>
    </w:p>
    <w:p>
      <w:pPr>
        <w:spacing w:after="90"/>
        <w:jc w:val="left"/>
      </w:pPr>
      <w:r>
        <w:rPr>
          <w:rFonts w:ascii="Calibri" w:cs="Calibri" w:eastAsia="Calibri" w:hAnsi="Calibri"/>
          <w:b w:val="false"/>
          <w:bCs w:val="false"/>
          <w:i w:val="false"/>
          <w:iCs w:val="false"/>
          <w:color w:val="000000"/>
          <w:sz w:val="20"/>
          <w:szCs w:val="20"/>
        </w:rPr>
        <w:t xml:space="preserve">Net movement across the window: −49.58 USD, or −1.19%. The tape has fallen despite closing the window with two consecutive up-days. That divergence between the recent candles and the window vector is the single most important short-term technical fact in this report.</w:t>
      </w:r>
    </w:p>
    <w:p>
      <w:pPr>
        <w:pStyle w:val="Heading1"/>
        <w:spacing w:after="140" w:before="280"/>
      </w:pPr>
      <w:r>
        <w:rPr>
          <w:rFonts w:ascii="Calibri" w:cs="Calibri" w:eastAsia="Calibri" w:hAnsi="Calibri"/>
          <w:b/>
          <w:bCs/>
          <w:color w:val="1F3864"/>
          <w:sz w:val="26"/>
          <w:szCs w:val="26"/>
        </w:rPr>
        <w:t xml:space="preserve">§9  Medium-Term Regime &amp; Volatility</w:t>
      </w:r>
    </w:p>
    <w:p>
      <w:pPr>
        <w:spacing w:after="70" w:before="140"/>
      </w:pPr>
      <w:r>
        <w:rPr>
          <w:rFonts w:ascii="Calibri" w:cs="Calibri" w:eastAsia="Calibri" w:hAnsi="Calibri"/>
          <w:b/>
          <w:bCs/>
          <w:color w:val="333333"/>
          <w:sz w:val="21"/>
          <w:szCs w:val="21"/>
        </w:rPr>
        <w:t xml:space="preserve">Regime classification: TREND_DOWN</w:t>
      </w:r>
    </w:p>
    <w:p>
      <w:pPr>
        <w:spacing w:after="90"/>
        <w:jc w:val="left"/>
      </w:pPr>
      <w:r>
        <w:rPr>
          <w:rFonts w:ascii="Calibri" w:cs="Calibri" w:eastAsia="Calibri" w:hAnsi="Calibri"/>
          <w:b w:val="false"/>
          <w:bCs w:val="false"/>
          <w:i w:val="false"/>
          <w:iCs w:val="false"/>
          <w:color w:val="000000"/>
          <w:sz w:val="20"/>
          <w:szCs w:val="20"/>
        </w:rPr>
        <w:t xml:space="preserve">Across the 25-session structural block, gold has produced a sustained sequence of lower highs and lower lows from the region of 4,382.85. Price closed 9 July at 4,115.99, beneath the 21-day simple moving average near 4,157, beneath the 20-day exponential moving average at 4,153.16, beneath the 50-day at approximately 4,392, beneath the 100-day near 4,625, and beneath the 200-day near 4,496. The 50-day crossed below the 200-day on a weekly closing basis — a death cross — and that configuration remains intact. Every moving average in the stack is above price and the 20-day EMA slope is negative. There is no ambiguity in the classification.</w:t>
      </w:r>
    </w:p>
    <w:p>
      <w:pPr>
        <w:spacing w:after="90"/>
        <w:jc w:val="left"/>
      </w:pPr>
      <w:r>
        <w:rPr>
          <w:rFonts w:ascii="Calibri" w:cs="Calibri" w:eastAsia="Calibri" w:hAnsi="Calibri"/>
          <w:b w:val="false"/>
          <w:bCs w:val="false"/>
          <w:i w:val="false"/>
          <w:iCs w:val="false"/>
          <w:color w:val="000000"/>
          <w:sz w:val="20"/>
          <w:szCs w:val="20"/>
        </w:rPr>
        <w:t xml:space="preserve">The dual-gate test for a RANGE label is not satisfied and is not invoked: neither the efficiency gate nor the containment gate passes, so RANGE is correctly excluded and TREND_DOWN stands.</w:t>
      </w:r>
    </w:p>
    <w:p>
      <w:pPr>
        <w:spacing w:after="70" w:before="140"/>
      </w:pPr>
      <w:r>
        <w:rPr>
          <w:rFonts w:ascii="Calibri" w:cs="Calibri" w:eastAsia="Calibri" w:hAnsi="Calibri"/>
          <w:b/>
          <w:bCs/>
          <w:color w:val="333333"/>
          <w:sz w:val="21"/>
          <w:szCs w:val="21"/>
        </w:rPr>
        <w:t xml:space="preserve">Volatility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Metric</w:t>
            </w:r>
          </w:p>
        </w:tc>
        <w:tc>
          <w:tcPr>
            <w:tcW w:type="dxa" w:w="22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Reading</w:t>
            </w:r>
          </w:p>
        </w:tc>
        <w:tc>
          <w:tcPr>
            <w:tcW w:type="dxa" w:w="466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Interpretation</w:t>
            </w:r>
          </w:p>
        </w:tc>
      </w:tr>
      <w:tr>
        <w:tc>
          <w:tcPr>
            <w:tcW w:type="dxa" w:w="25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Mean true range, 5 sessions</w:t>
            </w:r>
          </w:p>
        </w:tc>
        <w:tc>
          <w:tcPr>
            <w:tcW w:type="dxa" w:w="22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85.77 USD</w:t>
            </w:r>
          </w:p>
        </w:tc>
        <w:tc>
          <w:tcPr>
            <w:tcW w:type="dxa" w:w="46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Elevated against the trailing window</w:t>
            </w:r>
          </w:p>
        </w:tc>
      </w:tr>
      <w:tr>
        <w:tc>
          <w:tcPr>
            <w:tcW w:type="dxa" w:w="25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ATR(14) estimate</w:t>
            </w:r>
          </w:p>
        </w:tc>
        <w:tc>
          <w:tcPr>
            <w:tcW w:type="dxa" w:w="22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92.50 USD</w:t>
            </w:r>
          </w:p>
        </w:tc>
        <w:tc>
          <w:tcPr>
            <w:tcW w:type="dxa" w:w="46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Expanding</w:t>
            </w:r>
          </w:p>
        </w:tc>
      </w:tr>
      <w:tr>
        <w:tc>
          <w:tcPr>
            <w:tcW w:type="dxa" w:w="25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Widest session TR</w:t>
            </w:r>
          </w:p>
        </w:tc>
        <w:tc>
          <w:tcPr>
            <w:tcW w:type="dxa" w:w="22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111.91 USD (9 Jul)</w:t>
            </w:r>
          </w:p>
        </w:tc>
        <w:tc>
          <w:tcPr>
            <w:tcW w:type="dxa" w:w="46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The rebound session, not the selloff session, produced the widest range</w:t>
            </w:r>
          </w:p>
        </w:tc>
      </w:tr>
      <w:tr>
        <w:tc>
          <w:tcPr>
            <w:tcW w:type="dxa" w:w="25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Volatility scaling (historical z)</w:t>
            </w:r>
          </w:p>
        </w:tc>
        <w:tc>
          <w:tcPr>
            <w:tcW w:type="dxa" w:w="22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Positive, clipped toward the upper bound</w:t>
            </w:r>
          </w:p>
        </w:tc>
        <w:tc>
          <w:tcPr>
            <w:tcW w:type="dxa" w:w="46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Vol expansion coincident with price decline</w:t>
            </w:r>
          </w:p>
        </w:tc>
      </w:tr>
    </w:tbl>
    <w:p>
      <w:pPr>
        <w:spacing w:after="90"/>
        <w:jc w:val="left"/>
      </w:pPr>
      <w:r>
        <w:rPr>
          <w:rFonts w:ascii="Calibri" w:cs="Calibri" w:eastAsia="Calibri" w:hAnsi="Calibri"/>
          <w:b w:val="false"/>
          <w:bCs w:val="false"/>
          <w:i w:val="false"/>
          <w:iCs w:val="false"/>
          <w:color w:val="000000"/>
          <w:sz w:val="20"/>
          <w:szCs w:val="20"/>
        </w:rPr>
        <w:t xml:space="preserve">Volatility is expanding into a declining tape. That combination is bearish: in precious metals, ATR expansion during a downtrend historically precedes continuation more often than exhaustion, because it reflects forced repositioning rather than accumulation. The fact that the widest range of the window belongs to the rebound session (9 July) rather than the selloff session (7 July) is worth flagging — it indicates two-way institutional flow at the lows, and it is the one piece of evidence in this section that argues for a genuine base rather than a pause.</w:t>
      </w:r>
    </w:p>
    <w:p>
      <w:pPr>
        <w:spacing w:after="70" w:before="140"/>
      </w:pPr>
      <w:r>
        <w:rPr>
          <w:rFonts w:ascii="Calibri" w:cs="Calibri" w:eastAsia="Calibri" w:hAnsi="Calibri"/>
          <w:b/>
          <w:bCs/>
          <w:color w:val="333333"/>
          <w:sz w:val="21"/>
          <w:szCs w:val="21"/>
        </w:rPr>
        <w:t xml:space="preserve">Kaufman confirmation</w:t>
      </w:r>
    </w:p>
    <w:p>
      <w:pPr>
        <w:spacing w:after="90"/>
        <w:jc w:val="left"/>
      </w:pPr>
      <w:r>
        <w:rPr>
          <w:rFonts w:ascii="Calibri" w:cs="Calibri" w:eastAsia="Calibri" w:hAnsi="Calibri"/>
          <w:b w:val="false"/>
          <w:bCs w:val="false"/>
          <w:i w:val="false"/>
          <w:iCs w:val="false"/>
          <w:color w:val="000000"/>
          <w:sz w:val="20"/>
          <w:szCs w:val="20"/>
        </w:rPr>
        <w:t xml:space="preserve">The Kaufman Efficiency Ratio over the 13-session lookback reads 0.33 on the raw calculation (net directional vector 266.86 USD against total path length 817.32 USD), against a trending threshold of 0.13. The market is decisively classified as TRENDING. The 13-session net vector runs from approximately 4,382.85 down to 4,115.99 — the trend is DOWN. Kaufman therefore agrees with the regime synthesis and reinforces it. No precedence question arises.</w:t>
      </w:r>
    </w:p>
    <w:p>
      <w:pPr>
        <w:pStyle w:val="Heading1"/>
        <w:spacing w:after="140" w:before="280"/>
      </w:pPr>
      <w:r>
        <w:rPr>
          <w:rFonts w:ascii="Calibri" w:cs="Calibri" w:eastAsia="Calibri" w:hAnsi="Calibri"/>
          <w:b/>
          <w:bCs/>
          <w:color w:val="1F3864"/>
          <w:sz w:val="26"/>
          <w:szCs w:val="26"/>
        </w:rPr>
        <w:t xml:space="preserve">§10  Cross-Asset Analysis</w:t>
      </w:r>
    </w:p>
    <w:p>
      <w:pPr>
        <w:spacing w:after="70" w:before="140"/>
      </w:pPr>
      <w:r>
        <w:rPr>
          <w:rFonts w:ascii="Calibri" w:cs="Calibri" w:eastAsia="Calibri" w:hAnsi="Calibri"/>
          <w:b/>
          <w:bCs/>
          <w:color w:val="333333"/>
          <w:sz w:val="21"/>
          <w:szCs w:val="21"/>
        </w:rPr>
        <w:t xml:space="preserve">USDX (Dollar Index) — mandatory first 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Element</w:t>
            </w:r>
          </w:p>
        </w:tc>
        <w:tc>
          <w:tcPr>
            <w:tcW w:type="dxa" w:w="746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Reading</w:t>
            </w:r>
          </w:p>
        </w:tc>
      </w:tr>
      <w:tr>
        <w:tc>
          <w:tcPr>
            <w:tcW w:type="dxa" w:w="1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5-day direction</w:t>
            </w:r>
          </w:p>
        </w:tc>
        <w:tc>
          <w:tcPr>
            <w:tcW w:type="dxa" w:w="74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Rising, then flattening. Closed near 101.13 on 8 July; near 100.95–100.96 on 9 July, off 0.1–0.25% intraday but holding above 100.80 support.</w:t>
            </w:r>
          </w:p>
        </w:tc>
      </w:tr>
      <w:tr>
        <w:tc>
          <w:tcPr>
            <w:tcW w:type="dxa" w:w="1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Mechanism</w:t>
            </w:r>
          </w:p>
        </w:tc>
        <w:tc>
          <w:tcPr>
            <w:tcW w:type="dxa" w:w="74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Gold is priced in dollars. A firmer dollar mechanically raises the local-currency cost of bullion for non-USD buyers and compresses demand; it also proxies the real-yield path, and higher expected real yields raise the opportunity cost of holding a non-yielding asset.</w:t>
            </w:r>
          </w:p>
        </w:tc>
      </w:tr>
      <w:tr>
        <w:tc>
          <w:tcPr>
            <w:tcW w:type="dxa" w:w="1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Confirmation status</w:t>
            </w:r>
          </w:p>
        </w:tc>
        <w:tc>
          <w:tcPr>
            <w:tcW w:type="dxa" w:w="74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CONFIRMS the TREND_DOWN regime</w:t>
            </w:r>
          </w:p>
        </w:tc>
      </w:tr>
      <w:tr>
        <w:tc>
          <w:tcPr>
            <w:tcW w:type="dxa" w:w="1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Implication</w:t>
            </w:r>
          </w:p>
        </w:tc>
        <w:tc>
          <w:tcPr>
            <w:tcW w:type="dxa" w:w="74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The dollar has not given back its post-minutes bid. Gold's 9 July rebound occurred despite, not because of, the dollar — the index was only marginally lower. This makes the rebound a positioning bounce rather than a macro-driven repricing, and caps its likely extent.</w:t>
            </w:r>
          </w:p>
        </w:tc>
      </w:tr>
    </w:tbl>
    <w:p>
      <w:pPr>
        <w:spacing w:after="70" w:before="140"/>
      </w:pPr>
      <w:r>
        <w:rPr>
          <w:rFonts w:ascii="Calibri" w:cs="Calibri" w:eastAsia="Calibri" w:hAnsi="Calibri"/>
          <w:b/>
          <w:bCs/>
          <w:color w:val="333333"/>
          <w:sz w:val="21"/>
          <w:szCs w:val="21"/>
        </w:rPr>
        <w:t xml:space="preserve">S&amp;P 500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Element</w:t>
            </w:r>
          </w:p>
        </w:tc>
        <w:tc>
          <w:tcPr>
            <w:tcW w:type="dxa" w:w="746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Reading</w:t>
            </w:r>
          </w:p>
        </w:tc>
      </w:tr>
      <w:tr>
        <w:tc>
          <w:tcPr>
            <w:tcW w:type="dxa" w:w="1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5-day direction</w:t>
            </w:r>
          </w:p>
        </w:tc>
        <w:tc>
          <w:tcPr>
            <w:tcW w:type="dxa" w:w="74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Falling. Closed 7,439.51 on 8 July, down 0.86% on the session; futures traded up early on 9 July.</w:t>
            </w:r>
          </w:p>
        </w:tc>
      </w:tr>
      <w:tr>
        <w:tc>
          <w:tcPr>
            <w:tcW w:type="dxa" w:w="1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Mechanism</w:t>
            </w:r>
          </w:p>
        </w:tc>
        <w:tc>
          <w:tcPr>
            <w:tcW w:type="dxa" w:w="74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Risk-on / risk-off proxy. Falling equities conventionally rotate capital into gold as a defensive asset. The transmission channel is portfolio rebalancing rather than fundamentals.</w:t>
            </w:r>
          </w:p>
        </w:tc>
      </w:tr>
      <w:tr>
        <w:tc>
          <w:tcPr>
            <w:tcW w:type="dxa" w:w="1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Confirmation status</w:t>
            </w:r>
          </w:p>
        </w:tc>
        <w:tc>
          <w:tcPr>
            <w:tcW w:type="dxa" w:w="74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CONTRADICTS the TREND_DOWN regime</w:t>
            </w:r>
          </w:p>
        </w:tc>
      </w:tr>
      <w:tr>
        <w:tc>
          <w:tcPr>
            <w:tcW w:type="dxa" w:w="1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Implication</w:t>
            </w:r>
          </w:p>
        </w:tc>
        <w:tc>
          <w:tcPr>
            <w:tcW w:type="dxa" w:w="74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Equities fell and gold also fell — the defensive rotation did not occur. This is the signature of a rates-driven, not a fear-driven, tape. It weakens the safe-haven argument for gold materially.</w:t>
            </w:r>
          </w:p>
        </w:tc>
      </w:tr>
    </w:tbl>
    <w:p>
      <w:pPr>
        <w:spacing w:after="70" w:before="140"/>
      </w:pPr>
      <w:r>
        <w:rPr>
          <w:rFonts w:ascii="Calibri" w:cs="Calibri" w:eastAsia="Calibri" w:hAnsi="Calibri"/>
          <w:b/>
          <w:bCs/>
          <w:color w:val="333333"/>
          <w:sz w:val="21"/>
          <w:szCs w:val="21"/>
        </w:rPr>
        <w:t xml:space="preserve">DAX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Element</w:t>
            </w:r>
          </w:p>
        </w:tc>
        <w:tc>
          <w:tcPr>
            <w:tcW w:type="dxa" w:w="746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Reading</w:t>
            </w:r>
          </w:p>
        </w:tc>
      </w:tr>
      <w:tr>
        <w:tc>
          <w:tcPr>
            <w:tcW w:type="dxa" w:w="1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5-day direction</w:t>
            </w:r>
          </w:p>
        </w:tc>
        <w:tc>
          <w:tcPr>
            <w:tcW w:type="dxa" w:w="74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Falling sharply. Closed 24,936.87 on 8 July, down 2.07% — a considerably heavier decline than the S&amp;P 500.</w:t>
            </w:r>
          </w:p>
        </w:tc>
      </w:tr>
      <w:tr>
        <w:tc>
          <w:tcPr>
            <w:tcW w:type="dxa" w:w="1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Mechanism</w:t>
            </w:r>
          </w:p>
        </w:tc>
        <w:tc>
          <w:tcPr>
            <w:tcW w:type="dxa" w:w="74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European equity confirmation. Cross-validates whether the US equity decline reflects a genuine global risk-off impulse or a US-specific repricing.</w:t>
            </w:r>
          </w:p>
        </w:tc>
      </w:tr>
      <w:tr>
        <w:tc>
          <w:tcPr>
            <w:tcW w:type="dxa" w:w="1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Confirmation status</w:t>
            </w:r>
          </w:p>
        </w:tc>
        <w:tc>
          <w:tcPr>
            <w:tcW w:type="dxa" w:w="74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CONTRADICTS the TREND_DOWN regime</w:t>
            </w:r>
          </w:p>
        </w:tc>
      </w:tr>
      <w:tr>
        <w:tc>
          <w:tcPr>
            <w:tcW w:type="dxa" w:w="1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Implication</w:t>
            </w:r>
          </w:p>
        </w:tc>
        <w:tc>
          <w:tcPr>
            <w:tcW w:type="dxa" w:w="74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European equities fell harder than US equities and gold still failed to catch a bid. The risk-off impulse is real and global — and gold did not respond to it. That non-response is the strongest single piece of evidence that gold is currently trading as a rates instrument, not a haven.</w:t>
            </w:r>
          </w:p>
        </w:tc>
      </w:tr>
    </w:tbl>
    <w:p>
      <w:pPr>
        <w:spacing w:after="70" w:before="140"/>
      </w:pPr>
      <w:r>
        <w:rPr>
          <w:rFonts w:ascii="Calibri" w:cs="Calibri" w:eastAsia="Calibri" w:hAnsi="Calibri"/>
          <w:b/>
          <w:bCs/>
          <w:color w:val="333333"/>
          <w:sz w:val="21"/>
          <w:szCs w:val="21"/>
        </w:rPr>
        <w:t xml:space="preserve">Silver (XAG/USD) — designated comparator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Element</w:t>
            </w:r>
          </w:p>
        </w:tc>
        <w:tc>
          <w:tcPr>
            <w:tcW w:type="dxa" w:w="746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Reading</w:t>
            </w:r>
          </w:p>
        </w:tc>
      </w:tr>
      <w:tr>
        <w:tc>
          <w:tcPr>
            <w:tcW w:type="dxa" w:w="1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5-day direction</w:t>
            </w:r>
          </w:p>
        </w:tc>
        <w:tc>
          <w:tcPr>
            <w:tcW w:type="dxa" w:w="74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Falling over the window; rising on the final session (+1.45% to 59.17).</w:t>
            </w:r>
          </w:p>
        </w:tc>
      </w:tr>
      <w:tr>
        <w:tc>
          <w:tcPr>
            <w:tcW w:type="dxa" w:w="1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Mechanism</w:t>
            </w:r>
          </w:p>
        </w:tc>
        <w:tc>
          <w:tcPr>
            <w:tcW w:type="dxa" w:w="74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Precious-complex beta. Silver carries a substantial industrial demand component and typically amplifies gold's moves in both directions.</w:t>
            </w:r>
          </w:p>
        </w:tc>
      </w:tr>
      <w:tr>
        <w:tc>
          <w:tcPr>
            <w:tcW w:type="dxa" w:w="1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Confirmation status</w:t>
            </w:r>
          </w:p>
        </w:tc>
        <w:tc>
          <w:tcPr>
            <w:tcW w:type="dxa" w:w="74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CONFIRMS the TREND_DOWN regime</w:t>
            </w:r>
          </w:p>
        </w:tc>
      </w:tr>
      <w:tr>
        <w:tc>
          <w:tcPr>
            <w:tcW w:type="dxa" w:w="1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Implication</w:t>
            </w:r>
          </w:p>
        </w:tc>
        <w:tc>
          <w:tcPr>
            <w:tcW w:type="dxa" w:w="74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Silver's larger rebound on 9 July, compressing the gold/silver ratio from 69.89 to 69.44, indicates the bounce was risk-appetite-led rather than haven-led. Silver remains below its own 20-day EMA at 62.38 with RSI(14) near 37. The complex is not bottoming; it is bouncing.</w:t>
            </w:r>
          </w:p>
        </w:tc>
      </w:tr>
    </w:tbl>
    <w:p>
      <w:pPr>
        <w:spacing w:after="100" w:before="120"/>
      </w:pPr>
      <w:r>
        <w:rPr>
          <w:rFonts w:ascii="Calibri" w:cs="Calibri" w:eastAsia="Calibri" w:hAnsi="Calibri"/>
          <w:b/>
          <w:bCs/>
          <w:color w:val="8E2A5B"/>
          <w:sz w:val="20"/>
          <w:szCs w:val="20"/>
        </w:rPr>
        <w:t xml:space="preserve">CONTRADICTION FLAG: </w:t>
      </w:r>
      <w:r>
        <w:rPr>
          <w:rFonts w:ascii="Calibri" w:cs="Calibri" w:eastAsia="Calibri" w:hAnsi="Calibri"/>
          <w:sz w:val="20"/>
          <w:szCs w:val="20"/>
        </w:rPr>
        <w:t xml:space="preserve">Two of three active counters — the S&amp;P 500 and the DAX 40 — contradict the TREND_DOWN synthesis on the conventional mechanism. Equities fell materially and gold did not rally. This contradiction is not resolved here. It is carried into §15 and §16. The resolution the analyst favours is that the conventional mechanism is temporarily inoperative: with the market pricing an 83% probability of at least one Fed hike this year, the rates channel is overwhelming the haven channel, and equity weakness is itself a symptom of the rates repricing rather than an independent risk-off impulse. If that reading is wrong — if the equity decline is the leading edge of a genuine flight to safety — the gold short thesis fails quickly and the counters will have called it correctly.</w:t>
      </w:r>
    </w:p>
    <w:p>
      <w:r>
        <w:br w:type="page"/>
      </w:r>
    </w:p>
    <w:p>
      <w:pPr>
        <w:pStyle w:val="Heading1"/>
        <w:spacing w:after="140" w:before="280"/>
      </w:pPr>
      <w:r>
        <w:rPr>
          <w:rFonts w:ascii="Calibri" w:cs="Calibri" w:eastAsia="Calibri" w:hAnsi="Calibri"/>
          <w:b/>
          <w:bCs/>
          <w:color w:val="1F3864"/>
          <w:sz w:val="26"/>
          <w:szCs w:val="26"/>
        </w:rPr>
        <w:t xml:space="preserve">§11  Floor Pivot Analysis</w:t>
      </w:r>
    </w:p>
    <w:p>
      <w:pPr>
        <w:spacing w:after="70" w:before="140"/>
      </w:pPr>
      <w:r>
        <w:rPr>
          <w:rFonts w:ascii="Calibri" w:cs="Calibri" w:eastAsia="Calibri" w:hAnsi="Calibri"/>
          <w:b/>
          <w:bCs/>
          <w:color w:val="333333"/>
          <w:sz w:val="21"/>
          <w:szCs w:val="21"/>
        </w:rPr>
        <w:t xml:space="preserve">Daily pivots — derived from the 9 July session (H 4,134.11 · L 4,022.20 · C 4,115.99)</w:t>
      </w:r>
    </w:p>
    <w:p>
      <w:pPr>
        <w:spacing w:after="90"/>
        <w:jc w:val="left"/>
      </w:pPr>
      <w:r>
        <w:rPr>
          <w:rFonts w:ascii="Calibri" w:cs="Calibri" w:eastAsia="Calibri" w:hAnsi="Calibri"/>
          <w:b w:val="false"/>
          <w:bCs w:val="false"/>
          <w:i/>
          <w:iCs/>
          <w:color w:val="000000"/>
          <w:sz w:val="18"/>
          <w:szCs w:val="18"/>
        </w:rPr>
        <w:t xml:space="preserve">Source status: prior-session H/L/C corroborated by two independent sources. All daily levels are LIVE and eligible for entry and stop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Level</w:t>
            </w:r>
          </w:p>
        </w:tc>
        <w:tc>
          <w:tcPr>
            <w:tcW w:type="dxa" w:w="368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Price (USD/oz)</w:t>
            </w:r>
          </w:p>
        </w:tc>
        <w:tc>
          <w:tcPr>
            <w:tcW w:type="dxa" w:w="368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Distance from 4,115.99</w:t>
            </w:r>
          </w:p>
        </w:tc>
      </w:tr>
      <w:tr>
        <w:tc>
          <w:tcPr>
            <w:tcW w:type="dxa" w:w="2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R5</w:t>
            </w:r>
          </w:p>
        </w:tc>
        <w:tc>
          <w:tcPr>
            <w:tcW w:type="dxa" w:w="3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4,495.06</w:t>
            </w:r>
          </w:p>
        </w:tc>
        <w:tc>
          <w:tcPr>
            <w:tcW w:type="dxa" w:w="3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+379.07</w:t>
            </w:r>
          </w:p>
        </w:tc>
      </w:tr>
      <w:tr>
        <w:tc>
          <w:tcPr>
            <w:tcW w:type="dxa" w:w="2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R4</w:t>
            </w:r>
          </w:p>
        </w:tc>
        <w:tc>
          <w:tcPr>
            <w:tcW w:type="dxa" w:w="36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4,383.15</w:t>
            </w:r>
          </w:p>
        </w:tc>
        <w:tc>
          <w:tcPr>
            <w:tcW w:type="dxa" w:w="36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+267.16</w:t>
            </w:r>
          </w:p>
        </w:tc>
      </w:tr>
      <w:tr>
        <w:tc>
          <w:tcPr>
            <w:tcW w:type="dxa" w:w="2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R3</w:t>
            </w:r>
          </w:p>
        </w:tc>
        <w:tc>
          <w:tcPr>
            <w:tcW w:type="dxa" w:w="3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4,271.24</w:t>
            </w:r>
          </w:p>
        </w:tc>
        <w:tc>
          <w:tcPr>
            <w:tcW w:type="dxa" w:w="3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+155.25</w:t>
            </w:r>
          </w:p>
        </w:tc>
      </w:tr>
      <w:tr>
        <w:tc>
          <w:tcPr>
            <w:tcW w:type="dxa" w:w="2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R2</w:t>
            </w:r>
          </w:p>
        </w:tc>
        <w:tc>
          <w:tcPr>
            <w:tcW w:type="dxa" w:w="36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4,202.68</w:t>
            </w:r>
          </w:p>
        </w:tc>
        <w:tc>
          <w:tcPr>
            <w:tcW w:type="dxa" w:w="36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+86.69</w:t>
            </w:r>
          </w:p>
        </w:tc>
      </w:tr>
      <w:tr>
        <w:tc>
          <w:tcPr>
            <w:tcW w:type="dxa" w:w="2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R1</w:t>
            </w:r>
          </w:p>
        </w:tc>
        <w:tc>
          <w:tcPr>
            <w:tcW w:type="dxa" w:w="3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4,159.33</w:t>
            </w:r>
          </w:p>
        </w:tc>
        <w:tc>
          <w:tcPr>
            <w:tcW w:type="dxa" w:w="3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+43.34</w:t>
            </w:r>
          </w:p>
        </w:tc>
      </w:tr>
      <w:tr>
        <w:tc>
          <w:tcPr>
            <w:tcW w:type="dxa" w:w="2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P</w:t>
            </w:r>
          </w:p>
        </w:tc>
        <w:tc>
          <w:tcPr>
            <w:tcW w:type="dxa" w:w="36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4,090.77</w:t>
            </w:r>
          </w:p>
        </w:tc>
        <w:tc>
          <w:tcPr>
            <w:tcW w:type="dxa" w:w="36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−25.22</w:t>
            </w:r>
          </w:p>
        </w:tc>
      </w:tr>
      <w:tr>
        <w:tc>
          <w:tcPr>
            <w:tcW w:type="dxa" w:w="2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S1</w:t>
            </w:r>
          </w:p>
        </w:tc>
        <w:tc>
          <w:tcPr>
            <w:tcW w:type="dxa" w:w="3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4,047.42</w:t>
            </w:r>
          </w:p>
        </w:tc>
        <w:tc>
          <w:tcPr>
            <w:tcW w:type="dxa" w:w="3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−68.57</w:t>
            </w:r>
          </w:p>
        </w:tc>
      </w:tr>
      <w:tr>
        <w:tc>
          <w:tcPr>
            <w:tcW w:type="dxa" w:w="2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S2</w:t>
            </w:r>
          </w:p>
        </w:tc>
        <w:tc>
          <w:tcPr>
            <w:tcW w:type="dxa" w:w="36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3,978.86</w:t>
            </w:r>
          </w:p>
        </w:tc>
        <w:tc>
          <w:tcPr>
            <w:tcW w:type="dxa" w:w="36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−137.13</w:t>
            </w:r>
          </w:p>
        </w:tc>
      </w:tr>
      <w:tr>
        <w:tc>
          <w:tcPr>
            <w:tcW w:type="dxa" w:w="2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S3</w:t>
            </w:r>
          </w:p>
        </w:tc>
        <w:tc>
          <w:tcPr>
            <w:tcW w:type="dxa" w:w="3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3,935.51</w:t>
            </w:r>
          </w:p>
        </w:tc>
        <w:tc>
          <w:tcPr>
            <w:tcW w:type="dxa" w:w="3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−180.48</w:t>
            </w:r>
          </w:p>
        </w:tc>
      </w:tr>
      <w:tr>
        <w:tc>
          <w:tcPr>
            <w:tcW w:type="dxa" w:w="2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S4</w:t>
            </w:r>
          </w:p>
        </w:tc>
        <w:tc>
          <w:tcPr>
            <w:tcW w:type="dxa" w:w="36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3,823.60</w:t>
            </w:r>
          </w:p>
        </w:tc>
        <w:tc>
          <w:tcPr>
            <w:tcW w:type="dxa" w:w="36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−292.39</w:t>
            </w:r>
          </w:p>
        </w:tc>
      </w:tr>
      <w:tr>
        <w:tc>
          <w:tcPr>
            <w:tcW w:type="dxa" w:w="2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S5</w:t>
            </w:r>
          </w:p>
        </w:tc>
        <w:tc>
          <w:tcPr>
            <w:tcW w:type="dxa" w:w="3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3,711.69</w:t>
            </w:r>
          </w:p>
        </w:tc>
        <w:tc>
          <w:tcPr>
            <w:tcW w:type="dxa" w:w="3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−404.30</w:t>
            </w:r>
          </w:p>
        </w:tc>
      </w:tr>
    </w:tbl>
    <w:p>
      <w:pPr>
        <w:spacing w:after="90"/>
        <w:jc w:val="left"/>
      </w:pPr>
      <w:r>
        <w:rPr>
          <w:rFonts w:ascii="Calibri" w:cs="Calibri" w:eastAsia="Calibri" w:hAnsi="Calibri"/>
          <w:b w:val="false"/>
          <w:bCs w:val="false"/>
          <w:i/>
          <w:iCs/>
          <w:color w:val="000000"/>
          <w:sz w:val="18"/>
          <w:szCs w:val="18"/>
        </w:rPr>
        <w:t xml:space="preserve">Derived midpoints: R1.5 at 4,181.00 · S1.5 at 4,013.14.</w:t>
      </w:r>
    </w:p>
    <w:p>
      <w:pPr>
        <w:spacing w:after="70" w:before="140"/>
      </w:pPr>
      <w:r>
        <w:rPr>
          <w:rFonts w:ascii="Calibri" w:cs="Calibri" w:eastAsia="Calibri" w:hAnsi="Calibri"/>
          <w:b/>
          <w:bCs/>
          <w:color w:val="333333"/>
          <w:sz w:val="21"/>
          <w:szCs w:val="21"/>
        </w:rPr>
        <w:t xml:space="preserve">Weekly pivots — derived from the week of 29 June – 3 July (H 4,181.20 · L 3,944.23 · C 4,165.57)</w:t>
      </w:r>
    </w:p>
    <w:p>
      <w:pPr>
        <w:spacing w:after="90"/>
        <w:jc w:val="left"/>
      </w:pPr>
      <w:r>
        <w:rPr>
          <w:rFonts w:ascii="Calibri" w:cs="Calibri" w:eastAsia="Calibri" w:hAnsi="Calibri"/>
          <w:b w:val="false"/>
          <w:bCs w:val="false"/>
          <w:i/>
          <w:iCs/>
          <w:color w:val="000000"/>
          <w:sz w:val="18"/>
          <w:szCs w:val="18"/>
        </w:rPr>
        <w:t xml:space="preserve">Source status: prior-week H/L/C corroborated by two independent sources. All weekly levels are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Level</w:t>
            </w:r>
          </w:p>
        </w:tc>
        <w:tc>
          <w:tcPr>
            <w:tcW w:type="dxa" w:w="368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Price (USD/oz)</w:t>
            </w:r>
          </w:p>
        </w:tc>
        <w:tc>
          <w:tcPr>
            <w:tcW w:type="dxa" w:w="368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Distance from 4,115.99</w:t>
            </w:r>
          </w:p>
        </w:tc>
      </w:tr>
      <w:tr>
        <w:tc>
          <w:tcPr>
            <w:tcW w:type="dxa" w:w="2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R5</w:t>
            </w:r>
          </w:p>
        </w:tc>
        <w:tc>
          <w:tcPr>
            <w:tcW w:type="dxa" w:w="3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4,960.68</w:t>
            </w:r>
          </w:p>
        </w:tc>
        <w:tc>
          <w:tcPr>
            <w:tcW w:type="dxa" w:w="3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+844.69</w:t>
            </w:r>
          </w:p>
        </w:tc>
      </w:tr>
      <w:tr>
        <w:tc>
          <w:tcPr>
            <w:tcW w:type="dxa" w:w="2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R4</w:t>
            </w:r>
          </w:p>
        </w:tc>
        <w:tc>
          <w:tcPr>
            <w:tcW w:type="dxa" w:w="36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4,723.71</w:t>
            </w:r>
          </w:p>
        </w:tc>
        <w:tc>
          <w:tcPr>
            <w:tcW w:type="dxa" w:w="36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+607.72</w:t>
            </w:r>
          </w:p>
        </w:tc>
      </w:tr>
      <w:tr>
        <w:tc>
          <w:tcPr>
            <w:tcW w:type="dxa" w:w="2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R3</w:t>
            </w:r>
          </w:p>
        </w:tc>
        <w:tc>
          <w:tcPr>
            <w:tcW w:type="dxa" w:w="3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4,486.74</w:t>
            </w:r>
          </w:p>
        </w:tc>
        <w:tc>
          <w:tcPr>
            <w:tcW w:type="dxa" w:w="3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+370.75</w:t>
            </w:r>
          </w:p>
        </w:tc>
      </w:tr>
      <w:tr>
        <w:tc>
          <w:tcPr>
            <w:tcW w:type="dxa" w:w="2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R2</w:t>
            </w:r>
          </w:p>
        </w:tc>
        <w:tc>
          <w:tcPr>
            <w:tcW w:type="dxa" w:w="36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4,333.97</w:t>
            </w:r>
          </w:p>
        </w:tc>
        <w:tc>
          <w:tcPr>
            <w:tcW w:type="dxa" w:w="36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+217.98</w:t>
            </w:r>
          </w:p>
        </w:tc>
      </w:tr>
      <w:tr>
        <w:tc>
          <w:tcPr>
            <w:tcW w:type="dxa" w:w="2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R1</w:t>
            </w:r>
          </w:p>
        </w:tc>
        <w:tc>
          <w:tcPr>
            <w:tcW w:type="dxa" w:w="3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4,249.77</w:t>
            </w:r>
          </w:p>
        </w:tc>
        <w:tc>
          <w:tcPr>
            <w:tcW w:type="dxa" w:w="3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+133.78</w:t>
            </w:r>
          </w:p>
        </w:tc>
      </w:tr>
      <w:tr>
        <w:tc>
          <w:tcPr>
            <w:tcW w:type="dxa" w:w="2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P</w:t>
            </w:r>
          </w:p>
        </w:tc>
        <w:tc>
          <w:tcPr>
            <w:tcW w:type="dxa" w:w="36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4,097.00</w:t>
            </w:r>
          </w:p>
        </w:tc>
        <w:tc>
          <w:tcPr>
            <w:tcW w:type="dxa" w:w="36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−18.99</w:t>
            </w:r>
          </w:p>
        </w:tc>
      </w:tr>
      <w:tr>
        <w:tc>
          <w:tcPr>
            <w:tcW w:type="dxa" w:w="2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S1</w:t>
            </w:r>
          </w:p>
        </w:tc>
        <w:tc>
          <w:tcPr>
            <w:tcW w:type="dxa" w:w="3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4,012.80</w:t>
            </w:r>
          </w:p>
        </w:tc>
        <w:tc>
          <w:tcPr>
            <w:tcW w:type="dxa" w:w="3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−103.19</w:t>
            </w:r>
          </w:p>
        </w:tc>
      </w:tr>
      <w:tr>
        <w:tc>
          <w:tcPr>
            <w:tcW w:type="dxa" w:w="2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S2</w:t>
            </w:r>
          </w:p>
        </w:tc>
        <w:tc>
          <w:tcPr>
            <w:tcW w:type="dxa" w:w="36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3,860.03</w:t>
            </w:r>
          </w:p>
        </w:tc>
        <w:tc>
          <w:tcPr>
            <w:tcW w:type="dxa" w:w="36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−255.96</w:t>
            </w:r>
          </w:p>
        </w:tc>
      </w:tr>
      <w:tr>
        <w:tc>
          <w:tcPr>
            <w:tcW w:type="dxa" w:w="2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S3</w:t>
            </w:r>
          </w:p>
        </w:tc>
        <w:tc>
          <w:tcPr>
            <w:tcW w:type="dxa" w:w="3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3,775.83</w:t>
            </w:r>
          </w:p>
        </w:tc>
        <w:tc>
          <w:tcPr>
            <w:tcW w:type="dxa" w:w="3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−340.16</w:t>
            </w:r>
          </w:p>
        </w:tc>
      </w:tr>
      <w:tr>
        <w:tc>
          <w:tcPr>
            <w:tcW w:type="dxa" w:w="2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S4</w:t>
            </w:r>
          </w:p>
        </w:tc>
        <w:tc>
          <w:tcPr>
            <w:tcW w:type="dxa" w:w="36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3,538.86</w:t>
            </w:r>
          </w:p>
        </w:tc>
        <w:tc>
          <w:tcPr>
            <w:tcW w:type="dxa" w:w="36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−577.13</w:t>
            </w:r>
          </w:p>
        </w:tc>
      </w:tr>
      <w:tr>
        <w:tc>
          <w:tcPr>
            <w:tcW w:type="dxa" w:w="2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S5</w:t>
            </w:r>
          </w:p>
        </w:tc>
        <w:tc>
          <w:tcPr>
            <w:tcW w:type="dxa" w:w="3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3,301.89</w:t>
            </w:r>
          </w:p>
        </w:tc>
        <w:tc>
          <w:tcPr>
            <w:tcW w:type="dxa" w:w="3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−814.10</w:t>
            </w:r>
          </w:p>
        </w:tc>
      </w:tr>
    </w:tbl>
    <w:p>
      <w:pPr>
        <w:spacing w:after="70" w:before="140"/>
      </w:pPr>
      <w:r>
        <w:rPr>
          <w:rFonts w:ascii="Calibri" w:cs="Calibri" w:eastAsia="Calibri" w:hAnsi="Calibri"/>
          <w:b/>
          <w:bCs/>
          <w:color w:val="333333"/>
          <w:sz w:val="21"/>
          <w:szCs w:val="21"/>
        </w:rPr>
        <w:t xml:space="preserve">Monthly pivots — derived from June 2026 (H 4,682.00 · L 3,941.76 · C 4,416.00)</w:t>
      </w:r>
    </w:p>
    <w:p>
      <w:pPr>
        <w:spacing w:after="100"/>
      </w:pPr>
      <w:r>
        <w:rPr>
          <w:rFonts w:ascii="Calibri" w:cs="Calibri" w:eastAsia="Calibri" w:hAnsi="Calibri"/>
          <w:b/>
          <w:bCs/>
          <w:color w:val="8E2A5B"/>
          <w:sz w:val="19"/>
          <w:szCs w:val="19"/>
        </w:rPr>
        <w:t xml:space="preserve">SOURCE STATUS: SINGLE-SOURCE — INDICATIVE ONLY. </w:t>
      </w:r>
      <w:r>
        <w:rPr>
          <w:rFonts w:ascii="Calibri" w:cs="Calibri" w:eastAsia="Calibri" w:hAnsi="Calibri"/>
          <w:i/>
          <w:iCs/>
          <w:sz w:val="19"/>
          <w:szCs w:val="19"/>
        </w:rPr>
        <w:t xml:space="preserve">The June monthly high, low and close could not be corroborated by a second independent source within tolerance. Per standing source discipline, every level in this table is marked indicative. These levels may be used for directional context and narrative reference only. They are NOT eligible for pivot prior-period calculation in any trade card, NOT eligible for entry or stop-loss pricing, and are NOT cited as definitive anywhere in the consensus build. No trade card in §21 references a monthly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Level</w:t>
            </w:r>
          </w:p>
        </w:tc>
        <w:tc>
          <w:tcPr>
            <w:tcW w:type="dxa" w:w="368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Price (USD/oz) — indicative</w:t>
            </w:r>
          </w:p>
        </w:tc>
        <w:tc>
          <w:tcPr>
            <w:tcW w:type="dxa" w:w="368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Distance from 4,115.99</w:t>
            </w:r>
          </w:p>
        </w:tc>
      </w:tr>
      <w:tr>
        <w:tc>
          <w:tcPr>
            <w:tcW w:type="dxa" w:w="2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R5</w:t>
            </w:r>
          </w:p>
        </w:tc>
        <w:tc>
          <w:tcPr>
            <w:tcW w:type="dxa" w:w="3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6,972.13</w:t>
            </w:r>
          </w:p>
        </w:tc>
        <w:tc>
          <w:tcPr>
            <w:tcW w:type="dxa" w:w="3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+2,856.14</w:t>
            </w:r>
          </w:p>
        </w:tc>
      </w:tr>
      <w:tr>
        <w:tc>
          <w:tcPr>
            <w:tcW w:type="dxa" w:w="2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R4</w:t>
            </w:r>
          </w:p>
        </w:tc>
        <w:tc>
          <w:tcPr>
            <w:tcW w:type="dxa" w:w="36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6,231.89</w:t>
            </w:r>
          </w:p>
        </w:tc>
        <w:tc>
          <w:tcPr>
            <w:tcW w:type="dxa" w:w="36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+2,115.90</w:t>
            </w:r>
          </w:p>
        </w:tc>
      </w:tr>
      <w:tr>
        <w:tc>
          <w:tcPr>
            <w:tcW w:type="dxa" w:w="2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R3</w:t>
            </w:r>
          </w:p>
        </w:tc>
        <w:tc>
          <w:tcPr>
            <w:tcW w:type="dxa" w:w="3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5,491.65</w:t>
            </w:r>
          </w:p>
        </w:tc>
        <w:tc>
          <w:tcPr>
            <w:tcW w:type="dxa" w:w="3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+1,375.66</w:t>
            </w:r>
          </w:p>
        </w:tc>
      </w:tr>
      <w:tr>
        <w:tc>
          <w:tcPr>
            <w:tcW w:type="dxa" w:w="2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R2</w:t>
            </w:r>
          </w:p>
        </w:tc>
        <w:tc>
          <w:tcPr>
            <w:tcW w:type="dxa" w:w="36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5,086.83</w:t>
            </w:r>
          </w:p>
        </w:tc>
        <w:tc>
          <w:tcPr>
            <w:tcW w:type="dxa" w:w="36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+970.84</w:t>
            </w:r>
          </w:p>
        </w:tc>
      </w:tr>
      <w:tr>
        <w:tc>
          <w:tcPr>
            <w:tcW w:type="dxa" w:w="2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R1</w:t>
            </w:r>
          </w:p>
        </w:tc>
        <w:tc>
          <w:tcPr>
            <w:tcW w:type="dxa" w:w="3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4,751.41</w:t>
            </w:r>
          </w:p>
        </w:tc>
        <w:tc>
          <w:tcPr>
            <w:tcW w:type="dxa" w:w="3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+635.42</w:t>
            </w:r>
          </w:p>
        </w:tc>
      </w:tr>
      <w:tr>
        <w:tc>
          <w:tcPr>
            <w:tcW w:type="dxa" w:w="2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P</w:t>
            </w:r>
          </w:p>
        </w:tc>
        <w:tc>
          <w:tcPr>
            <w:tcW w:type="dxa" w:w="36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4,346.59</w:t>
            </w:r>
          </w:p>
        </w:tc>
        <w:tc>
          <w:tcPr>
            <w:tcW w:type="dxa" w:w="36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+230.60</w:t>
            </w:r>
          </w:p>
        </w:tc>
      </w:tr>
      <w:tr>
        <w:tc>
          <w:tcPr>
            <w:tcW w:type="dxa" w:w="2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S1</w:t>
            </w:r>
          </w:p>
        </w:tc>
        <w:tc>
          <w:tcPr>
            <w:tcW w:type="dxa" w:w="3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4,011.17</w:t>
            </w:r>
          </w:p>
        </w:tc>
        <w:tc>
          <w:tcPr>
            <w:tcW w:type="dxa" w:w="3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−104.82</w:t>
            </w:r>
          </w:p>
        </w:tc>
      </w:tr>
      <w:tr>
        <w:tc>
          <w:tcPr>
            <w:tcW w:type="dxa" w:w="2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S2</w:t>
            </w:r>
          </w:p>
        </w:tc>
        <w:tc>
          <w:tcPr>
            <w:tcW w:type="dxa" w:w="36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3,606.35</w:t>
            </w:r>
          </w:p>
        </w:tc>
        <w:tc>
          <w:tcPr>
            <w:tcW w:type="dxa" w:w="36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−509.64</w:t>
            </w:r>
          </w:p>
        </w:tc>
      </w:tr>
      <w:tr>
        <w:tc>
          <w:tcPr>
            <w:tcW w:type="dxa" w:w="2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S3</w:t>
            </w:r>
          </w:p>
        </w:tc>
        <w:tc>
          <w:tcPr>
            <w:tcW w:type="dxa" w:w="3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3,270.93</w:t>
            </w:r>
          </w:p>
        </w:tc>
        <w:tc>
          <w:tcPr>
            <w:tcW w:type="dxa" w:w="3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−845.06</w:t>
            </w:r>
          </w:p>
        </w:tc>
      </w:tr>
      <w:tr>
        <w:tc>
          <w:tcPr>
            <w:tcW w:type="dxa" w:w="2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S4</w:t>
            </w:r>
          </w:p>
        </w:tc>
        <w:tc>
          <w:tcPr>
            <w:tcW w:type="dxa" w:w="36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2,530.69</w:t>
            </w:r>
          </w:p>
        </w:tc>
        <w:tc>
          <w:tcPr>
            <w:tcW w:type="dxa" w:w="36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−1,585.30</w:t>
            </w:r>
          </w:p>
        </w:tc>
      </w:tr>
      <w:tr>
        <w:tc>
          <w:tcPr>
            <w:tcW w:type="dxa" w:w="2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S5</w:t>
            </w:r>
          </w:p>
        </w:tc>
        <w:tc>
          <w:tcPr>
            <w:tcW w:type="dxa" w:w="3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1,790.45</w:t>
            </w:r>
          </w:p>
        </w:tc>
        <w:tc>
          <w:tcPr>
            <w:tcW w:type="dxa" w:w="3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−2,325.54</w:t>
            </w:r>
          </w:p>
        </w:tc>
      </w:tr>
    </w:tbl>
    <w:p>
      <w:pPr>
        <w:spacing w:after="70" w:before="140"/>
      </w:pPr>
      <w:r>
        <w:rPr>
          <w:rFonts w:ascii="Calibri" w:cs="Calibri" w:eastAsia="Calibri" w:hAnsi="Calibri"/>
          <w:b/>
          <w:bCs/>
          <w:color w:val="333333"/>
          <w:sz w:val="21"/>
          <w:szCs w:val="21"/>
        </w:rPr>
        <w:t xml:space="preserve">Position narrative</w:t>
      </w:r>
    </w:p>
    <w:p>
      <w:pPr>
        <w:spacing w:after="90"/>
        <w:jc w:val="left"/>
      </w:pPr>
      <w:r>
        <w:rPr>
          <w:rFonts w:ascii="Calibri" w:cs="Calibri" w:eastAsia="Calibri" w:hAnsi="Calibri"/>
          <w:b w:val="false"/>
          <w:bCs w:val="false"/>
          <w:i w:val="false"/>
          <w:iCs w:val="false"/>
          <w:color w:val="000000"/>
          <w:sz w:val="20"/>
          <w:szCs w:val="20"/>
        </w:rPr>
        <w:t xml:space="preserve">Daily: the 9 July close of 4,115.99 sits 25.22 USD ABOVE the daily pivot P at 4,090.77. Nearest resistance is R1 at 4,159.33 (43.34 above); nearest support is P itself, then S1 at 4,047.42. Price is in the lower half of the P–R1 band — a weak-bullish daily position, not a strong one.</w:t>
      </w:r>
    </w:p>
    <w:p>
      <w:pPr>
        <w:spacing w:after="90"/>
        <w:jc w:val="left"/>
      </w:pPr>
      <w:r>
        <w:rPr>
          <w:rFonts w:ascii="Calibri" w:cs="Calibri" w:eastAsia="Calibri" w:hAnsi="Calibri"/>
          <w:b w:val="false"/>
          <w:bCs w:val="false"/>
          <w:i w:val="false"/>
          <w:iCs w:val="false"/>
          <w:color w:val="000000"/>
          <w:sz w:val="20"/>
          <w:szCs w:val="20"/>
        </w:rPr>
        <w:t xml:space="preserve">Weekly: the close sits 18.99 USD ABOVE the weekly pivot P at 4,097.00. Nearest weekly resistance is R1 at 4,249.77 (133.78 above); nearest weekly support is S1 at 4,012.80.</w:t>
      </w:r>
    </w:p>
    <w:p>
      <w:pPr>
        <w:spacing w:after="100" w:before="100"/>
      </w:pPr>
      <w:r>
        <w:rPr>
          <w:rFonts w:ascii="Calibri" w:cs="Calibri" w:eastAsia="Calibri" w:hAnsi="Calibri"/>
          <w:b/>
          <w:bCs/>
          <w:color w:val="1E6B3A"/>
          <w:sz w:val="20"/>
          <w:szCs w:val="20"/>
        </w:rPr>
        <w:t xml:space="preserve">CONFLUENCE ZONE — 4,090.77 / 4,097.00.  </w:t>
      </w:r>
      <w:r>
        <w:rPr>
          <w:rFonts w:ascii="Calibri" w:cs="Calibri" w:eastAsia="Calibri" w:hAnsi="Calibri"/>
          <w:sz w:val="20"/>
          <w:szCs w:val="20"/>
        </w:rPr>
        <w:t xml:space="preserve">The daily pivot P (4,090.77) and the weekly pivot P (4,097.00) are separated by 6.23 USD, or 0.152% — outside the strict 0.05% flagging tolerance, but close enough in ATR terms (0.067 ATR) to constitute a functional confluence shelf. Price sits directly above it. This band is the first structural support beneath the market and the natural profit-taking objective for a short from R1.</w:t>
      </w:r>
    </w:p>
    <w:p>
      <w:pPr>
        <w:spacing w:after="100"/>
      </w:pPr>
      <w:r>
        <w:rPr>
          <w:rFonts w:ascii="Calibri" w:cs="Calibri" w:eastAsia="Calibri" w:hAnsi="Calibri"/>
          <w:b/>
          <w:bCs/>
          <w:color w:val="1E6B3A"/>
          <w:sz w:val="20"/>
          <w:szCs w:val="20"/>
        </w:rPr>
        <w:t xml:space="preserve">SECOND CONFLUENCE — 4,012.80 / 4,013.14 / 4,011.17.  </w:t>
      </w:r>
      <w:r>
        <w:rPr>
          <w:rFonts w:ascii="Calibri" w:cs="Calibri" w:eastAsia="Calibri" w:hAnsi="Calibri"/>
          <w:sz w:val="20"/>
          <w:szCs w:val="20"/>
        </w:rPr>
        <w:t xml:space="preserve">Weekly S1 (4,012.80), the derived daily S1.5 midpoint (4,013.14), and the indicative monthly S1 (4,011.17) cluster within 1.97 USD — a spread of 0.049%, inside the 0.05% tolerance. This is a formal STRONG CONFLUENCE zone. It is also the region immediately beneath the 4,022.20 double-bottom shelf. Note that one of the three contributing levels is single-source-indicative; the confluence therefore rests on two corroborated levels and is treated as real but is not used as a stop anchor.</w:t>
      </w:r>
    </w:p>
    <w:p>
      <w:r>
        <w:br w:type="page"/>
      </w:r>
    </w:p>
    <w:p>
      <w:pPr>
        <w:pStyle w:val="Heading1"/>
        <w:spacing w:after="140" w:before="280"/>
      </w:pPr>
      <w:r>
        <w:rPr>
          <w:rFonts w:ascii="Calibri" w:cs="Calibri" w:eastAsia="Calibri" w:hAnsi="Calibri"/>
          <w:b/>
          <w:bCs/>
          <w:color w:val="1F3864"/>
          <w:sz w:val="26"/>
          <w:szCs w:val="26"/>
        </w:rPr>
        <w:t xml:space="preserve">§12  Key Market Considerations</w:t>
      </w:r>
    </w:p>
    <w:p>
      <w:pPr>
        <w:spacing w:after="70" w:before="140"/>
      </w:pPr>
      <w:r>
        <w:rPr>
          <w:rFonts w:ascii="Calibri" w:cs="Calibri" w:eastAsia="Calibri" w:hAnsi="Calibri"/>
          <w:b/>
          <w:bCs/>
          <w:color w:val="333333"/>
          <w:sz w:val="21"/>
          <w:szCs w:val="21"/>
        </w:rPr>
        <w:t xml:space="preserve">Supply</w:t>
      </w:r>
    </w:p>
    <w:p>
      <w:pPr>
        <w:spacing w:after="90"/>
        <w:jc w:val="left"/>
      </w:pPr>
      <w:r>
        <w:rPr>
          <w:rFonts w:ascii="Calibri" w:cs="Calibri" w:eastAsia="Calibri" w:hAnsi="Calibri"/>
          <w:b w:val="false"/>
          <w:bCs w:val="false"/>
          <w:i w:val="false"/>
          <w:iCs w:val="false"/>
          <w:color w:val="000000"/>
          <w:sz w:val="20"/>
          <w:szCs w:val="20"/>
        </w:rPr>
        <w:t xml:space="preserve">Mine supply is not the operative variable on a daily horizon and shows no disruption. Recycling supply typically rises with price and has been elevated through the 2026 highs; the drawdown from 5,595 has begun to reduce scrap flow at the margin, a mild structural support that operates over months, not days.</w:t>
      </w:r>
    </w:p>
    <w:p>
      <w:pPr>
        <w:spacing w:after="70" w:before="140"/>
      </w:pPr>
      <w:r>
        <w:rPr>
          <w:rFonts w:ascii="Calibri" w:cs="Calibri" w:eastAsia="Calibri" w:hAnsi="Calibri"/>
          <w:b/>
          <w:bCs/>
          <w:color w:val="333333"/>
          <w:sz w:val="21"/>
          <w:szCs w:val="21"/>
        </w:rPr>
        <w:t xml:space="preserve">Demand</w:t>
      </w:r>
    </w:p>
    <w:p>
      <w:pPr>
        <w:pStyle w:val="ListParagraph"/>
        <w:numPr>
          <w:ilvl w:val="0"/>
          <w:numId w:val="1"/>
        </w:numPr>
        <w:spacing w:after="60"/>
      </w:pPr>
      <w:r>
        <w:rPr>
          <w:rFonts w:ascii="Calibri" w:cs="Calibri" w:eastAsia="Calibri" w:hAnsi="Calibri"/>
          <w:sz w:val="20"/>
          <w:szCs w:val="20"/>
        </w:rPr>
        <w:t xml:space="preserve">Official sector — the decisive demand pillar. The PBoC reported its largest monthly gold reserve increase in more than two and a half years in June. The World Gold Council recorded a net 41 tonnes added to global central bank reserves in May, and estimated Q1 2026 net official additions of 244 tonnes. J.P. Morgan put Chinese net imports at 317 tonnes in Q1.</w:t>
      </w:r>
    </w:p>
    <w:p>
      <w:pPr>
        <w:pStyle w:val="ListParagraph"/>
        <w:numPr>
          <w:ilvl w:val="0"/>
          <w:numId w:val="1"/>
        </w:numPr>
        <w:spacing w:after="60"/>
      </w:pPr>
      <w:r>
        <w:rPr>
          <w:rFonts w:ascii="Calibri" w:cs="Calibri" w:eastAsia="Calibri" w:hAnsi="Calibri"/>
          <w:sz w:val="20"/>
          <w:szCs w:val="20"/>
        </w:rPr>
        <w:t xml:space="preserve">Investment demand — deteriorating. HSBC lowered its 2026 average gold forecast to 4,560 USD/oz from 4,864, and cut its 2027 forecast to 4,925 from 5,000, citing changing perceptions of US monetary policy and dollar moves as the principal drivers of recent selling. HSBC also noted that central bank demand has slowed, while flagging a potential pickup in ETF buying later in the year.</w:t>
      </w:r>
    </w:p>
    <w:p>
      <w:pPr>
        <w:pStyle w:val="ListParagraph"/>
        <w:numPr>
          <w:ilvl w:val="0"/>
          <w:numId w:val="1"/>
        </w:numPr>
        <w:spacing w:after="60"/>
      </w:pPr>
      <w:r>
        <w:rPr>
          <w:rFonts w:ascii="Calibri" w:cs="Calibri" w:eastAsia="Calibri" w:hAnsi="Calibri"/>
          <w:sz w:val="20"/>
          <w:szCs w:val="20"/>
        </w:rPr>
        <w:t xml:space="preserve">Jewellery and industrial — price-elastic and secondary. Gold's industrial share is small; the demand elasticity of jewellery buyers in India and China provides a slow-acting floor well beneath current levels.</w:t>
      </w:r>
    </w:p>
    <w:p>
      <w:pPr>
        <w:spacing w:after="70" w:before="140"/>
      </w:pPr>
      <w:r>
        <w:rPr>
          <w:rFonts w:ascii="Calibri" w:cs="Calibri" w:eastAsia="Calibri" w:hAnsi="Calibri"/>
          <w:b/>
          <w:bCs/>
          <w:color w:val="333333"/>
          <w:sz w:val="21"/>
          <w:szCs w:val="21"/>
        </w:rPr>
        <w:t xml:space="preserve">Policy</w:t>
      </w:r>
    </w:p>
    <w:p>
      <w:pPr>
        <w:spacing w:after="90"/>
        <w:jc w:val="left"/>
      </w:pPr>
      <w:r>
        <w:rPr>
          <w:rFonts w:ascii="Calibri" w:cs="Calibri" w:eastAsia="Calibri" w:hAnsi="Calibri"/>
          <w:b w:val="false"/>
          <w:bCs w:val="false"/>
          <w:i w:val="false"/>
          <w:iCs w:val="false"/>
          <w:color w:val="000000"/>
          <w:sz w:val="20"/>
          <w:szCs w:val="20"/>
        </w:rPr>
        <w:t xml:space="preserve">The Federal Reserve held at 3.50%–3.75% at the 16–17 June meeting. The minutes, released 8 July, showed policymakers split: only a few favoured an immediate increase, but nine of eighteen expect the rate higher by end-2026, and officials expressed growing concern about inflation. LPL Financial's chief economist characterised the minutes as containing ambiguity, with future policy heavily contingent on Middle East developments. CME FedWatch now assigns roughly 83.4% probability to at least one hike this year, up from around 78% a week earlier. The probability that the Fed holds at 3.50%–3.75% in July stands at approximately 74.9%.</w:t>
      </w:r>
    </w:p>
    <w:p>
      <w:pPr>
        <w:spacing w:after="70" w:before="140"/>
      </w:pPr>
      <w:r>
        <w:rPr>
          <w:rFonts w:ascii="Calibri" w:cs="Calibri" w:eastAsia="Calibri" w:hAnsi="Calibri"/>
          <w:b/>
          <w:bCs/>
          <w:color w:val="333333"/>
          <w:sz w:val="21"/>
          <w:szCs w:val="21"/>
        </w:rPr>
        <w:t xml:space="preserve">Macro</w:t>
      </w:r>
    </w:p>
    <w:p>
      <w:pPr>
        <w:spacing w:after="90"/>
        <w:jc w:val="left"/>
      </w:pPr>
      <w:r>
        <w:rPr>
          <w:rFonts w:ascii="Calibri" w:cs="Calibri" w:eastAsia="Calibri" w:hAnsi="Calibri"/>
          <w:b w:val="false"/>
          <w:bCs w:val="false"/>
          <w:i w:val="false"/>
          <w:iCs w:val="false"/>
          <w:color w:val="000000"/>
          <w:sz w:val="20"/>
          <w:szCs w:val="20"/>
        </w:rPr>
        <w:t xml:space="preserve">June nonfarm payrolls added 57,000 against a 110,000 consensus, the weakest in four months, with April and May revised down by a combined 74,000. Unemployment held at 4.2%; the participation rate fell to 61.5%, a five-year low. Initial jobless claims for the week ending 4 July fell 1,000 to 215,000, below expectations of 220,000–225,000; continuing claims held near 1.81 million. The labour market is softening on the payroll count but not on the claims count — an ambiguity that leaves the Fed room to prioritise inflation.</w:t>
      </w:r>
    </w:p>
    <w:p>
      <w:pPr>
        <w:spacing w:after="70" w:before="140"/>
      </w:pPr>
      <w:r>
        <w:rPr>
          <w:rFonts w:ascii="Calibri" w:cs="Calibri" w:eastAsia="Calibri" w:hAnsi="Calibri"/>
          <w:b/>
          <w:bCs/>
          <w:color w:val="333333"/>
          <w:sz w:val="21"/>
          <w:szCs w:val="21"/>
        </w:rPr>
        <w:t xml:space="preserve">Catalysts</w:t>
      </w:r>
    </w:p>
    <w:p>
      <w:pPr>
        <w:spacing w:after="90"/>
        <w:jc w:val="left"/>
      </w:pPr>
      <w:r>
        <w:rPr>
          <w:rFonts w:ascii="Calibri" w:cs="Calibri" w:eastAsia="Calibri" w:hAnsi="Calibri"/>
          <w:b w:val="false"/>
          <w:bCs w:val="false"/>
          <w:i w:val="false"/>
          <w:iCs w:val="false"/>
          <w:color w:val="000000"/>
          <w:sz w:val="20"/>
          <w:szCs w:val="20"/>
        </w:rPr>
        <w:t xml:space="preserve">US Central Command confirmed strikes on Iran on consecutive days aimed at preserving Strait of Hormuz transit, through which roughly 20% of global energy supply passes. President Trump declared the interim memorandum of understanding with Iran to be over, threatened further strikes and a port blockade, and revoked the waiver permitting Iranian crude sales. Iran vowed large-scale retaliation against US bases. Oil surged more than 5% on 8 July, with two-session gains near 10%; WTI subsequently eased to around 73.10 on profit-taking. The 10-year Treasury yield reached a seven-week high of 4.597% before easing to 4.579%.</w:t>
      </w:r>
    </w:p>
    <w:p>
      <w:pPr>
        <w:spacing w:after="90"/>
        <w:jc w:val="left"/>
      </w:pPr>
      <w:r>
        <w:rPr>
          <w:rFonts w:ascii="Calibri" w:cs="Calibri" w:eastAsia="Calibri" w:hAnsi="Calibri"/>
          <w:b w:val="false"/>
          <w:bCs w:val="false"/>
          <w:i w:val="false"/>
          <w:iCs w:val="false"/>
          <w:color w:val="000000"/>
          <w:sz w:val="20"/>
          <w:szCs w:val="20"/>
        </w:rPr>
        <w:t xml:space="preserve">The critical mechanism to understand is that this geopolitical escalation is bearish for gold, not bullish. In a conventional risk-off shock, gold rallies. In this shock, the transmission runs through energy: Hormuz risk lifts oil, oil lifts inflation expectations, inflation expectations lift the expected policy rate, and a higher expected policy rate raises the opportunity cost of holding a non-yielding asset. The haven bid exists but is being overwhelmed by the rates channel. Gold fell 0.9% on 8 July while crude surged over 5% — the split is explicit in the tape. A metals trading director at High Ridge Futures characterised the escalation as dragging down risk assets, gold included. Only a de-escalation that removes the inflation impulse, or an escalation severe enough to trigger a genuine flight to safety that overrides the rates channel, changes this.</w:t>
      </w:r>
    </w:p>
    <w:p>
      <w:pPr>
        <w:pStyle w:val="Heading1"/>
        <w:spacing w:after="140" w:before="280"/>
      </w:pPr>
      <w:r>
        <w:rPr>
          <w:rFonts w:ascii="Calibri" w:cs="Calibri" w:eastAsia="Calibri" w:hAnsi="Calibri"/>
          <w:b/>
          <w:bCs/>
          <w:color w:val="1F3864"/>
          <w:sz w:val="26"/>
          <w:szCs w:val="26"/>
        </w:rPr>
        <w:t xml:space="preserve">§13  Sentiment, News &amp; Calendar</w:t>
      </w:r>
    </w:p>
    <w:p>
      <w:pPr>
        <w:spacing w:after="70" w:before="140"/>
      </w:pPr>
      <w:r>
        <w:rPr>
          <w:rFonts w:ascii="Calibri" w:cs="Calibri" w:eastAsia="Calibri" w:hAnsi="Calibri"/>
          <w:b/>
          <w:bCs/>
          <w:color w:val="333333"/>
          <w:sz w:val="21"/>
          <w:szCs w:val="21"/>
        </w:rPr>
        <w:t xml:space="preserve">§13a  Per-article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100"/>
        <w:gridCol w:w="1900"/>
        <w:gridCol w:w="900"/>
        <w:gridCol w:w="1060"/>
      </w:tblGrid>
      <w:tr>
        <w:trPr>
          <w:tblHeader/>
        </w:trPr>
        <w:tc>
          <w:tcPr>
            <w:tcW w:type="dxa" w:w="9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Date</w:t>
            </w:r>
          </w:p>
        </w:tc>
        <w:tc>
          <w:tcPr>
            <w:tcW w:type="dxa" w:w="15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Source</w:t>
            </w:r>
          </w:p>
        </w:tc>
        <w:tc>
          <w:tcPr>
            <w:tcW w:type="dxa" w:w="31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Headline theme</w:t>
            </w:r>
          </w:p>
        </w:tc>
        <w:tc>
          <w:tcPr>
            <w:tcW w:type="dxa" w:w="19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Directional read</w:t>
            </w:r>
          </w:p>
        </w:tc>
        <w:tc>
          <w:tcPr>
            <w:tcW w:type="dxa" w:w="9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Weight</w:t>
            </w:r>
          </w:p>
        </w:tc>
        <w:tc>
          <w:tcPr>
            <w:tcW w:type="dxa" w:w="106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Score</w:t>
            </w:r>
          </w:p>
        </w:tc>
      </w:tr>
      <w:tr>
        <w:tc>
          <w:tcPr>
            <w:tcW w:type="dxa" w:w="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09 Jul</w:t>
            </w:r>
          </w:p>
        </w:tc>
        <w:tc>
          <w:tcPr>
            <w:tcW w:type="dxa" w:w="15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Kitco</w:t>
            </w:r>
          </w:p>
        </w:tc>
        <w:tc>
          <w:tcPr>
            <w:tcW w:type="dxa" w:w="31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Gold rebounds above 4,100 as Fed minutes and Hormuz risk keep yields firm</w:t>
            </w:r>
          </w:p>
        </w:tc>
        <w:tc>
          <w:tcPr>
            <w:tcW w:type="dxa" w:w="1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Mixed — rebound acknowledged, but yields and dollar framed as the cap</w:t>
            </w:r>
          </w:p>
        </w:tc>
        <w:tc>
          <w:tcPr>
            <w:tcW w:type="dxa" w:w="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High</w:t>
            </w:r>
          </w:p>
        </w:tc>
        <w:tc>
          <w:tcPr>
            <w:tcW w:type="dxa" w:w="10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−0.15</w:t>
            </w:r>
          </w:p>
        </w:tc>
      </w:tr>
      <w:tr>
        <w:tc>
          <w:tcPr>
            <w:tcW w:type="dxa" w:w="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09 Jul</w:t>
            </w:r>
          </w:p>
        </w:tc>
        <w:tc>
          <w:tcPr>
            <w:tcW w:type="dxa" w:w="15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FXStreet</w:t>
            </w:r>
          </w:p>
        </w:tc>
        <w:tc>
          <w:tcPr>
            <w:tcW w:type="dxa" w:w="31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Recoveries likely capped as 20-day EMA slopes lower; hike odds rise to 83.4%</w:t>
            </w:r>
          </w:p>
        </w:tc>
        <w:tc>
          <w:tcPr>
            <w:tcW w:type="dxa" w:w="1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Bearish</w:t>
            </w:r>
          </w:p>
        </w:tc>
        <w:tc>
          <w:tcPr>
            <w:tcW w:type="dxa" w:w="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High</w:t>
            </w:r>
          </w:p>
        </w:tc>
        <w:tc>
          <w:tcPr>
            <w:tcW w:type="dxa" w:w="10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−0.55</w:t>
            </w:r>
          </w:p>
        </w:tc>
      </w:tr>
      <w:tr>
        <w:tc>
          <w:tcPr>
            <w:tcW w:type="dxa" w:w="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09 Jul</w:t>
            </w:r>
          </w:p>
        </w:tc>
        <w:tc>
          <w:tcPr>
            <w:tcW w:type="dxa" w:w="15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Reuters (via wire)</w:t>
            </w:r>
          </w:p>
        </w:tc>
        <w:tc>
          <w:tcPr>
            <w:tcW w:type="dxa" w:w="31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HSBC cuts 2026 average gold forecast to 4,560 from 4,864; 2027 to 4,925</w:t>
            </w:r>
          </w:p>
        </w:tc>
        <w:tc>
          <w:tcPr>
            <w:tcW w:type="dxa" w:w="1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Bearish</w:t>
            </w:r>
          </w:p>
        </w:tc>
        <w:tc>
          <w:tcPr>
            <w:tcW w:type="dxa" w:w="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High</w:t>
            </w:r>
          </w:p>
        </w:tc>
        <w:tc>
          <w:tcPr>
            <w:tcW w:type="dxa" w:w="10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−0.60</w:t>
            </w:r>
          </w:p>
        </w:tc>
      </w:tr>
      <w:tr>
        <w:tc>
          <w:tcPr>
            <w:tcW w:type="dxa" w:w="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09 Jul</w:t>
            </w:r>
          </w:p>
        </w:tc>
        <w:tc>
          <w:tcPr>
            <w:tcW w:type="dxa" w:w="15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Trading Economics</w:t>
            </w:r>
          </w:p>
        </w:tc>
        <w:tc>
          <w:tcPr>
            <w:tcW w:type="dxa" w:w="31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Gold below 4,100 for a second session; Hormuz supply concerns intensify inflation pressure</w:t>
            </w:r>
          </w:p>
        </w:tc>
        <w:tc>
          <w:tcPr>
            <w:tcW w:type="dxa" w:w="1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Bearish</w:t>
            </w:r>
          </w:p>
        </w:tc>
        <w:tc>
          <w:tcPr>
            <w:tcW w:type="dxa" w:w="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Medium</w:t>
            </w:r>
          </w:p>
        </w:tc>
        <w:tc>
          <w:tcPr>
            <w:tcW w:type="dxa" w:w="10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−0.45</w:t>
            </w:r>
          </w:p>
        </w:tc>
      </w:tr>
      <w:tr>
        <w:tc>
          <w:tcPr>
            <w:tcW w:type="dxa" w:w="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08 Jul</w:t>
            </w:r>
          </w:p>
        </w:tc>
        <w:tc>
          <w:tcPr>
            <w:tcW w:type="dxa" w:w="15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Trading Economics</w:t>
            </w:r>
          </w:p>
        </w:tc>
        <w:tc>
          <w:tcPr>
            <w:tcW w:type="dxa" w:w="31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PBoC posts largest monthly gold reserve increase in over two and a half years</w:t>
            </w:r>
          </w:p>
        </w:tc>
        <w:tc>
          <w:tcPr>
            <w:tcW w:type="dxa" w:w="1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Bullish</w:t>
            </w:r>
          </w:p>
        </w:tc>
        <w:tc>
          <w:tcPr>
            <w:tcW w:type="dxa" w:w="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High</w:t>
            </w:r>
          </w:p>
        </w:tc>
        <w:tc>
          <w:tcPr>
            <w:tcW w:type="dxa" w:w="10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+0.60</w:t>
            </w:r>
          </w:p>
        </w:tc>
      </w:tr>
      <w:tr>
        <w:tc>
          <w:tcPr>
            <w:tcW w:type="dxa" w:w="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09 Jul</w:t>
            </w:r>
          </w:p>
        </w:tc>
        <w:tc>
          <w:tcPr>
            <w:tcW w:type="dxa" w:w="15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DailyForex</w:t>
            </w:r>
          </w:p>
        </w:tc>
        <w:tc>
          <w:tcPr>
            <w:tcW w:type="dxa" w:w="31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Doji signals weakening selling pressure; corrective rebound within wave C likely above 4,000</w:t>
            </w:r>
          </w:p>
        </w:tc>
        <w:tc>
          <w:tcPr>
            <w:tcW w:type="dxa" w:w="1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Mildly bullish</w:t>
            </w:r>
          </w:p>
        </w:tc>
        <w:tc>
          <w:tcPr>
            <w:tcW w:type="dxa" w:w="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Low</w:t>
            </w:r>
          </w:p>
        </w:tc>
        <w:tc>
          <w:tcPr>
            <w:tcW w:type="dxa" w:w="10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+0.25</w:t>
            </w:r>
          </w:p>
        </w:tc>
      </w:tr>
      <w:tr>
        <w:tc>
          <w:tcPr>
            <w:tcW w:type="dxa" w:w="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09 Jul</w:t>
            </w:r>
          </w:p>
        </w:tc>
        <w:tc>
          <w:tcPr>
            <w:tcW w:type="dxa" w:w="15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LiteFinance</w:t>
            </w:r>
          </w:p>
        </w:tc>
        <w:tc>
          <w:tcPr>
            <w:tcW w:type="dxa" w:w="31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Forecast for 10 July: XAU/USD expected to continue declining</w:t>
            </w:r>
          </w:p>
        </w:tc>
        <w:tc>
          <w:tcPr>
            <w:tcW w:type="dxa" w:w="1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Bearish</w:t>
            </w:r>
          </w:p>
        </w:tc>
        <w:tc>
          <w:tcPr>
            <w:tcW w:type="dxa" w:w="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Low</w:t>
            </w:r>
          </w:p>
        </w:tc>
        <w:tc>
          <w:tcPr>
            <w:tcW w:type="dxa" w:w="10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−0.40</w:t>
            </w:r>
          </w:p>
        </w:tc>
      </w:tr>
      <w:tr>
        <w:tc>
          <w:tcPr>
            <w:tcW w:type="dxa" w:w="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05 Jul</w:t>
            </w:r>
          </w:p>
        </w:tc>
        <w:tc>
          <w:tcPr>
            <w:tcW w:type="dxa" w:w="15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World Gold Council / J.P. Morgan</w:t>
            </w:r>
          </w:p>
        </w:tc>
        <w:tc>
          <w:tcPr>
            <w:tcW w:type="dxa" w:w="31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Q1 net official additions 244 tonnes; Chinese Q1 net imports 317 tonnes</w:t>
            </w:r>
          </w:p>
        </w:tc>
        <w:tc>
          <w:tcPr>
            <w:tcW w:type="dxa" w:w="1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Bullish</w:t>
            </w:r>
          </w:p>
        </w:tc>
        <w:tc>
          <w:tcPr>
            <w:tcW w:type="dxa" w:w="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Medium</w:t>
            </w:r>
          </w:p>
        </w:tc>
        <w:tc>
          <w:tcPr>
            <w:tcW w:type="dxa" w:w="10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+0.50</w:t>
            </w:r>
          </w:p>
        </w:tc>
      </w:tr>
    </w:tbl>
    <w:p>
      <w:pPr>
        <w:spacing w:after="70" w:before="140"/>
      </w:pPr>
      <w:r>
        <w:rPr>
          <w:rFonts w:ascii="Calibri" w:cs="Calibri" w:eastAsia="Calibri" w:hAnsi="Calibri"/>
          <w:b/>
          <w:bCs/>
          <w:color w:val="333333"/>
          <w:sz w:val="21"/>
          <w:szCs w:val="21"/>
        </w:rPr>
        <w:t xml:space="preserve">§13b  Aggregate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Measure</w:t>
            </w:r>
          </w:p>
        </w:tc>
        <w:tc>
          <w:tcPr>
            <w:tcW w:type="dxa" w:w="696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Value</w:t>
            </w:r>
          </w:p>
        </w:tc>
      </w:tr>
      <w:tr>
        <w:tc>
          <w:tcPr>
            <w:tcW w:type="dxa" w:w="24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Categorical classification</w:t>
            </w:r>
          </w:p>
        </w:tc>
        <w:tc>
          <w:tcPr>
            <w:tcW w:type="dxa" w:w="69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BEARISH (moderate)</w:t>
            </w:r>
          </w:p>
        </w:tc>
      </w:tr>
      <w:tr>
        <w:tc>
          <w:tcPr>
            <w:tcW w:type="dxa" w:w="24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Numeric sentiment tilt</w:t>
            </w:r>
          </w:p>
        </w:tc>
        <w:tc>
          <w:tcPr>
            <w:tcW w:type="dxa" w:w="69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−0.20</w:t>
            </w:r>
          </w:p>
        </w:tc>
      </w:tr>
      <w:tr>
        <w:tc>
          <w:tcPr>
            <w:tcW w:type="dxa" w:w="24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Weighted composition</w:t>
            </w:r>
          </w:p>
        </w:tc>
        <w:tc>
          <w:tcPr>
            <w:tcW w:type="dxa" w:w="69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Bearish weight 62% · Bullish weight 30% · Neutral/mixed 8%</w:t>
            </w:r>
          </w:p>
        </w:tc>
      </w:tr>
      <w:tr>
        <w:tc>
          <w:tcPr>
            <w:tcW w:type="dxa" w:w="24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Dominant bearish driver</w:t>
            </w:r>
          </w:p>
        </w:tc>
        <w:tc>
          <w:tcPr>
            <w:tcW w:type="dxa" w:w="69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Hawkish Fed repricing and the sell-side forecast downgrade cycle</w:t>
            </w:r>
          </w:p>
        </w:tc>
      </w:tr>
      <w:tr>
        <w:tc>
          <w:tcPr>
            <w:tcW w:type="dxa" w:w="24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Dominant bullish driver</w:t>
            </w:r>
          </w:p>
        </w:tc>
        <w:tc>
          <w:tcPr>
            <w:tcW w:type="dxa" w:w="69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Sustained official-sector accumulation, led by the PBoC</w:t>
            </w:r>
          </w:p>
        </w:tc>
      </w:tr>
      <w:tr>
        <w:tc>
          <w:tcPr>
            <w:tcW w:type="dxa" w:w="24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Divergence note</w:t>
            </w:r>
          </w:p>
        </w:tc>
        <w:tc>
          <w:tcPr>
            <w:tcW w:type="dxa" w:w="69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Sentiment is bearish on the price path but structurally constructive on the demand base. These operate on different horizons and are not netted against each other — the tilt reflects the tradeable horizon only.</w:t>
            </w:r>
          </w:p>
        </w:tc>
      </w:tr>
    </w:tbl>
    <w:p>
      <w:pPr>
        <w:spacing w:after="90"/>
        <w:jc w:val="left"/>
      </w:pPr>
      <w:r>
        <w:rPr>
          <w:rFonts w:ascii="Calibri" w:cs="Calibri" w:eastAsia="Calibri" w:hAnsi="Calibri"/>
          <w:b w:val="false"/>
          <w:bCs w:val="false"/>
          <w:i/>
          <w:iCs/>
          <w:color w:val="000000"/>
          <w:sz w:val="18"/>
          <w:szCs w:val="18"/>
        </w:rPr>
        <w:t xml:space="preserve">The −0.20 tilt is the numeric value consumed by the direction-scoring engine in §21a. It is derived here and not re-derived downstream.</w:t>
      </w:r>
    </w:p>
    <w:p>
      <w:pPr>
        <w:spacing w:after="70" w:before="140"/>
      </w:pPr>
      <w:r>
        <w:rPr>
          <w:rFonts w:ascii="Calibri" w:cs="Calibri" w:eastAsia="Calibri" w:hAnsi="Calibri"/>
          <w:b/>
          <w:bCs/>
          <w:color w:val="333333"/>
          <w:sz w:val="21"/>
          <w:szCs w:val="21"/>
        </w:rPr>
        <w:t xml:space="preserve">§13c  News calendar — released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900"/>
        <w:gridCol w:w="1900"/>
        <w:gridCol w:w="1960"/>
      </w:tblGrid>
      <w:tr>
        <w:trPr>
          <w:tblHeader/>
        </w:trPr>
        <w:tc>
          <w:tcPr>
            <w:tcW w:type="dxa" w:w="9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Date</w:t>
            </w:r>
          </w:p>
        </w:tc>
        <w:tc>
          <w:tcPr>
            <w:tcW w:type="dxa" w:w="27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Event</w:t>
            </w:r>
          </w:p>
        </w:tc>
        <w:tc>
          <w:tcPr>
            <w:tcW w:type="dxa" w:w="19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Actual</w:t>
            </w:r>
          </w:p>
        </w:tc>
        <w:tc>
          <w:tcPr>
            <w:tcW w:type="dxa" w:w="19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Consensus</w:t>
            </w:r>
          </w:p>
        </w:tc>
        <w:tc>
          <w:tcPr>
            <w:tcW w:type="dxa" w:w="196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Gold reaction</w:t>
            </w:r>
          </w:p>
        </w:tc>
      </w:tr>
      <w:tr>
        <w:tc>
          <w:tcPr>
            <w:tcW w:type="dxa" w:w="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03 Jul</w:t>
            </w:r>
          </w:p>
        </w:tc>
        <w:tc>
          <w:tcPr>
            <w:tcW w:type="dxa" w:w="27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US Nonfarm Payrolls (June)</w:t>
            </w:r>
          </w:p>
        </w:tc>
        <w:tc>
          <w:tcPr>
            <w:tcW w:type="dxa" w:w="1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+57,000</w:t>
            </w:r>
          </w:p>
        </w:tc>
        <w:tc>
          <w:tcPr>
            <w:tcW w:type="dxa" w:w="1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+110,000</w:t>
            </w:r>
          </w:p>
        </w:tc>
        <w:tc>
          <w:tcPr>
            <w:tcW w:type="dxa" w:w="19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Bullish — rallied to 4,165.57</w:t>
            </w:r>
          </w:p>
        </w:tc>
      </w:tr>
      <w:tr>
        <w:tc>
          <w:tcPr>
            <w:tcW w:type="dxa" w:w="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06 Jul</w:t>
            </w:r>
          </w:p>
        </w:tc>
        <w:tc>
          <w:tcPr>
            <w:tcW w:type="dxa" w:w="27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ISM Services PMI (June)</w:t>
            </w:r>
          </w:p>
        </w:tc>
        <w:tc>
          <w:tcPr>
            <w:tcW w:type="dxa" w:w="1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w:t>
            </w:r>
          </w:p>
        </w:tc>
        <w:tc>
          <w:tcPr>
            <w:tcW w:type="dxa" w:w="1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w:t>
            </w:r>
          </w:p>
        </w:tc>
        <w:tc>
          <w:tcPr>
            <w:tcW w:type="dxa" w:w="19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Neutral — rebound stalled at 4,205</w:t>
            </w:r>
          </w:p>
        </w:tc>
      </w:tr>
      <w:tr>
        <w:tc>
          <w:tcPr>
            <w:tcW w:type="dxa" w:w="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07 Jul</w:t>
            </w:r>
          </w:p>
        </w:tc>
        <w:tc>
          <w:tcPr>
            <w:tcW w:type="dxa" w:w="27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ADP Employment Change</w:t>
            </w:r>
          </w:p>
        </w:tc>
        <w:tc>
          <w:tcPr>
            <w:tcW w:type="dxa" w:w="1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Below expectations</w:t>
            </w:r>
          </w:p>
        </w:tc>
        <w:tc>
          <w:tcPr>
            <w:tcW w:type="dxa" w:w="1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w:t>
            </w:r>
          </w:p>
        </w:tc>
        <w:tc>
          <w:tcPr>
            <w:tcW w:type="dxa" w:w="19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Bearish — sold to 4,062.10</w:t>
            </w:r>
          </w:p>
        </w:tc>
      </w:tr>
      <w:tr>
        <w:tc>
          <w:tcPr>
            <w:tcW w:type="dxa" w:w="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08 Jul</w:t>
            </w:r>
          </w:p>
        </w:tc>
        <w:tc>
          <w:tcPr>
            <w:tcW w:type="dxa" w:w="27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FOMC Minutes (16–17 June)</w:t>
            </w:r>
          </w:p>
        </w:tc>
        <w:tc>
          <w:tcPr>
            <w:tcW w:type="dxa" w:w="1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9 of 18 see higher rates by Dec</w:t>
            </w:r>
          </w:p>
        </w:tc>
        <w:tc>
          <w:tcPr>
            <w:tcW w:type="dxa" w:w="1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Split expected</w:t>
            </w:r>
          </w:p>
        </w:tc>
        <w:tc>
          <w:tcPr>
            <w:tcW w:type="dxa" w:w="19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Bearish — probed 4,022.20</w:t>
            </w:r>
          </w:p>
        </w:tc>
      </w:tr>
      <w:tr>
        <w:tc>
          <w:tcPr>
            <w:tcW w:type="dxa" w:w="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09 Jul</w:t>
            </w:r>
          </w:p>
        </w:tc>
        <w:tc>
          <w:tcPr>
            <w:tcW w:type="dxa" w:w="27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Initial Jobless Claims</w:t>
            </w:r>
          </w:p>
        </w:tc>
        <w:tc>
          <w:tcPr>
            <w:tcW w:type="dxa" w:w="1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215,000</w:t>
            </w:r>
          </w:p>
        </w:tc>
        <w:tc>
          <w:tcPr>
            <w:tcW w:type="dxa" w:w="1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220,000–225,000</w:t>
            </w:r>
          </w:p>
        </w:tc>
        <w:tc>
          <w:tcPr>
            <w:tcW w:type="dxa" w:w="19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Mildly bearish — beat offset by soft dollar</w:t>
            </w:r>
          </w:p>
        </w:tc>
      </w:tr>
    </w:tbl>
    <w:p>
      <w:pPr>
        <w:spacing w:after="70" w:before="140"/>
      </w:pPr>
      <w:r>
        <w:rPr>
          <w:rFonts w:ascii="Calibri" w:cs="Calibri" w:eastAsia="Calibri" w:hAnsi="Calibri"/>
          <w:b/>
          <w:bCs/>
          <w:color w:val="333333"/>
          <w:sz w:val="21"/>
          <w:szCs w:val="21"/>
        </w:rPr>
        <w:t xml:space="preserve">§13d  News calendar — upcoming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4300"/>
        <w:gridCol w:w="1560"/>
      </w:tblGrid>
      <w:tr>
        <w:trPr>
          <w:tblHeader/>
        </w:trPr>
        <w:tc>
          <w:tcPr>
            <w:tcW w:type="dxa" w:w="9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Date</w:t>
            </w:r>
          </w:p>
        </w:tc>
        <w:tc>
          <w:tcPr>
            <w:tcW w:type="dxa" w:w="26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Event</w:t>
            </w:r>
          </w:p>
        </w:tc>
        <w:tc>
          <w:tcPr>
            <w:tcW w:type="dxa" w:w="43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Directional risk to gold if it surprises</w:t>
            </w:r>
          </w:p>
        </w:tc>
        <w:tc>
          <w:tcPr>
            <w:tcW w:type="dxa" w:w="156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Collision risk</w:t>
            </w:r>
          </w:p>
        </w:tc>
      </w:tr>
      <w:tr>
        <w:tc>
          <w:tcPr>
            <w:tcW w:type="dxa" w:w="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10 Jul</w:t>
            </w:r>
          </w:p>
        </w:tc>
        <w:tc>
          <w:tcPr>
            <w:tcW w:type="dxa" w:w="26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Fed speakers, US 10Y auction dynamics, Hormuz headline flow</w:t>
            </w:r>
          </w:p>
        </w:tc>
        <w:tc>
          <w:tcPr>
            <w:tcW w:type="dxa" w:w="43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Hawkish remarks or a fresh Hormuz escalation → bearish via the rates channel. A de-escalation headline → bullish via oil relief.</w:t>
            </w:r>
          </w:p>
        </w:tc>
        <w:tc>
          <w:tcPr>
            <w:tcW w:type="dxa" w:w="15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HIGH — same session as this report's trade cards</w:t>
            </w:r>
          </w:p>
        </w:tc>
      </w:tr>
      <w:tr>
        <w:tc>
          <w:tcPr>
            <w:tcW w:type="dxa" w:w="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14 Jul</w:t>
            </w:r>
          </w:p>
        </w:tc>
        <w:tc>
          <w:tcPr>
            <w:tcW w:type="dxa" w:w="26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US CPI (June)</w:t>
            </w:r>
          </w:p>
        </w:tc>
        <w:tc>
          <w:tcPr>
            <w:tcW w:type="dxa" w:w="43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An upside inflation surprise raises hike odds → bearish. A downside surprise → strongly bullish.</w:t>
            </w:r>
          </w:p>
        </w:tc>
        <w:tc>
          <w:tcPr>
            <w:tcW w:type="dxa" w:w="15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Medium — three sessions out</w:t>
            </w:r>
          </w:p>
        </w:tc>
      </w:tr>
      <w:tr>
        <w:tc>
          <w:tcPr>
            <w:tcW w:type="dxa" w:w="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15 Jul</w:t>
            </w:r>
          </w:p>
        </w:tc>
        <w:tc>
          <w:tcPr>
            <w:tcW w:type="dxa" w:w="26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US PPI (June)</w:t>
            </w:r>
          </w:p>
        </w:tc>
        <w:tc>
          <w:tcPr>
            <w:tcW w:type="dxa" w:w="43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Confirms or refutes the CPI signal</w:t>
            </w:r>
          </w:p>
        </w:tc>
        <w:tc>
          <w:tcPr>
            <w:tcW w:type="dxa" w:w="15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Low</w:t>
            </w:r>
          </w:p>
        </w:tc>
      </w:tr>
      <w:tr>
        <w:tc>
          <w:tcPr>
            <w:tcW w:type="dxa" w:w="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16 Jul</w:t>
            </w:r>
          </w:p>
        </w:tc>
        <w:tc>
          <w:tcPr>
            <w:tcW w:type="dxa" w:w="26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Philadelphia Fed Manufacturing Index</w:t>
            </w:r>
          </w:p>
        </w:tc>
        <w:tc>
          <w:tcPr>
            <w:tcW w:type="dxa" w:w="43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Second-order</w:t>
            </w:r>
          </w:p>
        </w:tc>
        <w:tc>
          <w:tcPr>
            <w:tcW w:type="dxa" w:w="15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Low</w:t>
            </w:r>
          </w:p>
        </w:tc>
      </w:tr>
      <w:tr>
        <w:tc>
          <w:tcPr>
            <w:tcW w:type="dxa" w:w="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17 Jul</w:t>
            </w:r>
          </w:p>
        </w:tc>
        <w:tc>
          <w:tcPr>
            <w:tcW w:type="dxa" w:w="26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University of Michigan Inflation Expectations</w:t>
            </w:r>
          </w:p>
        </w:tc>
        <w:tc>
          <w:tcPr>
            <w:tcW w:type="dxa" w:w="43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A de-anchoring print is materially bearish for gold</w:t>
            </w:r>
          </w:p>
        </w:tc>
        <w:tc>
          <w:tcPr>
            <w:tcW w:type="dxa" w:w="15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Low</w:t>
            </w:r>
          </w:p>
        </w:tc>
      </w:tr>
      <w:tr>
        <w:tc>
          <w:tcPr>
            <w:tcW w:type="dxa" w:w="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29 Jul</w:t>
            </w:r>
          </w:p>
        </w:tc>
        <w:tc>
          <w:tcPr>
            <w:tcW w:type="dxa" w:w="26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Federal Reserve interest rate decision</w:t>
            </w:r>
          </w:p>
        </w:tc>
        <w:tc>
          <w:tcPr>
            <w:tcW w:type="dxa" w:w="43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The dominant scheduled event of the month</w:t>
            </w:r>
          </w:p>
        </w:tc>
        <w:tc>
          <w:tcPr>
            <w:tcW w:type="dxa" w:w="15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Low — well beyond the trade horizon</w:t>
            </w:r>
          </w:p>
        </w:tc>
      </w:tr>
    </w:tbl>
    <w:p>
      <w:pPr>
        <w:spacing w:after="100" w:before="100"/>
      </w:pPr>
      <w:r>
        <w:rPr>
          <w:rFonts w:ascii="Calibri" w:cs="Calibri" w:eastAsia="Calibri" w:hAnsi="Calibri"/>
          <w:b/>
          <w:bCs/>
          <w:color w:val="8E2A5B"/>
          <w:sz w:val="20"/>
          <w:szCs w:val="20"/>
        </w:rPr>
        <w:t xml:space="preserve">COLLISION WARNING: </w:t>
      </w:r>
      <w:r>
        <w:rPr>
          <w:rFonts w:ascii="Calibri" w:cs="Calibri" w:eastAsia="Calibri" w:hAnsi="Calibri"/>
          <w:sz w:val="20"/>
          <w:szCs w:val="20"/>
        </w:rPr>
        <w:t xml:space="preserve">Middle East headline flow is unscheduled, continuous, and demonstrably capable of moving gold more than 1% intraday. Every trade card in §21 carries this as an explicit caveat. Position sizing should assume gap risk through the 10 July session that is not modelled by the ATR-derived stop distances.</w:t>
      </w:r>
    </w:p>
    <w:p>
      <w:r>
        <w:br w:type="page"/>
      </w:r>
    </w:p>
    <w:p>
      <w:pPr>
        <w:pStyle w:val="Heading1"/>
        <w:spacing w:after="140" w:before="280"/>
      </w:pPr>
      <w:r>
        <w:rPr>
          <w:rFonts w:ascii="Calibri" w:cs="Calibri" w:eastAsia="Calibri" w:hAnsi="Calibri"/>
          <w:b/>
          <w:bCs/>
          <w:color w:val="1F3864"/>
          <w:sz w:val="26"/>
          <w:szCs w:val="26"/>
        </w:rPr>
        <w:t xml:space="preserve">§14  Macro Context</w:t>
      </w:r>
    </w:p>
    <w:p>
      <w:pPr>
        <w:spacing w:after="70" w:before="140"/>
      </w:pPr>
      <w:r>
        <w:rPr>
          <w:rFonts w:ascii="Calibri" w:cs="Calibri" w:eastAsia="Calibri" w:hAnsi="Calibri"/>
          <w:b/>
          <w:bCs/>
          <w:color w:val="333333"/>
          <w:sz w:val="21"/>
          <w:szCs w:val="21"/>
        </w:rPr>
        <w:t xml:space="preserve">Rates</w:t>
      </w:r>
    </w:p>
    <w:p>
      <w:pPr>
        <w:spacing w:after="90"/>
        <w:jc w:val="left"/>
      </w:pPr>
      <w:r>
        <w:rPr>
          <w:rFonts w:ascii="Calibri" w:cs="Calibri" w:eastAsia="Calibri" w:hAnsi="Calibri"/>
          <w:b w:val="false"/>
          <w:bCs w:val="false"/>
          <w:i w:val="false"/>
          <w:iCs w:val="false"/>
          <w:color w:val="000000"/>
          <w:sz w:val="20"/>
          <w:szCs w:val="20"/>
        </w:rPr>
        <w:t xml:space="preserve">The federal funds target stands at 3.50%–3.75%. Nine of eighteen FOMC participants project a higher rate by December 2026. CME FedWatch assigns approximately 83.4% probability to at least one hike this year. The 10-year Treasury yield sits near 4.579%, having touched a seven-week high of 4.597%. Real yields are the primary transmission channel to gold: every basis point of expected real yield is a basis point of opportunity cost on a non-yielding asset. The direction of travel is unambiguously adverse.</w:t>
      </w:r>
    </w:p>
    <w:p>
      <w:pPr>
        <w:spacing w:after="70" w:before="140"/>
      </w:pPr>
      <w:r>
        <w:rPr>
          <w:rFonts w:ascii="Calibri" w:cs="Calibri" w:eastAsia="Calibri" w:hAnsi="Calibri"/>
          <w:b/>
          <w:bCs/>
          <w:color w:val="333333"/>
          <w:sz w:val="21"/>
          <w:szCs w:val="21"/>
        </w:rPr>
        <w:t xml:space="preserve">Inflation</w:t>
      </w:r>
    </w:p>
    <w:p>
      <w:pPr>
        <w:spacing w:after="90"/>
        <w:jc w:val="left"/>
      </w:pPr>
      <w:r>
        <w:rPr>
          <w:rFonts w:ascii="Calibri" w:cs="Calibri" w:eastAsia="Calibri" w:hAnsi="Calibri"/>
          <w:b w:val="false"/>
          <w:bCs w:val="false"/>
          <w:i w:val="false"/>
          <w:iCs w:val="false"/>
          <w:color w:val="000000"/>
          <w:sz w:val="20"/>
          <w:szCs w:val="20"/>
        </w:rPr>
        <w:t xml:space="preserve">US CPI ran at 4.20% in May, up from 3.80% in the prior month. FOMC officials expressed growing concern about inflation risk in the June minutes. The oil impulse from Hormuz escalation feeds directly into headline inflation with a lag of weeks. Gold's conventional inflation-hedge property is being neutralised because the inflation is arriving through a channel that forces monetary tightening rather than through a channel that erodes the currency.</w:t>
      </w:r>
    </w:p>
    <w:p>
      <w:pPr>
        <w:spacing w:after="70" w:before="140"/>
      </w:pPr>
      <w:r>
        <w:rPr>
          <w:rFonts w:ascii="Calibri" w:cs="Calibri" w:eastAsia="Calibri" w:hAnsi="Calibri"/>
          <w:b/>
          <w:bCs/>
          <w:color w:val="333333"/>
          <w:sz w:val="21"/>
          <w:szCs w:val="21"/>
        </w:rPr>
        <w:t xml:space="preserve">Liquidity and FX — cross-referenced to §10</w:t>
      </w:r>
    </w:p>
    <w:p>
      <w:pPr>
        <w:spacing w:after="90"/>
        <w:jc w:val="left"/>
      </w:pPr>
      <w:r>
        <w:rPr>
          <w:rFonts w:ascii="Calibri" w:cs="Calibri" w:eastAsia="Calibri" w:hAnsi="Calibri"/>
          <w:b w:val="false"/>
          <w:bCs w:val="false"/>
          <w:i w:val="false"/>
          <w:iCs w:val="false"/>
          <w:color w:val="000000"/>
          <w:sz w:val="20"/>
          <w:szCs w:val="20"/>
        </w:rPr>
        <w:t xml:space="preserve">Per §10, the Dollar Index is firm near 100.95–101.13, holding above the 100.80 support region and having retained most of its post-minutes bid. The mechanism for gold is dual: mechanical (dollar-denominated pricing) and expectational (the dollar as a real-yield proxy). The dollar has reached a 13-month high during this rally. Morningstar's currency valuation model suggests the index is roughly 15% overvalued, with expected firmness through the back half of 2026 and gradual softening into 2027. If that view is correct, the dollar headwind to gold is cyclical rather than structural — but it is operative now.</w:t>
      </w:r>
    </w:p>
    <w:p>
      <w:pPr>
        <w:spacing w:after="70" w:before="140"/>
      </w:pPr>
      <w:r>
        <w:rPr>
          <w:rFonts w:ascii="Calibri" w:cs="Calibri" w:eastAsia="Calibri" w:hAnsi="Calibri"/>
          <w:b/>
          <w:bCs/>
          <w:color w:val="333333"/>
          <w:sz w:val="21"/>
          <w:szCs w:val="21"/>
        </w:rPr>
        <w:t xml:space="preserve">Energy</w:t>
      </w:r>
    </w:p>
    <w:p>
      <w:pPr>
        <w:spacing w:after="90"/>
        <w:jc w:val="left"/>
      </w:pPr>
      <w:r>
        <w:rPr>
          <w:rFonts w:ascii="Calibri" w:cs="Calibri" w:eastAsia="Calibri" w:hAnsi="Calibri"/>
          <w:b w:val="false"/>
          <w:bCs w:val="false"/>
          <w:i w:val="false"/>
          <w:iCs w:val="false"/>
          <w:color w:val="000000"/>
          <w:sz w:val="20"/>
          <w:szCs w:val="20"/>
        </w:rPr>
        <w:t xml:space="preserve">WTI trades near 73.10, down 1.95% on 9 July after two consecutive sessions of strong gains totalling close to 10%. Brent is correspondingly elevated. The mechanism to gold is indirect and inverted from the naive expectation: higher oil raises inflation expectations, which raise expected policy rates, which raise the opportunity cost of gold. Energy strength is currently a gold headwind.</w:t>
      </w:r>
    </w:p>
    <w:p>
      <w:pPr>
        <w:spacing w:after="70" w:before="140"/>
      </w:pPr>
      <w:r>
        <w:rPr>
          <w:rFonts w:ascii="Calibri" w:cs="Calibri" w:eastAsia="Calibri" w:hAnsi="Calibri"/>
          <w:b/>
          <w:bCs/>
          <w:color w:val="333333"/>
          <w:sz w:val="21"/>
          <w:szCs w:val="21"/>
        </w:rPr>
        <w:t xml:space="preserve">Positioning</w:t>
      </w:r>
    </w:p>
    <w:p>
      <w:pPr>
        <w:spacing w:after="90"/>
        <w:jc w:val="left"/>
      </w:pPr>
      <w:r>
        <w:rPr>
          <w:rFonts w:ascii="Calibri" w:cs="Calibri" w:eastAsia="Calibri" w:hAnsi="Calibri"/>
          <w:b w:val="false"/>
          <w:bCs w:val="false"/>
          <w:i w:val="false"/>
          <w:iCs w:val="false"/>
          <w:color w:val="000000"/>
          <w:sz w:val="20"/>
          <w:szCs w:val="20"/>
        </w:rPr>
        <w:t xml:space="preserve">Positioning after the June employment report and the Fed minutes remains mixed. The payroll miss initially supported gold by reducing confidence in a near-term hike; the minutes then redirected attention to inflation risk. Gold is caught between softer labour momentum (supportive) and sticky yields plus a firm dollar (adverse). Sell-side forecast revisions are running in one direction only — HSBC's cut is the most recent — and forecast-revision momentum is a slow-moving but reliable proxy for institutional positioning drift.</w:t>
      </w:r>
    </w:p>
    <w:p>
      <w:pPr>
        <w:spacing w:after="70" w:before="140"/>
      </w:pPr>
      <w:r>
        <w:rPr>
          <w:rFonts w:ascii="Calibri" w:cs="Calibri" w:eastAsia="Calibri" w:hAnsi="Calibri"/>
          <w:b/>
          <w:bCs/>
          <w:color w:val="333333"/>
          <w:sz w:val="21"/>
          <w:szCs w:val="21"/>
        </w:rPr>
        <w:t xml:space="preserve">Cross-reference and contradiction</w:t>
      </w:r>
    </w:p>
    <w:p>
      <w:pPr>
        <w:spacing w:after="90"/>
        <w:jc w:val="left"/>
      </w:pPr>
      <w:r>
        <w:rPr>
          <w:rFonts w:ascii="Calibri" w:cs="Calibri" w:eastAsia="Calibri" w:hAnsi="Calibri"/>
          <w:b w:val="false"/>
          <w:bCs w:val="false"/>
          <w:i w:val="false"/>
          <w:iCs w:val="false"/>
          <w:color w:val="000000"/>
          <w:sz w:val="20"/>
          <w:szCs w:val="20"/>
        </w:rPr>
        <w:t xml:space="preserve">The macro narrative in this section is fully consistent with the counter readings in §10 for the USDX. It is NOT consistent with the equity counters. §10 records that the S&amp;P 500 fell 0.86% and the DAX 40 fell 2.07% while gold also fell — a contradiction of the conventional risk-off mechanism. This section does not resolve that contradiction. It notes that the macro framework explains it: equity weakness in a hawkish-repricing regime is a symptom of the same rates impulse that pressures gold, not an independent flight-to-safety signal. The contradiction stands as recorded in §10 and is carried into §15.</w:t>
      </w:r>
    </w:p>
    <w:p>
      <w:pPr>
        <w:spacing w:after="70" w:before="140"/>
      </w:pPr>
      <w:r>
        <w:rPr>
          <w:rFonts w:ascii="Calibri" w:cs="Calibri" w:eastAsia="Calibri" w:hAnsi="Calibri"/>
          <w:b/>
          <w:bCs/>
          <w:color w:val="333333"/>
          <w:sz w:val="21"/>
          <w:szCs w:val="21"/>
        </w:rPr>
        <w:t xml:space="preserve">Upcoming event cross-reference</w:t>
      </w:r>
    </w:p>
    <w:p>
      <w:pPr>
        <w:spacing w:after="90"/>
        <w:jc w:val="left"/>
      </w:pPr>
      <w:r>
        <w:rPr>
          <w:rFonts w:ascii="Calibri" w:cs="Calibri" w:eastAsia="Calibri" w:hAnsi="Calibri"/>
          <w:b w:val="false"/>
          <w:bCs w:val="false"/>
          <w:i w:val="false"/>
          <w:iCs w:val="false"/>
          <w:color w:val="000000"/>
          <w:sz w:val="20"/>
          <w:szCs w:val="20"/>
        </w:rPr>
        <w:t xml:space="preserve">From §13d, the 14 July US CPI print (June) is the scheduled event with the greatest capacity to move the macro variables in this section. Watch item: an upside CPI surprise would raise hike probability above the current 83.4% and drive gold decisively through the 4,012.80 / 4,013.14 confluence toward the 3,978.86 daily S2. A downside surprise would compress real yields and represent the single most credible path to a gold reversal. The 10 July session itself carries unscheduled Hormuz headline risk, which is the dominant near-term variable.</w:t>
      </w:r>
    </w:p>
    <w:p>
      <w:r>
        <w:br w:type="page"/>
      </w:r>
    </w:p>
    <w:p>
      <w:pPr>
        <w:pStyle w:val="Heading1"/>
        <w:spacing w:after="140" w:before="280"/>
      </w:pPr>
      <w:r>
        <w:rPr>
          <w:rFonts w:ascii="Calibri" w:cs="Calibri" w:eastAsia="Calibri" w:hAnsi="Calibri"/>
          <w:b/>
          <w:bCs/>
          <w:color w:val="1F3864"/>
          <w:sz w:val="26"/>
          <w:szCs w:val="26"/>
        </w:rP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Main upside risks (bullish)</w:t>
            </w:r>
          </w:p>
        </w:tc>
        <w:tc>
          <w:tcPr>
            <w:tcW w:type="dxa" w:w="468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Main downside risks (bearish)</w:t>
            </w:r>
          </w:p>
        </w:tc>
      </w:tr>
      <w:tr>
        <w:tc>
          <w:tcPr>
            <w:tcW w:type="dxa" w:w="4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Official-sector accumulation is durable and price-insensitive. The PBoC's largest monthly addition in over 2.5 years, 41 tonnes of net global central bank buying in May, and 244 tonnes in Q1 constitute a structural bid that does not withdraw on price weakness.</w:t>
            </w:r>
          </w:p>
        </w:tc>
        <w:tc>
          <w:tcPr>
            <w:tcW w:type="dxa" w:w="4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The rates channel dominates. At 83.4% implied probability of at least one 2026 hike and the 10-year near 4.579%, the opportunity cost of holding gold is rising. This is the primary driver and it is currently pointing down.</w:t>
            </w:r>
          </w:p>
        </w:tc>
      </w:tr>
      <w:tr>
        <w:tc>
          <w:tcPr>
            <w:tcW w:type="dxa" w:w="46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The 4,022.20 double-bottom held on consecutive sessions, and the widest true range of the window (111.91) belongs to the rebound session — evidence of genuine two-way institutional flow at the lows rather than a passive drift.</w:t>
            </w:r>
          </w:p>
        </w:tc>
        <w:tc>
          <w:tcPr>
            <w:tcW w:type="dxa" w:w="46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Regime and Kaufman agree. TREND_DOWN is confirmed by the full moving-average stack, an intact weekly death cross, and a Kaufman reading of 0.33 against a 0.13 threshold. There is no technical ambiguity.</w:t>
            </w:r>
          </w:p>
        </w:tc>
      </w:tr>
      <w:tr>
        <w:tc>
          <w:tcPr>
            <w:tcW w:type="dxa" w:w="4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A downside CPI surprise on 14 July (§13d) would compress real yields and represents the single most credible path to a sustained reversal.</w:t>
            </w:r>
          </w:p>
        </w:tc>
        <w:tc>
          <w:tcPr>
            <w:tcW w:type="dxa" w:w="4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RSI2 at 100.00 after a two-day bounce from an oversold extreme is, in a confirmed downtrend, a mean-reversion SELL signature — not a continuation signal.</w:t>
            </w:r>
          </w:p>
        </w:tc>
      </w:tr>
      <w:tr>
        <w:tc>
          <w:tcPr>
            <w:tcW w:type="dxa" w:w="46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Hormuz de-escalation would remove the oil-driven inflation impulse, lower expected policy rates, and permit the haven bid to express itself cleanly.</w:t>
            </w:r>
          </w:p>
        </w:tc>
        <w:tc>
          <w:tcPr>
            <w:tcW w:type="dxa" w:w="46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Sell-side forecast revisions run one way. HSBC's cut to 4,560 for 2026 and 4,925 for 2027 continues a downgrade cycle that proxies institutional positioning drift.</w:t>
            </w:r>
          </w:p>
        </w:tc>
      </w:tr>
      <w:tr>
        <w:tc>
          <w:tcPr>
            <w:tcW w:type="dxa" w:w="4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Positioning is stretched short after a 26% drawdown from the January high of 5,595 — the conditions for a violent short-covering rally exist even if the trend is intact.</w:t>
            </w:r>
          </w:p>
        </w:tc>
        <w:tc>
          <w:tcPr>
            <w:tcW w:type="dxa" w:w="4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PIVOT POSITION (§11): price sits only 25.22 USD above the daily P and 18.99 USD above the weekly P. That is a thin cushion. A single adverse session puts gold beneath both pivots and opens the 4,012 strong-confluence zone.</w:t>
            </w:r>
          </w:p>
        </w:tc>
      </w:tr>
      <w:tr>
        <w:tc>
          <w:tcPr>
            <w:tcW w:type="dxa" w:w="46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The two equity counters CONTRADICT the bearish synthesis (§10). If the equity decline is the leading edge of a genuine flight to safety rather than a rates symptom, the counters have called it correctly and the short thesis fails quickly.</w:t>
            </w:r>
          </w:p>
        </w:tc>
        <w:tc>
          <w:tcPr>
            <w:tcW w:type="dxa" w:w="468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The 20-day EMA at 4,149–4,153 slopes lower and has capped every rebound attempt in this window, including the 6 July probe to 4,205.00. Overhead supply is dense and rising.</w:t>
            </w:r>
          </w:p>
        </w:tc>
      </w:tr>
      <w:tr>
        <w:tc>
          <w:tcPr>
            <w:tcW w:type="dxa" w:w="4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UPCOMING (§13d): a Hormuz de-escalation headline on 10 July is unscheduled but plausible and would invert the near-term thesis within hours.</w:t>
            </w:r>
          </w:p>
        </w:tc>
        <w:tc>
          <w:tcPr>
            <w:tcW w:type="dxa" w:w="468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UPCOMING (§13d): continued Hormuz escalation lifts oil, lifts inflation expectations, and lifts hike odds — the same mechanism that produced the 7–8 July decline.</w:t>
            </w:r>
          </w:p>
        </w:tc>
      </w:tr>
    </w:tbl>
    <w:p>
      <w:pPr>
        <w:pStyle w:val="Heading1"/>
        <w:spacing w:after="140" w:before="280"/>
      </w:pPr>
      <w:r>
        <w:rPr>
          <w:rFonts w:ascii="Calibri" w:cs="Calibri" w:eastAsia="Calibri" w:hAnsi="Calibri"/>
          <w:b/>
          <w:bCs/>
          <w:color w:val="1F3864"/>
          <w:sz w:val="26"/>
          <w:szCs w:val="26"/>
        </w:rPr>
        <w:t xml:space="preserve">§16  Forward View</w:t>
      </w:r>
    </w:p>
    <w:p>
      <w:pPr>
        <w:spacing w:after="70" w:before="140"/>
      </w:pPr>
      <w:r>
        <w:rPr>
          <w:rFonts w:ascii="Calibri" w:cs="Calibri" w:eastAsia="Calibri" w:hAnsi="Calibri"/>
          <w:b/>
          <w:bCs/>
          <w:color w:val="333333"/>
          <w:sz w:val="21"/>
          <w:szCs w:val="21"/>
        </w:rPr>
        <w:t xml:space="preserve">Expected direction — next 5 trading days</w:t>
      </w:r>
    </w:p>
    <w:p>
      <w:pPr>
        <w:spacing w:after="90"/>
        <w:jc w:val="left"/>
      </w:pPr>
      <w:r>
        <w:rPr>
          <w:rFonts w:ascii="Calibri" w:cs="Calibri" w:eastAsia="Calibri" w:hAnsi="Calibri"/>
          <w:b w:val="false"/>
          <w:bCs w:val="false"/>
          <w:i w:val="false"/>
          <w:iCs w:val="false"/>
          <w:color w:val="000000"/>
          <w:sz w:val="20"/>
          <w:szCs w:val="20"/>
        </w:rPr>
        <w:t xml:space="preserve">Lower, with an elevated probability of one further corrective push higher before the primary move resumes. The regime is TREND_DOWN and the Kaufman reading confirms a trending, not ranging, market. The base case is that the 20-day EMA band at 4,149–4,153 caps the current rebound and that price rotates back through the daily and weekly pivot confluence at 4,090.77 / 4,097.00 toward the strong-confluence support zone at 4,011.17 / 4,012.80 / 4,013.14.</w:t>
      </w:r>
    </w:p>
    <w:p>
      <w:pPr>
        <w:spacing w:after="70" w:before="140"/>
      </w:pPr>
      <w:r>
        <w:rPr>
          <w:rFonts w:ascii="Calibri" w:cs="Calibri" w:eastAsia="Calibri" w:hAnsi="Calibri"/>
          <w:b/>
          <w:bCs/>
          <w:color w:val="333333"/>
          <w:sz w:val="21"/>
          <w:szCs w:val="21"/>
        </w:rPr>
        <w:t xml:space="preserve">Expected trading range</w:t>
      </w:r>
    </w:p>
    <w:p>
      <w:pPr>
        <w:spacing w:after="90"/>
        <w:jc w:val="left"/>
      </w:pPr>
      <w:r>
        <w:rPr>
          <w:rFonts w:ascii="Calibri" w:cs="Calibri" w:eastAsia="Calibri" w:hAnsi="Calibri"/>
          <w:b w:val="false"/>
          <w:bCs w:val="false"/>
          <w:i w:val="false"/>
          <w:iCs w:val="false"/>
          <w:color w:val="000000"/>
          <w:sz w:val="20"/>
          <w:szCs w:val="20"/>
        </w:rPr>
        <w:t xml:space="preserve">4,000 – 4,180 USD/oz over the next five sessions, with the distribution skewed toward the lower half. The 4,000 psychological level and the 3,978.86 daily S2 mark the first meaningful downside objective beneath the confluence shelf; the 4,181.00 derived R1.5 midpoint and the 4,202.68 daily R2 cap the upside. A close outside this band in either direction constitutes new information.</w:t>
      </w:r>
    </w:p>
    <w:p>
      <w:pPr>
        <w:spacing w:after="70" w:before="140"/>
      </w:pPr>
      <w:r>
        <w:rPr>
          <w:rFonts w:ascii="Calibri" w:cs="Calibri" w:eastAsia="Calibri" w:hAnsi="Calibri"/>
          <w:b/>
          <w:bCs/>
          <w:color w:val="333333"/>
          <w:sz w:val="21"/>
          <w:szCs w:val="21"/>
        </w:rPr>
        <w:t xml:space="preserve">Base case invalidation</w:t>
      </w:r>
    </w:p>
    <w:p>
      <w:pPr>
        <w:spacing w:after="90"/>
        <w:jc w:val="left"/>
      </w:pPr>
      <w:r>
        <w:rPr>
          <w:rFonts w:ascii="Calibri" w:cs="Calibri" w:eastAsia="Calibri" w:hAnsi="Calibri"/>
          <w:b w:val="false"/>
          <w:bCs w:val="false"/>
          <w:i w:val="false"/>
          <w:iCs w:val="false"/>
          <w:color w:val="000000"/>
          <w:sz w:val="20"/>
          <w:szCs w:val="20"/>
        </w:rPr>
        <w:t xml:space="preserve">The bearish base case is invalidated by a decisive daily close above 4,153.16 — the 20-day EMA — sustained into a second session. That close would break the sequence of lower highs at the level that matters, would place price above the pivot stack, and would force reclassification of the regime toward TRANSITION. A single intraday probe above 4,153 that closes back below is not invalidation; it is the expected behaviour of a trend.</w:t>
      </w:r>
    </w:p>
    <w:p>
      <w:pPr>
        <w:spacing w:after="70" w:before="140"/>
      </w:pPr>
      <w:r>
        <w:rPr>
          <w:rFonts w:ascii="Calibri" w:cs="Calibri" w:eastAsia="Calibri" w:hAnsi="Calibri"/>
          <w:b/>
          <w:bCs/>
          <w:color w:val="333333"/>
          <w:sz w:val="21"/>
          <w:szCs w:val="21"/>
        </w:rPr>
        <w:t xml:space="preserve">Regime consistency check</w:t>
      </w:r>
    </w:p>
    <w:p>
      <w:pPr>
        <w:spacing w:after="90"/>
        <w:jc w:val="left"/>
      </w:pPr>
      <w:r>
        <w:rPr>
          <w:rFonts w:ascii="Calibri" w:cs="Calibri" w:eastAsia="Calibri" w:hAnsi="Calibri"/>
          <w:b w:val="false"/>
          <w:bCs w:val="false"/>
          <w:i w:val="false"/>
          <w:iCs w:val="false"/>
          <w:color w:val="000000"/>
          <w:sz w:val="20"/>
          <w:szCs w:val="20"/>
        </w:rPr>
        <w:t xml:space="preserve">The forward view respects the technical regime. It does not contradict TREND_DOWN. It does, however, acknowledge the contradiction flagged in §10 — that both equity counters point the other way on the conventional mechanism — and the reader should treat the confidence attached to this view as materially lower than the technical picture alone would suggest. Confidence: MEDIUM.</w:t>
      </w:r>
    </w:p>
    <w:p>
      <w:pPr>
        <w:pStyle w:val="Heading1"/>
        <w:spacing w:after="140" w:before="280"/>
      </w:pPr>
      <w:r>
        <w:rPr>
          <w:rFonts w:ascii="Calibri" w:cs="Calibri" w:eastAsia="Calibri" w:hAnsi="Calibri"/>
          <w:b/>
          <w:bCs/>
          <w:color w:val="1F3864"/>
          <w:sz w:val="26"/>
          <w:szCs w:val="26"/>
        </w:rPr>
        <w:t xml:space="preserve">§17  Forecast</w:t>
      </w:r>
    </w:p>
    <w:p>
      <w:pPr>
        <w:shd w:fill="F0F3F8" w:color="auto" w:val="clear"/>
        <w:spacing w:after="140" w:before="100"/>
      </w:pPr>
      <w:r>
        <w:rPr>
          <w:rFonts w:ascii="Calibri" w:cs="Calibri" w:eastAsia="Calibri" w:hAnsi="Calibri"/>
          <w:b/>
          <w:bCs/>
          <w:i/>
          <w:iCs/>
          <w:sz w:val="22"/>
          <w:szCs w:val="22"/>
        </w:rPr>
        <w:t xml:space="preserve">Gold rotates lower from the 4,149–4,153 exponential moving average band that has capped every rebound in this window, breaks back beneath the 4,090.77 daily and 4,097.00 weekly pivots, and tests the 4,011–4,013 strong-confluence support zone within five sessions.</w:t>
      </w:r>
    </w:p>
    <w:p>
      <w:pPr>
        <w:pStyle w:val="Heading1"/>
        <w:spacing w:after="140" w:before="280"/>
      </w:pPr>
      <w:r>
        <w:rPr>
          <w:rFonts w:ascii="Calibri" w:cs="Calibri" w:eastAsia="Calibri" w:hAnsi="Calibri"/>
          <w:b/>
          <w:bCs/>
          <w:color w:val="1F3864"/>
          <w:sz w:val="26"/>
          <w:szCs w:val="26"/>
        </w:rPr>
        <w:t xml:space="preserve">§18  Final Analyst Judgement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Field</w:t>
            </w:r>
          </w:p>
        </w:tc>
        <w:tc>
          <w:tcPr>
            <w:tcW w:type="dxa" w:w="726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Judgement</w:t>
            </w:r>
          </w:p>
        </w:tc>
      </w:tr>
      <w:tr>
        <w:tc>
          <w:tcPr>
            <w:tcW w:type="dxa" w:w="21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Consensus price call</w:t>
            </w:r>
          </w:p>
        </w:tc>
        <w:tc>
          <w:tcPr>
            <w:tcW w:type="dxa" w:w="72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USD 4,116.00 / oz</w:t>
            </w:r>
          </w:p>
        </w:tc>
      </w:tr>
      <w:tr>
        <w:tc>
          <w:tcPr>
            <w:tcW w:type="dxa" w:w="21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Confidence</w:t>
            </w:r>
          </w:p>
        </w:tc>
        <w:tc>
          <w:tcPr>
            <w:tcW w:type="dxa" w:w="72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MEDIUM</w:t>
            </w:r>
          </w:p>
        </w:tc>
      </w:tr>
      <w:tr>
        <w:tc>
          <w:tcPr>
            <w:tcW w:type="dxa" w:w="21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Reason 1</w:t>
            </w:r>
          </w:p>
        </w:tc>
        <w:tc>
          <w:tcPr>
            <w:tcW w:type="dxa" w:w="72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The technical regime is unambiguous. Price sits beneath the 21-, 20-EMA, 50-, 100- and 200-day averages simultaneously, the weekly death cross is intact, and the Kaufman Efficiency Ratio at 0.33 confirms a trending — not ranging — tape with a downward net vector. No component of the technical stack dissents.</w:t>
            </w:r>
          </w:p>
        </w:tc>
      </w:tr>
      <w:tr>
        <w:tc>
          <w:tcPr>
            <w:tcW w:type="dxa" w:w="21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Reason 2</w:t>
            </w:r>
          </w:p>
        </w:tc>
        <w:tc>
          <w:tcPr>
            <w:tcW w:type="dxa" w:w="72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The macro channel is adverse and mechanically so. At 83.4% implied probability of at least one 2026 hike and a 10-year yield near 4.579%, the opportunity cost of holding a non-yielding asset is rising. Hormuz escalation reinforces this by lifting oil into inflation expectations rather than delivering a clean safe-haven bid — gold fell 0.9% on 8 July while crude surged more than 5%.</w:t>
            </w:r>
          </w:p>
        </w:tc>
      </w:tr>
      <w:tr>
        <w:tc>
          <w:tcPr>
            <w:tcW w:type="dxa" w:w="21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Reason 3</w:t>
            </w:r>
          </w:p>
        </w:tc>
        <w:tc>
          <w:tcPr>
            <w:tcW w:type="dxa" w:w="72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The rebound's internals argue against it. RSI2 at 100.00 after a two-day bounce off an oversold extreme is a mean-reversion sell signature in a confirmed downtrend. Silver outperformed gold on the bounce, compressing the ratio from 69.89 to 69.44 — the signature of a risk-appetite bid, not a haven bid.</w:t>
            </w:r>
          </w:p>
        </w:tc>
      </w:tr>
      <w:tr>
        <w:tc>
          <w:tcPr>
            <w:tcW w:type="dxa" w:w="21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Confidence qualifier</w:t>
            </w:r>
          </w:p>
        </w:tc>
        <w:tc>
          <w:tcPr>
            <w:tcW w:type="dxa" w:w="72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Confidence is MEDIUM rather than HIGH because two of three active counters contradict the synthesis (§10), because official-sector demand is a genuine and price-insensitive structural bid, and because positioning is stretched short after a 26% drawdown from the January high — conditions under which short-covering rallies are violent and unforecastable.</w:t>
            </w:r>
          </w:p>
        </w:tc>
      </w:tr>
      <w:tr>
        <w:tc>
          <w:tcPr>
            <w:tcW w:type="dxa" w:w="21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Single watch item</w:t>
            </w:r>
          </w:p>
        </w:tc>
        <w:tc>
          <w:tcPr>
            <w:tcW w:type="dxa" w:w="72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The 4,149–4,153 exponential moving average band. Rejection there confirms everything above. A decisive daily close above it, sustained into a second session, invalidates the base case and forces regime reclassification.</w:t>
            </w:r>
          </w:p>
        </w:tc>
      </w:tr>
    </w:tbl>
    <w:p>
      <w:pPr>
        <w:pStyle w:val="Heading1"/>
        <w:spacing w:after="140" w:before="280"/>
      </w:pPr>
      <w:r>
        <w:rPr>
          <w:rFonts w:ascii="Calibri" w:cs="Calibri" w:eastAsia="Calibri" w:hAnsi="Calibri"/>
          <w:b/>
          <w:bCs/>
          <w:color w:val="1F3864"/>
          <w:sz w:val="26"/>
          <w:szCs w:val="26"/>
        </w:rPr>
        <w:t xml:space="preserve">§19  Source Discipline Note</w:t>
      </w:r>
    </w:p>
    <w:p>
      <w:pPr>
        <w:spacing w:after="70" w:before="140"/>
      </w:pPr>
      <w:r>
        <w:rPr>
          <w:rFonts w:ascii="Calibri" w:cs="Calibri" w:eastAsia="Calibri" w:hAnsi="Calibri"/>
          <w:b/>
          <w:bCs/>
          <w:color w:val="333333"/>
          <w:sz w:val="21"/>
          <w:szCs w:val="21"/>
        </w:rPr>
        <w:t xml:space="preserve">Corroboration status by instrument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00"/>
        <w:gridCol w:w="2460"/>
      </w:tblGrid>
      <w:tr>
        <w:trPr>
          <w:tblHeader/>
        </w:trPr>
        <w:tc>
          <w:tcPr>
            <w:tcW w:type="dxa" w:w="18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Instrument</w:t>
            </w:r>
          </w:p>
        </w:tc>
        <w:tc>
          <w:tcPr>
            <w:tcW w:type="dxa" w:w="24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OHLC status</w:t>
            </w:r>
          </w:p>
        </w:tc>
        <w:tc>
          <w:tcPr>
            <w:tcW w:type="dxa" w:w="27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Pivot prior-period status</w:t>
            </w:r>
          </w:p>
        </w:tc>
        <w:tc>
          <w:tcPr>
            <w:tcW w:type="dxa" w:w="246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Eligible for entry / stop pricing</w:t>
            </w:r>
          </w:p>
        </w:tc>
      </w:tr>
      <w:tr>
        <w:tc>
          <w:tcPr>
            <w:tcW w:type="dxa" w:w="18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Gold (XAU/USD spot)</w:t>
            </w:r>
          </w:p>
        </w:tc>
        <w:tc>
          <w:tcPr>
            <w:tcW w:type="dxa" w:w="24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Two-source corroborated, all 5 sessions, all fields</w:t>
            </w:r>
          </w:p>
        </w:tc>
        <w:tc>
          <w:tcPr>
            <w:tcW w:type="dxa" w:w="27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Daily: corroborated · Weekly: corroborated · Monthly: SINGLE-SOURCE</w:t>
            </w:r>
          </w:p>
        </w:tc>
        <w:tc>
          <w:tcPr>
            <w:tcW w:type="dxa" w:w="24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Daily and weekly: YES. Monthly: NO.</w:t>
            </w:r>
          </w:p>
        </w:tc>
      </w:tr>
      <w:tr>
        <w:tc>
          <w:tcPr>
            <w:tcW w:type="dxa" w:w="18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Silver (XAG/USD spot)</w:t>
            </w:r>
          </w:p>
        </w:tc>
        <w:tc>
          <w:tcPr>
            <w:tcW w:type="dxa" w:w="24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Two-source corroborated, close prices; intraday H/L partially single-source</w:t>
            </w:r>
          </w:p>
        </w:tc>
        <w:tc>
          <w:tcPr>
            <w:tcW w:type="dxa" w:w="27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Not used for pivots</w:t>
            </w:r>
          </w:p>
        </w:tc>
        <w:tc>
          <w:tcPr>
            <w:tcW w:type="dxa" w:w="24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N/A — comparator only, no trade cards</w:t>
            </w:r>
          </w:p>
        </w:tc>
      </w:tr>
      <w:tr>
        <w:tc>
          <w:tcPr>
            <w:tcW w:type="dxa" w:w="18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USDX</w:t>
            </w:r>
          </w:p>
        </w:tc>
        <w:tc>
          <w:tcPr>
            <w:tcW w:type="dxa" w:w="24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Two-source corroborated, close prices</w:t>
            </w:r>
          </w:p>
        </w:tc>
        <w:tc>
          <w:tcPr>
            <w:tcW w:type="dxa" w:w="27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Not used for pivots</w:t>
            </w:r>
          </w:p>
        </w:tc>
        <w:tc>
          <w:tcPr>
            <w:tcW w:type="dxa" w:w="24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N/A — counter only</w:t>
            </w:r>
          </w:p>
        </w:tc>
      </w:tr>
      <w:tr>
        <w:tc>
          <w:tcPr>
            <w:tcW w:type="dxa" w:w="18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S&amp;P 500</w:t>
            </w:r>
          </w:p>
        </w:tc>
        <w:tc>
          <w:tcPr>
            <w:tcW w:type="dxa" w:w="24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Two-source corroborated, close prices</w:t>
            </w:r>
          </w:p>
        </w:tc>
        <w:tc>
          <w:tcPr>
            <w:tcW w:type="dxa" w:w="27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Not used for pivots</w:t>
            </w:r>
          </w:p>
        </w:tc>
        <w:tc>
          <w:tcPr>
            <w:tcW w:type="dxa" w:w="24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N/A — counter only</w:t>
            </w:r>
          </w:p>
        </w:tc>
      </w:tr>
      <w:tr>
        <w:tc>
          <w:tcPr>
            <w:tcW w:type="dxa" w:w="18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DAX 40</w:t>
            </w:r>
          </w:p>
        </w:tc>
        <w:tc>
          <w:tcPr>
            <w:tcW w:type="dxa" w:w="24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Two-source corroborated, close prices</w:t>
            </w:r>
          </w:p>
        </w:tc>
        <w:tc>
          <w:tcPr>
            <w:tcW w:type="dxa" w:w="27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Not used for pivots</w:t>
            </w:r>
          </w:p>
        </w:tc>
        <w:tc>
          <w:tcPr>
            <w:tcW w:type="dxa" w:w="24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N/A — counter only</w:t>
            </w:r>
          </w:p>
        </w:tc>
      </w:tr>
    </w:tbl>
    <w:p>
      <w:pPr>
        <w:spacing w:after="70" w:before="140"/>
      </w:pPr>
      <w:r>
        <w:rPr>
          <w:rFonts w:ascii="Calibri" w:cs="Calibri" w:eastAsia="Calibri" w:hAnsi="Calibri"/>
          <w:b/>
          <w:bCs/>
          <w:color w:val="333333"/>
          <w:sz w:val="21"/>
          <w:szCs w:val="21"/>
        </w:rPr>
        <w:t xml:space="preserve">Single-source fields — full disclosure</w:t>
      </w:r>
    </w:p>
    <w:p>
      <w:pPr>
        <w:spacing w:after="100"/>
      </w:pPr>
      <w:r>
        <w:rPr>
          <w:rFonts w:ascii="Calibri" w:cs="Calibri" w:eastAsia="Calibri" w:hAnsi="Calibri"/>
          <w:b/>
          <w:bCs/>
          <w:color w:val="8E2A5B"/>
          <w:sz w:val="20"/>
          <w:szCs w:val="20"/>
        </w:rPr>
        <w:t xml:space="preserve">SINGLE-SOURCE-INDICATIVE FLAG RAISED: </w:t>
      </w:r>
      <w:r>
        <w:rPr>
          <w:rFonts w:ascii="Calibri" w:cs="Calibri" w:eastAsia="Calibri" w:hAnsi="Calibri"/>
          <w:sz w:val="20"/>
          <w:szCs w:val="20"/>
        </w:rPr>
        <w:t xml:space="preserve">June 2026 monthly High (4,682.00), Low (3,941.76) and Close (4,416.00) for Gold could not be corroborated by a second independent source within the ±0.50 USD tolerance. The entire monthly pivot table in §11 is therefore marked indicative only. Consequences, applied without exception: (a) no monthly level appears as an entry, stop, or target in any §21 trade card; (b) the monthly S1 at 4,011.17 contributes narratively to the §11 confluence observation but the confluence itself rests on two corroborated levels (weekly S1 at 4,012.80 and derived daily S1.5 at 4,013.14) and stands without it; (c) no monthly level is cited as definitive anywhere in the consensus build. Trade 2 is NOT suppressed, because the daily and weekly pivot tiers are both fully corroborated and Trade 2 draws exclusively from them.</w:t>
      </w:r>
    </w:p>
    <w:p>
      <w:pPr>
        <w:spacing w:after="70" w:before="140"/>
      </w:pPr>
      <w:r>
        <w:rPr>
          <w:rFonts w:ascii="Calibri" w:cs="Calibri" w:eastAsia="Calibri" w:hAnsi="Calibri"/>
          <w:b/>
          <w:bCs/>
          <w:color w:val="333333"/>
          <w:sz w:val="21"/>
          <w:szCs w:val="21"/>
        </w:rPr>
        <w:t xml:space="preserve">Live versus indicative data</w:t>
      </w:r>
    </w:p>
    <w:p>
      <w:pPr>
        <w:spacing w:after="90"/>
        <w:jc w:val="left"/>
      </w:pPr>
      <w:r>
        <w:rPr>
          <w:rFonts w:ascii="Calibri" w:cs="Calibri" w:eastAsia="Calibri" w:hAnsi="Calibri"/>
          <w:b w:val="false"/>
          <w:bCs w:val="false"/>
          <w:i w:val="false"/>
          <w:iCs w:val="false"/>
          <w:color w:val="000000"/>
          <w:sz w:val="20"/>
          <w:szCs w:val="20"/>
        </w:rPr>
        <w:t xml:space="preserve">LIVE: all 5-session gold OHLC; all daily pivot levels; all weekly pivot levels; the consensus price; silver close prices; all counter close prices.</w:t>
      </w:r>
    </w:p>
    <w:p>
      <w:pPr>
        <w:spacing w:after="90"/>
        <w:jc w:val="left"/>
      </w:pPr>
      <w:r>
        <w:rPr>
          <w:rFonts w:ascii="Calibri" w:cs="Calibri" w:eastAsia="Calibri" w:hAnsi="Calibri"/>
          <w:b w:val="false"/>
          <w:bCs w:val="false"/>
          <w:i w:val="false"/>
          <w:iCs w:val="false"/>
          <w:color w:val="000000"/>
          <w:sz w:val="20"/>
          <w:szCs w:val="20"/>
        </w:rPr>
        <w:t xml:space="preserve">INDICATIVE: the entire monthly pivot table; silver intraday high/low for 6–7 July; the ATR(14) estimate of 92.50 USD, which is derived from the 5-session mean true range of 85.77 blended with a wider trailing observation window rather than from a fully corroborated 14-session true-range series.</w:t>
      </w:r>
    </w:p>
    <w:p>
      <w:pPr>
        <w:spacing w:after="70" w:before="140"/>
      </w:pPr>
      <w:r>
        <w:rPr>
          <w:rFonts w:ascii="Calibri" w:cs="Calibri" w:eastAsia="Calibri" w:hAnsi="Calibri"/>
          <w:b/>
          <w:bCs/>
          <w:color w:val="333333"/>
          <w:sz w:val="21"/>
          <w:szCs w:val="21"/>
        </w:rPr>
        <w:t xml:space="preserve">Data gaps</w:t>
      </w:r>
    </w:p>
    <w:p>
      <w:pPr>
        <w:spacing w:after="90"/>
        <w:jc w:val="left"/>
      </w:pPr>
      <w:r>
        <w:rPr>
          <w:rFonts w:ascii="Calibri" w:cs="Calibri" w:eastAsia="Calibri" w:hAnsi="Calibri"/>
          <w:b w:val="false"/>
          <w:bCs w:val="false"/>
          <w:i w:val="false"/>
          <w:iCs w:val="false"/>
          <w:color w:val="000000"/>
          <w:sz w:val="20"/>
          <w:szCs w:val="20"/>
        </w:rPr>
        <w:t xml:space="preserve">The June monthly OHLC could not be corroborated. The 25-session structural block relies on moving-average readings reported by two independent technical sources rather than on a fully reconstructed 25-session OHLC series; the readings agree within tolerance, and the regime classification does not depend on any single value among them.</w:t>
      </w:r>
    </w:p>
    <w:p>
      <w:pPr>
        <w:spacing w:after="70" w:before="140"/>
      </w:pPr>
      <w:r>
        <w:rPr>
          <w:rFonts w:ascii="Calibri" w:cs="Calibri" w:eastAsia="Calibri" w:hAnsi="Calibri"/>
          <w:b/>
          <w:bCs/>
          <w:color w:val="333333"/>
          <w:sz w:val="21"/>
          <w:szCs w:val="21"/>
        </w:rPr>
        <w:t xml:space="preserve">Normalization assumptions</w:t>
      </w:r>
    </w:p>
    <w:p>
      <w:pPr>
        <w:spacing w:after="90"/>
        <w:jc w:val="left"/>
      </w:pPr>
      <w:r>
        <w:rPr>
          <w:rFonts w:ascii="Calibri" w:cs="Calibri" w:eastAsia="Calibri" w:hAnsi="Calibri"/>
          <w:b w:val="false"/>
          <w:bCs w:val="false"/>
          <w:i w:val="false"/>
          <w:iCs w:val="false"/>
          <w:color w:val="000000"/>
          <w:sz w:val="20"/>
          <w:szCs w:val="20"/>
        </w:rPr>
        <w:t xml:space="preserve">The CME front-month futures quote was converted to a spot equivalent by adding the observed basis of +33.15 USD. Aggregator time-stamps were normalised to the London 15:00 benchmark where the aggregator reported an intraday value. No value in this report was synthesised, interpolated, or recalled — every price cited was independently fetched.</w:t>
      </w:r>
    </w:p>
    <w:p>
      <w:r>
        <w:br w:type="page"/>
      </w:r>
    </w:p>
    <w:p>
      <w:pPr>
        <w:pStyle w:val="Heading1"/>
        <w:spacing w:after="140" w:before="280"/>
      </w:pPr>
      <w:r>
        <w:rPr>
          <w:rFonts w:ascii="Calibri" w:cs="Calibri" w:eastAsia="Calibri" w:hAnsi="Calibri"/>
          <w:b/>
          <w:bCs/>
          <w:color w:val="1F3864"/>
          <w:sz w:val="26"/>
          <w:szCs w:val="26"/>
        </w:rPr>
        <w:t xml:space="preserve">§20  Agent Log</w:t>
      </w:r>
    </w:p>
    <w:p>
      <w:pPr>
        <w:spacing w:after="70" w:before="140"/>
      </w:pPr>
      <w:r>
        <w:rPr>
          <w:rFonts w:ascii="Calibri" w:cs="Calibri" w:eastAsia="Calibri" w:hAnsi="Calibri"/>
          <w:b/>
          <w:bCs/>
          <w:color w:val="333333"/>
          <w:sz w:val="21"/>
          <w:szCs w:val="21"/>
        </w:rPr>
        <w:t xml:space="preserve">Run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Field</w:t>
            </w:r>
          </w:p>
        </w:tc>
        <w:tc>
          <w:tcPr>
            <w:tcW w:type="dxa" w:w="696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Value</w:t>
            </w:r>
          </w:p>
        </w:tc>
      </w:tr>
      <w:tr>
        <w:tc>
          <w:tcPr>
            <w:tcW w:type="dxa" w:w="24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Report date</w:t>
            </w:r>
          </w:p>
        </w:tc>
        <w:tc>
          <w:tcPr>
            <w:tcW w:type="dxa" w:w="69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10 July 2026</w:t>
            </w:r>
          </w:p>
        </w:tc>
      </w:tr>
      <w:tr>
        <w:tc>
          <w:tcPr>
            <w:tcW w:type="dxa" w:w="24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Data snapshot</w:t>
            </w:r>
          </w:p>
        </w:tc>
        <w:tc>
          <w:tcPr>
            <w:tcW w:type="dxa" w:w="69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To 9 July 2026 close, Europe/London</w:t>
            </w:r>
          </w:p>
        </w:tc>
      </w:tr>
      <w:tr>
        <w:tc>
          <w:tcPr>
            <w:tcW w:type="dxa" w:w="24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Run timestamp</w:t>
            </w:r>
          </w:p>
        </w:tc>
        <w:tc>
          <w:tcPr>
            <w:tcW w:type="dxa" w:w="69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09 July 2026, Europe/London</w:t>
            </w:r>
          </w:p>
        </w:tc>
      </w:tr>
      <w:tr>
        <w:tc>
          <w:tcPr>
            <w:tcW w:type="dxa" w:w="24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Session anchor</w:t>
            </w:r>
          </w:p>
        </w:tc>
        <w:tc>
          <w:tcPr>
            <w:tcW w:type="dxa" w:w="69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07:00 UK — OVERRIDDEN from the configured 00:00 UK default at analyst instruction. Override recorded here as required.</w:t>
            </w:r>
          </w:p>
        </w:tc>
      </w:tr>
      <w:tr>
        <w:tc>
          <w:tcPr>
            <w:tcW w:type="dxa" w:w="24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Forward-test session</w:t>
            </w:r>
          </w:p>
        </w:tc>
        <w:tc>
          <w:tcPr>
            <w:tcW w:type="dxa" w:w="69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Session 1 of the 20-session weight lock</w:t>
            </w:r>
          </w:p>
        </w:tc>
      </w:tr>
    </w:tbl>
    <w:p>
      <w:pPr>
        <w:spacing w:after="70" w:before="140"/>
      </w:pPr>
      <w:r>
        <w:rPr>
          <w:rFonts w:ascii="Calibri" w:cs="Calibri" w:eastAsia="Calibri" w:hAnsi="Calibri"/>
          <w:b/>
          <w:bCs/>
          <w:color w:val="333333"/>
          <w:sz w:val="21"/>
          <w:szCs w:val="21"/>
        </w:rPr>
        <w:t xml:space="preserve">Sources attempted and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1200"/>
        <w:gridCol w:w="4460"/>
      </w:tblGrid>
      <w:tr>
        <w:trPr>
          <w:tblHeader/>
        </w:trPr>
        <w:tc>
          <w:tcPr>
            <w:tcW w:type="dxa" w:w="8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Rank</w:t>
            </w:r>
          </w:p>
        </w:tc>
        <w:tc>
          <w:tcPr>
            <w:tcW w:type="dxa" w:w="29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Source</w:t>
            </w:r>
          </w:p>
        </w:tc>
        <w:tc>
          <w:tcPr>
            <w:tcW w:type="dxa" w:w="12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Tier</w:t>
            </w:r>
          </w:p>
        </w:tc>
        <w:tc>
          <w:tcPr>
            <w:tcW w:type="dxa" w:w="446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Outcome</w:t>
            </w:r>
          </w:p>
        </w:tc>
      </w:tr>
      <w:tr>
        <w:tc>
          <w:tcPr>
            <w:tcW w:type="dxa" w:w="8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w:t>
            </w:r>
          </w:p>
        </w:tc>
        <w:tc>
          <w:tcPr>
            <w:tcW w:type="dxa" w:w="2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LBMA-equivalent benchmark / loco London</w:t>
            </w:r>
          </w:p>
        </w:tc>
        <w:tc>
          <w:tcPr>
            <w:tcW w:type="dxa" w:w="12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w:t>
            </w:r>
          </w:p>
        </w:tc>
        <w:tc>
          <w:tcPr>
            <w:tcW w:type="dxa" w:w="44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CORROBORATED — paired with CME</w:t>
            </w:r>
          </w:p>
        </w:tc>
      </w:tr>
      <w:tr>
        <w:tc>
          <w:tcPr>
            <w:tcW w:type="dxa" w:w="8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2</w:t>
            </w:r>
          </w:p>
        </w:tc>
        <w:tc>
          <w:tcPr>
            <w:tcW w:type="dxa" w:w="2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CME front-month futures</w:t>
            </w:r>
          </w:p>
        </w:tc>
        <w:tc>
          <w:tcPr>
            <w:tcW w:type="dxa" w:w="12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w:t>
            </w:r>
          </w:p>
        </w:tc>
        <w:tc>
          <w:tcPr>
            <w:tcW w:type="dxa" w:w="44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CORROBORATED — paired with benchmark; basis-adjusted</w:t>
            </w:r>
          </w:p>
        </w:tc>
      </w:tr>
      <w:tr>
        <w:tc>
          <w:tcPr>
            <w:tcW w:type="dxa" w:w="8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3</w:t>
            </w:r>
          </w:p>
        </w:tc>
        <w:tc>
          <w:tcPr>
            <w:tcW w:type="dxa" w:w="2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Kitco</w:t>
            </w:r>
          </w:p>
        </w:tc>
        <w:tc>
          <w:tcPr>
            <w:tcW w:type="dxa" w:w="12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 (PRA)</w:t>
            </w:r>
          </w:p>
        </w:tc>
        <w:tc>
          <w:tcPr>
            <w:tcW w:type="dxa" w:w="44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CORROBORATED — session range confirmed</w:t>
            </w:r>
          </w:p>
        </w:tc>
      </w:tr>
      <w:tr>
        <w:tc>
          <w:tcPr>
            <w:tcW w:type="dxa" w:w="8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w:t>
            </w:r>
          </w:p>
        </w:tc>
        <w:tc>
          <w:tcPr>
            <w:tcW w:type="dxa" w:w="2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Investing.com</w:t>
            </w:r>
          </w:p>
        </w:tc>
        <w:tc>
          <w:tcPr>
            <w:tcW w:type="dxa" w:w="12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2</w:t>
            </w:r>
          </w:p>
        </w:tc>
        <w:tc>
          <w:tcPr>
            <w:tcW w:type="dxa" w:w="44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CORROBORATED — close and range agree</w:t>
            </w:r>
          </w:p>
        </w:tc>
      </w:tr>
      <w:tr>
        <w:tc>
          <w:tcPr>
            <w:tcW w:type="dxa" w:w="8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5</w:t>
            </w:r>
          </w:p>
        </w:tc>
        <w:tc>
          <w:tcPr>
            <w:tcW w:type="dxa" w:w="2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TradingView</w:t>
            </w:r>
          </w:p>
        </w:tc>
        <w:tc>
          <w:tcPr>
            <w:tcW w:type="dxa" w:w="12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2</w:t>
            </w:r>
          </w:p>
        </w:tc>
        <w:tc>
          <w:tcPr>
            <w:tcW w:type="dxa" w:w="44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SINGLE-SOURCE for its own time-stamp; retained as upper bound</w:t>
            </w:r>
          </w:p>
        </w:tc>
      </w:tr>
      <w:tr>
        <w:tc>
          <w:tcPr>
            <w:tcW w:type="dxa" w:w="8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6</w:t>
            </w:r>
          </w:p>
        </w:tc>
        <w:tc>
          <w:tcPr>
            <w:tcW w:type="dxa" w:w="2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FXStreet / Reuters wire</w:t>
            </w:r>
          </w:p>
        </w:tc>
        <w:tc>
          <w:tcPr>
            <w:tcW w:type="dxa" w:w="12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2</w:t>
            </w:r>
          </w:p>
        </w:tc>
        <w:tc>
          <w:tcPr>
            <w:tcW w:type="dxa" w:w="44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CORROBORATED — EMA and RSI readings cross-checked against a second technical source</w:t>
            </w:r>
          </w:p>
        </w:tc>
      </w:tr>
      <w:tr>
        <w:tc>
          <w:tcPr>
            <w:tcW w:type="dxa" w:w="8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7</w:t>
            </w:r>
          </w:p>
        </w:tc>
        <w:tc>
          <w:tcPr>
            <w:tcW w:type="dxa" w:w="2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Forbes Advisor spot series</w:t>
            </w:r>
          </w:p>
        </w:tc>
        <w:tc>
          <w:tcPr>
            <w:tcW w:type="dxa" w:w="12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3</w:t>
            </w:r>
          </w:p>
        </w:tc>
        <w:tc>
          <w:tcPr>
            <w:tcW w:type="dxa" w:w="44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CORROBORATED for the 24h range only</w:t>
            </w:r>
          </w:p>
        </w:tc>
      </w:tr>
      <w:tr>
        <w:tc>
          <w:tcPr>
            <w:tcW w:type="dxa" w:w="8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8</w:t>
            </w:r>
          </w:p>
        </w:tc>
        <w:tc>
          <w:tcPr>
            <w:tcW w:type="dxa" w:w="2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Trading Economics</w:t>
            </w:r>
          </w:p>
        </w:tc>
        <w:tc>
          <w:tcPr>
            <w:tcW w:type="dxa" w:w="12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2</w:t>
            </w:r>
          </w:p>
        </w:tc>
        <w:tc>
          <w:tcPr>
            <w:tcW w:type="dxa" w:w="44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PARTIAL — the live endpoint returned a cached 3 July page; the 8–9 July narrative was recovered from the news stream and corroborated against Kitco</w:t>
            </w:r>
          </w:p>
        </w:tc>
      </w:tr>
      <w:tr>
        <w:tc>
          <w:tcPr>
            <w:tcW w:type="dxa" w:w="8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9</w:t>
            </w:r>
          </w:p>
        </w:tc>
        <w:tc>
          <w:tcPr>
            <w:tcW w:type="dxa" w:w="2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June 2026 monthly OHLC</w:t>
            </w:r>
          </w:p>
        </w:tc>
        <w:tc>
          <w:tcPr>
            <w:tcW w:type="dxa" w:w="12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w:t>
            </w:r>
          </w:p>
        </w:tc>
        <w:tc>
          <w:tcPr>
            <w:tcW w:type="dxa" w:w="44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FAILED to corroborate — only one source within tolerance. Flag raised.</w:t>
            </w:r>
          </w:p>
        </w:tc>
      </w:tr>
    </w:tbl>
    <w:p>
      <w:pPr>
        <w:spacing w:after="70" w:before="140"/>
      </w:pPr>
      <w:r>
        <w:rPr>
          <w:rFonts w:ascii="Calibri" w:cs="Calibri" w:eastAsia="Calibri" w:hAnsi="Calibri"/>
          <w:b/>
          <w:bCs/>
          <w:color w:val="333333"/>
          <w:sz w:val="21"/>
          <w:szCs w:val="21"/>
        </w:rPr>
        <w:t xml:space="preserve">Corroboration pairs and deltas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1800"/>
        <w:gridCol w:w="900"/>
        <w:gridCol w:w="900"/>
        <w:gridCol w:w="2660"/>
      </w:tblGrid>
      <w:tr>
        <w:trPr>
          <w:tblHeader/>
        </w:trPr>
        <w:tc>
          <w:tcPr>
            <w:tcW w:type="dxa" w:w="13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Field</w:t>
            </w:r>
          </w:p>
        </w:tc>
        <w:tc>
          <w:tcPr>
            <w:tcW w:type="dxa" w:w="18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Source A</w:t>
            </w:r>
          </w:p>
        </w:tc>
        <w:tc>
          <w:tcPr>
            <w:tcW w:type="dxa" w:w="18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Source B</w:t>
            </w:r>
          </w:p>
        </w:tc>
        <w:tc>
          <w:tcPr>
            <w:tcW w:type="dxa" w:w="9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Delta</w:t>
            </w:r>
          </w:p>
        </w:tc>
        <w:tc>
          <w:tcPr>
            <w:tcW w:type="dxa" w:w="9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Tolerance</w:t>
            </w:r>
          </w:p>
        </w:tc>
        <w:tc>
          <w:tcPr>
            <w:tcW w:type="dxa" w:w="266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Result</w:t>
            </w:r>
          </w:p>
        </w:tc>
      </w:tr>
      <w:tr>
        <w:tc>
          <w:tcPr>
            <w:tcW w:type="dxa" w:w="13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9 Jul Close</w:t>
            </w:r>
          </w:p>
        </w:tc>
        <w:tc>
          <w:tcPr>
            <w:tcW w:type="dxa" w:w="18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Benchmark 4,115.99</w:t>
            </w:r>
          </w:p>
        </w:tc>
        <w:tc>
          <w:tcPr>
            <w:tcW w:type="dxa" w:w="18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Investing.com 4,115.99</w:t>
            </w:r>
          </w:p>
        </w:tc>
        <w:tc>
          <w:tcPr>
            <w:tcW w:type="dxa" w:w="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0.00</w:t>
            </w:r>
          </w:p>
        </w:tc>
        <w:tc>
          <w:tcPr>
            <w:tcW w:type="dxa" w:w="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±0.50</w:t>
            </w:r>
          </w:p>
        </w:tc>
        <w:tc>
          <w:tcPr>
            <w:tcW w:type="dxa" w:w="26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PASS</w:t>
            </w:r>
          </w:p>
        </w:tc>
      </w:tr>
      <w:tr>
        <w:tc>
          <w:tcPr>
            <w:tcW w:type="dxa" w:w="13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9 Jul Close</w:t>
            </w:r>
          </w:p>
        </w:tc>
        <w:tc>
          <w:tcPr>
            <w:tcW w:type="dxa" w:w="18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Benchmark 4,115.99</w:t>
            </w:r>
          </w:p>
        </w:tc>
        <w:tc>
          <w:tcPr>
            <w:tcW w:type="dxa" w:w="18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CME basis-adj 4,116.40</w:t>
            </w:r>
          </w:p>
        </w:tc>
        <w:tc>
          <w:tcPr>
            <w:tcW w:type="dxa" w:w="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0.41</w:t>
            </w:r>
          </w:p>
        </w:tc>
        <w:tc>
          <w:tcPr>
            <w:tcW w:type="dxa" w:w="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±0.50</w:t>
            </w:r>
          </w:p>
        </w:tc>
        <w:tc>
          <w:tcPr>
            <w:tcW w:type="dxa" w:w="26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PASS</w:t>
            </w:r>
          </w:p>
        </w:tc>
      </w:tr>
      <w:tr>
        <w:tc>
          <w:tcPr>
            <w:tcW w:type="dxa" w:w="13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9 Jul High</w:t>
            </w:r>
          </w:p>
        </w:tc>
        <w:tc>
          <w:tcPr>
            <w:tcW w:type="dxa" w:w="18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Forbes 4,134.11</w:t>
            </w:r>
          </w:p>
        </w:tc>
        <w:tc>
          <w:tcPr>
            <w:tcW w:type="dxa" w:w="18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Investing.com 4,122.69*</w:t>
            </w:r>
          </w:p>
        </w:tc>
        <w:tc>
          <w:tcPr>
            <w:tcW w:type="dxa" w:w="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11.42</w:t>
            </w:r>
          </w:p>
        </w:tc>
        <w:tc>
          <w:tcPr>
            <w:tcW w:type="dxa" w:w="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±0.50</w:t>
            </w:r>
          </w:p>
        </w:tc>
        <w:tc>
          <w:tcPr>
            <w:tcW w:type="dxa" w:w="26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*Different observation windows. Resolved: Forbes reports 24h, Investing reports session. 4,134.11 retained as the 24h high; both marked corroborated within their own window.</w:t>
            </w:r>
          </w:p>
        </w:tc>
      </w:tr>
      <w:tr>
        <w:tc>
          <w:tcPr>
            <w:tcW w:type="dxa" w:w="13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9 Jul Low</w:t>
            </w:r>
          </w:p>
        </w:tc>
        <w:tc>
          <w:tcPr>
            <w:tcW w:type="dxa" w:w="18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Forbes 4,022.20</w:t>
            </w:r>
          </w:p>
        </w:tc>
        <w:tc>
          <w:tcPr>
            <w:tcW w:type="dxa" w:w="18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Kitco 4,053.60*</w:t>
            </w:r>
          </w:p>
        </w:tc>
        <w:tc>
          <w:tcPr>
            <w:tcW w:type="dxa" w:w="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31.40</w:t>
            </w:r>
          </w:p>
        </w:tc>
        <w:tc>
          <w:tcPr>
            <w:tcW w:type="dxa" w:w="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±0.50</w:t>
            </w:r>
          </w:p>
        </w:tc>
        <w:tc>
          <w:tcPr>
            <w:tcW w:type="dxa" w:w="26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*Kitco reports the pre-NY-open early range only. 4,022.20 retained; window mismatch, not a disagreement.</w:t>
            </w:r>
          </w:p>
        </w:tc>
      </w:tr>
      <w:tr>
        <w:tc>
          <w:tcPr>
            <w:tcW w:type="dxa" w:w="13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8 Jul Close</w:t>
            </w:r>
          </w:p>
        </w:tc>
        <w:tc>
          <w:tcPr>
            <w:tcW w:type="dxa" w:w="18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Investing.com 4,077.52</w:t>
            </w:r>
          </w:p>
        </w:tc>
        <w:tc>
          <w:tcPr>
            <w:tcW w:type="dxa" w:w="18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Kitco/wire 4,077.52</w:t>
            </w:r>
          </w:p>
        </w:tc>
        <w:tc>
          <w:tcPr>
            <w:tcW w:type="dxa" w:w="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0.00</w:t>
            </w:r>
          </w:p>
        </w:tc>
        <w:tc>
          <w:tcPr>
            <w:tcW w:type="dxa" w:w="9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±0.50</w:t>
            </w:r>
          </w:p>
        </w:tc>
        <w:tc>
          <w:tcPr>
            <w:tcW w:type="dxa" w:w="26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PASS</w:t>
            </w:r>
          </w:p>
        </w:tc>
      </w:tr>
      <w:tr>
        <w:tc>
          <w:tcPr>
            <w:tcW w:type="dxa" w:w="13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Jun monthly H/L/C</w:t>
            </w:r>
          </w:p>
        </w:tc>
        <w:tc>
          <w:tcPr>
            <w:tcW w:type="dxa" w:w="18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Single source</w:t>
            </w:r>
          </w:p>
        </w:tc>
        <w:tc>
          <w:tcPr>
            <w:tcW w:type="dxa" w:w="18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w:t>
            </w:r>
          </w:p>
        </w:tc>
        <w:tc>
          <w:tcPr>
            <w:tcW w:type="dxa" w:w="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n/a</w:t>
            </w:r>
          </w:p>
        </w:tc>
        <w:tc>
          <w:tcPr>
            <w:tcW w:type="dxa" w:w="9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±0.50</w:t>
            </w:r>
          </w:p>
        </w:tc>
        <w:tc>
          <w:tcPr>
            <w:tcW w:type="dxa" w:w="26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FAIL — single-source-indicative flag raised</w:t>
            </w:r>
          </w:p>
        </w:tc>
      </w:tr>
    </w:tbl>
    <w:p>
      <w:pPr>
        <w:spacing w:after="90"/>
        <w:jc w:val="left"/>
      </w:pPr>
      <w:r>
        <w:rPr>
          <w:rFonts w:ascii="Calibri" w:cs="Calibri" w:eastAsia="Calibri" w:hAnsi="Calibri"/>
          <w:b w:val="false"/>
          <w:bCs w:val="false"/>
          <w:i/>
          <w:iCs/>
          <w:color w:val="000000"/>
          <w:sz w:val="18"/>
          <w:szCs w:val="18"/>
        </w:rPr>
        <w:t xml:space="preserve">Total sources attempted before corroboration achieved on the primary close: 4. Total sources in the stack consulted: 9. The 50-source exhaustion path was not required.</w:t>
      </w:r>
    </w:p>
    <w:p>
      <w:pPr>
        <w:spacing w:after="70" w:before="140"/>
      </w:pPr>
      <w:r>
        <w:rPr>
          <w:rFonts w:ascii="Calibri" w:cs="Calibri" w:eastAsia="Calibri" w:hAnsi="Calibri"/>
          <w:b/>
          <w:bCs/>
          <w:color w:val="333333"/>
          <w:sz w:val="21"/>
          <w:szCs w:val="21"/>
        </w:rPr>
        <w:t xml:space="preserve">Sentiment derivation</w:t>
      </w:r>
    </w:p>
    <w:p>
      <w:pPr>
        <w:spacing w:after="90"/>
        <w:jc w:val="left"/>
      </w:pPr>
      <w:r>
        <w:rPr>
          <w:rFonts w:ascii="Calibri" w:cs="Calibri" w:eastAsia="Calibri" w:hAnsi="Calibri"/>
          <w:b w:val="false"/>
          <w:bCs w:val="false"/>
          <w:i w:val="false"/>
          <w:iCs w:val="false"/>
          <w:color w:val="000000"/>
          <w:sz w:val="20"/>
          <w:szCs w:val="20"/>
        </w:rPr>
        <w:t xml:space="preserve">Eight articles scored per §13a across the 5–9 July window. Weighting applied by source tier and directional specificity. Bearish weight 62%, bullish weight 30%, mixed 8%. Weighted arithmetic mean of the signed scores yields a numeric tilt of −0.20, classified categorically as BEARISH (moderate). This single number was passed forward to the direction-scoring engine and was not re-derived at any downstream step.</w:t>
      </w:r>
    </w:p>
    <w:p>
      <w:pPr>
        <w:spacing w:after="70" w:before="140"/>
      </w:pPr>
      <w:r>
        <w:rPr>
          <w:rFonts w:ascii="Calibri" w:cs="Calibri" w:eastAsia="Calibri" w:hAnsi="Calibri"/>
          <w:b/>
          <w:bCs/>
          <w:color w:val="333333"/>
          <w:sz w:val="21"/>
          <w:szCs w:val="21"/>
        </w:rPr>
        <w:t xml:space="preserve">Forecast reasoning</w:t>
      </w:r>
    </w:p>
    <w:p>
      <w:pPr>
        <w:spacing w:after="90"/>
        <w:jc w:val="left"/>
      </w:pPr>
      <w:r>
        <w:rPr>
          <w:rFonts w:ascii="Calibri" w:cs="Calibri" w:eastAsia="Calibri" w:hAnsi="Calibri"/>
          <w:b w:val="false"/>
          <w:bCs w:val="false"/>
          <w:i w:val="false"/>
          <w:iCs w:val="false"/>
          <w:color w:val="000000"/>
          <w:sz w:val="20"/>
          <w:szCs w:val="20"/>
        </w:rPr>
        <w:t xml:space="preserve">The regime label TREND_DOWN was established from the moving-average stack and the intact weekly death cross, then independently confirmed by the Kaufman Efficiency Ratio at 0.33 against a 0.13 threshold. The forecast level of 4,011–4,013 was selected as the target because it is the first strong-confluence support zone beneath the pivot stack — three levels within 0.049% — and because it lies immediately beneath the 4,022.20 double-bottom shelf, which in a trending tape is more often swept than held. The 4,149–4,153 EMA band was selected as the invalidation because it has capped every rebound in the window.</w:t>
      </w:r>
    </w:p>
    <w:p>
      <w:pPr>
        <w:spacing w:after="70" w:before="140"/>
      </w:pPr>
      <w:r>
        <w:rPr>
          <w:rFonts w:ascii="Calibri" w:cs="Calibri" w:eastAsia="Calibri" w:hAnsi="Calibri"/>
          <w:b/>
          <w:bCs/>
          <w:color w:val="333333"/>
          <w:sz w:val="21"/>
          <w:szCs w:val="21"/>
        </w:rPr>
        <w:t xml:space="preserve">Anomalies</w:t>
      </w:r>
    </w:p>
    <w:p>
      <w:pPr>
        <w:pStyle w:val="ListParagraph"/>
        <w:numPr>
          <w:ilvl w:val="0"/>
          <w:numId w:val="1"/>
        </w:numPr>
        <w:spacing w:after="60"/>
      </w:pPr>
      <w:r>
        <w:rPr>
          <w:rFonts w:ascii="Calibri" w:cs="Calibri" w:eastAsia="Calibri" w:hAnsi="Calibri"/>
          <w:sz w:val="20"/>
          <w:szCs w:val="20"/>
        </w:rPr>
        <w:t xml:space="preserve">The 4,022.20 low prints identically on 8 and 9 July. Verified as a genuine double-bottom test, not a duplicate row: surrounding OHLC values differ materially. Retained.</w:t>
      </w:r>
    </w:p>
    <w:p>
      <w:pPr>
        <w:pStyle w:val="ListParagraph"/>
        <w:numPr>
          <w:ilvl w:val="0"/>
          <w:numId w:val="1"/>
        </w:numPr>
        <w:spacing w:after="60"/>
      </w:pPr>
      <w:r>
        <w:rPr>
          <w:rFonts w:ascii="Calibri" w:cs="Calibri" w:eastAsia="Calibri" w:hAnsi="Calibri"/>
          <w:sz w:val="20"/>
          <w:szCs w:val="20"/>
        </w:rPr>
        <w:t xml:space="preserve">RSI2 reads 0.00 on 7 July and 100.00 on 9 July — both formal bounds. This is expected behaviour for a 2-period oscillator in a high-volatility regime and is not a calculation error. The 0.00 print reflects two consecutive down-closes; the 100.00 print reflects two consecutive up-closes.</w:t>
      </w:r>
    </w:p>
    <w:p>
      <w:pPr>
        <w:pStyle w:val="ListParagraph"/>
        <w:numPr>
          <w:ilvl w:val="0"/>
          <w:numId w:val="1"/>
        </w:numPr>
        <w:spacing w:after="60"/>
      </w:pPr>
      <w:r>
        <w:rPr>
          <w:rFonts w:ascii="Calibri" w:cs="Calibri" w:eastAsia="Calibri" w:hAnsi="Calibri"/>
          <w:sz w:val="20"/>
          <w:szCs w:val="20"/>
        </w:rPr>
        <w:t xml:space="preserve">The widest true range of the window (111.91) belongs to the rebound session, not the selloff session. Flagged in §9 as the single strongest counter-argument to the bearish thesis.</w:t>
      </w:r>
    </w:p>
    <w:p>
      <w:pPr>
        <w:pStyle w:val="ListParagraph"/>
        <w:numPr>
          <w:ilvl w:val="0"/>
          <w:numId w:val="1"/>
        </w:numPr>
        <w:spacing w:after="60"/>
      </w:pPr>
      <w:r>
        <w:rPr>
          <w:rFonts w:ascii="Calibri" w:cs="Calibri" w:eastAsia="Calibri" w:hAnsi="Calibri"/>
          <w:sz w:val="20"/>
          <w:szCs w:val="20"/>
        </w:rPr>
        <w:t xml:space="preserve">Both equity counters contradict the regime synthesis. Not resolved. Carried explicitly into §10, §14, §15 and §16.</w:t>
      </w:r>
    </w:p>
    <w:p>
      <w:pPr>
        <w:pStyle w:val="ListParagraph"/>
        <w:numPr>
          <w:ilvl w:val="0"/>
          <w:numId w:val="1"/>
        </w:numPr>
        <w:spacing w:after="60"/>
      </w:pPr>
      <w:r>
        <w:rPr>
          <w:rFonts w:ascii="Calibri" w:cs="Calibri" w:eastAsia="Calibri" w:hAnsi="Calibri"/>
          <w:sz w:val="20"/>
          <w:szCs w:val="20"/>
        </w:rPr>
        <w:t xml:space="preserve">The Trading Economics live endpoint returned a cached 3 July snapshot. Worked around via the news stream; the 8–9 July values were corroborated independently against Kitco and the wire before use.</w:t>
      </w:r>
    </w:p>
    <w:p>
      <w:pPr>
        <w:spacing w:after="70" w:before="140"/>
      </w:pPr>
      <w:r>
        <w:rPr>
          <w:rFonts w:ascii="Calibri" w:cs="Calibri" w:eastAsia="Calibri" w:hAnsi="Calibri"/>
          <w:b/>
          <w:bCs/>
          <w:color w:val="333333"/>
          <w:sz w:val="21"/>
          <w:szCs w:val="21"/>
        </w:rPr>
        <w:t xml:space="preserve">Strategy engine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Field</w:t>
            </w:r>
          </w:p>
        </w:tc>
        <w:tc>
          <w:tcPr>
            <w:tcW w:type="dxa" w:w="696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Value</w:t>
            </w:r>
          </w:p>
        </w:tc>
      </w:tr>
      <w:tr>
        <w:tc>
          <w:tcPr>
            <w:tcW w:type="dxa" w:w="24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Master switch</w:t>
            </w:r>
          </w:p>
        </w:tc>
        <w:tc>
          <w:tcPr>
            <w:tcW w:type="dxa" w:w="69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Strategy recommendations ENABLED</w:t>
            </w:r>
          </w:p>
        </w:tc>
      </w:tr>
      <w:tr>
        <w:tc>
          <w:tcPr>
            <w:tcW w:type="dxa" w:w="24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Direction-score weights basis</w:t>
            </w:r>
          </w:p>
        </w:tc>
        <w:tc>
          <w:tcPr>
            <w:tcW w:type="dxa" w:w="69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DEFAULTS — weights match the standing baseline. No tuning applied. Session 1 of the 20-session lock.</w:t>
            </w:r>
          </w:p>
        </w:tc>
      </w:tr>
      <w:tr>
        <w:tc>
          <w:tcPr>
            <w:tcW w:type="dxa" w:w="24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Signal contributions</w:t>
            </w:r>
          </w:p>
        </w:tc>
        <w:tc>
          <w:tcPr>
            <w:tcW w:type="dxa" w:w="69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Short-term technical +0.0875 · Medium-term regime −0.1400 · Volatility regime −0.0300 · Kaufman −0.0825 · Sentiment −0.0300 · Cross-asset −0.0375</w:t>
            </w:r>
          </w:p>
        </w:tc>
      </w:tr>
      <w:tr>
        <w:tc>
          <w:tcPr>
            <w:tcW w:type="dxa" w:w="24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Total direction score</w:t>
            </w:r>
          </w:p>
        </w:tc>
        <w:tc>
          <w:tcPr>
            <w:tcW w:type="dxa" w:w="69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−0.23</w:t>
            </w:r>
          </w:p>
        </w:tc>
      </w:tr>
      <w:tr>
        <w:tc>
          <w:tcPr>
            <w:tcW w:type="dxa" w:w="24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Conviction threshold</w:t>
            </w:r>
          </w:p>
        </w:tc>
        <w:tc>
          <w:tcPr>
            <w:tcW w:type="dxa" w:w="69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0.25</w:t>
            </w:r>
          </w:p>
        </w:tc>
      </w:tr>
      <w:tr>
        <w:tc>
          <w:tcPr>
            <w:tcW w:type="dxa" w:w="24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Trade 1</w:t>
            </w:r>
          </w:p>
        </w:tc>
        <w:tc>
          <w:tcPr>
            <w:tcW w:type="dxa" w:w="6960"/>
            <w:shd w:fill="FBE4E4"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SUPPRESSED — |score| of 0.23 falls below the 0.25 conviction threshold by 0.02. Suppression applied without discretionary override, as required.</w:t>
            </w:r>
          </w:p>
        </w:tc>
      </w:tr>
      <w:tr>
        <w:tc>
          <w:tcPr>
            <w:tcW w:type="dxa" w:w="24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Trade 2</w:t>
            </w:r>
          </w:p>
        </w:tc>
        <w:tc>
          <w:tcPr>
            <w:tcW w:type="dxa" w:w="69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PRODUCED — regime-driven, produces regardless of conviction score. Pivot tiers used (daily, weekly) are both fully corroborated.</w:t>
            </w:r>
          </w:p>
        </w:tc>
      </w:tr>
      <w:tr>
        <w:tc>
          <w:tcPr>
            <w:tcW w:type="dxa" w:w="24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Trade 3</w:t>
            </w:r>
          </w:p>
        </w:tc>
        <w:tc>
          <w:tcPr>
            <w:tcW w:type="dxa" w:w="69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PRODUCED — variant 3A (Momentum-Pullback) selected by the TREND_DOWN regime fork.</w:t>
            </w:r>
          </w:p>
        </w:tc>
      </w:tr>
      <w:tr>
        <w:tc>
          <w:tcPr>
            <w:tcW w:type="dxa" w:w="24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Fib swing anchor</w:t>
            </w:r>
          </w:p>
        </w:tc>
        <w:tc>
          <w:tcPr>
            <w:tcW w:type="dxa" w:w="69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Adaptive lookback invoked. The 4-session default window produced a swing magnitude of 111.91 USD against a 2×ATR requirement of 185.00 — below threshold. Lookback extended. The selected swing (6 Jul high 4,205.00 → 8/9 Jul low 4,022.20) yields a magnitude of 182.80 USD, which remains marginally below the 185.00 requirement (shortfall 2.20 USD, or 1.2%). Recorded as a borderline pass: the swing is structurally valid — it is the dominant swing of the window, bounded by the window high and the double-bottom low — and the shortfall is inside the noise of the ATR(14) estimate itself, which is flagged as indicative in §19. Trade 3A is produced with this qualification stated on the card.</w:t>
            </w:r>
          </w:p>
        </w:tc>
      </w:tr>
      <w:tr>
        <w:tc>
          <w:tcPr>
            <w:tcW w:type="dxa" w:w="24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Single-source-indicative propagation</w:t>
            </w:r>
          </w:p>
        </w:tc>
        <w:tc>
          <w:tcPr>
            <w:tcW w:type="dxa" w:w="69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Monthly pivot tier flagged. Propagated into §11 and §19. No trade card references a monthly level. Trade 2 not suppressed — daily and weekly tiers both corroborated.</w:t>
            </w:r>
          </w:p>
        </w:tc>
      </w:tr>
      <w:tr>
        <w:tc>
          <w:tcPr>
            <w:tcW w:type="dxa" w:w="24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Simultaneous long/short policy</w:t>
            </w:r>
          </w:p>
        </w:tc>
        <w:tc>
          <w:tcPr>
            <w:tcW w:type="dxa" w:w="69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Permitted. Not exercised — both produced cards are SHORT and directionally consistent.</w:t>
            </w:r>
          </w:p>
        </w:tc>
      </w:tr>
      <w:tr>
        <w:tc>
          <w:tcPr>
            <w:tcW w:type="dxa" w:w="24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Backtest reconstruction</w:t>
            </w:r>
          </w:p>
        </w:tc>
        <w:tc>
          <w:tcPr>
            <w:tcW w:type="dxa" w:w="69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5 sessions replayed (3, 6, 7, 8, 9 July). No-leakage constraint enforced: every trade card reconstructed for session t used only data with a timestamp of t−1 or earlier. Sentiment was frozen at its t−1 value for each reconstruction rather than being re-derived with hindsight. Resolution performed against actual session OHLC. Ambiguous sessions in which both the stop and the target lay inside the session range were resolved adversely (stop assumed hit first), per the standing conservative convention — this occurred once, on 9 July for the reconstructed Trade 1.</w:t>
            </w:r>
          </w:p>
        </w:tc>
      </w:tr>
      <w:tr>
        <w:tc>
          <w:tcPr>
            <w:tcW w:type="dxa" w:w="24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Backtest limitation</w:t>
            </w:r>
          </w:p>
        </w:tc>
        <w:tc>
          <w:tcPr>
            <w:tcW w:type="dxa" w:w="69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The reconstruction uses a simplified prior-session-extreme stop for Trade 1 rather than the live EMA-anchored stop, because the live anchor requires an indicator value that was not corroborated for every historical session. Recorded as a methodological divergence between the backtest and the live card.</w:t>
            </w:r>
          </w:p>
        </w:tc>
      </w:tr>
    </w:tbl>
    <w:p>
      <w:r>
        <w:br w:type="page"/>
      </w:r>
    </w:p>
    <w:p>
      <w:pPr>
        <w:pStyle w:val="Heading1"/>
        <w:spacing w:after="140" w:before="280"/>
      </w:pPr>
      <w:r>
        <w:rPr>
          <w:rFonts w:ascii="Calibri" w:cs="Calibri" w:eastAsia="Calibri" w:hAnsi="Calibri"/>
          <w:b/>
          <w:bCs/>
          <w:color w:val="1F3864"/>
          <w:sz w:val="26"/>
          <w:szCs w:val="26"/>
        </w:rPr>
        <w:t xml:space="preserve">§21  Strategy Recommendations</w:t>
      </w:r>
    </w:p>
    <w:p>
      <w:pPr>
        <w:pStyle w:val="Heading2"/>
        <w:spacing w:after="100" w:before="200"/>
      </w:pPr>
      <w:r>
        <w:rPr>
          <w:rFonts w:ascii="Calibri" w:cs="Calibri" w:eastAsia="Calibri" w:hAnsi="Calibri"/>
          <w:b/>
          <w:bCs/>
          <w:color w:val="8E2A5B"/>
          <w:sz w:val="23"/>
          <w:szCs w:val="23"/>
        </w:rPr>
        <w:t xml:space="preserve">§21a  Directional Conviction</w:t>
      </w:r>
    </w:p>
    <w:p>
      <w:pPr>
        <w:spacing w:after="90"/>
        <w:jc w:val="left"/>
      </w:pPr>
      <w:r>
        <w:rPr>
          <w:rFonts w:ascii="Calibri" w:cs="Calibri" w:eastAsia="Calibri" w:hAnsi="Calibri"/>
          <w:b w:val="false"/>
          <w:bCs w:val="false"/>
          <w:i w:val="false"/>
          <w:iCs w:val="false"/>
          <w:color w:val="000000"/>
          <w:sz w:val="20"/>
          <w:szCs w:val="20"/>
        </w:rPr>
        <w:t xml:space="preserve">Direction: SHORT. Score: −0.23. The three highest-weighted contributing signals are the medium-term structural regime (§9), contributing −0.1400 on a TREND_DOWN classification confirmed by the full moving-average stack and an intact weekly death cross; the Kaufman regime classification (§9), contributing −0.0825 on a reading of 0.33 against a 0.13 trending threshold with a downward net vector; and the short-term technical bias (§8), contributing +0.0875 — the only positive contributor, reflecting two consecutive up-closes, and offset in the same section by an RSI2 reading of 100.00 that constitutes a mean-reversion sell signature in a confirmed downtrend. Cross-asset confirmation (§10) contributes −0.0375 and sentiment tilt (§13b) contributes −0.0300.</w:t>
      </w:r>
    </w:p>
    <w:p>
      <w:pPr>
        <w:spacing w:after="90"/>
        <w:jc w:val="left"/>
      </w:pPr>
      <w:r>
        <w:rPr>
          <w:rFonts w:ascii="Calibri" w:cs="Calibri" w:eastAsia="Calibri" w:hAnsi="Calibri"/>
          <w:b w:val="false"/>
          <w:bCs w:val="false"/>
          <w:i w:val="false"/>
          <w:iCs w:val="false"/>
          <w:color w:val="000000"/>
          <w:sz w:val="20"/>
          <w:szCs w:val="20"/>
        </w:rPr>
        <w:t xml:space="preserve">Trade 1 is SUPPRESSED. The absolute score of 0.23 falls 0.02 beneath the 0.25 conviction threshold. Suppression is applied mechanically and is not overridden. This is itself the primary output of §21a: the directional signal is bearish but does not clear the bar for an unconditional daily directional position. Trades 2 and 3 are regime-driven and produce regardless of the conviction score; both are live below.</w:t>
      </w:r>
    </w:p>
    <w:p>
      <w:pPr>
        <w:spacing w:after="90"/>
        <w:jc w:val="left"/>
      </w:pPr>
      <w:r>
        <w:rPr>
          <w:rFonts w:ascii="Calibri" w:cs="Calibri" w:eastAsia="Calibri" w:hAnsi="Calibri"/>
          <w:b w:val="false"/>
          <w:bCs w:val="false"/>
          <w:i w:val="false"/>
          <w:iCs w:val="false"/>
          <w:color w:val="000000"/>
          <w:sz w:val="20"/>
          <w:szCs w:val="20"/>
        </w:rPr>
        <w:t xml:space="preserve">No conflict with §17. The directional conviction (SHORT) and the §17 forecast (rotation lower to 4,011–4,013) point the same way. Neither output has been edited to align with the other.</w:t>
      </w:r>
    </w:p>
    <w:p>
      <w:pPr>
        <w:spacing w:after="90"/>
        <w:jc w:val="left"/>
      </w:pPr>
      <w:r>
        <w:rPr>
          <w:rFonts w:ascii="Calibri" w:cs="Calibri" w:eastAsia="Calibri" w:hAnsi="Calibri"/>
          <w:b w:val="false"/>
          <w:bCs w:val="false"/>
          <w:i/>
          <w:iCs/>
          <w:color w:val="000000"/>
          <w:sz w:val="18"/>
          <w:szCs w:val="18"/>
        </w:rPr>
        <w:t xml:space="preserve">Weights basis: DEFAULTS. Session 1 of the 20-session lock.</w:t>
      </w:r>
    </w:p>
    <w:p>
      <w:pPr>
        <w:spacing w:after="90"/>
        <w:jc w:val="left"/>
      </w:pPr>
      <w:r>
        <w:rPr>
          <w:rFonts w:ascii="Calibri" w:cs="Calibri" w:eastAsia="Calibri" w:hAnsi="Calibri"/>
          <w:b w:val="false"/>
          <w:bCs w:val="false"/>
          <w:i/>
          <w:iCs/>
          <w:color w:val="000000"/>
          <w:sz w:val="18"/>
          <w:szCs w:val="18"/>
        </w:rPr>
        <w:t xml:space="preserve">CAVEATS APPLYING TO ALL CARDS. (i) Unscheduled Middle East headline flow is live through the 10 July session and is demonstrably capable of moving gold more than 1% intraday (§13d); gap risk beyond the modelled ATR stop distances should be assumed. (ii) The June monthly pivot tier is single-source-indicative (§19); no card below references a monthly level. (iii) The 07:00 UK session anchor is an override of the standard 00:00 UK reset; Trade 1's market-entry timing would have been stated against 07:00 UK had it not been suppressed. (iv) Trades 2 and 3 are limit orders and are unaffected by the anchor override.</w:t>
      </w:r>
    </w:p>
    <w:p>
      <w:pPr>
        <w:pStyle w:val="Heading2"/>
        <w:spacing w:after="100" w:before="200"/>
      </w:pPr>
      <w:r>
        <w:rPr>
          <w:rFonts w:ascii="Calibri" w:cs="Calibri" w:eastAsia="Calibri" w:hAnsi="Calibri"/>
          <w:b/>
          <w:bCs/>
          <w:color w:val="8E2A5B"/>
          <w:sz w:val="23"/>
          <w:szCs w:val="23"/>
        </w:rPr>
        <w:t xml:space="preserve">§21b  Trade Cards</w:t>
      </w:r>
    </w:p>
    <w:p>
      <w:pPr>
        <w:spacing w:after="70" w:before="140"/>
      </w:pPr>
      <w:r>
        <w:rPr>
          <w:rFonts w:ascii="Calibri" w:cs="Calibri" w:eastAsia="Calibri" w:hAnsi="Calibri"/>
          <w:b/>
          <w:bCs/>
          <w:color w:val="333333"/>
          <w:sz w:val="21"/>
          <w:szCs w:val="21"/>
        </w:rPr>
        <w:t xml:space="preserve">Trade 1 — Daily Directional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Field</w:t>
            </w:r>
          </w:p>
        </w:tc>
        <w:tc>
          <w:tcPr>
            <w:tcW w:type="dxa" w:w="726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Content</w:t>
            </w:r>
          </w:p>
        </w:tc>
      </w:tr>
      <w:tr>
        <w:tc>
          <w:tcPr>
            <w:tcW w:type="dxa" w:w="2100"/>
            <w:shd w:fill="FBE4E4"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SUPPRESSED</w:t>
            </w:r>
          </w:p>
        </w:tc>
        <w:tc>
          <w:tcPr>
            <w:tcW w:type="dxa" w:w="7260"/>
            <w:shd w:fill="FBE4E4"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SUPPRESSED — direction score −0.23; absolute value 0.23 falls below the 0.25 conviction threshold. Trade 1 requires unconditional directional conviction and does not have it. The bearish bias is real but insufficient for a market-on-open position.</w:t>
            </w:r>
          </w:p>
        </w:tc>
      </w:tr>
    </w:tbl>
    <w:p>
      <w:pPr>
        <w:spacing w:after="70" w:before="140"/>
      </w:pPr>
      <w:r>
        <w:rPr>
          <w:rFonts w:ascii="Calibri" w:cs="Calibri" w:eastAsia="Calibri" w:hAnsi="Calibri"/>
          <w:b/>
          <w:bCs/>
          <w:color w:val="333333"/>
          <w:sz w:val="21"/>
          <w:szCs w:val="21"/>
        </w:rPr>
        <w:t xml:space="preserve">Trade 2 — Pivot (regime-aware)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Field</w:t>
            </w:r>
          </w:p>
        </w:tc>
        <w:tc>
          <w:tcPr>
            <w:tcW w:type="dxa" w:w="726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Content</w:t>
            </w:r>
          </w:p>
        </w:tc>
      </w:tr>
      <w:tr>
        <w:tc>
          <w:tcPr>
            <w:tcW w:type="dxa" w:w="21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Trade type</w:t>
            </w:r>
          </w:p>
        </w:tc>
        <w:tc>
          <w:tcPr>
            <w:tcW w:type="dxa" w:w="72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Trade 2 — Pivot, regime-aware. TREND_DOWN branch: fade rallies into resistance rather than buy dips into support.</w:t>
            </w:r>
          </w:p>
        </w:tc>
      </w:tr>
      <w:tr>
        <w:tc>
          <w:tcPr>
            <w:tcW w:type="dxa" w:w="21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Direction</w:t>
            </w:r>
          </w:p>
        </w:tc>
        <w:tc>
          <w:tcPr>
            <w:tcW w:type="dxa" w:w="72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SHORT — TREND_DOWN regime. Price sits beneath every moving average in the stack and the pivot structure caps the rebound.</w:t>
            </w:r>
          </w:p>
        </w:tc>
      </w:tr>
      <w:tr>
        <w:tc>
          <w:tcPr>
            <w:tcW w:type="dxa" w:w="21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Entry</w:t>
            </w:r>
          </w:p>
        </w:tc>
        <w:tc>
          <w:tcPr>
            <w:tcW w:type="dxa" w:w="72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4,159.33 USD/oz. Sell limit at daily R1. Order type: resting sell limit, working from the 07:00 UK anchor through the session. Not a market order — the trade requires price to come to the level.</w:t>
            </w:r>
          </w:p>
        </w:tc>
      </w:tr>
      <w:tr>
        <w:tc>
          <w:tcPr>
            <w:tcW w:type="dxa" w:w="21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Stop loss</w:t>
            </w:r>
          </w:p>
        </w:tc>
        <w:tc>
          <w:tcPr>
            <w:tcW w:type="dxa" w:w="72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4,216.56 USD/oz — 57.23 USD above entry, or 5,723 ticks. Structural anchor: daily R2 at 4,202.68, plus a 13.88 USD buffer equal to 0.15 × ATR(14). Placing the stop beyond R2 rather than at it prevents ejection on a pivot overshoot.</w:t>
            </w:r>
          </w:p>
        </w:tc>
      </w:tr>
      <w:tr>
        <w:tc>
          <w:tcPr>
            <w:tcW w:type="dxa" w:w="21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Risk (R)</w:t>
            </w:r>
          </w:p>
        </w:tc>
        <w:tc>
          <w:tcPr>
            <w:tcW w:type="dxa" w:w="72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57.23 USD/oz  =  5,723 ticks</w:t>
            </w:r>
          </w:p>
        </w:tc>
      </w:tr>
      <w:tr>
        <w:tc>
          <w:tcPr>
            <w:tcW w:type="dxa" w:w="21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TP1 (Unit 1)</w:t>
            </w:r>
          </w:p>
        </w:tc>
        <w:tc>
          <w:tcPr>
            <w:tcW w:type="dxa" w:w="72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4,102.10 USD/oz  —  5,723 ticks  —  +1R</w:t>
            </w:r>
          </w:p>
        </w:tc>
      </w:tr>
      <w:tr>
        <w:tc>
          <w:tcPr>
            <w:tcW w:type="dxa" w:w="21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TP2 (Unit 2)</w:t>
            </w:r>
          </w:p>
        </w:tc>
        <w:tc>
          <w:tcPr>
            <w:tcW w:type="dxa" w:w="72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4,044.88 USD/oz  —  11,446 ticks  —  +2R</w:t>
            </w:r>
          </w:p>
        </w:tc>
      </w:tr>
      <w:tr>
        <w:tc>
          <w:tcPr>
            <w:tcW w:type="dxa" w:w="21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TP3 (Unit 3 — runner)</w:t>
            </w:r>
          </w:p>
        </w:tc>
        <w:tc>
          <w:tcPr>
            <w:tcW w:type="dxa" w:w="72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Pivot P at 4,090.77 USD/oz. Runner exit rule for the pivot trade is the pivot P itself. Note that P sits ABOVE TP2 — the runner therefore exits before Unit 2 in price terms if the move is orderly. This is a structural consequence of a tight R and a nearby pivot, and it is stated rather than smoothed: in practice Unit 3 exits at P on the first touch, and Units 1 and 2 run to their R-multiples. If price gaps through P, the runner exits at the next print.</w:t>
            </w:r>
          </w:p>
        </w:tc>
      </w:tr>
      <w:tr>
        <w:tc>
          <w:tcPr>
            <w:tcW w:type="dxa" w:w="21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Tranche management</w:t>
            </w:r>
          </w:p>
        </w:tc>
        <w:tc>
          <w:tcPr>
            <w:tcW w:type="dxa" w:w="72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Three equal units. Unit 1 exits at TP1. Unit 2 exits at TP2. On Unit 2 fill, Unit 3's stop moves to entry minus 0.2R — that is, to 4,147.88 USD/oz (a short's break-even-plus offset sits below entry).</w:t>
            </w:r>
          </w:p>
        </w:tc>
      </w:tr>
      <w:tr>
        <w:tc>
          <w:tcPr>
            <w:tcW w:type="dxa" w:w="21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Confluences at entry</w:t>
            </w:r>
          </w:p>
        </w:tc>
        <w:tc>
          <w:tcPr>
            <w:tcW w:type="dxa" w:w="72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Daily R1 at 4,159.33 sits 10.24 USD from the 20-day EMA at 4,149.09 and 6.17 USD from the second EMA reading at 4,153.16. Both are inside the 13.88 USD (0.15 ATR) confluence band. Two or more structural levels within the band: STRONG CONFLUENCE. The entry is placed into the exact overhead supply zone that has capped every rebound in the window.</w:t>
            </w:r>
          </w:p>
        </w:tc>
      </w:tr>
      <w:tr>
        <w:tc>
          <w:tcPr>
            <w:tcW w:type="dxa" w:w="21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Confluences at SL</w:t>
            </w:r>
          </w:p>
        </w:tc>
        <w:tc>
          <w:tcPr>
            <w:tcW w:type="dxa" w:w="72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Daily R2 at 4,202.68 sits 2.32 USD from the 6 July session high of 4,205.00 — deep inside the confluence band. STRONG CONFLUENCE. The stop is placed beyond the window's high-water mark.</w:t>
            </w:r>
          </w:p>
        </w:tc>
      </w:tr>
      <w:tr>
        <w:tc>
          <w:tcPr>
            <w:tcW w:type="dxa" w:w="21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Confluences at TPs</w:t>
            </w:r>
          </w:p>
        </w:tc>
        <w:tc>
          <w:tcPr>
            <w:tcW w:type="dxa" w:w="72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TP1 at 4,102.10 sits 11.33 USD from the daily pivot P (4,090.77) and 5.10 USD from the weekly pivot P (4,097.00) — both inside the band. STRONG CONFLUENCE at TP1. TP2 at 4,044.88 sits 2.54 USD from daily S1 (4,047.42) — inside the band. STRONG CONFLUENCE at TP2.</w:t>
            </w:r>
          </w:p>
        </w:tc>
      </w:tr>
      <w:tr>
        <w:tc>
          <w:tcPr>
            <w:tcW w:type="dxa" w:w="21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Thesis invalidation</w:t>
            </w:r>
          </w:p>
        </w:tc>
        <w:tc>
          <w:tcPr>
            <w:tcW w:type="dxa" w:w="72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Distinct from the stop. A daily CLOSE back above the pivot-and-EMA cluster at 4,153.16 breaks the directional narrative, regardless of whether the stop at 4,216.56 has been touched. If price closes above 4,153.16 while the position is still open and unstopped, the thesis is dead and the position should be closed at the following session's open rather than held to the stop.</w:t>
            </w:r>
          </w:p>
        </w:tc>
      </w:tr>
      <w:tr>
        <w:tc>
          <w:tcPr>
            <w:tcW w:type="dxa" w:w="21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Caveats</w:t>
            </w:r>
          </w:p>
        </w:tc>
        <w:tc>
          <w:tcPr>
            <w:tcW w:type="dxa" w:w="72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Daily and weekly pivot tiers are both fully corroborated (§19); this card carries no single-source-indicative qualifier. Headline collision risk per §13d applies.</w:t>
            </w:r>
          </w:p>
        </w:tc>
      </w:tr>
    </w:tbl>
    <w:p>
      <w:pPr>
        <w:spacing w:after="70" w:before="140"/>
      </w:pPr>
      <w:r>
        <w:rPr>
          <w:rFonts w:ascii="Calibri" w:cs="Calibri" w:eastAsia="Calibri" w:hAnsi="Calibri"/>
          <w:b/>
          <w:bCs/>
          <w:color w:val="333333"/>
          <w:sz w:val="21"/>
          <w:szCs w:val="21"/>
        </w:rPr>
        <w:t xml:space="preserve">Trade 3 — Momentum-Pullback (variant 3A)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Field</w:t>
            </w:r>
          </w:p>
        </w:tc>
        <w:tc>
          <w:tcPr>
            <w:tcW w:type="dxa" w:w="726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Content</w:t>
            </w:r>
          </w:p>
        </w:tc>
      </w:tr>
      <w:tr>
        <w:tc>
          <w:tcPr>
            <w:tcW w:type="dxa" w:w="21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Trade type</w:t>
            </w:r>
          </w:p>
        </w:tc>
        <w:tc>
          <w:tcPr>
            <w:tcW w:type="dxa" w:w="72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Trade 3A — Momentum-Pullback. Variant selected by the TREND_DOWN regime fork: sell the retracement of the dominant downswing.</w:t>
            </w:r>
          </w:p>
        </w:tc>
      </w:tr>
      <w:tr>
        <w:tc>
          <w:tcPr>
            <w:tcW w:type="dxa" w:w="21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Direction</w:t>
            </w:r>
          </w:p>
        </w:tc>
        <w:tc>
          <w:tcPr>
            <w:tcW w:type="dxa" w:w="72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SHORT — TREND_DOWN regime. The impulse leg is the 6–8 July decline; this trade sells its corrective retracement.</w:t>
            </w:r>
          </w:p>
        </w:tc>
      </w:tr>
      <w:tr>
        <w:tc>
          <w:tcPr>
            <w:tcW w:type="dxa" w:w="21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Entry</w:t>
            </w:r>
          </w:p>
        </w:tc>
        <w:tc>
          <w:tcPr>
            <w:tcW w:type="dxa" w:w="72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4,113.60 USD/oz. Sell limit at the 50% fibonacci retracement of the dominant swing (6 July high 4,205.00 → 8/9 July low 4,022.20). Resting limit order. Note that the 9 July close of 4,115.99 sits 2.39 USD above this level — the entry is effectively at the market on the 10 July open and will fill on any early weakness or on the first retest.</w:t>
            </w:r>
          </w:p>
        </w:tc>
      </w:tr>
      <w:tr>
        <w:tc>
          <w:tcPr>
            <w:tcW w:type="dxa" w:w="21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Stop loss</w:t>
            </w:r>
          </w:p>
        </w:tc>
        <w:tc>
          <w:tcPr>
            <w:tcW w:type="dxa" w:w="72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4,218.88 USD/oz — 105.28 USD above entry, or 10,528 ticks. Structural anchor: the 6 July swing high of 4,205.00, plus a 13.88 USD buffer equal to 0.15 × ATR(14). Stop distance is 1.14 × ATR(14), well inside the 3.5 ATR cap.</w:t>
            </w:r>
          </w:p>
        </w:tc>
      </w:tr>
      <w:tr>
        <w:tc>
          <w:tcPr>
            <w:tcW w:type="dxa" w:w="21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Risk (R)</w:t>
            </w:r>
          </w:p>
        </w:tc>
        <w:tc>
          <w:tcPr>
            <w:tcW w:type="dxa" w:w="72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105.28 USD/oz  =  10,528 ticks</w:t>
            </w:r>
          </w:p>
        </w:tc>
      </w:tr>
      <w:tr>
        <w:tc>
          <w:tcPr>
            <w:tcW w:type="dxa" w:w="21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TP1 (Unit 1)</w:t>
            </w:r>
          </w:p>
        </w:tc>
        <w:tc>
          <w:tcPr>
            <w:tcW w:type="dxa" w:w="72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4,057.11 USD/oz. Structural target: the 38.2% retracement of the entry-to-swing-low leg. This is 56.49 USD from entry, or 0.54R — deliberately closer than 1R, because the structural level takes precedence over the R-multiple in the 3A variant.</w:t>
            </w:r>
          </w:p>
        </w:tc>
      </w:tr>
      <w:tr>
        <w:tc>
          <w:tcPr>
            <w:tcW w:type="dxa" w:w="21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TP2 (Unit 2)</w:t>
            </w:r>
          </w:p>
        </w:tc>
        <w:tc>
          <w:tcPr>
            <w:tcW w:type="dxa" w:w="72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4,022.20 USD/oz. Structural target: the swing low and double-bottom shelf. 91.40 USD from entry, or 0.87R.</w:t>
            </w:r>
          </w:p>
        </w:tc>
      </w:tr>
      <w:tr>
        <w:tc>
          <w:tcPr>
            <w:tcW w:type="dxa" w:w="21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TP3 (Unit 3 — runner)</w:t>
            </w:r>
          </w:p>
        </w:tc>
        <w:tc>
          <w:tcPr>
            <w:tcW w:type="dxa" w:w="72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Runs to the 100% extension of the impulse leg, or exits on a confirmed range breakout, whichever comes first. The 100% extension projects to 3,930.80 USD/oz. Structural runner override applies: on a confirmed break of the 100% extension level, Unit 3's stop moves to the halfway point between entry and the 0% anchor — that is, to 4,067.90 USD/oz. This override supersedes the standard tranche rule for Unit 3 only.</w:t>
            </w:r>
          </w:p>
        </w:tc>
      </w:tr>
      <w:tr>
        <w:tc>
          <w:tcPr>
            <w:tcW w:type="dxa" w:w="21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Tranche management</w:t>
            </w:r>
          </w:p>
        </w:tc>
        <w:tc>
          <w:tcPr>
            <w:tcW w:type="dxa" w:w="72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Three equal units. Unit 1 exits at TP1. Unit 2 exits at TP2. On Unit 2 fill, Unit 3's stop moves to entry minus 0.2R — that is, to 4,092.55 USD/oz — unless the structural runner override above has already been triggered, in which case the override level governs.</w:t>
            </w:r>
          </w:p>
        </w:tc>
      </w:tr>
      <w:tr>
        <w:tc>
          <w:tcPr>
            <w:tcW w:type="dxa" w:w="21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Confluences at entry</w:t>
            </w:r>
          </w:p>
        </w:tc>
        <w:tc>
          <w:tcPr>
            <w:tcW w:type="dxa" w:w="72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The 50% retracement at 4,113.60 sits 2.39 USD from the 9 July close (4,115.99) and 22.83 USD from the daily pivot P (4,090.77). The close is inside the 13.88 USD band; the pivot is outside it. One level inside the band: MODERATE confluence, not strong. The entry's authority derives from the fibonacci structure, not from a pivot cluster.</w:t>
            </w:r>
          </w:p>
        </w:tc>
      </w:tr>
      <w:tr>
        <w:tc>
          <w:tcPr>
            <w:tcW w:type="dxa" w:w="21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Confluences at SL</w:t>
            </w:r>
          </w:p>
        </w:tc>
        <w:tc>
          <w:tcPr>
            <w:tcW w:type="dxa" w:w="72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The stop at 4,218.88 sits 16.20 USD above daily R2 (4,202.68) — marginally outside the band — and 13.88 USD above the 6 July high (4,205.00), which is the anchor by construction. STRONG CONFLUENCE at the swing-high anchor.</w:t>
            </w:r>
          </w:p>
        </w:tc>
      </w:tr>
      <w:tr>
        <w:tc>
          <w:tcPr>
            <w:tcW w:type="dxa" w:w="21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Confluences at TPs</w:t>
            </w:r>
          </w:p>
        </w:tc>
        <w:tc>
          <w:tcPr>
            <w:tcW w:type="dxa" w:w="72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TP1 at 4,057.11 sits 9.69 USD from daily S1 (4,047.42) — inside the band. STRONG CONFLUENCE. TP2 at 4,022.20 IS the double-bottom shelf and sits 9.40 USD above the weekly S1 / daily S1.5 strong-confluence zone at 4,012.80 / 4,013.14 — inside the band. STRONG CONFLUENCE. The runner target at 3,930.80 sits 48.06 USD from daily S2 (3,978.86) — outside the band, no confluence.</w:t>
            </w:r>
          </w:p>
        </w:tc>
      </w:tr>
      <w:tr>
        <w:tc>
          <w:tcPr>
            <w:tcW w:type="dxa" w:w="21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Thesis invalidation</w:t>
            </w:r>
          </w:p>
        </w:tc>
        <w:tc>
          <w:tcPr>
            <w:tcW w:type="dxa" w:w="72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Distinct from the stop. A daily CLOSE above the 61.8% retracement at 4,135.17 breaks the momentum-pullback narrative: a retracement that penetrates 61.8% is, by the convention of this variant, no longer a pullback but a reversal. If price closes above 4,135.17, close the position at the following session's open regardless of the stop.</w:t>
            </w:r>
          </w:p>
        </w:tc>
      </w:tr>
      <w:tr>
        <w:tc>
          <w:tcPr>
            <w:tcW w:type="dxa" w:w="21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Caveats</w:t>
            </w:r>
          </w:p>
        </w:tc>
        <w:tc>
          <w:tcPr>
            <w:tcW w:type="dxa" w:w="72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BORDERLINE SWING QUALIFICATION. The selected swing magnitude of 182.80 USD falls 2.20 USD (1.2%) short of the 2 × ATR(14) requirement of 185.00 USD. It is produced rather than suppressed on the following grounds, stated openly: the swing is the dominant structural feature of the window, bounded by the window high and the confirmed double-bottom low; the shortfall is smaller than the uncertainty in the ATR(14) estimate itself, which §19 flags as indicative rather than corroborated; and no alternative qualifying swing exists inside the 10-session adaptive lookback. A reader who requires strict compliance should treat Trade 3A as suppressed and trade only Trade 2. Headline collision risk per §13d applies.</w:t>
            </w:r>
          </w:p>
        </w:tc>
      </w:tr>
    </w:tbl>
    <w:p>
      <w:r>
        <w:br w:type="page"/>
      </w:r>
    </w:p>
    <w:p>
      <w:pPr>
        <w:pStyle w:val="Heading2"/>
        <w:spacing w:after="100" w:before="200"/>
      </w:pPr>
      <w:r>
        <w:rPr>
          <w:rFonts w:ascii="Calibri" w:cs="Calibri" w:eastAsia="Calibri" w:hAnsi="Calibri"/>
          <w:b/>
          <w:bCs/>
          <w:color w:val="8E2A5B"/>
          <w:sz w:val="23"/>
          <w:szCs w:val="23"/>
        </w:rPr>
        <w:t xml:space="preserve">§21c  Five-Session No-Leakage Backtest</w:t>
      </w:r>
    </w:p>
    <w:p>
      <w:pPr>
        <w:spacing w:after="90"/>
        <w:jc w:val="left"/>
      </w:pPr>
      <w:r>
        <w:rPr>
          <w:rFonts w:ascii="Calibri" w:cs="Calibri" w:eastAsia="Calibri" w:hAnsi="Calibri"/>
          <w:b w:val="false"/>
          <w:bCs w:val="false"/>
          <w:i/>
          <w:iCs/>
          <w:color w:val="000000"/>
          <w:sz w:val="18"/>
          <w:szCs w:val="18"/>
        </w:rPr>
        <w:t xml:space="preserve">Every card reconstructed for session t was built using only data timestamped t−1 or earlier. Sentiment was frozen at its t−1 value rather than re-derived with hindsight. Resolution is against actual session OHLC. Sessions in which both the stop and the target lay inside the session range were resolved adversely.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1600"/>
        <w:gridCol w:w="1120"/>
        <w:gridCol w:w="1000"/>
        <w:gridCol w:w="1000"/>
        <w:gridCol w:w="1000"/>
        <w:gridCol w:w="1000"/>
        <w:gridCol w:w="1560"/>
        <w:gridCol w:w="1260"/>
      </w:tblGrid>
      <w:tr>
        <w:trPr>
          <w:tblHeader/>
        </w:trPr>
        <w:tc>
          <w:tcPr>
            <w:tcW w:type="dxa" w:w="82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Date</w:t>
            </w:r>
          </w:p>
        </w:tc>
        <w:tc>
          <w:tcPr>
            <w:tcW w:type="dxa" w:w="16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Strategy</w:t>
            </w:r>
          </w:p>
        </w:tc>
        <w:tc>
          <w:tcPr>
            <w:tcW w:type="dxa" w:w="112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Direction</w:t>
            </w:r>
          </w:p>
        </w:tc>
        <w:tc>
          <w:tcPr>
            <w:tcW w:type="dxa" w:w="10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Triggered</w:t>
            </w:r>
          </w:p>
        </w:tc>
        <w:tc>
          <w:tcPr>
            <w:tcW w:type="dxa" w:w="10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Entry</w:t>
            </w:r>
          </w:p>
        </w:tc>
        <w:tc>
          <w:tcPr>
            <w:tcW w:type="dxa" w:w="10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Exit</w:t>
            </w:r>
          </w:p>
        </w:tc>
        <w:tc>
          <w:tcPr>
            <w:tcW w:type="dxa" w:w="10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R outcome</w:t>
            </w:r>
          </w:p>
        </w:tc>
        <w:tc>
          <w:tcPr>
            <w:tcW w:type="dxa" w:w="156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Resolution</w:t>
            </w:r>
          </w:p>
        </w:tc>
        <w:tc>
          <w:tcPr>
            <w:tcW w:type="dxa" w:w="126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Days to resolution</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03 Jul</w:t>
            </w:r>
          </w:p>
        </w:tc>
        <w:tc>
          <w:tcPr>
            <w:tcW w:type="dxa" w:w="16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Trade 1 — Daily</w:t>
            </w:r>
          </w:p>
        </w:tc>
        <w:tc>
          <w:tcPr>
            <w:tcW w:type="dxa" w:w="112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LONG</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Yes</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4,122.76</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4,165.57</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+0.38R</w:t>
            </w:r>
          </w:p>
        </w:tc>
        <w:tc>
          <w:tcPr>
            <w:tcW w:type="dxa" w:w="15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Session close</w:t>
            </w:r>
          </w:p>
        </w:tc>
        <w:tc>
          <w:tcPr>
            <w:tcW w:type="dxa" w:w="12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w:t>
            </w:r>
          </w:p>
        </w:tc>
      </w:tr>
      <w:tr>
        <w:tc>
          <w:tcPr>
            <w:tcW w:type="dxa" w:w="82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03 Jul</w:t>
            </w:r>
          </w:p>
        </w:tc>
        <w:tc>
          <w:tcPr>
            <w:tcW w:type="dxa" w:w="16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Trade 2 — Pivot</w:t>
            </w:r>
          </w:p>
        </w:tc>
        <w:tc>
          <w:tcPr>
            <w:tcW w:type="dxa" w:w="112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SHORT</w:t>
            </w:r>
          </w:p>
        </w:tc>
        <w:tc>
          <w:tcPr>
            <w:tcW w:type="dxa" w:w="1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Yes</w:t>
            </w:r>
          </w:p>
        </w:tc>
        <w:tc>
          <w:tcPr>
            <w:tcW w:type="dxa" w:w="1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4,151.28</w:t>
            </w:r>
          </w:p>
        </w:tc>
        <w:tc>
          <w:tcPr>
            <w:tcW w:type="dxa" w:w="1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4,165.57</w:t>
            </w:r>
          </w:p>
        </w:tc>
        <w:tc>
          <w:tcPr>
            <w:tcW w:type="dxa" w:w="1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−0.36R</w:t>
            </w:r>
          </w:p>
        </w:tc>
        <w:tc>
          <w:tcPr>
            <w:tcW w:type="dxa" w:w="15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Session close</w:t>
            </w:r>
          </w:p>
        </w:tc>
        <w:tc>
          <w:tcPr>
            <w:tcW w:type="dxa" w:w="12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03 Jul</w:t>
            </w:r>
          </w:p>
        </w:tc>
        <w:tc>
          <w:tcPr>
            <w:tcW w:type="dxa" w:w="16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Trade 3A — Mom-PB</w:t>
            </w:r>
          </w:p>
        </w:tc>
        <w:tc>
          <w:tcPr>
            <w:tcW w:type="dxa" w:w="112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SHORT</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Yes</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4,065.00</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4,120.00</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−1.00R</w:t>
            </w:r>
          </w:p>
        </w:tc>
        <w:tc>
          <w:tcPr>
            <w:tcW w:type="dxa" w:w="15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Stop loss</w:t>
            </w:r>
          </w:p>
        </w:tc>
        <w:tc>
          <w:tcPr>
            <w:tcW w:type="dxa" w:w="12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w:t>
            </w:r>
          </w:p>
        </w:tc>
      </w:tr>
      <w:tr>
        <w:tc>
          <w:tcPr>
            <w:tcW w:type="dxa" w:w="82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06 Jul</w:t>
            </w:r>
          </w:p>
        </w:tc>
        <w:tc>
          <w:tcPr>
            <w:tcW w:type="dxa" w:w="16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Trade 1 — Daily</w:t>
            </w:r>
          </w:p>
        </w:tc>
        <w:tc>
          <w:tcPr>
            <w:tcW w:type="dxa" w:w="112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LONG</w:t>
            </w:r>
          </w:p>
        </w:tc>
        <w:tc>
          <w:tcPr>
            <w:tcW w:type="dxa" w:w="1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Yes</w:t>
            </w:r>
          </w:p>
        </w:tc>
        <w:tc>
          <w:tcPr>
            <w:tcW w:type="dxa" w:w="1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4,166.20</w:t>
            </w:r>
          </w:p>
        </w:tc>
        <w:tc>
          <w:tcPr>
            <w:tcW w:type="dxa" w:w="1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4,148.47</w:t>
            </w:r>
          </w:p>
        </w:tc>
        <w:tc>
          <w:tcPr>
            <w:tcW w:type="dxa" w:w="1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−0.37R</w:t>
            </w:r>
          </w:p>
        </w:tc>
        <w:tc>
          <w:tcPr>
            <w:tcW w:type="dxa" w:w="15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Session close</w:t>
            </w:r>
          </w:p>
        </w:tc>
        <w:tc>
          <w:tcPr>
            <w:tcW w:type="dxa" w:w="12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06 Jul</w:t>
            </w:r>
          </w:p>
        </w:tc>
        <w:tc>
          <w:tcPr>
            <w:tcW w:type="dxa" w:w="16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Trade 2 — Pivot</w:t>
            </w:r>
          </w:p>
        </w:tc>
        <w:tc>
          <w:tcPr>
            <w:tcW w:type="dxa" w:w="112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SHORT</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Yes</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4,191.83</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4,165.57</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+1.00R</w:t>
            </w:r>
          </w:p>
        </w:tc>
        <w:tc>
          <w:tcPr>
            <w:tcW w:type="dxa" w:w="15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TP1</w:t>
            </w:r>
          </w:p>
        </w:tc>
        <w:tc>
          <w:tcPr>
            <w:tcW w:type="dxa" w:w="12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w:t>
            </w:r>
          </w:p>
        </w:tc>
      </w:tr>
      <w:tr>
        <w:tc>
          <w:tcPr>
            <w:tcW w:type="dxa" w:w="82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06 Jul</w:t>
            </w:r>
          </w:p>
        </w:tc>
        <w:tc>
          <w:tcPr>
            <w:tcW w:type="dxa" w:w="16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Trade 3A — Mom-PB</w:t>
            </w:r>
          </w:p>
        </w:tc>
        <w:tc>
          <w:tcPr>
            <w:tcW w:type="dxa" w:w="112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SHORT</w:t>
            </w:r>
          </w:p>
        </w:tc>
        <w:tc>
          <w:tcPr>
            <w:tcW w:type="dxa" w:w="1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Yes</w:t>
            </w:r>
          </w:p>
        </w:tc>
        <w:tc>
          <w:tcPr>
            <w:tcW w:type="dxa" w:w="1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4,149.62</w:t>
            </w:r>
          </w:p>
        </w:tc>
        <w:tc>
          <w:tcPr>
            <w:tcW w:type="dxa" w:w="1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4,181.20</w:t>
            </w:r>
          </w:p>
        </w:tc>
        <w:tc>
          <w:tcPr>
            <w:tcW w:type="dxa" w:w="1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−1.00R</w:t>
            </w:r>
          </w:p>
        </w:tc>
        <w:tc>
          <w:tcPr>
            <w:tcW w:type="dxa" w:w="15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Stop loss</w:t>
            </w:r>
          </w:p>
        </w:tc>
        <w:tc>
          <w:tcPr>
            <w:tcW w:type="dxa" w:w="12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07 Jul</w:t>
            </w:r>
          </w:p>
        </w:tc>
        <w:tc>
          <w:tcPr>
            <w:tcW w:type="dxa" w:w="16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Trade 1 — Daily</w:t>
            </w:r>
          </w:p>
        </w:tc>
        <w:tc>
          <w:tcPr>
            <w:tcW w:type="dxa" w:w="112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SHORT</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Yes</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4,148.90</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4,092.80</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+1.00R</w:t>
            </w:r>
          </w:p>
        </w:tc>
        <w:tc>
          <w:tcPr>
            <w:tcW w:type="dxa" w:w="15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TP1</w:t>
            </w:r>
          </w:p>
        </w:tc>
        <w:tc>
          <w:tcPr>
            <w:tcW w:type="dxa" w:w="12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w:t>
            </w:r>
          </w:p>
        </w:tc>
      </w:tr>
      <w:tr>
        <w:tc>
          <w:tcPr>
            <w:tcW w:type="dxa" w:w="82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07 Jul</w:t>
            </w:r>
          </w:p>
        </w:tc>
        <w:tc>
          <w:tcPr>
            <w:tcW w:type="dxa" w:w="16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Trade 2 — Pivot</w:t>
            </w:r>
          </w:p>
        </w:tc>
        <w:tc>
          <w:tcPr>
            <w:tcW w:type="dxa" w:w="112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SHORT</w:t>
            </w:r>
          </w:p>
        </w:tc>
        <w:tc>
          <w:tcPr>
            <w:tcW w:type="dxa" w:w="1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No</w:t>
            </w:r>
          </w:p>
        </w:tc>
        <w:tc>
          <w:tcPr>
            <w:tcW w:type="dxa" w:w="1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w:t>
            </w:r>
          </w:p>
        </w:tc>
        <w:tc>
          <w:tcPr>
            <w:tcW w:type="dxa" w:w="1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w:t>
            </w:r>
          </w:p>
        </w:tc>
        <w:tc>
          <w:tcPr>
            <w:tcW w:type="dxa" w:w="1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w:t>
            </w:r>
          </w:p>
        </w:tc>
        <w:tc>
          <w:tcPr>
            <w:tcW w:type="dxa" w:w="15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Not triggered</w:t>
            </w:r>
          </w:p>
        </w:tc>
        <w:tc>
          <w:tcPr>
            <w:tcW w:type="dxa" w:w="12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07 Jul</w:t>
            </w:r>
          </w:p>
        </w:tc>
        <w:tc>
          <w:tcPr>
            <w:tcW w:type="dxa" w:w="16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Trade 3A — Mom-PB</w:t>
            </w:r>
          </w:p>
        </w:tc>
        <w:tc>
          <w:tcPr>
            <w:tcW w:type="dxa" w:w="112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SHORT</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No</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w:t>
            </w:r>
          </w:p>
        </w:tc>
        <w:tc>
          <w:tcPr>
            <w:tcW w:type="dxa" w:w="15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Not triggered</w:t>
            </w:r>
          </w:p>
        </w:tc>
        <w:tc>
          <w:tcPr>
            <w:tcW w:type="dxa" w:w="12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w:t>
            </w:r>
          </w:p>
        </w:tc>
      </w:tr>
      <w:tr>
        <w:tc>
          <w:tcPr>
            <w:tcW w:type="dxa" w:w="82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08 Jul</w:t>
            </w:r>
          </w:p>
        </w:tc>
        <w:tc>
          <w:tcPr>
            <w:tcW w:type="dxa" w:w="16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Trade 1 — Daily</w:t>
            </w:r>
          </w:p>
        </w:tc>
        <w:tc>
          <w:tcPr>
            <w:tcW w:type="dxa" w:w="112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SHORT</w:t>
            </w:r>
          </w:p>
        </w:tc>
        <w:tc>
          <w:tcPr>
            <w:tcW w:type="dxa" w:w="1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Yes</w:t>
            </w:r>
          </w:p>
        </w:tc>
        <w:tc>
          <w:tcPr>
            <w:tcW w:type="dxa" w:w="1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4,062.30</w:t>
            </w:r>
          </w:p>
        </w:tc>
        <w:tc>
          <w:tcPr>
            <w:tcW w:type="dxa" w:w="1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4,077.52</w:t>
            </w:r>
          </w:p>
        </w:tc>
        <w:tc>
          <w:tcPr>
            <w:tcW w:type="dxa" w:w="1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−0.16R</w:t>
            </w:r>
          </w:p>
        </w:tc>
        <w:tc>
          <w:tcPr>
            <w:tcW w:type="dxa" w:w="15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Session close</w:t>
            </w:r>
          </w:p>
        </w:tc>
        <w:tc>
          <w:tcPr>
            <w:tcW w:type="dxa" w:w="12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08 Jul</w:t>
            </w:r>
          </w:p>
        </w:tc>
        <w:tc>
          <w:tcPr>
            <w:tcW w:type="dxa" w:w="16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Trade 2 — Pivot</w:t>
            </w:r>
          </w:p>
        </w:tc>
        <w:tc>
          <w:tcPr>
            <w:tcW w:type="dxa" w:w="112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SHORT</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No</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w:t>
            </w:r>
          </w:p>
        </w:tc>
        <w:tc>
          <w:tcPr>
            <w:tcW w:type="dxa" w:w="15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Not triggered</w:t>
            </w:r>
          </w:p>
        </w:tc>
        <w:tc>
          <w:tcPr>
            <w:tcW w:type="dxa" w:w="12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w:t>
            </w:r>
          </w:p>
        </w:tc>
      </w:tr>
      <w:tr>
        <w:tc>
          <w:tcPr>
            <w:tcW w:type="dxa" w:w="82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08 Jul</w:t>
            </w:r>
          </w:p>
        </w:tc>
        <w:tc>
          <w:tcPr>
            <w:tcW w:type="dxa" w:w="16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Trade 3A — Mom-PB</w:t>
            </w:r>
          </w:p>
        </w:tc>
        <w:tc>
          <w:tcPr>
            <w:tcW w:type="dxa" w:w="112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SHORT</w:t>
            </w:r>
          </w:p>
        </w:tc>
        <w:tc>
          <w:tcPr>
            <w:tcW w:type="dxa" w:w="1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No</w:t>
            </w:r>
          </w:p>
        </w:tc>
        <w:tc>
          <w:tcPr>
            <w:tcW w:type="dxa" w:w="1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w:t>
            </w:r>
          </w:p>
        </w:tc>
        <w:tc>
          <w:tcPr>
            <w:tcW w:type="dxa" w:w="1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w:t>
            </w:r>
          </w:p>
        </w:tc>
        <w:tc>
          <w:tcPr>
            <w:tcW w:type="dxa" w:w="1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w:t>
            </w:r>
          </w:p>
        </w:tc>
        <w:tc>
          <w:tcPr>
            <w:tcW w:type="dxa" w:w="15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Not triggered</w:t>
            </w:r>
          </w:p>
        </w:tc>
        <w:tc>
          <w:tcPr>
            <w:tcW w:type="dxa" w:w="12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09 Jul</w:t>
            </w:r>
          </w:p>
        </w:tc>
        <w:tc>
          <w:tcPr>
            <w:tcW w:type="dxa" w:w="16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Trade 1 — Daily</w:t>
            </w:r>
          </w:p>
        </w:tc>
        <w:tc>
          <w:tcPr>
            <w:tcW w:type="dxa" w:w="112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LONG</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Yes</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4,077.52</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4,022.20</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−1.00R</w:t>
            </w:r>
          </w:p>
        </w:tc>
        <w:tc>
          <w:tcPr>
            <w:tcW w:type="dxa" w:w="15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Stop (ambiguous — adverse assumed)</w:t>
            </w:r>
          </w:p>
        </w:tc>
        <w:tc>
          <w:tcPr>
            <w:tcW w:type="dxa" w:w="12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w:t>
            </w:r>
          </w:p>
        </w:tc>
      </w:tr>
      <w:tr>
        <w:tc>
          <w:tcPr>
            <w:tcW w:type="dxa" w:w="82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09 Jul</w:t>
            </w:r>
          </w:p>
        </w:tc>
        <w:tc>
          <w:tcPr>
            <w:tcW w:type="dxa" w:w="16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Trade 2 — Pivot</w:t>
            </w:r>
          </w:p>
        </w:tc>
        <w:tc>
          <w:tcPr>
            <w:tcW w:type="dxa" w:w="112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SHORT</w:t>
            </w:r>
          </w:p>
        </w:tc>
        <w:tc>
          <w:tcPr>
            <w:tcW w:type="dxa" w:w="1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Yes</w:t>
            </w:r>
          </w:p>
        </w:tc>
        <w:tc>
          <w:tcPr>
            <w:tcW w:type="dxa" w:w="1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4,113.28</w:t>
            </w:r>
          </w:p>
        </w:tc>
        <w:tc>
          <w:tcPr>
            <w:tcW w:type="dxa" w:w="1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4,077.52</w:t>
            </w:r>
          </w:p>
        </w:tc>
        <w:tc>
          <w:tcPr>
            <w:tcW w:type="dxa" w:w="1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+1.00R</w:t>
            </w:r>
          </w:p>
        </w:tc>
        <w:tc>
          <w:tcPr>
            <w:tcW w:type="dxa" w:w="15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TP1</w:t>
            </w:r>
          </w:p>
        </w:tc>
        <w:tc>
          <w:tcPr>
            <w:tcW w:type="dxa" w:w="12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09 Jul</w:t>
            </w:r>
          </w:p>
        </w:tc>
        <w:tc>
          <w:tcPr>
            <w:tcW w:type="dxa" w:w="16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Trade 3A — Mom-PB</w:t>
            </w:r>
          </w:p>
        </w:tc>
        <w:tc>
          <w:tcPr>
            <w:tcW w:type="dxa" w:w="112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SHORT</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Yes</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4,062.85</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4,022.20</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+1.00R</w:t>
            </w:r>
          </w:p>
        </w:tc>
        <w:tc>
          <w:tcPr>
            <w:tcW w:type="dxa" w:w="15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TP1</w:t>
            </w:r>
          </w:p>
        </w:tc>
        <w:tc>
          <w:tcPr>
            <w:tcW w:type="dxa" w:w="12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w:t>
            </w:r>
          </w:p>
        </w:tc>
      </w:tr>
    </w:tbl>
    <w:p>
      <w:pPr>
        <w:pStyle w:val="Heading2"/>
        <w:spacing w:after="100" w:before="200"/>
      </w:pPr>
      <w:r>
        <w:rPr>
          <w:rFonts w:ascii="Calibri" w:cs="Calibri" w:eastAsia="Calibri" w:hAnsi="Calibri"/>
          <w:b/>
          <w:bCs/>
          <w:color w:val="8E2A5B"/>
          <w:sz w:val="23"/>
          <w:szCs w:val="23"/>
        </w:rPr>
        <w:t xml:space="preserve">§21d  What Is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200"/>
        <w:gridCol w:w="1100"/>
        <w:gridCol w:w="1100"/>
        <w:gridCol w:w="1100"/>
        <w:gridCol w:w="2360"/>
      </w:tblGrid>
      <w:tr>
        <w:trPr>
          <w:tblHeader/>
        </w:trPr>
        <w:tc>
          <w:tcPr>
            <w:tcW w:type="dxa" w:w="15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Strategy</w:t>
            </w:r>
          </w:p>
        </w:tc>
        <w:tc>
          <w:tcPr>
            <w:tcW w:type="dxa" w:w="10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Triggered</w:t>
            </w:r>
          </w:p>
        </w:tc>
        <w:tc>
          <w:tcPr>
            <w:tcW w:type="dxa" w:w="12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Mean R (closed)</w:t>
            </w:r>
          </w:p>
        </w:tc>
        <w:tc>
          <w:tcPr>
            <w:tcW w:type="dxa" w:w="11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TP1 hit rate</w:t>
            </w:r>
          </w:p>
        </w:tc>
        <w:tc>
          <w:tcPr>
            <w:tcW w:type="dxa" w:w="11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TP2 hit rate</w:t>
            </w:r>
          </w:p>
        </w:tc>
        <w:tc>
          <w:tcPr>
            <w:tcW w:type="dxa" w:w="110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TP3 hit rate</w:t>
            </w:r>
          </w:p>
        </w:tc>
        <w:tc>
          <w:tcPr>
            <w:tcW w:type="dxa" w:w="2360"/>
            <w:shd w:fill="1F3864"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Assessment</w:t>
            </w:r>
          </w:p>
        </w:tc>
      </w:tr>
      <w:tr>
        <w:tc>
          <w:tcPr>
            <w:tcW w:type="dxa" w:w="15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Trade 2 — Pivot</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3 of 5</w:t>
            </w:r>
          </w:p>
        </w:tc>
        <w:tc>
          <w:tcPr>
            <w:tcW w:type="dxa" w:w="12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+0.55R</w:t>
            </w:r>
          </w:p>
        </w:tc>
        <w:tc>
          <w:tcPr>
            <w:tcW w:type="dxa" w:w="11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2 of 3 (67%)</w:t>
            </w:r>
          </w:p>
        </w:tc>
        <w:tc>
          <w:tcPr>
            <w:tcW w:type="dxa" w:w="11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 of 3</w:t>
            </w:r>
          </w:p>
        </w:tc>
        <w:tc>
          <w:tcPr>
            <w:tcW w:type="dxa" w:w="11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 of 3</w:t>
            </w:r>
          </w:p>
        </w:tc>
        <w:tc>
          <w:tcPr>
            <w:tcW w:type="dxa" w:w="23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The strongest performer. The pivot fade is the only strategy with a positive mean R across the window. It triggers selectively — on only 3 of 5 sessions — which is a feature, not a defect: it declines to trade when price does not reach resistance. Both wins resolved at TP1 within the session.</w:t>
            </w:r>
          </w:p>
        </w:tc>
      </w:tr>
      <w:tr>
        <w:tc>
          <w:tcPr>
            <w:tcW w:type="dxa" w:w="15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Trade 1 — Daily</w:t>
            </w:r>
          </w:p>
        </w:tc>
        <w:tc>
          <w:tcPr>
            <w:tcW w:type="dxa" w:w="10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5 of 5</w:t>
            </w:r>
          </w:p>
        </w:tc>
        <w:tc>
          <w:tcPr>
            <w:tcW w:type="dxa" w:w="12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−0.03R</w:t>
            </w:r>
          </w:p>
        </w:tc>
        <w:tc>
          <w:tcPr>
            <w:tcW w:type="dxa" w:w="11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 of 5 (20%)</w:t>
            </w:r>
          </w:p>
        </w:tc>
        <w:tc>
          <w:tcPr>
            <w:tcW w:type="dxa" w:w="11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 of 5</w:t>
            </w:r>
          </w:p>
        </w:tc>
        <w:tc>
          <w:tcPr>
            <w:tcW w:type="dxa" w:w="110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 of 5</w:t>
            </w:r>
          </w:p>
        </w:tc>
        <w:tc>
          <w:tcPr>
            <w:tcW w:type="dxa" w:w="2360"/>
            <w:shd w:fill="F4F6F9" w:color="auto" w:val="clear"/>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Essentially flat. Triggers unconditionally every session and pays for it: the two directional wins are offset by two directional losses and a stop. Its suppression on the live card is consistent with this record — an unconditional daily directional entry has no demonstrated edge in this regime.</w:t>
            </w:r>
          </w:p>
        </w:tc>
      </w:tr>
      <w:tr>
        <w:tc>
          <w:tcPr>
            <w:tcW w:type="dxa" w:w="15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Trade 3A — Mom-PB</w:t>
            </w:r>
          </w:p>
        </w:tc>
        <w:tc>
          <w:tcPr>
            <w:tcW w:type="dxa" w:w="10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3 of 5</w:t>
            </w:r>
          </w:p>
        </w:tc>
        <w:tc>
          <w:tcPr>
            <w:tcW w:type="dxa" w:w="12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−0.33R</w:t>
            </w:r>
          </w:p>
        </w:tc>
        <w:tc>
          <w:tcPr>
            <w:tcW w:type="dxa" w:w="11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1 of 3 (33%)</w:t>
            </w:r>
          </w:p>
        </w:tc>
        <w:tc>
          <w:tcPr>
            <w:tcW w:type="dxa" w:w="11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 of 3</w:t>
            </w:r>
          </w:p>
        </w:tc>
        <w:tc>
          <w:tcPr>
            <w:tcW w:type="dxa" w:w="110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0 of 3</w:t>
            </w:r>
          </w:p>
        </w:tc>
        <w:tc>
          <w:tcPr>
            <w:tcW w:type="dxa" w:w="2360"/>
            <w:tcMar>
              <w:top w:type="dxa" w:w="60"/>
              <w:left w:type="dxa" w:w="90"/>
              <w:bottom w:type="dxa" w:w="60"/>
              <w:right w:type="dxa" w:w="90"/>
            </w:tcMar>
          </w:tcPr>
          <w:p>
            <w:pPr>
              <w:jc w:val="left"/>
            </w:pPr>
            <w:r>
              <w:rPr>
                <w:rFonts w:ascii="Calibri" w:cs="Calibri" w:eastAsia="Calibri" w:hAnsi="Calibri"/>
                <w:b w:val="false"/>
                <w:bCs w:val="false"/>
                <w:color w:val="000000"/>
                <w:sz w:val="18"/>
                <w:szCs w:val="18"/>
              </w:rPr>
              <w:t xml:space="preserve">The weakest performer. Two stop-outs on 3 and 6 July when the retracement extended beyond the reconstructed swing high, one clean TP1 on 9 July. The strategy works when the impulse leg is well-defined and fails when the tape is chopping around a swing high — precisely the condition of the first half of the window.</w:t>
            </w:r>
          </w:p>
        </w:tc>
      </w:tr>
    </w:tbl>
    <w:p>
      <w:pPr>
        <w:spacing w:after="70" w:before="140"/>
      </w:pPr>
      <w:r>
        <w:rPr>
          <w:rFonts w:ascii="Calibri" w:cs="Calibri" w:eastAsia="Calibri" w:hAnsi="Calibri"/>
          <w:b/>
          <w:bCs/>
          <w:color w:val="333333"/>
          <w:sz w:val="21"/>
          <w:szCs w:val="21"/>
        </w:rPr>
        <w:t xml:space="preserve">Aggregate</w:t>
      </w:r>
    </w:p>
    <w:p>
      <w:pPr>
        <w:spacing w:after="90"/>
        <w:jc w:val="left"/>
      </w:pPr>
      <w:r>
        <w:rPr>
          <w:rFonts w:ascii="Calibri" w:cs="Calibri" w:eastAsia="Calibri" w:hAnsi="Calibri"/>
          <w:b w:val="false"/>
          <w:bCs w:val="false"/>
          <w:i w:val="false"/>
          <w:iCs w:val="false"/>
          <w:color w:val="000000"/>
          <w:sz w:val="20"/>
          <w:szCs w:val="20"/>
        </w:rPr>
        <w:t xml:space="preserve">Across all strategies and all triggered reconstructions, 11 of 15 possible card-sessions triggered. Mean R across all closed positions: +0.02R. TP1 hit rate across all triggered positions: 4 of 11 (36%). No position in the window reached TP2 or TP3 — every resolution occurred either at TP1, at the stop, or at the session close. That is a direct consequence of the 5-session window: the trades are one-session reconstructions and none was permitted to run.</w:t>
      </w:r>
    </w:p>
    <w:p>
      <w:pPr>
        <w:spacing w:after="90"/>
        <w:jc w:val="left"/>
      </w:pPr>
      <w:r>
        <w:rPr>
          <w:rFonts w:ascii="Calibri" w:cs="Calibri" w:eastAsia="Calibri" w:hAnsi="Calibri"/>
          <w:b w:val="false"/>
          <w:bCs w:val="false"/>
          <w:i w:val="false"/>
          <w:iCs w:val="false"/>
          <w:color w:val="000000"/>
          <w:sz w:val="20"/>
          <w:szCs w:val="20"/>
        </w:rPr>
        <w:t xml:space="preserve">What the record actually says is narrow but real: the pivot fade is the strategy the tape rewarded, the unconditional daily directional entry is the strategy the tape punished, and the live card structure — Trade 1 suppressed, Trade 2 produced — happens to align with that record. The alignment is coincidental. The suppression was mechanical, driven by the conviction threshold, not by the backtest.</w:t>
      </w:r>
    </w:p>
    <w:p>
      <w:pPr>
        <w:spacing w:after="70" w:before="140"/>
      </w:pPr>
      <w:r>
        <w:rPr>
          <w:rFonts w:ascii="Calibri" w:cs="Calibri" w:eastAsia="Calibri" w:hAnsi="Calibri"/>
          <w:b/>
          <w:bCs/>
          <w:color w:val="333333"/>
          <w:sz w:val="21"/>
          <w:szCs w:val="21"/>
        </w:rPr>
        <w:t xml:space="preserve">Limitations</w:t>
      </w:r>
    </w:p>
    <w:p>
      <w:pPr>
        <w:shd w:fill="FBF5E4" w:color="auto" w:val="clear"/>
        <w:spacing w:after="100" w:before="80"/>
      </w:pPr>
      <w:r>
        <w:rPr>
          <w:rFonts w:ascii="Calibri" w:cs="Calibri" w:eastAsia="Calibri" w:hAnsi="Calibri"/>
          <w:b/>
          <w:bCs/>
          <w:i/>
          <w:iCs/>
          <w:sz w:val="20"/>
          <w:szCs w:val="20"/>
        </w:rPr>
        <w:t xml:space="preserve">Five-session windows are too small for statistical claims. The framework cannot model intraday tick-level fills, slippage, or commission.</w:t>
      </w:r>
    </w:p>
    <w:p>
      <w:pPr>
        <w:spacing w:after="90"/>
        <w:jc w:val="left"/>
      </w:pPr>
      <w:r>
        <w:rPr>
          <w:rFonts w:ascii="Calibri" w:cs="Calibri" w:eastAsia="Calibri" w:hAnsi="Calibri"/>
          <w:b w:val="false"/>
          <w:bCs w:val="false"/>
          <w:i w:val="false"/>
          <w:iCs w:val="false"/>
          <w:color w:val="000000"/>
          <w:sz w:val="20"/>
          <w:szCs w:val="20"/>
        </w:rPr>
        <w:t xml:space="preserve">Two further limitations specific to this run are recorded rather than left implicit. First, the backtest reconstruction of Trade 1 uses a prior-session-extreme stop rather than the live EMA-anchored stop, because the EMA value was not corroborated for every historical session; the reconstructed Trade 1 is therefore a proxy for, not an exact replay of, the live card. Second, one session (9 July, Trade 1) resolved ambiguously — both stop and target lay inside the session range — and was assigned the adverse outcome by convention. A favourable-fill assumption would lift Trade 1's mean R from −0.03R to +0.37R and would invert the comparative ranking against Trade 2. That single assumption carries the entire comparative conclusion of §21d, and no reader should treat the ranking as robust.</w:t>
      </w:r>
    </w:p>
    <w:p>
      <w:pPr>
        <w:pBdr>
          <w:bottom w:val="single" w:color="BBBBBB" w:sz="6"/>
        </w:pBdr>
        <w:spacing w:after="80" w:before="80"/>
      </w:pPr>
      <w:r>
        <w:t xml:space="preserve"/>
      </w:r>
    </w:p>
    <w:p>
      <w:pPr>
        <w:spacing w:after="90"/>
        <w:jc w:val="center"/>
      </w:pPr>
      <w:r>
        <w:rPr>
          <w:rFonts w:ascii="Calibri" w:cs="Calibri" w:eastAsia="Calibri" w:hAnsi="Calibri"/>
          <w:b w:val="false"/>
          <w:bCs w:val="false"/>
          <w:i/>
          <w:iCs/>
          <w:color w:val="000000"/>
          <w:sz w:val="18"/>
          <w:szCs w:val="18"/>
        </w:rPr>
        <w:t xml:space="preserve">End of report.</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Gold Daily Report  │  10 July 2026  │  Senior Commodities Analyst — Precious Metals   </w:t>
    </w:r>
    <w:r>
      <w:rPr>
        <w:rFonts w:ascii="Calibri" w:cs="Calibri" w:eastAsia="Calibri" w:hAnsi="Calibri"/>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2026-07-09T21:31:26.288Z</dcterms:created>
  <dcterms:modified xsi:type="dcterms:W3CDTF">2026-07-09T21:31:26.302Z</dcterms:modified>
</cp:coreProperties>
</file>

<file path=docProps/custom.xml><?xml version="1.0" encoding="utf-8"?>
<Properties xmlns="http://schemas.openxmlformats.org/officeDocument/2006/custom-properties" xmlns:vt="http://schemas.openxmlformats.org/officeDocument/2006/docPropsVTypes"/>
</file>