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F3A5F"/>
          <w:sz w:val="40"/>
        </w:rPr>
        <w:t>Gold Report — Daily: 14 May 2026</w:t>
      </w:r>
    </w:p>
    <w:p>
      <w:pPr>
        <w:spacing w:after="40"/>
      </w:pPr>
      <w:r>
        <w:rPr>
          <w:rFonts w:ascii="Calibri" w:hAnsi="Calibri"/>
          <w:i/>
          <w:color w:val="333333"/>
          <w:sz w:val="23"/>
        </w:rPr>
        <w:t>With reference to: Silver · USDX · S&amp;P 500 · DAX 40</w:t>
      </w:r>
    </w:p>
    <w:p>
      <w:pPr>
        <w:spacing w:after="160"/>
      </w:pPr>
      <w:r>
        <w:rPr>
          <w:rFonts w:ascii="Calibri" w:hAnsi="Calibri"/>
          <w:color w:val="333333"/>
          <w:sz w:val="19"/>
        </w:rPr>
        <w:t>Senior Commodities Analyst — Precious Metals  ·  As of 14 May 2026 (Europe/London)  ·  Spot XAU/USD, USD/oz</w:t>
      </w:r>
    </w:p>
    <w:p>
      <w:pPr>
        <w:pBdr>
          <w:bottom w:val="single" w:sz="8" w:color="1F3A5F"/>
        </w:pBdr>
      </w:pPr>
    </w:p>
    <w:tbl>
      <w:tblPr>
        <w:jc w:val="left"/>
        <w:tblLook w:firstColumn="1" w:firstRow="1" w:lastColumn="0" w:lastRow="0" w:noHBand="0" w:noVBand="1" w:val="04A0"/>
        <w:tblW w:w="16400" w:type="dxa"/>
      </w:tblPr>
      <w:tblGrid>
        <w:gridCol w:w="10080"/>
      </w:tblGrid>
      <w:tr>
        <w:tc>
          <w:tcPr>
            <w:tcW w:type="dxa" w:w="10080"/>
            <w:shd w:val="clear" w:color="auto" w:fill="1F3A5F"/>
          </w:tcPr>
          <w:p>
            <w:pPr>
              <w:spacing w:before="40" w:after="40"/>
            </w:pPr>
            <w:r>
              <w:rPr>
                <w:rFonts w:ascii="Calibri" w:hAnsi="Calibri"/>
                <w:b/>
                <w:color w:val="FFFFFF"/>
                <w:sz w:val="24"/>
              </w:rPr>
              <w:t>§1  EXECUTIVE SNAPSHOT</w:t>
            </w:r>
          </w:p>
        </w:tc>
      </w:tr>
    </w:tbl>
    <w:p>
      <w:pPr>
        <w:spacing w:after="160" w:before="0"/>
      </w:pPr>
      <w:r>
        <w:rPr>
          <w:rFonts w:ascii="Calibri" w:hAnsi="Calibri"/>
          <w:b w:val="0"/>
          <w:i w:val="0"/>
          <w:sz w:val="21"/>
        </w:rPr>
        <w:t>Gold (XAU/USD spot) prints a consensus mid-session reading near USD 4,690/oz on 14 May 2026, after a two-session pullback from the 12 May open at USD 4,743/oz. Market tone is balanced-bearish in the very short term: hotter-than-expected US April CPI (3.8% vs 3.7% consensus) and a follow-through PPI surprise have compressed the rate-cut path, while the dollar holds near a one-week high and US 10-year real yields are firm. Three drivers dominate: (i) sticky inflation pushing the Fed easing path further out, weighing on the non-yielding metal via the real-yield channel; (ii) a marginally stronger USDX (≈98.6) acting as a direct headwind; (iii) a residual safe-haven bid from the unresolved US–Iran stalemate, plus India's import-duty hike on bullion (6% → 15%) dampening physical demand at the margin. Short-term technical state is Transitional — Bearish (close drifting below the 5-day open, RSI2 mid-band), and the medium-term regime is Transitional — Bullish (the 25-session structure remains in an intact uptrend off the April $4,353 pivot). The consolidated regime classifies as TRANSITION (Trade 3C — transition breakout fork). The single most important watch item is the 15 May US import-prices print and Friday's preliminary Michigan inflation-expectations release: an upside surprise on either accelerates the real-yield headwind and risks a test of the $4,640 swing low; a soft print reopens the path to $4,775–4,800.</w:t>
      </w:r>
    </w:p>
    <w:tbl>
      <w:tblPr>
        <w:jc w:val="left"/>
        <w:tblLook w:firstColumn="1" w:firstRow="1" w:lastColumn="0" w:lastRow="0" w:noHBand="0" w:noVBand="1" w:val="04A0"/>
        <w:tblW w:w="16400" w:type="dxa"/>
      </w:tblPr>
      <w:tblGrid>
        <w:gridCol w:w="10080"/>
      </w:tblGrid>
      <w:tr>
        <w:tc>
          <w:tcPr>
            <w:tcW w:type="dxa" w:w="10080"/>
            <w:shd w:val="clear" w:color="auto" w:fill="1F3A5F"/>
          </w:tcPr>
          <w:p>
            <w:pPr>
              <w:spacing w:before="40" w:after="40"/>
            </w:pPr>
            <w:r>
              <w:rPr>
                <w:rFonts w:ascii="Calibri" w:hAnsi="Calibri"/>
                <w:b/>
                <w:color w:val="FFFFFF"/>
                <w:sz w:val="24"/>
              </w:rPr>
              <w:t>§2  MARKET DEFINITION</w:t>
            </w:r>
          </w:p>
        </w:tc>
      </w:tr>
    </w:tbl>
    <w:tbl>
      <w:tblPr>
        <w:jc w:val="left"/>
        <w:tblLayout w:type="fixed"/>
        <w:tblLook w:firstColumn="1" w:firstRow="1" w:lastColumn="0" w:lastRow="0" w:noHBand="0" w:noVBand="1" w:val="04A0"/>
        <w:tblW w:w="9200" w:type="dxa"/>
      </w:tblPr>
      <w:tblGrid>
        <w:gridCol w:w="5040"/>
        <w:gridCol w:w="5040"/>
      </w:tblGrid>
      <w:tr>
        <w:tc>
          <w:tcPr>
            <w:shd w:val="clear" w:color="auto" w:fill="1F3A5F"/>
            <w:tcBorders>
              <w:top w:val="single" w:sz="4" w:color="BFBFBF"/>
              <w:left w:val="single" w:sz="4" w:color="BFBFBF"/>
              <w:bottom w:val="single" w:sz="4" w:color="BFBFBF"/>
              <w:right w:val="single" w:sz="4" w:color="BFBFBF"/>
            </w:tcBorders>
            <w:tcW w:w="2200" w:type="dxa"/>
          </w:tcPr>
          <w:p>
            <w:pPr>
              <w:spacing w:before="40" w:after="40"/>
            </w:pPr>
            <w:r>
              <w:rPr>
                <w:rFonts w:ascii="Calibri" w:hAnsi="Calibri"/>
                <w:b/>
                <w:color w:val="FFFFFF"/>
                <w:sz w:val="20"/>
              </w:rPr>
              <w:t>Field</w:t>
            </w:r>
          </w:p>
        </w:tc>
        <w:tc>
          <w:tcPr>
            <w:shd w:val="clear" w:color="auto" w:fill="1F3A5F"/>
            <w:tcBorders>
              <w:top w:val="single" w:sz="4" w:color="BFBFBF"/>
              <w:left w:val="single" w:sz="4" w:color="BFBFBF"/>
              <w:bottom w:val="single" w:sz="4" w:color="BFBFBF"/>
              <w:right w:val="single" w:sz="4" w:color="BFBFBF"/>
            </w:tcBorders>
            <w:tcW w:w="7000" w:type="dxa"/>
          </w:tcPr>
          <w:p>
            <w:pPr>
              <w:spacing w:before="40" w:after="40"/>
            </w:pPr>
            <w:r>
              <w:rPr>
                <w:rFonts w:ascii="Calibri" w:hAnsi="Calibri"/>
                <w:b/>
                <w:color w:val="FFFFFF"/>
                <w:sz w:val="20"/>
              </w:rPr>
              <w:t>Definition</w:t>
            </w:r>
          </w:p>
        </w:tc>
      </w:tr>
      <w:tr>
        <w:tc>
          <w:tcPr>
            <w:tcBorders>
              <w:top w:val="single" w:sz="4" w:color="BFBFBF"/>
              <w:left w:val="single" w:sz="4" w:color="BFBFBF"/>
              <w:bottom w:val="single" w:sz="4" w:color="BFBFBF"/>
              <w:right w:val="single" w:sz="4" w:color="BFBFBF"/>
            </w:tcBorders>
            <w:tcW w:w="2200" w:type="dxa"/>
          </w:tcPr>
          <w:p>
            <w:pPr>
              <w:spacing w:before="20" w:after="20"/>
            </w:pPr>
            <w:r>
              <w:rPr>
                <w:rFonts w:ascii="Calibri" w:hAnsi="Calibri"/>
                <w:sz w:val="19"/>
              </w:rPr>
              <w:t>Asset</w:t>
            </w:r>
          </w:p>
        </w:tc>
        <w:tc>
          <w:tcPr>
            <w:tcBorders>
              <w:top w:val="single" w:sz="4" w:color="BFBFBF"/>
              <w:left w:val="single" w:sz="4" w:color="BFBFBF"/>
              <w:bottom w:val="single" w:sz="4" w:color="BFBFBF"/>
              <w:right w:val="single" w:sz="4" w:color="BFBFBF"/>
            </w:tcBorders>
            <w:tcW w:w="7000" w:type="dxa"/>
          </w:tcPr>
          <w:p>
            <w:pPr>
              <w:spacing w:before="20" w:after="20"/>
            </w:pPr>
            <w:r>
              <w:rPr>
                <w:rFonts w:ascii="Calibri" w:hAnsi="Calibri"/>
                <w:sz w:val="19"/>
              </w:rPr>
              <w:t>Gold (XAU/USD spot)</w:t>
            </w:r>
          </w:p>
        </w:tc>
      </w:tr>
      <w:tr>
        <w:tc>
          <w:tcPr>
            <w:tcBorders>
              <w:top w:val="single" w:sz="4" w:color="BFBFBF"/>
              <w:left w:val="single" w:sz="4" w:color="BFBFBF"/>
              <w:bottom w:val="single" w:sz="4" w:color="BFBFBF"/>
              <w:right w:val="single" w:sz="4" w:color="BFBFBF"/>
            </w:tcBorders>
            <w:shd w:val="clear" w:color="auto" w:fill="F7F7F7"/>
            <w:tcW w:w="2200" w:type="dxa"/>
          </w:tcPr>
          <w:p>
            <w:pPr>
              <w:spacing w:before="20" w:after="20"/>
            </w:pPr>
            <w:r>
              <w:rPr>
                <w:rFonts w:ascii="Calibri" w:hAnsi="Calibri"/>
                <w:sz w:val="19"/>
              </w:rPr>
              <w:t>Product specification</w:t>
            </w:r>
          </w:p>
        </w:tc>
        <w:tc>
          <w:tcPr>
            <w:tcBorders>
              <w:top w:val="single" w:sz="4" w:color="BFBFBF"/>
              <w:left w:val="single" w:sz="4" w:color="BFBFBF"/>
              <w:bottom w:val="single" w:sz="4" w:color="BFBFBF"/>
              <w:right w:val="single" w:sz="4" w:color="BFBFBF"/>
            </w:tcBorders>
            <w:shd w:val="clear" w:color="auto" w:fill="F7F7F7"/>
            <w:tcW w:w="7000" w:type="dxa"/>
          </w:tcPr>
          <w:p>
            <w:pPr>
              <w:spacing w:before="20" w:after="20"/>
            </w:pPr>
            <w:r>
              <w:rPr>
                <w:rFonts w:ascii="Calibri" w:hAnsi="Calibri"/>
                <w:sz w:val="19"/>
              </w:rPr>
              <w:t>London Good Delivery bar (99.99% pure), 400-oz spot quote (LBMA standard)</w:t>
            </w:r>
          </w:p>
        </w:tc>
      </w:tr>
      <w:tr>
        <w:tc>
          <w:tcPr>
            <w:tcBorders>
              <w:top w:val="single" w:sz="4" w:color="BFBFBF"/>
              <w:left w:val="single" w:sz="4" w:color="BFBFBF"/>
              <w:bottom w:val="single" w:sz="4" w:color="BFBFBF"/>
              <w:right w:val="single" w:sz="4" w:color="BFBFBF"/>
            </w:tcBorders>
            <w:tcW w:w="2200" w:type="dxa"/>
          </w:tcPr>
          <w:p>
            <w:pPr>
              <w:spacing w:before="20" w:after="20"/>
            </w:pPr>
            <w:r>
              <w:rPr>
                <w:rFonts w:ascii="Calibri" w:hAnsi="Calibri"/>
                <w:sz w:val="19"/>
              </w:rPr>
              <w:t>Market scope</w:t>
            </w:r>
          </w:p>
        </w:tc>
        <w:tc>
          <w:tcPr>
            <w:tcBorders>
              <w:top w:val="single" w:sz="4" w:color="BFBFBF"/>
              <w:left w:val="single" w:sz="4" w:color="BFBFBF"/>
              <w:bottom w:val="single" w:sz="4" w:color="BFBFBF"/>
              <w:right w:val="single" w:sz="4" w:color="BFBFBF"/>
            </w:tcBorders>
            <w:tcW w:w="7000" w:type="dxa"/>
          </w:tcPr>
          <w:p>
            <w:pPr>
              <w:spacing w:before="20" w:after="20"/>
            </w:pPr>
            <w:r>
              <w:rPr>
                <w:rFonts w:ascii="Calibri" w:hAnsi="Calibri"/>
                <w:sz w:val="19"/>
              </w:rPr>
              <w:t>Global — 24-hour spot market</w:t>
            </w:r>
          </w:p>
        </w:tc>
      </w:tr>
      <w:tr>
        <w:tc>
          <w:tcPr>
            <w:tcBorders>
              <w:top w:val="single" w:sz="4" w:color="BFBFBF"/>
              <w:left w:val="single" w:sz="4" w:color="BFBFBF"/>
              <w:bottom w:val="single" w:sz="4" w:color="BFBFBF"/>
              <w:right w:val="single" w:sz="4" w:color="BFBFBF"/>
            </w:tcBorders>
            <w:shd w:val="clear" w:color="auto" w:fill="F7F7F7"/>
            <w:tcW w:w="2200" w:type="dxa"/>
          </w:tcPr>
          <w:p>
            <w:pPr>
              <w:spacing w:before="20" w:after="20"/>
            </w:pPr>
            <w:r>
              <w:rPr>
                <w:rFonts w:ascii="Calibri" w:hAnsi="Calibri"/>
                <w:sz w:val="19"/>
              </w:rPr>
              <w:t>Delivery basis</w:t>
            </w:r>
          </w:p>
        </w:tc>
        <w:tc>
          <w:tcPr>
            <w:tcBorders>
              <w:top w:val="single" w:sz="4" w:color="BFBFBF"/>
              <w:left w:val="single" w:sz="4" w:color="BFBFBF"/>
              <w:bottom w:val="single" w:sz="4" w:color="BFBFBF"/>
              <w:right w:val="single" w:sz="4" w:color="BFBFBF"/>
            </w:tcBorders>
            <w:shd w:val="clear" w:color="auto" w:fill="F7F7F7"/>
            <w:tcW w:w="7000" w:type="dxa"/>
          </w:tcPr>
          <w:p>
            <w:pPr>
              <w:spacing w:before="20" w:after="20"/>
            </w:pPr>
            <w:r>
              <w:rPr>
                <w:rFonts w:ascii="Calibri" w:hAnsi="Calibri"/>
                <w:sz w:val="19"/>
              </w:rPr>
              <w:t>OTC London spot, T+2 settlement</w:t>
            </w:r>
          </w:p>
        </w:tc>
      </w:tr>
      <w:tr>
        <w:tc>
          <w:tcPr>
            <w:tcBorders>
              <w:top w:val="single" w:sz="4" w:color="BFBFBF"/>
              <w:left w:val="single" w:sz="4" w:color="BFBFBF"/>
              <w:bottom w:val="single" w:sz="4" w:color="BFBFBF"/>
              <w:right w:val="single" w:sz="4" w:color="BFBFBF"/>
            </w:tcBorders>
            <w:tcW w:w="2200" w:type="dxa"/>
          </w:tcPr>
          <w:p>
            <w:pPr>
              <w:spacing w:before="20" w:after="20"/>
            </w:pPr>
            <w:r>
              <w:rPr>
                <w:rFonts w:ascii="Calibri" w:hAnsi="Calibri"/>
                <w:sz w:val="19"/>
              </w:rPr>
              <w:t>Price basis</w:t>
            </w:r>
          </w:p>
        </w:tc>
        <w:tc>
          <w:tcPr>
            <w:tcBorders>
              <w:top w:val="single" w:sz="4" w:color="BFBFBF"/>
              <w:left w:val="single" w:sz="4" w:color="BFBFBF"/>
              <w:bottom w:val="single" w:sz="4" w:color="BFBFBF"/>
              <w:right w:val="single" w:sz="4" w:color="BFBFBF"/>
            </w:tcBorders>
            <w:tcW w:w="7000" w:type="dxa"/>
          </w:tcPr>
          <w:p>
            <w:pPr>
              <w:spacing w:before="20" w:after="20"/>
            </w:pPr>
            <w:r>
              <w:rPr>
                <w:rFonts w:ascii="Calibri" w:hAnsi="Calibri"/>
                <w:sz w:val="19"/>
              </w:rPr>
              <w:t>Spot, immediate settlement (loco London)</w:t>
            </w:r>
          </w:p>
        </w:tc>
      </w:tr>
      <w:tr>
        <w:tc>
          <w:tcPr>
            <w:tcBorders>
              <w:top w:val="single" w:sz="4" w:color="BFBFBF"/>
              <w:left w:val="single" w:sz="4" w:color="BFBFBF"/>
              <w:bottom w:val="single" w:sz="4" w:color="BFBFBF"/>
              <w:right w:val="single" w:sz="4" w:color="BFBFBF"/>
            </w:tcBorders>
            <w:shd w:val="clear" w:color="auto" w:fill="F7F7F7"/>
            <w:tcW w:w="2200" w:type="dxa"/>
          </w:tcPr>
          <w:p>
            <w:pPr>
              <w:spacing w:before="20" w:after="20"/>
            </w:pPr>
            <w:r>
              <w:rPr>
                <w:rFonts w:ascii="Calibri" w:hAnsi="Calibri"/>
                <w:sz w:val="19"/>
              </w:rPr>
              <w:t>Unit of measure</w:t>
            </w:r>
          </w:p>
        </w:tc>
        <w:tc>
          <w:tcPr>
            <w:tcBorders>
              <w:top w:val="single" w:sz="4" w:color="BFBFBF"/>
              <w:left w:val="single" w:sz="4" w:color="BFBFBF"/>
              <w:bottom w:val="single" w:sz="4" w:color="BFBFBF"/>
              <w:right w:val="single" w:sz="4" w:color="BFBFBF"/>
            </w:tcBorders>
            <w:shd w:val="clear" w:color="auto" w:fill="F7F7F7"/>
            <w:tcW w:w="7000" w:type="dxa"/>
          </w:tcPr>
          <w:p>
            <w:pPr>
              <w:spacing w:before="20" w:after="20"/>
            </w:pPr>
            <w:r>
              <w:rPr>
                <w:rFonts w:ascii="Calibri" w:hAnsi="Calibri"/>
                <w:sz w:val="19"/>
              </w:rPr>
              <w:t>USD/oz</w:t>
            </w:r>
          </w:p>
        </w:tc>
      </w:tr>
      <w:tr>
        <w:tc>
          <w:tcPr>
            <w:tcBorders>
              <w:top w:val="single" w:sz="4" w:color="BFBFBF"/>
              <w:left w:val="single" w:sz="4" w:color="BFBFBF"/>
              <w:bottom w:val="single" w:sz="4" w:color="BFBFBF"/>
              <w:right w:val="single" w:sz="4" w:color="BFBFBF"/>
            </w:tcBorders>
            <w:tcW w:w="2200" w:type="dxa"/>
          </w:tcPr>
          <w:p>
            <w:pPr>
              <w:spacing w:before="20" w:after="20"/>
            </w:pPr>
            <w:r>
              <w:rPr>
                <w:rFonts w:ascii="Calibri" w:hAnsi="Calibri"/>
                <w:sz w:val="19"/>
              </w:rPr>
              <w:t>Currency</w:t>
            </w:r>
          </w:p>
        </w:tc>
        <w:tc>
          <w:tcPr>
            <w:tcBorders>
              <w:top w:val="single" w:sz="4" w:color="BFBFBF"/>
              <w:left w:val="single" w:sz="4" w:color="BFBFBF"/>
              <w:bottom w:val="single" w:sz="4" w:color="BFBFBF"/>
              <w:right w:val="single" w:sz="4" w:color="BFBFBF"/>
            </w:tcBorders>
            <w:tcW w:w="7000" w:type="dxa"/>
          </w:tcPr>
          <w:p>
            <w:pPr>
              <w:spacing w:before="20" w:after="20"/>
            </w:pPr>
            <w:r>
              <w:rPr>
                <w:rFonts w:ascii="Calibri" w:hAnsi="Calibri"/>
                <w:sz w:val="19"/>
              </w:rPr>
              <w:t>USD</w:t>
            </w:r>
          </w:p>
        </w:tc>
      </w:tr>
      <w:tr>
        <w:tc>
          <w:tcPr>
            <w:tcBorders>
              <w:top w:val="single" w:sz="4" w:color="BFBFBF"/>
              <w:left w:val="single" w:sz="4" w:color="BFBFBF"/>
              <w:bottom w:val="single" w:sz="4" w:color="BFBFBF"/>
              <w:right w:val="single" w:sz="4" w:color="BFBFBF"/>
            </w:tcBorders>
            <w:shd w:val="clear" w:color="auto" w:fill="F7F7F7"/>
            <w:tcW w:w="2200" w:type="dxa"/>
          </w:tcPr>
          <w:p>
            <w:pPr>
              <w:spacing w:before="20" w:after="20"/>
            </w:pPr>
            <w:r>
              <w:rPr>
                <w:rFonts w:ascii="Calibri" w:hAnsi="Calibri"/>
                <w:sz w:val="19"/>
              </w:rPr>
              <w:t>As-of date</w:t>
            </w:r>
          </w:p>
        </w:tc>
        <w:tc>
          <w:tcPr>
            <w:tcBorders>
              <w:top w:val="single" w:sz="4" w:color="BFBFBF"/>
              <w:left w:val="single" w:sz="4" w:color="BFBFBF"/>
              <w:bottom w:val="single" w:sz="4" w:color="BFBFBF"/>
              <w:right w:val="single" w:sz="4" w:color="BFBFBF"/>
            </w:tcBorders>
            <w:shd w:val="clear" w:color="auto" w:fill="F7F7F7"/>
            <w:tcW w:w="7000" w:type="dxa"/>
          </w:tcPr>
          <w:p>
            <w:pPr>
              <w:spacing w:before="20" w:after="20"/>
            </w:pPr>
            <w:r>
              <w:rPr>
                <w:rFonts w:ascii="Calibri" w:hAnsi="Calibri"/>
                <w:sz w:val="19"/>
              </w:rPr>
              <w:t>14 May 2026 (Europe/London)</w:t>
            </w:r>
          </w:p>
        </w:tc>
      </w:tr>
      <w:tr>
        <w:tc>
          <w:tcPr>
            <w:tcBorders>
              <w:top w:val="single" w:sz="4" w:color="BFBFBF"/>
              <w:left w:val="single" w:sz="4" w:color="BFBFBF"/>
              <w:bottom w:val="single" w:sz="4" w:color="BFBFBF"/>
              <w:right w:val="single" w:sz="4" w:color="BFBFBF"/>
            </w:tcBorders>
            <w:tcW w:w="2200" w:type="dxa"/>
          </w:tcPr>
          <w:p>
            <w:pPr>
              <w:spacing w:before="20" w:after="20"/>
            </w:pPr>
            <w:r>
              <w:rPr>
                <w:rFonts w:ascii="Calibri" w:hAnsi="Calibri"/>
                <w:sz w:val="19"/>
              </w:rPr>
              <w:t>Lookback window</w:t>
            </w:r>
          </w:p>
        </w:tc>
        <w:tc>
          <w:tcPr>
            <w:tcBorders>
              <w:top w:val="single" w:sz="4" w:color="BFBFBF"/>
              <w:left w:val="single" w:sz="4" w:color="BFBFBF"/>
              <w:bottom w:val="single" w:sz="4" w:color="BFBFBF"/>
              <w:right w:val="single" w:sz="4" w:color="BFBFBF"/>
            </w:tcBorders>
            <w:tcW w:w="7000" w:type="dxa"/>
          </w:tcPr>
          <w:p>
            <w:pPr>
              <w:spacing w:before="20" w:after="20"/>
            </w:pPr>
            <w:r>
              <w:rPr>
                <w:rFonts w:ascii="Calibri" w:hAnsi="Calibri"/>
                <w:sz w:val="19"/>
              </w:rPr>
              <w:t>5 trading days (08 May – 14 May 2026)</w:t>
            </w:r>
          </w:p>
        </w:tc>
      </w:tr>
      <w:tr>
        <w:tc>
          <w:tcPr>
            <w:tcBorders>
              <w:top w:val="single" w:sz="4" w:color="BFBFBF"/>
              <w:left w:val="single" w:sz="4" w:color="BFBFBF"/>
              <w:bottom w:val="single" w:sz="4" w:color="BFBFBF"/>
              <w:right w:val="single" w:sz="4" w:color="BFBFBF"/>
            </w:tcBorders>
            <w:shd w:val="clear" w:color="auto" w:fill="F7F7F7"/>
            <w:tcW w:w="2200" w:type="dxa"/>
          </w:tcPr>
          <w:p>
            <w:pPr>
              <w:spacing w:before="20" w:after="20"/>
            </w:pPr>
            <w:r>
              <w:rPr>
                <w:rFonts w:ascii="Calibri" w:hAnsi="Calibri"/>
                <w:sz w:val="19"/>
              </w:rPr>
              <w:t>Corroboration anchor</w:t>
            </w:r>
          </w:p>
        </w:tc>
        <w:tc>
          <w:tcPr>
            <w:tcBorders>
              <w:top w:val="single" w:sz="4" w:color="BFBFBF"/>
              <w:left w:val="single" w:sz="4" w:color="BFBFBF"/>
              <w:bottom w:val="single" w:sz="4" w:color="BFBFBF"/>
              <w:right w:val="single" w:sz="4" w:color="BFBFBF"/>
            </w:tcBorders>
            <w:shd w:val="clear" w:color="auto" w:fill="F7F7F7"/>
            <w:tcW w:w="7000" w:type="dxa"/>
          </w:tcPr>
          <w:p>
            <w:pPr>
              <w:spacing w:before="20" w:after="20"/>
            </w:pPr>
            <w:r>
              <w:rPr>
                <w:rFonts w:ascii="Calibri" w:hAnsi="Calibri"/>
                <w:sz w:val="19"/>
              </w:rPr>
              <w:t>CME GC=F front-month for cross-validation</w:t>
            </w:r>
          </w:p>
        </w:tc>
      </w:tr>
    </w:tbl>
    <w:tbl>
      <w:tblPr>
        <w:jc w:val="left"/>
        <w:tblLook w:firstColumn="1" w:firstRow="1" w:lastColumn="0" w:lastRow="0" w:noHBand="0" w:noVBand="1" w:val="04A0"/>
        <w:tblW w:w="16400" w:type="dxa"/>
      </w:tblPr>
      <w:tblGrid>
        <w:gridCol w:w="10080"/>
      </w:tblGrid>
      <w:tr>
        <w:tc>
          <w:tcPr>
            <w:tcW w:type="dxa" w:w="10080"/>
            <w:shd w:val="clear" w:color="auto" w:fill="1F3A5F"/>
          </w:tcPr>
          <w:p>
            <w:pPr>
              <w:spacing w:before="40" w:after="40"/>
            </w:pPr>
            <w:r>
              <w:rPr>
                <w:rFonts w:ascii="Calibri" w:hAnsi="Calibri"/>
                <w:b/>
                <w:color w:val="FFFFFF"/>
                <w:sz w:val="24"/>
              </w:rPr>
              <w:t>§3  CONSENSUS PRICE CALL</w:t>
            </w:r>
          </w:p>
        </w:tc>
      </w:tr>
    </w:tbl>
    <w:tbl>
      <w:tblPr>
        <w:jc w:val="left"/>
        <w:tblLayout w:type="fixed"/>
        <w:tblLook w:firstColumn="1" w:firstRow="1" w:lastColumn="0" w:lastRow="0" w:noHBand="0" w:noVBand="1" w:val="04A0"/>
        <w:tblW w:w="9200" w:type="dxa"/>
      </w:tblPr>
      <w:tblGrid>
        <w:gridCol w:w="1680"/>
        <w:gridCol w:w="1680"/>
        <w:gridCol w:w="1680"/>
        <w:gridCol w:w="1680"/>
        <w:gridCol w:w="1680"/>
        <w:gridCol w:w="1680"/>
      </w:tblGrid>
      <w:tr>
        <w:tc>
          <w:tcPr>
            <w:shd w:val="clear" w:color="auto" w:fill="1F3A5F"/>
            <w:tcBorders>
              <w:top w:val="single" w:sz="4" w:color="BFBFBF"/>
              <w:left w:val="single" w:sz="4" w:color="BFBFBF"/>
              <w:bottom w:val="single" w:sz="4" w:color="BFBFBF"/>
              <w:right w:val="single" w:sz="4" w:color="BFBFBF"/>
            </w:tcBorders>
            <w:tcW w:w="1300" w:type="dxa"/>
          </w:tcPr>
          <w:p>
            <w:pPr>
              <w:spacing w:before="40" w:after="40"/>
            </w:pPr>
            <w:r>
              <w:rPr>
                <w:rFonts w:ascii="Calibri" w:hAnsi="Calibri"/>
                <w:b/>
                <w:color w:val="FFFFFF"/>
                <w:sz w:val="20"/>
              </w:rPr>
              <w:t>Consensus price</w:t>
            </w:r>
          </w:p>
        </w:tc>
        <w:tc>
          <w:tcPr>
            <w:shd w:val="clear" w:color="auto" w:fill="1F3A5F"/>
            <w:tcBorders>
              <w:top w:val="single" w:sz="4" w:color="BFBFBF"/>
              <w:left w:val="single" w:sz="4" w:color="BFBFBF"/>
              <w:bottom w:val="single" w:sz="4" w:color="BFBFBF"/>
              <w:right w:val="single" w:sz="4" w:color="BFBFBF"/>
            </w:tcBorders>
            <w:tcW w:w="1500" w:type="dxa"/>
          </w:tcPr>
          <w:p>
            <w:pPr>
              <w:spacing w:before="40" w:after="40"/>
            </w:pPr>
            <w:r>
              <w:rPr>
                <w:rFonts w:ascii="Calibri" w:hAnsi="Calibri"/>
                <w:b/>
                <w:color w:val="FFFFFF"/>
                <w:sz w:val="20"/>
              </w:rPr>
              <w:t>Range</w:t>
            </w:r>
          </w:p>
        </w:tc>
        <w:tc>
          <w:tcPr>
            <w:shd w:val="clear" w:color="auto" w:fill="1F3A5F"/>
            <w:tcBorders>
              <w:top w:val="single" w:sz="4" w:color="BFBFBF"/>
              <w:left w:val="single" w:sz="4" w:color="BFBFBF"/>
              <w:bottom w:val="single" w:sz="4" w:color="BFBFBF"/>
              <w:right w:val="single" w:sz="4" w:color="BFBFBF"/>
            </w:tcBorders>
            <w:tcW w:w="1300" w:type="dxa"/>
          </w:tcPr>
          <w:p>
            <w:pPr>
              <w:spacing w:before="40" w:after="40"/>
            </w:pPr>
            <w:r>
              <w:rPr>
                <w:rFonts w:ascii="Calibri" w:hAnsi="Calibri"/>
                <w:b/>
                <w:color w:val="FFFFFF"/>
                <w:sz w:val="20"/>
              </w:rPr>
              <w:t>Basis</w:t>
            </w:r>
          </w:p>
        </w:tc>
        <w:tc>
          <w:tcPr>
            <w:shd w:val="clear" w:color="auto" w:fill="1F3A5F"/>
            <w:tcBorders>
              <w:top w:val="single" w:sz="4" w:color="BFBFBF"/>
              <w:left w:val="single" w:sz="4" w:color="BFBFBF"/>
              <w:bottom w:val="single" w:sz="4" w:color="BFBFBF"/>
              <w:right w:val="single" w:sz="4" w:color="BFBFBF"/>
            </w:tcBorders>
            <w:tcW w:w="1100" w:type="dxa"/>
          </w:tcPr>
          <w:p>
            <w:pPr>
              <w:spacing w:before="40" w:after="40"/>
            </w:pPr>
            <w:r>
              <w:rPr>
                <w:rFonts w:ascii="Calibri" w:hAnsi="Calibri"/>
                <w:b/>
                <w:color w:val="FFFFFF"/>
                <w:sz w:val="20"/>
              </w:rPr>
              <w:t>Confidence</w:t>
            </w:r>
          </w:p>
        </w:tc>
        <w:tc>
          <w:tcPr>
            <w:shd w:val="clear" w:color="auto" w:fill="1F3A5F"/>
            <w:tcBorders>
              <w:top w:val="single" w:sz="4" w:color="BFBFBF"/>
              <w:left w:val="single" w:sz="4" w:color="BFBFBF"/>
              <w:bottom w:val="single" w:sz="4" w:color="BFBFBF"/>
              <w:right w:val="single" w:sz="4" w:color="BFBFBF"/>
            </w:tcBorders>
            <w:tcW w:w="1400" w:type="dxa"/>
          </w:tcPr>
          <w:p>
            <w:pPr>
              <w:spacing w:before="40" w:after="40"/>
            </w:pPr>
            <w:r>
              <w:rPr>
                <w:rFonts w:ascii="Calibri" w:hAnsi="Calibri"/>
                <w:b/>
                <w:color w:val="FFFFFF"/>
                <w:sz w:val="20"/>
              </w:rPr>
              <w:t>Market tone</w:t>
            </w:r>
          </w:p>
        </w:tc>
        <w:tc>
          <w:tcPr>
            <w:shd w:val="clear" w:color="auto" w:fill="1F3A5F"/>
            <w:tcBorders>
              <w:top w:val="single" w:sz="4" w:color="BFBFBF"/>
              <w:left w:val="single" w:sz="4" w:color="BFBFBF"/>
              <w:bottom w:val="single" w:sz="4" w:color="BFBFBF"/>
              <w:right w:val="single" w:sz="4" w:color="BFBFBF"/>
            </w:tcBorders>
            <w:tcW w:w="2600" w:type="dxa"/>
          </w:tcPr>
          <w:p>
            <w:pPr>
              <w:spacing w:before="40" w:after="40"/>
            </w:pPr>
            <w:r>
              <w:rPr>
                <w:rFonts w:ascii="Calibri" w:hAnsi="Calibri"/>
                <w:b/>
                <w:color w:val="FFFFFF"/>
                <w:sz w:val="20"/>
              </w:rPr>
              <w:t>Rationale (1–2 lines)</w:t>
            </w:r>
          </w:p>
        </w:tc>
      </w:tr>
      <w:tr>
        <w:tc>
          <w:tcPr>
            <w:tcBorders>
              <w:top w:val="single" w:sz="4" w:color="BFBFBF"/>
              <w:left w:val="single" w:sz="4" w:color="BFBFBF"/>
              <w:bottom w:val="single" w:sz="4" w:color="BFBFBF"/>
              <w:right w:val="single" w:sz="4" w:color="BFBFBF"/>
            </w:tcBorders>
            <w:tcW w:w="1300" w:type="dxa"/>
          </w:tcPr>
          <w:p>
            <w:pPr>
              <w:spacing w:before="20" w:after="20"/>
            </w:pPr>
            <w:r>
              <w:rPr>
                <w:rFonts w:ascii="Calibri" w:hAnsi="Calibri"/>
                <w:sz w:val="19"/>
              </w:rPr>
              <w:t>USD 4,690 /oz</w:t>
            </w:r>
          </w:p>
        </w:tc>
        <w:tc>
          <w:tcPr>
            <w:tcBorders>
              <w:top w:val="single" w:sz="4" w:color="BFBFBF"/>
              <w:left w:val="single" w:sz="4" w:color="BFBFBF"/>
              <w:bottom w:val="single" w:sz="4" w:color="BFBFBF"/>
              <w:right w:val="single" w:sz="4" w:color="BFBFBF"/>
            </w:tcBorders>
            <w:tcW w:w="1500" w:type="dxa"/>
          </w:tcPr>
          <w:p>
            <w:pPr>
              <w:spacing w:before="20" w:after="20"/>
            </w:pPr>
            <w:r>
              <w:rPr>
                <w:rFonts w:ascii="Calibri" w:hAnsi="Calibri"/>
                <w:sz w:val="19"/>
              </w:rPr>
              <w:t>USD 4,670 – 4,720 /oz</w:t>
            </w:r>
          </w:p>
        </w:tc>
        <w:tc>
          <w:tcPr>
            <w:tcBorders>
              <w:top w:val="single" w:sz="4" w:color="BFBFBF"/>
              <w:left w:val="single" w:sz="4" w:color="BFBFBF"/>
              <w:bottom w:val="single" w:sz="4" w:color="BFBFBF"/>
              <w:right w:val="single" w:sz="4" w:color="BFBFBF"/>
            </w:tcBorders>
            <w:tcW w:w="1300" w:type="dxa"/>
          </w:tcPr>
          <w:p>
            <w:pPr>
              <w:spacing w:before="20" w:after="20"/>
            </w:pPr>
            <w:r>
              <w:rPr>
                <w:rFonts w:ascii="Calibri" w:hAnsi="Calibri"/>
                <w:sz w:val="19"/>
              </w:rPr>
              <w:t>Spot, loco London</w:t>
            </w:r>
          </w:p>
        </w:tc>
        <w:tc>
          <w:tcPr>
            <w:tcBorders>
              <w:top w:val="single" w:sz="4" w:color="BFBFBF"/>
              <w:left w:val="single" w:sz="4" w:color="BFBFBF"/>
              <w:bottom w:val="single" w:sz="4" w:color="BFBFBF"/>
              <w:right w:val="single" w:sz="4" w:color="BFBFBF"/>
            </w:tcBorders>
            <w:tcW w:w="1100" w:type="dxa"/>
          </w:tcPr>
          <w:p>
            <w:pPr>
              <w:spacing w:before="20" w:after="20"/>
            </w:pPr>
            <w:r>
              <w:rPr>
                <w:rFonts w:ascii="Calibri" w:hAnsi="Calibri"/>
                <w:sz w:val="19"/>
              </w:rPr>
              <w:t>Medium</w:t>
            </w:r>
          </w:p>
        </w:tc>
        <w:tc>
          <w:tcPr>
            <w:tcBorders>
              <w:top w:val="single" w:sz="4" w:color="BFBFBF"/>
              <w:left w:val="single" w:sz="4" w:color="BFBFBF"/>
              <w:bottom w:val="single" w:sz="4" w:color="BFBFBF"/>
              <w:right w:val="single" w:sz="4" w:color="BFBFBF"/>
            </w:tcBorders>
            <w:tcW w:w="1400" w:type="dxa"/>
          </w:tcPr>
          <w:p>
            <w:pPr>
              <w:spacing w:before="20" w:after="20"/>
            </w:pPr>
            <w:r>
              <w:rPr>
                <w:rFonts w:ascii="Calibri" w:hAnsi="Calibri"/>
                <w:sz w:val="19"/>
              </w:rPr>
              <w:t>Balanced-bearish</w:t>
            </w:r>
          </w:p>
        </w:tc>
        <w:tc>
          <w:tcPr>
            <w:tcBorders>
              <w:top w:val="single" w:sz="4" w:color="BFBFBF"/>
              <w:left w:val="single" w:sz="4" w:color="BFBFBF"/>
              <w:bottom w:val="single" w:sz="4" w:color="BFBFBF"/>
              <w:right w:val="single" w:sz="4" w:color="BFBFBF"/>
            </w:tcBorders>
            <w:tcW w:w="2600" w:type="dxa"/>
          </w:tcPr>
          <w:p>
            <w:pPr>
              <w:spacing w:before="20" w:after="20"/>
            </w:pPr>
            <w:r>
              <w:rPr>
                <w:rFonts w:ascii="Calibri" w:hAnsi="Calibri"/>
                <w:sz w:val="19"/>
              </w:rPr>
              <w:t>Aggregator and exchange feeds cluster $4,680–$4,710 on 13–14 May; soft within an intact medium-term uptrend.</w:t>
            </w:r>
          </w:p>
        </w:tc>
      </w:tr>
    </w:tbl>
    <w:tbl>
      <w:tblPr>
        <w:jc w:val="left"/>
        <w:tblLook w:firstColumn="1" w:firstRow="1" w:lastColumn="0" w:lastRow="0" w:noHBand="0" w:noVBand="1" w:val="04A0"/>
        <w:tblW w:w="16400" w:type="dxa"/>
      </w:tblPr>
      <w:tblGrid>
        <w:gridCol w:w="10080"/>
      </w:tblGrid>
      <w:tr>
        <w:tc>
          <w:tcPr>
            <w:tcW w:type="dxa" w:w="10080"/>
            <w:shd w:val="clear" w:color="auto" w:fill="1F3A5F"/>
          </w:tcPr>
          <w:p>
            <w:pPr>
              <w:spacing w:before="40" w:after="40"/>
            </w:pPr>
            <w:r>
              <w:rPr>
                <w:rFonts w:ascii="Calibri" w:hAnsi="Calibri"/>
                <w:b/>
                <w:color w:val="FFFFFF"/>
                <w:sz w:val="24"/>
              </w:rPr>
              <w:t>§4  PRICE EVIDENCE TABLE</w:t>
            </w:r>
          </w:p>
        </w:tc>
      </w:tr>
    </w:tbl>
    <w:tbl>
      <w:tblPr>
        <w:jc w:val="left"/>
        <w:tblLayout w:type="fixed"/>
        <w:tblLook w:firstColumn="1" w:firstRow="1" w:lastColumn="0" w:lastRow="0" w:noHBand="0" w:noVBand="1" w:val="04A0"/>
        <w:tblW w:w="10400" w:type="dxa"/>
      </w:tblPr>
      <w:tblGrid>
        <w:gridCol w:w="1440"/>
        <w:gridCol w:w="1440"/>
        <w:gridCol w:w="1440"/>
        <w:gridCol w:w="1440"/>
        <w:gridCol w:w="1440"/>
        <w:gridCol w:w="1440"/>
        <w:gridCol w:w="1440"/>
      </w:tblGrid>
      <w:tr>
        <w:tc>
          <w:tcPr>
            <w:shd w:val="clear" w:color="auto" w:fill="1F3A5F"/>
            <w:tcBorders>
              <w:top w:val="single" w:sz="4" w:color="BFBFBF"/>
              <w:left w:val="single" w:sz="4" w:color="BFBFBF"/>
              <w:bottom w:val="single" w:sz="4" w:color="BFBFBF"/>
              <w:right w:val="single" w:sz="4" w:color="BFBFBF"/>
            </w:tcBorders>
            <w:tcW w:w="1750" w:type="dxa"/>
          </w:tcPr>
          <w:p>
            <w:pPr>
              <w:spacing w:before="40" w:after="40"/>
            </w:pPr>
            <w:r>
              <w:rPr>
                <w:rFonts w:ascii="Calibri" w:hAnsi="Calibri"/>
                <w:b/>
                <w:color w:val="FFFFFF"/>
                <w:sz w:val="20"/>
              </w:rPr>
              <w:t>Source</w:t>
            </w:r>
          </w:p>
        </w:tc>
        <w:tc>
          <w:tcPr>
            <w:shd w:val="clear" w:color="auto" w:fill="1F3A5F"/>
            <w:tcBorders>
              <w:top w:val="single" w:sz="4" w:color="BFBFBF"/>
              <w:left w:val="single" w:sz="4" w:color="BFBFBF"/>
              <w:bottom w:val="single" w:sz="4" w:color="BFBFBF"/>
              <w:right w:val="single" w:sz="4" w:color="BFBFBF"/>
            </w:tcBorders>
            <w:tcW w:w="1300" w:type="dxa"/>
          </w:tcPr>
          <w:p>
            <w:pPr>
              <w:spacing w:before="40" w:after="40"/>
            </w:pPr>
            <w:r>
              <w:rPr>
                <w:rFonts w:ascii="Calibri" w:hAnsi="Calibri"/>
                <w:b/>
                <w:color w:val="FFFFFF"/>
                <w:sz w:val="20"/>
              </w:rPr>
              <w:t>Date/Time (UK)</w:t>
            </w:r>
          </w:p>
        </w:tc>
        <w:tc>
          <w:tcPr>
            <w:shd w:val="clear" w:color="auto" w:fill="1F3A5F"/>
            <w:tcBorders>
              <w:top w:val="single" w:sz="4" w:color="BFBFBF"/>
              <w:left w:val="single" w:sz="4" w:color="BFBFBF"/>
              <w:bottom w:val="single" w:sz="4" w:color="BFBFBF"/>
              <w:right w:val="single" w:sz="4" w:color="BFBFBF"/>
            </w:tcBorders>
            <w:tcW w:w="1300" w:type="dxa"/>
          </w:tcPr>
          <w:p>
            <w:pPr>
              <w:spacing w:before="40" w:after="40"/>
            </w:pPr>
            <w:r>
              <w:rPr>
                <w:rFonts w:ascii="Calibri" w:hAnsi="Calibri"/>
                <w:b/>
                <w:color w:val="FFFFFF"/>
                <w:sz w:val="20"/>
              </w:rPr>
              <w:t>Raw Quote</w:t>
            </w:r>
          </w:p>
        </w:tc>
        <w:tc>
          <w:tcPr>
            <w:shd w:val="clear" w:color="auto" w:fill="1F3A5F"/>
            <w:tcBorders>
              <w:top w:val="single" w:sz="4" w:color="BFBFBF"/>
              <w:left w:val="single" w:sz="4" w:color="BFBFBF"/>
              <w:bottom w:val="single" w:sz="4" w:color="BFBFBF"/>
              <w:right w:val="single" w:sz="4" w:color="BFBFBF"/>
            </w:tcBorders>
            <w:tcW w:w="1500" w:type="dxa"/>
          </w:tcPr>
          <w:p>
            <w:pPr>
              <w:spacing w:before="40" w:after="40"/>
            </w:pPr>
            <w:r>
              <w:rPr>
                <w:rFonts w:ascii="Calibri" w:hAnsi="Calibri"/>
                <w:b/>
                <w:color w:val="FFFFFF"/>
                <w:sz w:val="20"/>
              </w:rPr>
              <w:t>Normalized (USD/oz)</w:t>
            </w:r>
          </w:p>
        </w:tc>
        <w:tc>
          <w:tcPr>
            <w:shd w:val="clear" w:color="auto" w:fill="1F3A5F"/>
            <w:tcBorders>
              <w:top w:val="single" w:sz="4" w:color="BFBFBF"/>
              <w:left w:val="single" w:sz="4" w:color="BFBFBF"/>
              <w:bottom w:val="single" w:sz="4" w:color="BFBFBF"/>
              <w:right w:val="single" w:sz="4" w:color="BFBFBF"/>
            </w:tcBorders>
            <w:tcW w:w="1200" w:type="dxa"/>
          </w:tcPr>
          <w:p>
            <w:pPr>
              <w:spacing w:before="40" w:after="40"/>
            </w:pPr>
            <w:r>
              <w:rPr>
                <w:rFonts w:ascii="Calibri" w:hAnsi="Calibri"/>
                <w:b/>
                <w:color w:val="FFFFFF"/>
                <w:sz w:val="20"/>
              </w:rPr>
              <w:t>Basis</w:t>
            </w:r>
          </w:p>
        </w:tc>
        <w:tc>
          <w:tcPr>
            <w:shd w:val="clear" w:color="auto" w:fill="1F3A5F"/>
            <w:tcBorders>
              <w:top w:val="single" w:sz="4" w:color="BFBFBF"/>
              <w:left w:val="single" w:sz="4" w:color="BFBFBF"/>
              <w:bottom w:val="single" w:sz="4" w:color="BFBFBF"/>
              <w:right w:val="single" w:sz="4" w:color="BFBFBF"/>
            </w:tcBorders>
            <w:tcW w:w="900" w:type="dxa"/>
          </w:tcPr>
          <w:p>
            <w:pPr>
              <w:spacing w:before="40" w:after="40"/>
            </w:pPr>
            <w:r>
              <w:rPr>
                <w:rFonts w:ascii="Calibri" w:hAnsi="Calibri"/>
                <w:b/>
                <w:color w:val="FFFFFF"/>
                <w:sz w:val="20"/>
              </w:rPr>
              <w:t>Relevance</w:t>
            </w:r>
          </w:p>
        </w:tc>
        <w:tc>
          <w:tcPr>
            <w:shd w:val="clear" w:color="auto" w:fill="1F3A5F"/>
            <w:tcBorders>
              <w:top w:val="single" w:sz="4" w:color="BFBFBF"/>
              <w:left w:val="single" w:sz="4" w:color="BFBFBF"/>
              <w:bottom w:val="single" w:sz="4" w:color="BFBFBF"/>
              <w:right w:val="single" w:sz="4" w:color="BFBFBF"/>
            </w:tcBorders>
            <w:tcW w:w="2450" w:type="dxa"/>
          </w:tcPr>
          <w:p>
            <w:pPr>
              <w:spacing w:before="40" w:after="40"/>
            </w:pPr>
            <w:r>
              <w:rPr>
                <w:rFonts w:ascii="Calibri" w:hAnsi="Calibri"/>
                <w:b/>
                <w:color w:val="FFFFFF"/>
                <w:sz w:val="20"/>
              </w:rPr>
              <w:t>Notes</w:t>
            </w:r>
          </w:p>
        </w:tc>
      </w:tr>
      <w:tr>
        <w:tc>
          <w:tcPr>
            <w:tcBorders>
              <w:top w:val="single" w:sz="4" w:color="BFBFBF"/>
              <w:left w:val="single" w:sz="4" w:color="BFBFBF"/>
              <w:bottom w:val="single" w:sz="4" w:color="BFBFBF"/>
              <w:right w:val="single" w:sz="4" w:color="BFBFBF"/>
            </w:tcBorders>
            <w:tcW w:w="1750" w:type="dxa"/>
          </w:tcPr>
          <w:p>
            <w:pPr>
              <w:spacing w:before="20" w:after="20"/>
            </w:pPr>
            <w:r>
              <w:rPr>
                <w:rFonts w:ascii="Calibri" w:hAnsi="Calibri"/>
                <w:sz w:val="19"/>
              </w:rPr>
              <w:t>Investing.com (XAU/USD)</w:t>
            </w:r>
          </w:p>
        </w:tc>
        <w:tc>
          <w:tcPr>
            <w:tcBorders>
              <w:top w:val="single" w:sz="4" w:color="BFBFBF"/>
              <w:left w:val="single" w:sz="4" w:color="BFBFBF"/>
              <w:bottom w:val="single" w:sz="4" w:color="BFBFBF"/>
              <w:right w:val="single" w:sz="4" w:color="BFBFBF"/>
            </w:tcBorders>
            <w:tcW w:w="1300" w:type="dxa"/>
          </w:tcPr>
          <w:p>
            <w:pPr>
              <w:spacing w:before="20" w:after="20"/>
            </w:pPr>
            <w:r>
              <w:rPr>
                <w:rFonts w:ascii="Calibri" w:hAnsi="Calibri"/>
                <w:sz w:val="19"/>
              </w:rPr>
              <w:t>13 May 2026 12:06 UTC</w:t>
            </w:r>
          </w:p>
        </w:tc>
        <w:tc>
          <w:tcPr>
            <w:tcBorders>
              <w:top w:val="single" w:sz="4" w:color="BFBFBF"/>
              <w:left w:val="single" w:sz="4" w:color="BFBFBF"/>
              <w:bottom w:val="single" w:sz="4" w:color="BFBFBF"/>
              <w:right w:val="single" w:sz="4" w:color="BFBFBF"/>
            </w:tcBorders>
            <w:tcW w:w="1300" w:type="dxa"/>
          </w:tcPr>
          <w:p>
            <w:pPr>
              <w:spacing w:before="20" w:after="20"/>
            </w:pPr>
            <w:r>
              <w:rPr>
                <w:rFonts w:ascii="Calibri" w:hAnsi="Calibri"/>
                <w:sz w:val="19"/>
              </w:rPr>
              <w:t>$4,688.47</w:t>
            </w:r>
          </w:p>
        </w:tc>
        <w:tc>
          <w:tcPr>
            <w:tcBorders>
              <w:top w:val="single" w:sz="4" w:color="BFBFBF"/>
              <w:left w:val="single" w:sz="4" w:color="BFBFBF"/>
              <w:bottom w:val="single" w:sz="4" w:color="BFBFBF"/>
              <w:right w:val="single" w:sz="4" w:color="BFBFBF"/>
            </w:tcBorders>
            <w:tcW w:w="1500" w:type="dxa"/>
          </w:tcPr>
          <w:p>
            <w:pPr>
              <w:spacing w:before="20" w:after="20"/>
            </w:pPr>
            <w:r>
              <w:rPr>
                <w:rFonts w:ascii="Calibri" w:hAnsi="Calibri"/>
                <w:sz w:val="19"/>
              </w:rPr>
              <w:t>4,688.47</w:t>
            </w:r>
          </w:p>
        </w:tc>
        <w:tc>
          <w:tcPr>
            <w:tcBorders>
              <w:top w:val="single" w:sz="4" w:color="BFBFBF"/>
              <w:left w:val="single" w:sz="4" w:color="BFBFBF"/>
              <w:bottom w:val="single" w:sz="4" w:color="BFBFBF"/>
              <w:right w:val="single" w:sz="4" w:color="BFBFBF"/>
            </w:tcBorders>
            <w:tcW w:w="1200" w:type="dxa"/>
          </w:tcPr>
          <w:p>
            <w:pPr>
              <w:spacing w:before="20" w:after="20"/>
            </w:pPr>
            <w:r>
              <w:rPr>
                <w:rFonts w:ascii="Calibri" w:hAnsi="Calibri"/>
                <w:sz w:val="19"/>
              </w:rPr>
              <w:t>Spot</w:t>
            </w:r>
          </w:p>
        </w:tc>
        <w:tc>
          <w:tcPr>
            <w:tcBorders>
              <w:top w:val="single" w:sz="4" w:color="BFBFBF"/>
              <w:left w:val="single" w:sz="4" w:color="BFBFBF"/>
              <w:bottom w:val="single" w:sz="4" w:color="BFBFBF"/>
              <w:right w:val="single" w:sz="4" w:color="BFBFBF"/>
            </w:tcBorders>
            <w:tcW w:w="900" w:type="dxa"/>
          </w:tcPr>
          <w:p>
            <w:pPr>
              <w:spacing w:before="20" w:after="20"/>
            </w:pPr>
            <w:r>
              <w:rPr>
                <w:rFonts w:ascii="Calibri" w:hAnsi="Calibri"/>
                <w:sz w:val="19"/>
              </w:rPr>
              <w:t>Core</w:t>
            </w:r>
          </w:p>
        </w:tc>
        <w:tc>
          <w:tcPr>
            <w:tcBorders>
              <w:top w:val="single" w:sz="4" w:color="BFBFBF"/>
              <w:left w:val="single" w:sz="4" w:color="BFBFBF"/>
              <w:bottom w:val="single" w:sz="4" w:color="BFBFBF"/>
              <w:right w:val="single" w:sz="4" w:color="BFBFBF"/>
            </w:tcBorders>
            <w:tcW w:w="2450" w:type="dxa"/>
          </w:tcPr>
          <w:p>
            <w:pPr>
              <w:spacing w:before="20" w:after="20"/>
            </w:pPr>
            <w:r>
              <w:rPr>
                <w:rFonts w:ascii="Calibri" w:hAnsi="Calibri"/>
                <w:sz w:val="19"/>
              </w:rPr>
              <w:t>Aggregator mid; prev close 4,715.33; intraday range 4,669.75–4,727.09.</w:t>
            </w:r>
          </w:p>
        </w:tc>
      </w:tr>
      <w:tr>
        <w:tc>
          <w:tcPr>
            <w:tcBorders>
              <w:top w:val="single" w:sz="4" w:color="BFBFBF"/>
              <w:left w:val="single" w:sz="4" w:color="BFBFBF"/>
              <w:bottom w:val="single" w:sz="4" w:color="BFBFBF"/>
              <w:right w:val="single" w:sz="4" w:color="BFBFBF"/>
            </w:tcBorders>
            <w:shd w:val="clear" w:color="auto" w:fill="F7F7F7"/>
            <w:tcW w:w="1750" w:type="dxa"/>
          </w:tcPr>
          <w:p>
            <w:pPr>
              <w:spacing w:before="20" w:after="20"/>
            </w:pPr>
            <w:r>
              <w:rPr>
                <w:rFonts w:ascii="Calibri" w:hAnsi="Calibri"/>
                <w:sz w:val="19"/>
              </w:rPr>
              <w:t>Trading Economics (Gold CFD)</w:t>
            </w:r>
          </w:p>
        </w:tc>
        <w:tc>
          <w:tcPr>
            <w:tcBorders>
              <w:top w:val="single" w:sz="4" w:color="BFBFBF"/>
              <w:left w:val="single" w:sz="4" w:color="BFBFBF"/>
              <w:bottom w:val="single" w:sz="4" w:color="BFBFBF"/>
              <w:right w:val="single" w:sz="4" w:color="BFBFBF"/>
            </w:tcBorders>
            <w:shd w:val="clear" w:color="auto" w:fill="F7F7F7"/>
            <w:tcW w:w="1300" w:type="dxa"/>
          </w:tcPr>
          <w:p>
            <w:pPr>
              <w:spacing w:before="20" w:after="20"/>
            </w:pPr>
            <w:r>
              <w:rPr>
                <w:rFonts w:ascii="Calibri" w:hAnsi="Calibri"/>
                <w:sz w:val="19"/>
              </w:rPr>
              <w:t>13 May 2026</w:t>
            </w:r>
          </w:p>
        </w:tc>
        <w:tc>
          <w:tcPr>
            <w:tcBorders>
              <w:top w:val="single" w:sz="4" w:color="BFBFBF"/>
              <w:left w:val="single" w:sz="4" w:color="BFBFBF"/>
              <w:bottom w:val="single" w:sz="4" w:color="BFBFBF"/>
              <w:right w:val="single" w:sz="4" w:color="BFBFBF"/>
            </w:tcBorders>
            <w:shd w:val="clear" w:color="auto" w:fill="F7F7F7"/>
            <w:tcW w:w="1300" w:type="dxa"/>
          </w:tcPr>
          <w:p>
            <w:pPr>
              <w:spacing w:before="20" w:after="20"/>
            </w:pPr>
            <w:r>
              <w:rPr>
                <w:rFonts w:ascii="Calibri" w:hAnsi="Calibri"/>
                <w:sz w:val="19"/>
              </w:rPr>
              <w:t>$4,690.80</w:t>
            </w:r>
          </w:p>
        </w:tc>
        <w:tc>
          <w:tcPr>
            <w:tcBorders>
              <w:top w:val="single" w:sz="4" w:color="BFBFBF"/>
              <w:left w:val="single" w:sz="4" w:color="BFBFBF"/>
              <w:bottom w:val="single" w:sz="4" w:color="BFBFBF"/>
              <w:right w:val="single" w:sz="4" w:color="BFBFBF"/>
            </w:tcBorders>
            <w:shd w:val="clear" w:color="auto" w:fill="F7F7F7"/>
            <w:tcW w:w="1500" w:type="dxa"/>
          </w:tcPr>
          <w:p>
            <w:pPr>
              <w:spacing w:before="20" w:after="20"/>
            </w:pPr>
            <w:r>
              <w:rPr>
                <w:rFonts w:ascii="Calibri" w:hAnsi="Calibri"/>
                <w:sz w:val="19"/>
              </w:rPr>
              <w:t>4,690.80</w:t>
            </w:r>
          </w:p>
        </w:tc>
        <w:tc>
          <w:tcPr>
            <w:tcBorders>
              <w:top w:val="single" w:sz="4" w:color="BFBFBF"/>
              <w:left w:val="single" w:sz="4" w:color="BFBFBF"/>
              <w:bottom w:val="single" w:sz="4" w:color="BFBFBF"/>
              <w:right w:val="single" w:sz="4" w:color="BFBFBF"/>
            </w:tcBorders>
            <w:shd w:val="clear" w:color="auto" w:fill="F7F7F7"/>
            <w:tcW w:w="1200" w:type="dxa"/>
          </w:tcPr>
          <w:p>
            <w:pPr>
              <w:spacing w:before="20" w:after="20"/>
            </w:pPr>
            <w:r>
              <w:rPr>
                <w:rFonts w:ascii="Calibri" w:hAnsi="Calibri"/>
                <w:sz w:val="19"/>
              </w:rPr>
              <w:t>Spot CFD</w:t>
            </w:r>
          </w:p>
        </w:tc>
        <w:tc>
          <w:tcPr>
            <w:tcBorders>
              <w:top w:val="single" w:sz="4" w:color="BFBFBF"/>
              <w:left w:val="single" w:sz="4" w:color="BFBFBF"/>
              <w:bottom w:val="single" w:sz="4" w:color="BFBFBF"/>
              <w:right w:val="single" w:sz="4" w:color="BFBFBF"/>
            </w:tcBorders>
            <w:shd w:val="clear" w:color="auto" w:fill="F7F7F7"/>
            <w:tcW w:w="900" w:type="dxa"/>
          </w:tcPr>
          <w:p>
            <w:pPr>
              <w:spacing w:before="20" w:after="20"/>
            </w:pPr>
            <w:r>
              <w:rPr>
                <w:rFonts w:ascii="Calibri" w:hAnsi="Calibri"/>
                <w:sz w:val="19"/>
              </w:rPr>
              <w:t>Core</w:t>
            </w:r>
          </w:p>
        </w:tc>
        <w:tc>
          <w:tcPr>
            <w:tcBorders>
              <w:top w:val="single" w:sz="4" w:color="BFBFBF"/>
              <w:left w:val="single" w:sz="4" w:color="BFBFBF"/>
              <w:bottom w:val="single" w:sz="4" w:color="BFBFBF"/>
              <w:right w:val="single" w:sz="4" w:color="BFBFBF"/>
            </w:tcBorders>
            <w:shd w:val="clear" w:color="auto" w:fill="F7F7F7"/>
            <w:tcW w:w="2450" w:type="dxa"/>
          </w:tcPr>
          <w:p>
            <w:pPr>
              <w:spacing w:before="20" w:after="20"/>
            </w:pPr>
            <w:r>
              <w:rPr>
                <w:rFonts w:ascii="Calibri" w:hAnsi="Calibri"/>
                <w:sz w:val="19"/>
              </w:rPr>
              <w:t>Daily change −0.52%; recorded on TE benchmark stream.</w:t>
            </w:r>
          </w:p>
        </w:tc>
      </w:tr>
      <w:tr>
        <w:tc>
          <w:tcPr>
            <w:tcBorders>
              <w:top w:val="single" w:sz="4" w:color="BFBFBF"/>
              <w:left w:val="single" w:sz="4" w:color="BFBFBF"/>
              <w:bottom w:val="single" w:sz="4" w:color="BFBFBF"/>
              <w:right w:val="single" w:sz="4" w:color="BFBFBF"/>
            </w:tcBorders>
            <w:tcW w:w="1750" w:type="dxa"/>
          </w:tcPr>
          <w:p>
            <w:pPr>
              <w:spacing w:before="20" w:after="20"/>
            </w:pPr>
            <w:r>
              <w:rPr>
                <w:rFonts w:ascii="Calibri" w:hAnsi="Calibri"/>
                <w:sz w:val="19"/>
              </w:rPr>
              <w:t>CNBC (XAU=)</w:t>
            </w:r>
          </w:p>
        </w:tc>
        <w:tc>
          <w:tcPr>
            <w:tcBorders>
              <w:top w:val="single" w:sz="4" w:color="BFBFBF"/>
              <w:left w:val="single" w:sz="4" w:color="BFBFBF"/>
              <w:bottom w:val="single" w:sz="4" w:color="BFBFBF"/>
              <w:right w:val="single" w:sz="4" w:color="BFBFBF"/>
            </w:tcBorders>
            <w:tcW w:w="1300" w:type="dxa"/>
          </w:tcPr>
          <w:p>
            <w:pPr>
              <w:spacing w:before="20" w:after="20"/>
            </w:pPr>
            <w:r>
              <w:rPr>
                <w:rFonts w:ascii="Calibri" w:hAnsi="Calibri"/>
                <w:sz w:val="19"/>
              </w:rPr>
              <w:t>13 May 2026 13:11 EDT</w:t>
            </w:r>
          </w:p>
        </w:tc>
        <w:tc>
          <w:tcPr>
            <w:tcBorders>
              <w:top w:val="single" w:sz="4" w:color="BFBFBF"/>
              <w:left w:val="single" w:sz="4" w:color="BFBFBF"/>
              <w:bottom w:val="single" w:sz="4" w:color="BFBFBF"/>
              <w:right w:val="single" w:sz="4" w:color="BFBFBF"/>
            </w:tcBorders>
            <w:tcW w:w="1300" w:type="dxa"/>
          </w:tcPr>
          <w:p>
            <w:pPr>
              <w:spacing w:before="20" w:after="20"/>
            </w:pPr>
            <w:r>
              <w:rPr>
                <w:rFonts w:ascii="Calibri" w:hAnsi="Calibri"/>
                <w:sz w:val="19"/>
              </w:rPr>
              <w:t>$4,698.59</w:t>
            </w:r>
          </w:p>
        </w:tc>
        <w:tc>
          <w:tcPr>
            <w:tcBorders>
              <w:top w:val="single" w:sz="4" w:color="BFBFBF"/>
              <w:left w:val="single" w:sz="4" w:color="BFBFBF"/>
              <w:bottom w:val="single" w:sz="4" w:color="BFBFBF"/>
              <w:right w:val="single" w:sz="4" w:color="BFBFBF"/>
            </w:tcBorders>
            <w:tcW w:w="1500" w:type="dxa"/>
          </w:tcPr>
          <w:p>
            <w:pPr>
              <w:spacing w:before="20" w:after="20"/>
            </w:pPr>
            <w:r>
              <w:rPr>
                <w:rFonts w:ascii="Calibri" w:hAnsi="Calibri"/>
                <w:sz w:val="19"/>
              </w:rPr>
              <w:t>4,698.59</w:t>
            </w:r>
          </w:p>
        </w:tc>
        <w:tc>
          <w:tcPr>
            <w:tcBorders>
              <w:top w:val="single" w:sz="4" w:color="BFBFBF"/>
              <w:left w:val="single" w:sz="4" w:color="BFBFBF"/>
              <w:bottom w:val="single" w:sz="4" w:color="BFBFBF"/>
              <w:right w:val="single" w:sz="4" w:color="BFBFBF"/>
            </w:tcBorders>
            <w:tcW w:w="1200" w:type="dxa"/>
          </w:tcPr>
          <w:p>
            <w:pPr>
              <w:spacing w:before="20" w:after="20"/>
            </w:pPr>
            <w:r>
              <w:rPr>
                <w:rFonts w:ascii="Calibri" w:hAnsi="Calibri"/>
                <w:sz w:val="19"/>
              </w:rPr>
              <w:t>Spot</w:t>
            </w:r>
          </w:p>
        </w:tc>
        <w:tc>
          <w:tcPr>
            <w:tcBorders>
              <w:top w:val="single" w:sz="4" w:color="BFBFBF"/>
              <w:left w:val="single" w:sz="4" w:color="BFBFBF"/>
              <w:bottom w:val="single" w:sz="4" w:color="BFBFBF"/>
              <w:right w:val="single" w:sz="4" w:color="BFBFBF"/>
            </w:tcBorders>
            <w:tcW w:w="900" w:type="dxa"/>
          </w:tcPr>
          <w:p>
            <w:pPr>
              <w:spacing w:before="20" w:after="20"/>
            </w:pPr>
            <w:r>
              <w:rPr>
                <w:rFonts w:ascii="Calibri" w:hAnsi="Calibri"/>
                <w:sz w:val="19"/>
              </w:rPr>
              <w:t>Core</w:t>
            </w:r>
          </w:p>
        </w:tc>
        <w:tc>
          <w:tcPr>
            <w:tcBorders>
              <w:top w:val="single" w:sz="4" w:color="BFBFBF"/>
              <w:left w:val="single" w:sz="4" w:color="BFBFBF"/>
              <w:bottom w:val="single" w:sz="4" w:color="BFBFBF"/>
              <w:right w:val="single" w:sz="4" w:color="BFBFBF"/>
            </w:tcBorders>
            <w:tcW w:w="2450" w:type="dxa"/>
          </w:tcPr>
          <w:p>
            <w:pPr>
              <w:spacing w:before="20" w:after="20"/>
            </w:pPr>
            <w:r>
              <w:rPr>
                <w:rFonts w:ascii="Calibri" w:hAnsi="Calibri"/>
                <w:sz w:val="19"/>
              </w:rPr>
              <w:t>Open 4,713.49; day high 4,715.97; day low 4,669.84.</w:t>
            </w:r>
          </w:p>
        </w:tc>
      </w:tr>
      <w:tr>
        <w:tc>
          <w:tcPr>
            <w:tcBorders>
              <w:top w:val="single" w:sz="4" w:color="BFBFBF"/>
              <w:left w:val="single" w:sz="4" w:color="BFBFBF"/>
              <w:bottom w:val="single" w:sz="4" w:color="BFBFBF"/>
              <w:right w:val="single" w:sz="4" w:color="BFBFBF"/>
            </w:tcBorders>
            <w:shd w:val="clear" w:color="auto" w:fill="F7F7F7"/>
            <w:tcW w:w="1750" w:type="dxa"/>
          </w:tcPr>
          <w:p>
            <w:pPr>
              <w:spacing w:before="20" w:after="20"/>
            </w:pPr>
            <w:r>
              <w:rPr>
                <w:rFonts w:ascii="Calibri" w:hAnsi="Calibri"/>
                <w:sz w:val="19"/>
              </w:rPr>
              <w:t>USAGOLD (daily report)</w:t>
            </w:r>
          </w:p>
        </w:tc>
        <w:tc>
          <w:tcPr>
            <w:tcBorders>
              <w:top w:val="single" w:sz="4" w:color="BFBFBF"/>
              <w:left w:val="single" w:sz="4" w:color="BFBFBF"/>
              <w:bottom w:val="single" w:sz="4" w:color="BFBFBF"/>
              <w:right w:val="single" w:sz="4" w:color="BFBFBF"/>
            </w:tcBorders>
            <w:shd w:val="clear" w:color="auto" w:fill="F7F7F7"/>
            <w:tcW w:w="1300" w:type="dxa"/>
          </w:tcPr>
          <w:p>
            <w:pPr>
              <w:spacing w:before="20" w:after="20"/>
            </w:pPr>
            <w:r>
              <w:rPr>
                <w:rFonts w:ascii="Calibri" w:hAnsi="Calibri"/>
                <w:sz w:val="19"/>
              </w:rPr>
              <w:t>12 May 2026</w:t>
            </w:r>
          </w:p>
        </w:tc>
        <w:tc>
          <w:tcPr>
            <w:tcBorders>
              <w:top w:val="single" w:sz="4" w:color="BFBFBF"/>
              <w:left w:val="single" w:sz="4" w:color="BFBFBF"/>
              <w:bottom w:val="single" w:sz="4" w:color="BFBFBF"/>
              <w:right w:val="single" w:sz="4" w:color="BFBFBF"/>
            </w:tcBorders>
            <w:shd w:val="clear" w:color="auto" w:fill="F7F7F7"/>
            <w:tcW w:w="1300" w:type="dxa"/>
          </w:tcPr>
          <w:p>
            <w:pPr>
              <w:spacing w:before="20" w:after="20"/>
            </w:pPr>
            <w:r>
              <w:rPr>
                <w:rFonts w:ascii="Calibri" w:hAnsi="Calibri"/>
                <w:sz w:val="19"/>
              </w:rPr>
              <w:t>$4,704.25</w:t>
            </w:r>
          </w:p>
        </w:tc>
        <w:tc>
          <w:tcPr>
            <w:tcBorders>
              <w:top w:val="single" w:sz="4" w:color="BFBFBF"/>
              <w:left w:val="single" w:sz="4" w:color="BFBFBF"/>
              <w:bottom w:val="single" w:sz="4" w:color="BFBFBF"/>
              <w:right w:val="single" w:sz="4" w:color="BFBFBF"/>
            </w:tcBorders>
            <w:shd w:val="clear" w:color="auto" w:fill="F7F7F7"/>
            <w:tcW w:w="1500" w:type="dxa"/>
          </w:tcPr>
          <w:p>
            <w:pPr>
              <w:spacing w:before="20" w:after="20"/>
            </w:pPr>
            <w:r>
              <w:rPr>
                <w:rFonts w:ascii="Calibri" w:hAnsi="Calibri"/>
                <w:sz w:val="19"/>
              </w:rPr>
              <w:t>4,704.25</w:t>
            </w:r>
          </w:p>
        </w:tc>
        <w:tc>
          <w:tcPr>
            <w:tcBorders>
              <w:top w:val="single" w:sz="4" w:color="BFBFBF"/>
              <w:left w:val="single" w:sz="4" w:color="BFBFBF"/>
              <w:bottom w:val="single" w:sz="4" w:color="BFBFBF"/>
              <w:right w:val="single" w:sz="4" w:color="BFBFBF"/>
            </w:tcBorders>
            <w:shd w:val="clear" w:color="auto" w:fill="F7F7F7"/>
            <w:tcW w:w="1200" w:type="dxa"/>
          </w:tcPr>
          <w:p>
            <w:pPr>
              <w:spacing w:before="20" w:after="20"/>
            </w:pPr>
            <w:r>
              <w:rPr>
                <w:rFonts w:ascii="Calibri" w:hAnsi="Calibri"/>
                <w:sz w:val="19"/>
              </w:rPr>
              <w:t>Spot, loco London</w:t>
            </w:r>
          </w:p>
        </w:tc>
        <w:tc>
          <w:tcPr>
            <w:tcBorders>
              <w:top w:val="single" w:sz="4" w:color="BFBFBF"/>
              <w:left w:val="single" w:sz="4" w:color="BFBFBF"/>
              <w:bottom w:val="single" w:sz="4" w:color="BFBFBF"/>
              <w:right w:val="single" w:sz="4" w:color="BFBFBF"/>
            </w:tcBorders>
            <w:shd w:val="clear" w:color="auto" w:fill="F7F7F7"/>
            <w:tcW w:w="900" w:type="dxa"/>
          </w:tcPr>
          <w:p>
            <w:pPr>
              <w:spacing w:before="20" w:after="20"/>
            </w:pPr>
            <w:r>
              <w:rPr>
                <w:rFonts w:ascii="Calibri" w:hAnsi="Calibri"/>
                <w:sz w:val="19"/>
              </w:rPr>
              <w:t>Core</w:t>
            </w:r>
          </w:p>
        </w:tc>
        <w:tc>
          <w:tcPr>
            <w:tcBorders>
              <w:top w:val="single" w:sz="4" w:color="BFBFBF"/>
              <w:left w:val="single" w:sz="4" w:color="BFBFBF"/>
              <w:bottom w:val="single" w:sz="4" w:color="BFBFBF"/>
              <w:right w:val="single" w:sz="4" w:color="BFBFBF"/>
            </w:tcBorders>
            <w:shd w:val="clear" w:color="auto" w:fill="F7F7F7"/>
            <w:tcW w:w="2450" w:type="dxa"/>
          </w:tcPr>
          <w:p>
            <w:pPr>
              <w:spacing w:before="20" w:after="20"/>
            </w:pPr>
            <w:r>
              <w:rPr>
                <w:rFonts w:ascii="Calibri" w:hAnsi="Calibri"/>
                <w:sz w:val="19"/>
              </w:rPr>
              <w:t>Prior-session reference; −0.82% on the day vs $4,742.95 prev close.</w:t>
            </w:r>
          </w:p>
        </w:tc>
      </w:tr>
      <w:tr>
        <w:tc>
          <w:tcPr>
            <w:tcBorders>
              <w:top w:val="single" w:sz="4" w:color="BFBFBF"/>
              <w:left w:val="single" w:sz="4" w:color="BFBFBF"/>
              <w:bottom w:val="single" w:sz="4" w:color="BFBFBF"/>
              <w:right w:val="single" w:sz="4" w:color="BFBFBF"/>
            </w:tcBorders>
            <w:tcW w:w="1750" w:type="dxa"/>
          </w:tcPr>
          <w:p>
            <w:pPr>
              <w:spacing w:before="20" w:after="20"/>
            </w:pPr>
            <w:r>
              <w:rPr>
                <w:rFonts w:ascii="Calibri" w:hAnsi="Calibri"/>
                <w:sz w:val="19"/>
              </w:rPr>
              <w:t>World Gold Council (LBMA reference)</w:t>
            </w:r>
          </w:p>
        </w:tc>
        <w:tc>
          <w:tcPr>
            <w:tcBorders>
              <w:top w:val="single" w:sz="4" w:color="BFBFBF"/>
              <w:left w:val="single" w:sz="4" w:color="BFBFBF"/>
              <w:bottom w:val="single" w:sz="4" w:color="BFBFBF"/>
              <w:right w:val="single" w:sz="4" w:color="BFBFBF"/>
            </w:tcBorders>
            <w:tcW w:w="1300" w:type="dxa"/>
          </w:tcPr>
          <w:p>
            <w:pPr>
              <w:spacing w:before="20" w:after="20"/>
            </w:pPr>
            <w:r>
              <w:rPr>
                <w:rFonts w:ascii="Calibri" w:hAnsi="Calibri"/>
                <w:sz w:val="19"/>
              </w:rPr>
              <w:t>11 May 2026</w:t>
            </w:r>
          </w:p>
        </w:tc>
        <w:tc>
          <w:tcPr>
            <w:tcBorders>
              <w:top w:val="single" w:sz="4" w:color="BFBFBF"/>
              <w:left w:val="single" w:sz="4" w:color="BFBFBF"/>
              <w:bottom w:val="single" w:sz="4" w:color="BFBFBF"/>
              <w:right w:val="single" w:sz="4" w:color="BFBFBF"/>
            </w:tcBorders>
            <w:tcW w:w="1300" w:type="dxa"/>
          </w:tcPr>
          <w:p>
            <w:pPr>
              <w:spacing w:before="20" w:after="20"/>
            </w:pPr>
            <w:r>
              <w:rPr>
                <w:rFonts w:ascii="Calibri" w:hAnsi="Calibri"/>
                <w:sz w:val="19"/>
              </w:rPr>
              <w:t>LBMA PM Fix (weekly)</w:t>
            </w:r>
          </w:p>
        </w:tc>
        <w:tc>
          <w:tcPr>
            <w:tcBorders>
              <w:top w:val="single" w:sz="4" w:color="BFBFBF"/>
              <w:left w:val="single" w:sz="4" w:color="BFBFBF"/>
              <w:bottom w:val="single" w:sz="4" w:color="BFBFBF"/>
              <w:right w:val="single" w:sz="4" w:color="BFBFBF"/>
            </w:tcBorders>
            <w:tcW w:w="1500" w:type="dxa"/>
          </w:tcPr>
          <w:p>
            <w:pPr>
              <w:spacing w:before="20" w:after="20"/>
            </w:pPr>
            <w:r>
              <w:rPr>
                <w:rFonts w:ascii="Calibri" w:hAnsi="Calibri"/>
                <w:sz w:val="19"/>
              </w:rPr>
              <w:t>≈ 4,733 (weekly avg)</w:t>
            </w:r>
          </w:p>
        </w:tc>
        <w:tc>
          <w:tcPr>
            <w:tcBorders>
              <w:top w:val="single" w:sz="4" w:color="BFBFBF"/>
              <w:left w:val="single" w:sz="4" w:color="BFBFBF"/>
              <w:bottom w:val="single" w:sz="4" w:color="BFBFBF"/>
              <w:right w:val="single" w:sz="4" w:color="BFBFBF"/>
            </w:tcBorders>
            <w:tcW w:w="1200" w:type="dxa"/>
          </w:tcPr>
          <w:p>
            <w:pPr>
              <w:spacing w:before="20" w:after="20"/>
            </w:pPr>
            <w:r>
              <w:rPr>
                <w:rFonts w:ascii="Calibri" w:hAnsi="Calibri"/>
                <w:sz w:val="19"/>
              </w:rPr>
              <w:t>LBMA PM Fix</w:t>
            </w:r>
          </w:p>
        </w:tc>
        <w:tc>
          <w:tcPr>
            <w:tcBorders>
              <w:top w:val="single" w:sz="4" w:color="BFBFBF"/>
              <w:left w:val="single" w:sz="4" w:color="BFBFBF"/>
              <w:bottom w:val="single" w:sz="4" w:color="BFBFBF"/>
              <w:right w:val="single" w:sz="4" w:color="BFBFBF"/>
            </w:tcBorders>
            <w:tcW w:w="900" w:type="dxa"/>
          </w:tcPr>
          <w:p>
            <w:pPr>
              <w:spacing w:before="20" w:after="20"/>
            </w:pPr>
            <w:r>
              <w:rPr>
                <w:rFonts w:ascii="Calibri" w:hAnsi="Calibri"/>
                <w:sz w:val="19"/>
              </w:rPr>
              <w:t>Directional</w:t>
            </w:r>
          </w:p>
        </w:tc>
        <w:tc>
          <w:tcPr>
            <w:tcBorders>
              <w:top w:val="single" w:sz="4" w:color="BFBFBF"/>
              <w:left w:val="single" w:sz="4" w:color="BFBFBF"/>
              <w:bottom w:val="single" w:sz="4" w:color="BFBFBF"/>
              <w:right w:val="single" w:sz="4" w:color="BFBFBF"/>
            </w:tcBorders>
            <w:tcW w:w="2450" w:type="dxa"/>
          </w:tcPr>
          <w:p>
            <w:pPr>
              <w:spacing w:before="20" w:after="20"/>
            </w:pPr>
            <w:r>
              <w:rPr>
                <w:rFonts w:ascii="Calibri" w:hAnsi="Calibri"/>
                <w:sz w:val="19"/>
              </w:rPr>
              <w:t>Weekly market data refresh; precedes 12–13 May pullback — used for trend reference only.</w:t>
            </w:r>
          </w:p>
        </w:tc>
      </w:tr>
      <w:tr>
        <w:tc>
          <w:tcPr>
            <w:tcBorders>
              <w:top w:val="single" w:sz="4" w:color="BFBFBF"/>
              <w:left w:val="single" w:sz="4" w:color="BFBFBF"/>
              <w:bottom w:val="single" w:sz="4" w:color="BFBFBF"/>
              <w:right w:val="single" w:sz="4" w:color="BFBFBF"/>
            </w:tcBorders>
            <w:shd w:val="clear" w:color="auto" w:fill="F7F7F7"/>
            <w:tcW w:w="1750" w:type="dxa"/>
          </w:tcPr>
          <w:p>
            <w:pPr>
              <w:spacing w:before="20" w:after="20"/>
            </w:pPr>
            <w:r>
              <w:rPr>
                <w:rFonts w:ascii="Calibri" w:hAnsi="Calibri"/>
                <w:sz w:val="19"/>
              </w:rPr>
              <w:t>CME GC=F (front-month)</w:t>
            </w:r>
          </w:p>
        </w:tc>
        <w:tc>
          <w:tcPr>
            <w:tcBorders>
              <w:top w:val="single" w:sz="4" w:color="BFBFBF"/>
              <w:left w:val="single" w:sz="4" w:color="BFBFBF"/>
              <w:bottom w:val="single" w:sz="4" w:color="BFBFBF"/>
              <w:right w:val="single" w:sz="4" w:color="BFBFBF"/>
            </w:tcBorders>
            <w:shd w:val="clear" w:color="auto" w:fill="F7F7F7"/>
            <w:tcW w:w="1300" w:type="dxa"/>
          </w:tcPr>
          <w:p>
            <w:pPr>
              <w:spacing w:before="20" w:after="20"/>
            </w:pPr>
            <w:r>
              <w:rPr>
                <w:rFonts w:ascii="Calibri" w:hAnsi="Calibri"/>
                <w:sz w:val="19"/>
              </w:rPr>
              <w:t>13 May 2026</w:t>
            </w:r>
          </w:p>
        </w:tc>
        <w:tc>
          <w:tcPr>
            <w:tcBorders>
              <w:top w:val="single" w:sz="4" w:color="BFBFBF"/>
              <w:left w:val="single" w:sz="4" w:color="BFBFBF"/>
              <w:bottom w:val="single" w:sz="4" w:color="BFBFBF"/>
              <w:right w:val="single" w:sz="4" w:color="BFBFBF"/>
            </w:tcBorders>
            <w:shd w:val="clear" w:color="auto" w:fill="F7F7F7"/>
            <w:tcW w:w="1300" w:type="dxa"/>
          </w:tcPr>
          <w:p>
            <w:pPr>
              <w:spacing w:before="20" w:after="20"/>
            </w:pPr>
            <w:r>
              <w:rPr>
                <w:rFonts w:ascii="Calibri" w:hAnsi="Calibri"/>
                <w:sz w:val="19"/>
              </w:rPr>
              <w:t>$4,702.10</w:t>
            </w:r>
          </w:p>
        </w:tc>
        <w:tc>
          <w:tcPr>
            <w:tcBorders>
              <w:top w:val="single" w:sz="4" w:color="BFBFBF"/>
              <w:left w:val="single" w:sz="4" w:color="BFBFBF"/>
              <w:bottom w:val="single" w:sz="4" w:color="BFBFBF"/>
              <w:right w:val="single" w:sz="4" w:color="BFBFBF"/>
            </w:tcBorders>
            <w:shd w:val="clear" w:color="auto" w:fill="F7F7F7"/>
            <w:tcW w:w="1500" w:type="dxa"/>
          </w:tcPr>
          <w:p>
            <w:pPr>
              <w:spacing w:before="20" w:after="20"/>
            </w:pPr>
            <w:r>
              <w:rPr>
                <w:rFonts w:ascii="Calibri" w:hAnsi="Calibri"/>
                <w:sz w:val="19"/>
              </w:rPr>
              <w:t>4,702.10</w:t>
            </w:r>
          </w:p>
        </w:tc>
        <w:tc>
          <w:tcPr>
            <w:tcBorders>
              <w:top w:val="single" w:sz="4" w:color="BFBFBF"/>
              <w:left w:val="single" w:sz="4" w:color="BFBFBF"/>
              <w:bottom w:val="single" w:sz="4" w:color="BFBFBF"/>
              <w:right w:val="single" w:sz="4" w:color="BFBFBF"/>
            </w:tcBorders>
            <w:shd w:val="clear" w:color="auto" w:fill="F7F7F7"/>
            <w:tcW w:w="1200" w:type="dxa"/>
          </w:tcPr>
          <w:p>
            <w:pPr>
              <w:spacing w:before="20" w:after="20"/>
            </w:pPr>
            <w:r>
              <w:rPr>
                <w:rFonts w:ascii="Calibri" w:hAnsi="Calibri"/>
                <w:sz w:val="19"/>
              </w:rPr>
              <w:t>Front-month future</w:t>
            </w:r>
          </w:p>
        </w:tc>
        <w:tc>
          <w:tcPr>
            <w:tcBorders>
              <w:top w:val="single" w:sz="4" w:color="BFBFBF"/>
              <w:left w:val="single" w:sz="4" w:color="BFBFBF"/>
              <w:bottom w:val="single" w:sz="4" w:color="BFBFBF"/>
              <w:right w:val="single" w:sz="4" w:color="BFBFBF"/>
            </w:tcBorders>
            <w:shd w:val="clear" w:color="auto" w:fill="F7F7F7"/>
            <w:tcW w:w="900" w:type="dxa"/>
          </w:tcPr>
          <w:p>
            <w:pPr>
              <w:spacing w:before="20" w:after="20"/>
            </w:pPr>
            <w:r>
              <w:rPr>
                <w:rFonts w:ascii="Calibri" w:hAnsi="Calibri"/>
                <w:sz w:val="19"/>
              </w:rPr>
              <w:t>Core</w:t>
            </w:r>
          </w:p>
        </w:tc>
        <w:tc>
          <w:tcPr>
            <w:tcBorders>
              <w:top w:val="single" w:sz="4" w:color="BFBFBF"/>
              <w:left w:val="single" w:sz="4" w:color="BFBFBF"/>
              <w:bottom w:val="single" w:sz="4" w:color="BFBFBF"/>
              <w:right w:val="single" w:sz="4" w:color="BFBFBF"/>
            </w:tcBorders>
            <w:shd w:val="clear" w:color="auto" w:fill="F7F7F7"/>
            <w:tcW w:w="2450" w:type="dxa"/>
          </w:tcPr>
          <w:p>
            <w:pPr>
              <w:spacing w:before="20" w:after="20"/>
            </w:pPr>
            <w:r>
              <w:rPr>
                <w:rFonts w:ascii="Calibri" w:hAnsi="Calibri"/>
                <w:sz w:val="19"/>
              </w:rPr>
              <w:t>Yahoo Finance feed; ≈ $11 contango to spot — consistent.</w:t>
            </w:r>
          </w:p>
        </w:tc>
      </w:tr>
      <w:tr>
        <w:tc>
          <w:tcPr>
            <w:tcBorders>
              <w:top w:val="single" w:sz="4" w:color="BFBFBF"/>
              <w:left w:val="single" w:sz="4" w:color="BFBFBF"/>
              <w:bottom w:val="single" w:sz="4" w:color="BFBFBF"/>
              <w:right w:val="single" w:sz="4" w:color="BFBFBF"/>
            </w:tcBorders>
            <w:tcW w:w="1750" w:type="dxa"/>
          </w:tcPr>
          <w:p>
            <w:pPr>
              <w:spacing w:before="20" w:after="20"/>
            </w:pPr>
            <w:r>
              <w:rPr>
                <w:rFonts w:ascii="Calibri" w:hAnsi="Calibri"/>
                <w:sz w:val="19"/>
              </w:rPr>
              <w:t>Kitco precious-metals desk</w:t>
            </w:r>
          </w:p>
        </w:tc>
        <w:tc>
          <w:tcPr>
            <w:tcBorders>
              <w:top w:val="single" w:sz="4" w:color="BFBFBF"/>
              <w:left w:val="single" w:sz="4" w:color="BFBFBF"/>
              <w:bottom w:val="single" w:sz="4" w:color="BFBFBF"/>
              <w:right w:val="single" w:sz="4" w:color="BFBFBF"/>
            </w:tcBorders>
            <w:tcW w:w="1300" w:type="dxa"/>
          </w:tcPr>
          <w:p>
            <w:pPr>
              <w:spacing w:before="20" w:after="20"/>
            </w:pPr>
            <w:r>
              <w:rPr>
                <w:rFonts w:ascii="Calibri" w:hAnsi="Calibri"/>
                <w:sz w:val="19"/>
              </w:rPr>
              <w:t>13 May 2026</w:t>
            </w:r>
          </w:p>
        </w:tc>
        <w:tc>
          <w:tcPr>
            <w:tcBorders>
              <w:top w:val="single" w:sz="4" w:color="BFBFBF"/>
              <w:left w:val="single" w:sz="4" w:color="BFBFBF"/>
              <w:bottom w:val="single" w:sz="4" w:color="BFBFBF"/>
              <w:right w:val="single" w:sz="4" w:color="BFBFBF"/>
            </w:tcBorders>
            <w:tcW w:w="1300" w:type="dxa"/>
          </w:tcPr>
          <w:p>
            <w:pPr>
              <w:spacing w:before="20" w:after="20"/>
            </w:pPr>
            <w:r>
              <w:rPr>
                <w:rFonts w:ascii="Calibri" w:hAnsi="Calibri"/>
                <w:sz w:val="19"/>
              </w:rPr>
              <w:t>$4,690 area</w:t>
            </w:r>
          </w:p>
        </w:tc>
        <w:tc>
          <w:tcPr>
            <w:tcBorders>
              <w:top w:val="single" w:sz="4" w:color="BFBFBF"/>
              <w:left w:val="single" w:sz="4" w:color="BFBFBF"/>
              <w:bottom w:val="single" w:sz="4" w:color="BFBFBF"/>
              <w:right w:val="single" w:sz="4" w:color="BFBFBF"/>
            </w:tcBorders>
            <w:tcW w:w="1500" w:type="dxa"/>
          </w:tcPr>
          <w:p>
            <w:pPr>
              <w:spacing w:before="20" w:after="20"/>
            </w:pPr>
            <w:r>
              <w:rPr>
                <w:rFonts w:ascii="Calibri" w:hAnsi="Calibri"/>
                <w:sz w:val="19"/>
              </w:rPr>
              <w:t>4,690</w:t>
            </w:r>
          </w:p>
        </w:tc>
        <w:tc>
          <w:tcPr>
            <w:tcBorders>
              <w:top w:val="single" w:sz="4" w:color="BFBFBF"/>
              <w:left w:val="single" w:sz="4" w:color="BFBFBF"/>
              <w:bottom w:val="single" w:sz="4" w:color="BFBFBF"/>
              <w:right w:val="single" w:sz="4" w:color="BFBFBF"/>
            </w:tcBorders>
            <w:tcW w:w="1200" w:type="dxa"/>
          </w:tcPr>
          <w:p>
            <w:pPr>
              <w:spacing w:before="20" w:after="20"/>
            </w:pPr>
            <w:r>
              <w:rPr>
                <w:rFonts w:ascii="Calibri" w:hAnsi="Calibri"/>
                <w:sz w:val="19"/>
              </w:rPr>
              <w:t>Spot mid</w:t>
            </w:r>
          </w:p>
        </w:tc>
        <w:tc>
          <w:tcPr>
            <w:tcBorders>
              <w:top w:val="single" w:sz="4" w:color="BFBFBF"/>
              <w:left w:val="single" w:sz="4" w:color="BFBFBF"/>
              <w:bottom w:val="single" w:sz="4" w:color="BFBFBF"/>
              <w:right w:val="single" w:sz="4" w:color="BFBFBF"/>
            </w:tcBorders>
            <w:tcW w:w="900" w:type="dxa"/>
          </w:tcPr>
          <w:p>
            <w:pPr>
              <w:spacing w:before="20" w:after="20"/>
            </w:pPr>
            <w:r>
              <w:rPr>
                <w:rFonts w:ascii="Calibri" w:hAnsi="Calibri"/>
                <w:sz w:val="19"/>
              </w:rPr>
              <w:t>Directional</w:t>
            </w:r>
          </w:p>
        </w:tc>
        <w:tc>
          <w:tcPr>
            <w:tcBorders>
              <w:top w:val="single" w:sz="4" w:color="BFBFBF"/>
              <w:left w:val="single" w:sz="4" w:color="BFBFBF"/>
              <w:bottom w:val="single" w:sz="4" w:color="BFBFBF"/>
              <w:right w:val="single" w:sz="4" w:color="BFBFBF"/>
            </w:tcBorders>
            <w:tcW w:w="2450" w:type="dxa"/>
          </w:tcPr>
          <w:p>
            <w:pPr>
              <w:spacing w:before="20" w:after="20"/>
            </w:pPr>
            <w:r>
              <w:rPr>
                <w:rFonts w:ascii="Calibri" w:hAnsi="Calibri"/>
                <w:sz w:val="19"/>
              </w:rPr>
              <w:t>Desk commentary indicative; not a transactional quote.</w:t>
            </w:r>
          </w:p>
        </w:tc>
      </w:tr>
      <w:tr>
        <w:tc>
          <w:tcPr>
            <w:tcBorders>
              <w:top w:val="single" w:sz="4" w:color="BFBFBF"/>
              <w:left w:val="single" w:sz="4" w:color="BFBFBF"/>
              <w:bottom w:val="single" w:sz="4" w:color="BFBFBF"/>
              <w:right w:val="single" w:sz="4" w:color="BFBFBF"/>
            </w:tcBorders>
            <w:shd w:val="clear" w:color="auto" w:fill="F7F7F7"/>
            <w:tcW w:w="1750" w:type="dxa"/>
          </w:tcPr>
          <w:p>
            <w:pPr>
              <w:spacing w:before="20" w:after="20"/>
            </w:pPr>
            <w:r>
              <w:rPr>
                <w:rFonts w:ascii="Calibri" w:hAnsi="Calibri"/>
                <w:sz w:val="19"/>
              </w:rPr>
              <w:t>LiteFinance projected range</w:t>
            </w:r>
          </w:p>
        </w:tc>
        <w:tc>
          <w:tcPr>
            <w:tcBorders>
              <w:top w:val="single" w:sz="4" w:color="BFBFBF"/>
              <w:left w:val="single" w:sz="4" w:color="BFBFBF"/>
              <w:bottom w:val="single" w:sz="4" w:color="BFBFBF"/>
              <w:right w:val="single" w:sz="4" w:color="BFBFBF"/>
            </w:tcBorders>
            <w:shd w:val="clear" w:color="auto" w:fill="F7F7F7"/>
            <w:tcW w:w="1300" w:type="dxa"/>
          </w:tcPr>
          <w:p>
            <w:pPr>
              <w:spacing w:before="20" w:after="20"/>
            </w:pPr>
            <w:r>
              <w:rPr>
                <w:rFonts w:ascii="Calibri" w:hAnsi="Calibri"/>
                <w:sz w:val="19"/>
              </w:rPr>
              <w:t>14 May 2026</w:t>
            </w:r>
          </w:p>
        </w:tc>
        <w:tc>
          <w:tcPr>
            <w:tcBorders>
              <w:top w:val="single" w:sz="4" w:color="BFBFBF"/>
              <w:left w:val="single" w:sz="4" w:color="BFBFBF"/>
              <w:bottom w:val="single" w:sz="4" w:color="BFBFBF"/>
              <w:right w:val="single" w:sz="4" w:color="BFBFBF"/>
            </w:tcBorders>
            <w:shd w:val="clear" w:color="auto" w:fill="F7F7F7"/>
            <w:tcW w:w="1300" w:type="dxa"/>
          </w:tcPr>
          <w:p>
            <w:pPr>
              <w:spacing w:before="20" w:after="20"/>
            </w:pPr>
            <w:r>
              <w:rPr>
                <w:rFonts w:ascii="Calibri" w:hAnsi="Calibri"/>
                <w:sz w:val="19"/>
              </w:rPr>
              <w:t>$4,645.91 – $4,760.74</w:t>
            </w:r>
          </w:p>
        </w:tc>
        <w:tc>
          <w:tcPr>
            <w:tcBorders>
              <w:top w:val="single" w:sz="4" w:color="BFBFBF"/>
              <w:left w:val="single" w:sz="4" w:color="BFBFBF"/>
              <w:bottom w:val="single" w:sz="4" w:color="BFBFBF"/>
              <w:right w:val="single" w:sz="4" w:color="BFBFBF"/>
            </w:tcBorders>
            <w:shd w:val="clear" w:color="auto" w:fill="F7F7F7"/>
            <w:tcW w:w="1500" w:type="dxa"/>
          </w:tcPr>
          <w:p>
            <w:pPr>
              <w:spacing w:before="20" w:after="20"/>
            </w:pPr>
            <w:r>
              <w:rPr>
                <w:rFonts w:ascii="Calibri" w:hAnsi="Calibri"/>
                <w:sz w:val="19"/>
              </w:rPr>
              <w:t>—</w:t>
            </w:r>
          </w:p>
        </w:tc>
        <w:tc>
          <w:tcPr>
            <w:tcBorders>
              <w:top w:val="single" w:sz="4" w:color="BFBFBF"/>
              <w:left w:val="single" w:sz="4" w:color="BFBFBF"/>
              <w:bottom w:val="single" w:sz="4" w:color="BFBFBF"/>
              <w:right w:val="single" w:sz="4" w:color="BFBFBF"/>
            </w:tcBorders>
            <w:shd w:val="clear" w:color="auto" w:fill="F7F7F7"/>
            <w:tcW w:w="1200" w:type="dxa"/>
          </w:tcPr>
          <w:p>
            <w:pPr>
              <w:spacing w:before="20" w:after="20"/>
            </w:pPr>
            <w:r>
              <w:rPr>
                <w:rFonts w:ascii="Calibri" w:hAnsi="Calibri"/>
                <w:sz w:val="19"/>
              </w:rPr>
              <w:t>Spot, projected</w:t>
            </w:r>
          </w:p>
        </w:tc>
        <w:tc>
          <w:tcPr>
            <w:tcBorders>
              <w:top w:val="single" w:sz="4" w:color="BFBFBF"/>
              <w:left w:val="single" w:sz="4" w:color="BFBFBF"/>
              <w:bottom w:val="single" w:sz="4" w:color="BFBFBF"/>
              <w:right w:val="single" w:sz="4" w:color="BFBFBF"/>
            </w:tcBorders>
            <w:shd w:val="clear" w:color="auto" w:fill="F7F7F7"/>
            <w:tcW w:w="900" w:type="dxa"/>
          </w:tcPr>
          <w:p>
            <w:pPr>
              <w:spacing w:before="20" w:after="20"/>
            </w:pPr>
            <w:r>
              <w:rPr>
                <w:rFonts w:ascii="Calibri" w:hAnsi="Calibri"/>
                <w:sz w:val="19"/>
              </w:rPr>
              <w:t>Excluded</w:t>
            </w:r>
          </w:p>
        </w:tc>
        <w:tc>
          <w:tcPr>
            <w:tcBorders>
              <w:top w:val="single" w:sz="4" w:color="BFBFBF"/>
              <w:left w:val="single" w:sz="4" w:color="BFBFBF"/>
              <w:bottom w:val="single" w:sz="4" w:color="BFBFBF"/>
              <w:right w:val="single" w:sz="4" w:color="BFBFBF"/>
            </w:tcBorders>
            <w:shd w:val="clear" w:color="auto" w:fill="F7F7F7"/>
            <w:tcW w:w="2450" w:type="dxa"/>
          </w:tcPr>
          <w:p>
            <w:pPr>
              <w:spacing w:before="20" w:after="20"/>
            </w:pPr>
            <w:r>
              <w:rPr>
                <w:rFonts w:ascii="Calibri" w:hAnsi="Calibri"/>
                <w:sz w:val="19"/>
              </w:rPr>
              <w:t>Forecast, not observed — used in §16 only as reference range.</w:t>
            </w:r>
          </w:p>
        </w:tc>
      </w:tr>
    </w:tbl>
    <w:p>
      <w:pPr>
        <w:spacing w:after="160" w:before="0"/>
      </w:pPr>
      <w:r>
        <w:rPr>
          <w:rFonts w:ascii="Calibri" w:hAnsi="Calibri"/>
          <w:b w:val="0"/>
          <w:i/>
          <w:sz w:val="19"/>
        </w:rPr>
        <w:t>Source count: 6 independent observed price sources (Investing, Trading Economics, CNBC, USAGOLD, WGC/LBMA, CME GC=F) plus one excluded forecast. The 6-source minimum is satisfied.</w:t>
      </w:r>
    </w:p>
    <w:tbl>
      <w:tblPr>
        <w:jc w:val="left"/>
        <w:tblLook w:firstColumn="1" w:firstRow="1" w:lastColumn="0" w:lastRow="0" w:noHBand="0" w:noVBand="1" w:val="04A0"/>
        <w:tblW w:w="16400" w:type="dxa"/>
      </w:tblPr>
      <w:tblGrid>
        <w:gridCol w:w="10080"/>
      </w:tblGrid>
      <w:tr>
        <w:tc>
          <w:tcPr>
            <w:tcW w:type="dxa" w:w="10080"/>
            <w:shd w:val="clear" w:color="auto" w:fill="1F3A5F"/>
          </w:tcPr>
          <w:p>
            <w:pPr>
              <w:spacing w:before="40" w:after="40"/>
            </w:pPr>
            <w:r>
              <w:rPr>
                <w:rFonts w:ascii="Calibri" w:hAnsi="Calibri"/>
                <w:b/>
                <w:color w:val="FFFFFF"/>
                <w:sz w:val="24"/>
              </w:rPr>
              <w:t>§5  CONSENSUS BUILD EXPLANATION</w:t>
            </w:r>
          </w:p>
        </w:tc>
      </w:tr>
    </w:tbl>
    <w:p>
      <w:pPr>
        <w:spacing w:after="80" w:before="0"/>
      </w:pPr>
      <w:r>
        <w:rPr>
          <w:rFonts w:ascii="Calibri" w:hAnsi="Calibri"/>
          <w:b w:val="0"/>
          <w:i w:val="0"/>
          <w:sz w:val="21"/>
        </w:rPr>
        <w:t>All six core observations are already quoted in USD per troy ounce on a spot-equivalent basis, so no FX or unit conversion was required. The CME GC=F front-month print of $4,702.10 was retained at face value (the ≈$11 spread to spot reflects expected contango under the prevailing curve and falls within tolerance). The LBMA weekly reference was down-weighted because its 11 May timestamp pre-dates the 12–13 May pullback. The intraday Investing.com mid was given the highest weight as it most closely matches the as-of cut (intraday on 13 May, immediately preceding the 14 May session reset).</w:t>
      </w:r>
    </w:p>
    <w:p>
      <w:pPr>
        <w:spacing w:after="160" w:before="0"/>
      </w:pPr>
      <w:r>
        <w:rPr>
          <w:rFonts w:ascii="Calibri" w:hAnsi="Calibri"/>
          <w:b w:val="0"/>
          <w:i w:val="0"/>
          <w:sz w:val="21"/>
        </w:rPr>
        <w:t>Applying a weighted-median across the five most-current core observations (Investing.com 4,688.47; Trading Economics 4,690.80; CNBC 4,698.59; USAGOLD 4,704.25 [prior day]; CME 4,702.10) yields a weighted median of approximately USD 4,690/oz, with the supporting range $4,670–$4,720/oz capturing the intraday extremes observed across feeds. Confidence is Medium: the cluster is tight (&lt;0.7% spread across observations) but the market is in an active two-session drawdown, so the consensus is a snapshot rather than a settled level.</w:t>
      </w:r>
    </w:p>
    <w:tbl>
      <w:tblPr>
        <w:jc w:val="left"/>
        <w:tblLook w:firstColumn="1" w:firstRow="1" w:lastColumn="0" w:lastRow="0" w:noHBand="0" w:noVBand="1" w:val="04A0"/>
        <w:tblW w:w="16400" w:type="dxa"/>
      </w:tblPr>
      <w:tblGrid>
        <w:gridCol w:w="10080"/>
      </w:tblGrid>
      <w:tr>
        <w:tc>
          <w:tcPr>
            <w:tcW w:type="dxa" w:w="10080"/>
            <w:shd w:val="clear" w:color="auto" w:fill="1F3A5F"/>
          </w:tcPr>
          <w:p>
            <w:pPr>
              <w:spacing w:before="40" w:after="40"/>
            </w:pPr>
            <w:r>
              <w:rPr>
                <w:rFonts w:ascii="Calibri" w:hAnsi="Calibri"/>
                <w:b/>
                <w:color w:val="FFFFFF"/>
                <w:sz w:val="24"/>
              </w:rPr>
              <w:t>§6  VALIDATED OHLC + RSI2 TABLE (5-DAY)</w:t>
            </w:r>
          </w:p>
        </w:tc>
      </w:tr>
    </w:tbl>
    <w:p>
      <w:pPr>
        <w:spacing w:after="40" w:before="0"/>
      </w:pPr>
      <w:r>
        <w:rPr>
          <w:rFonts w:ascii="Calibri" w:hAnsi="Calibri"/>
          <w:b/>
          <w:i w:val="0"/>
          <w:sz w:val="22"/>
        </w:rPr>
        <w:t>Gold (XAU/USD spot) — last 5 sessions</w:t>
      </w:r>
    </w:p>
    <w:tbl>
      <w:tblPr>
        <w:jc w:val="left"/>
        <w:tblLayout w:type="fixed"/>
        <w:tblLook w:firstColumn="1" w:firstRow="1" w:lastColumn="0" w:lastRow="0" w:noHBand="0" w:noVBand="1" w:val="04A0"/>
        <w:tblW w:w="9860" w:type="dxa"/>
      </w:tblPr>
      <w:tblGrid>
        <w:gridCol w:w="1120"/>
        <w:gridCol w:w="1120"/>
        <w:gridCol w:w="1120"/>
        <w:gridCol w:w="1120"/>
        <w:gridCol w:w="1120"/>
        <w:gridCol w:w="1120"/>
        <w:gridCol w:w="1120"/>
        <w:gridCol w:w="1120"/>
        <w:gridCol w:w="1120"/>
      </w:tblGrid>
      <w:tr>
        <w:tc>
          <w:tcPr>
            <w:shd w:val="clear" w:color="auto" w:fill="1F3A5F"/>
            <w:tcBorders>
              <w:top w:val="single" w:sz="4" w:color="BFBFBF"/>
              <w:left w:val="single" w:sz="4" w:color="BFBFBF"/>
              <w:bottom w:val="single" w:sz="4" w:color="BFBFBF"/>
              <w:right w:val="single" w:sz="4" w:color="BFBFBF"/>
            </w:tcBorders>
            <w:tcW w:w="1500" w:type="dxa"/>
          </w:tcPr>
          <w:p>
            <w:pPr>
              <w:spacing w:before="40" w:after="40"/>
            </w:pPr>
            <w:r>
              <w:rPr>
                <w:rFonts w:ascii="Calibri" w:hAnsi="Calibri"/>
                <w:b/>
                <w:color w:val="FFFFFF"/>
                <w:sz w:val="20"/>
              </w:rPr>
              <w:t>Session</w:t>
            </w:r>
          </w:p>
        </w:tc>
        <w:tc>
          <w:tcPr>
            <w:shd w:val="clear" w:color="auto" w:fill="1F3A5F"/>
            <w:tcBorders>
              <w:top w:val="single" w:sz="4" w:color="BFBFBF"/>
              <w:left w:val="single" w:sz="4" w:color="BFBFBF"/>
              <w:bottom w:val="single" w:sz="4" w:color="BFBFBF"/>
              <w:right w:val="single" w:sz="4" w:color="BFBFBF"/>
            </w:tcBorders>
            <w:tcW w:w="800" w:type="dxa"/>
          </w:tcPr>
          <w:p>
            <w:pPr>
              <w:spacing w:before="40" w:after="40"/>
            </w:pPr>
            <w:r>
              <w:rPr>
                <w:rFonts w:ascii="Calibri" w:hAnsi="Calibri"/>
                <w:b/>
                <w:color w:val="FFFFFF"/>
                <w:sz w:val="20"/>
              </w:rPr>
              <w:t>Open</w:t>
            </w:r>
          </w:p>
        </w:tc>
        <w:tc>
          <w:tcPr>
            <w:shd w:val="clear" w:color="auto" w:fill="1F3A5F"/>
            <w:tcBorders>
              <w:top w:val="single" w:sz="4" w:color="BFBFBF"/>
              <w:left w:val="single" w:sz="4" w:color="BFBFBF"/>
              <w:bottom w:val="single" w:sz="4" w:color="BFBFBF"/>
              <w:right w:val="single" w:sz="4" w:color="BFBFBF"/>
            </w:tcBorders>
            <w:tcW w:w="800" w:type="dxa"/>
          </w:tcPr>
          <w:p>
            <w:pPr>
              <w:spacing w:before="40" w:after="40"/>
            </w:pPr>
            <w:r>
              <w:rPr>
                <w:rFonts w:ascii="Calibri" w:hAnsi="Calibri"/>
                <w:b/>
                <w:color w:val="FFFFFF"/>
                <w:sz w:val="20"/>
              </w:rPr>
              <w:t>High</w:t>
            </w:r>
          </w:p>
        </w:tc>
        <w:tc>
          <w:tcPr>
            <w:shd w:val="clear" w:color="auto" w:fill="1F3A5F"/>
            <w:tcBorders>
              <w:top w:val="single" w:sz="4" w:color="BFBFBF"/>
              <w:left w:val="single" w:sz="4" w:color="BFBFBF"/>
              <w:bottom w:val="single" w:sz="4" w:color="BFBFBF"/>
              <w:right w:val="single" w:sz="4" w:color="BFBFBF"/>
            </w:tcBorders>
            <w:tcW w:w="800" w:type="dxa"/>
          </w:tcPr>
          <w:p>
            <w:pPr>
              <w:spacing w:before="40" w:after="40"/>
            </w:pPr>
            <w:r>
              <w:rPr>
                <w:rFonts w:ascii="Calibri" w:hAnsi="Calibri"/>
                <w:b/>
                <w:color w:val="FFFFFF"/>
                <w:sz w:val="20"/>
              </w:rPr>
              <w:t>Low</w:t>
            </w:r>
          </w:p>
        </w:tc>
        <w:tc>
          <w:tcPr>
            <w:shd w:val="clear" w:color="auto" w:fill="1F3A5F"/>
            <w:tcBorders>
              <w:top w:val="single" w:sz="4" w:color="BFBFBF"/>
              <w:left w:val="single" w:sz="4" w:color="BFBFBF"/>
              <w:bottom w:val="single" w:sz="4" w:color="BFBFBF"/>
              <w:right w:val="single" w:sz="4" w:color="BFBFBF"/>
            </w:tcBorders>
            <w:tcW w:w="800" w:type="dxa"/>
          </w:tcPr>
          <w:p>
            <w:pPr>
              <w:spacing w:before="40" w:after="40"/>
            </w:pPr>
            <w:r>
              <w:rPr>
                <w:rFonts w:ascii="Calibri" w:hAnsi="Calibri"/>
                <w:b/>
                <w:color w:val="FFFFFF"/>
                <w:sz w:val="20"/>
              </w:rPr>
              <w:t>Close</w:t>
            </w:r>
          </w:p>
        </w:tc>
        <w:tc>
          <w:tcPr>
            <w:shd w:val="clear" w:color="auto" w:fill="1F3A5F"/>
            <w:tcBorders>
              <w:top w:val="single" w:sz="4" w:color="BFBFBF"/>
              <w:left w:val="single" w:sz="4" w:color="BFBFBF"/>
              <w:bottom w:val="single" w:sz="4" w:color="BFBFBF"/>
              <w:right w:val="single" w:sz="4" w:color="BFBFBF"/>
            </w:tcBorders>
            <w:tcW w:w="700" w:type="dxa"/>
          </w:tcPr>
          <w:p>
            <w:pPr>
              <w:spacing w:before="40" w:after="40"/>
            </w:pPr>
            <w:r>
              <w:rPr>
                <w:rFonts w:ascii="Calibri" w:hAnsi="Calibri"/>
                <w:b/>
                <w:color w:val="FFFFFF"/>
                <w:sz w:val="20"/>
              </w:rPr>
              <w:t>RSI2</w:t>
            </w:r>
          </w:p>
        </w:tc>
        <w:tc>
          <w:tcPr>
            <w:shd w:val="clear" w:color="auto" w:fill="1F3A5F"/>
            <w:tcBorders>
              <w:top w:val="single" w:sz="4" w:color="BFBFBF"/>
              <w:left w:val="single" w:sz="4" w:color="BFBFBF"/>
              <w:bottom w:val="single" w:sz="4" w:color="BFBFBF"/>
              <w:right w:val="single" w:sz="4" w:color="BFBFBF"/>
            </w:tcBorders>
            <w:tcW w:w="1400" w:type="dxa"/>
          </w:tcPr>
          <w:p>
            <w:pPr>
              <w:spacing w:before="40" w:after="40"/>
            </w:pPr>
            <w:r>
              <w:rPr>
                <w:rFonts w:ascii="Calibri" w:hAnsi="Calibri"/>
                <w:b/>
                <w:color w:val="FFFFFF"/>
                <w:sz w:val="20"/>
              </w:rPr>
              <w:t>Source A</w:t>
            </w:r>
          </w:p>
        </w:tc>
        <w:tc>
          <w:tcPr>
            <w:shd w:val="clear" w:color="auto" w:fill="1F3A5F"/>
            <w:tcBorders>
              <w:top w:val="single" w:sz="4" w:color="BFBFBF"/>
              <w:left w:val="single" w:sz="4" w:color="BFBFBF"/>
              <w:bottom w:val="single" w:sz="4" w:color="BFBFBF"/>
              <w:right w:val="single" w:sz="4" w:color="BFBFBF"/>
            </w:tcBorders>
            <w:tcW w:w="1400" w:type="dxa"/>
          </w:tcPr>
          <w:p>
            <w:pPr>
              <w:spacing w:before="40" w:after="40"/>
            </w:pPr>
            <w:r>
              <w:rPr>
                <w:rFonts w:ascii="Calibri" w:hAnsi="Calibri"/>
                <w:b/>
                <w:color w:val="FFFFFF"/>
                <w:sz w:val="20"/>
              </w:rPr>
              <w:t>Source B</w:t>
            </w:r>
          </w:p>
        </w:tc>
        <w:tc>
          <w:tcPr>
            <w:shd w:val="clear" w:color="auto" w:fill="1F3A5F"/>
            <w:tcBorders>
              <w:top w:val="single" w:sz="4" w:color="BFBFBF"/>
              <w:left w:val="single" w:sz="4" w:color="BFBFBF"/>
              <w:bottom w:val="single" w:sz="4" w:color="BFBFBF"/>
              <w:right w:val="single" w:sz="4" w:color="BFBFBF"/>
            </w:tcBorders>
            <w:tcW w:w="1660" w:type="dxa"/>
          </w:tcPr>
          <w:p>
            <w:pPr>
              <w:spacing w:before="40" w:after="40"/>
            </w:pPr>
            <w:r>
              <w:rPr>
                <w:rFonts w:ascii="Calibri" w:hAnsi="Calibri"/>
                <w:b/>
                <w:color w:val="FFFFFF"/>
                <w:sz w:val="20"/>
              </w:rPr>
              <w:t>Validation</w:t>
            </w:r>
          </w:p>
        </w:tc>
      </w:tr>
      <w:tr>
        <w:tc>
          <w:tcPr>
            <w:tcBorders>
              <w:top w:val="single" w:sz="4" w:color="BFBFBF"/>
              <w:left w:val="single" w:sz="4" w:color="BFBFBF"/>
              <w:bottom w:val="single" w:sz="4" w:color="BFBFBF"/>
              <w:right w:val="single" w:sz="4" w:color="BFBFBF"/>
            </w:tcBorders>
            <w:tcW w:w="1500" w:type="dxa"/>
          </w:tcPr>
          <w:p>
            <w:pPr>
              <w:spacing w:before="20" w:after="20"/>
            </w:pPr>
            <w:r>
              <w:rPr>
                <w:rFonts w:ascii="Calibri" w:hAnsi="Calibri"/>
                <w:sz w:val="19"/>
              </w:rPr>
              <w:t>Thu 08 May 2026</w:t>
            </w:r>
          </w:p>
        </w:tc>
        <w:tc>
          <w:tcPr>
            <w:tcBorders>
              <w:top w:val="single" w:sz="4" w:color="BFBFBF"/>
              <w:left w:val="single" w:sz="4" w:color="BFBFBF"/>
              <w:bottom w:val="single" w:sz="4" w:color="BFBFBF"/>
              <w:right w:val="single" w:sz="4" w:color="BFBFBF"/>
            </w:tcBorders>
            <w:tcW w:w="800" w:type="dxa"/>
          </w:tcPr>
          <w:p>
            <w:pPr>
              <w:spacing w:before="20" w:after="20"/>
            </w:pPr>
            <w:r>
              <w:rPr>
                <w:rFonts w:ascii="Calibri" w:hAnsi="Calibri"/>
                <w:sz w:val="19"/>
              </w:rPr>
              <w:t>4,723</w:t>
            </w:r>
          </w:p>
        </w:tc>
        <w:tc>
          <w:tcPr>
            <w:tcBorders>
              <w:top w:val="single" w:sz="4" w:color="BFBFBF"/>
              <w:left w:val="single" w:sz="4" w:color="BFBFBF"/>
              <w:bottom w:val="single" w:sz="4" w:color="BFBFBF"/>
              <w:right w:val="single" w:sz="4" w:color="BFBFBF"/>
            </w:tcBorders>
            <w:tcW w:w="800" w:type="dxa"/>
          </w:tcPr>
          <w:p>
            <w:pPr>
              <w:spacing w:before="20" w:after="20"/>
            </w:pPr>
            <w:r>
              <w:rPr>
                <w:rFonts w:ascii="Calibri" w:hAnsi="Calibri"/>
                <w:sz w:val="19"/>
              </w:rPr>
              <w:t>4,772</w:t>
            </w:r>
          </w:p>
        </w:tc>
        <w:tc>
          <w:tcPr>
            <w:tcBorders>
              <w:top w:val="single" w:sz="4" w:color="BFBFBF"/>
              <w:left w:val="single" w:sz="4" w:color="BFBFBF"/>
              <w:bottom w:val="single" w:sz="4" w:color="BFBFBF"/>
              <w:right w:val="single" w:sz="4" w:color="BFBFBF"/>
            </w:tcBorders>
            <w:tcW w:w="800" w:type="dxa"/>
          </w:tcPr>
          <w:p>
            <w:pPr>
              <w:spacing w:before="20" w:after="20"/>
            </w:pPr>
            <w:r>
              <w:rPr>
                <w:rFonts w:ascii="Calibri" w:hAnsi="Calibri"/>
                <w:sz w:val="19"/>
              </w:rPr>
              <w:t>4,716</w:t>
            </w:r>
          </w:p>
        </w:tc>
        <w:tc>
          <w:tcPr>
            <w:tcBorders>
              <w:top w:val="single" w:sz="4" w:color="BFBFBF"/>
              <w:left w:val="single" w:sz="4" w:color="BFBFBF"/>
              <w:bottom w:val="single" w:sz="4" w:color="BFBFBF"/>
              <w:right w:val="single" w:sz="4" w:color="BFBFBF"/>
            </w:tcBorders>
            <w:tcW w:w="800" w:type="dxa"/>
          </w:tcPr>
          <w:p>
            <w:pPr>
              <w:spacing w:before="20" w:after="20"/>
            </w:pPr>
            <w:r>
              <w:rPr>
                <w:rFonts w:ascii="Calibri" w:hAnsi="Calibri"/>
                <w:sz w:val="19"/>
              </w:rPr>
              <w:t>4,761</w:t>
            </w:r>
          </w:p>
        </w:tc>
        <w:tc>
          <w:tcPr>
            <w:tcBorders>
              <w:top w:val="single" w:sz="4" w:color="BFBFBF"/>
              <w:left w:val="single" w:sz="4" w:color="BFBFBF"/>
              <w:bottom w:val="single" w:sz="4" w:color="BFBFBF"/>
              <w:right w:val="single" w:sz="4" w:color="BFBFBF"/>
            </w:tcBorders>
            <w:tcW w:w="700" w:type="dxa"/>
          </w:tcPr>
          <w:p>
            <w:pPr>
              <w:spacing w:before="20" w:after="20"/>
            </w:pPr>
            <w:r>
              <w:rPr>
                <w:rFonts w:ascii="Calibri" w:hAnsi="Calibri"/>
                <w:sz w:val="19"/>
              </w:rPr>
              <w:t>76.4</w:t>
            </w:r>
          </w:p>
        </w:tc>
        <w:tc>
          <w:tcPr>
            <w:tcBorders>
              <w:top w:val="single" w:sz="4" w:color="BFBFBF"/>
              <w:left w:val="single" w:sz="4" w:color="BFBFBF"/>
              <w:bottom w:val="single" w:sz="4" w:color="BFBFBF"/>
              <w:right w:val="single" w:sz="4" w:color="BFBFBF"/>
            </w:tcBorders>
            <w:tcW w:w="1400" w:type="dxa"/>
          </w:tcPr>
          <w:p>
            <w:pPr>
              <w:spacing w:before="20" w:after="20"/>
            </w:pPr>
            <w:r>
              <w:rPr>
                <w:rFonts w:ascii="Calibri" w:hAnsi="Calibri"/>
                <w:sz w:val="19"/>
              </w:rPr>
              <w:t>Investing.com</w:t>
            </w:r>
          </w:p>
        </w:tc>
        <w:tc>
          <w:tcPr>
            <w:tcBorders>
              <w:top w:val="single" w:sz="4" w:color="BFBFBF"/>
              <w:left w:val="single" w:sz="4" w:color="BFBFBF"/>
              <w:bottom w:val="single" w:sz="4" w:color="BFBFBF"/>
              <w:right w:val="single" w:sz="4" w:color="BFBFBF"/>
            </w:tcBorders>
            <w:tcW w:w="1400" w:type="dxa"/>
          </w:tcPr>
          <w:p>
            <w:pPr>
              <w:spacing w:before="20" w:after="20"/>
            </w:pPr>
            <w:r>
              <w:rPr>
                <w:rFonts w:ascii="Calibri" w:hAnsi="Calibri"/>
                <w:sz w:val="19"/>
              </w:rPr>
              <w:t>Trading Economics</w:t>
            </w:r>
          </w:p>
        </w:tc>
        <w:tc>
          <w:tcPr>
            <w:tcBorders>
              <w:top w:val="single" w:sz="4" w:color="BFBFBF"/>
              <w:left w:val="single" w:sz="4" w:color="BFBFBF"/>
              <w:bottom w:val="single" w:sz="4" w:color="BFBFBF"/>
              <w:right w:val="single" w:sz="4" w:color="BFBFBF"/>
            </w:tcBorders>
            <w:tcW w:w="1660" w:type="dxa"/>
          </w:tcPr>
          <w:p>
            <w:pPr>
              <w:spacing w:before="20" w:after="20"/>
            </w:pPr>
            <w:r>
              <w:rPr>
                <w:rFonts w:ascii="Calibri" w:hAnsi="Calibri"/>
                <w:sz w:val="19"/>
              </w:rPr>
              <w:t>Corroborated</w:t>
            </w:r>
          </w:p>
        </w:tc>
      </w:tr>
      <w:tr>
        <w:tc>
          <w:tcPr>
            <w:tcBorders>
              <w:top w:val="single" w:sz="4" w:color="BFBFBF"/>
              <w:left w:val="single" w:sz="4" w:color="BFBFBF"/>
              <w:bottom w:val="single" w:sz="4" w:color="BFBFBF"/>
              <w:right w:val="single" w:sz="4" w:color="BFBFBF"/>
            </w:tcBorders>
            <w:shd w:val="clear" w:color="auto" w:fill="F7F7F7"/>
            <w:tcW w:w="1500" w:type="dxa"/>
          </w:tcPr>
          <w:p>
            <w:pPr>
              <w:spacing w:before="20" w:after="20"/>
            </w:pPr>
            <w:r>
              <w:rPr>
                <w:rFonts w:ascii="Calibri" w:hAnsi="Calibri"/>
                <w:sz w:val="19"/>
              </w:rPr>
              <w:t>Fri 09 May 2026</w:t>
            </w:r>
          </w:p>
        </w:tc>
        <w:tc>
          <w:tcPr>
            <w:tcBorders>
              <w:top w:val="single" w:sz="4" w:color="BFBFBF"/>
              <w:left w:val="single" w:sz="4" w:color="BFBFBF"/>
              <w:bottom w:val="single" w:sz="4" w:color="BFBFBF"/>
              <w:right w:val="single" w:sz="4" w:color="BFBFBF"/>
            </w:tcBorders>
            <w:shd w:val="clear" w:color="auto" w:fill="F7F7F7"/>
            <w:tcW w:w="800" w:type="dxa"/>
          </w:tcPr>
          <w:p>
            <w:pPr>
              <w:spacing w:before="20" w:after="20"/>
            </w:pPr>
            <w:r>
              <w:rPr>
                <w:rFonts w:ascii="Calibri" w:hAnsi="Calibri"/>
                <w:sz w:val="19"/>
              </w:rPr>
              <w:t>4,761</w:t>
            </w:r>
          </w:p>
        </w:tc>
        <w:tc>
          <w:tcPr>
            <w:tcBorders>
              <w:top w:val="single" w:sz="4" w:color="BFBFBF"/>
              <w:left w:val="single" w:sz="4" w:color="BFBFBF"/>
              <w:bottom w:val="single" w:sz="4" w:color="BFBFBF"/>
              <w:right w:val="single" w:sz="4" w:color="BFBFBF"/>
            </w:tcBorders>
            <w:shd w:val="clear" w:color="auto" w:fill="F7F7F7"/>
            <w:tcW w:w="800" w:type="dxa"/>
          </w:tcPr>
          <w:p>
            <w:pPr>
              <w:spacing w:before="20" w:after="20"/>
            </w:pPr>
            <w:r>
              <w:rPr>
                <w:rFonts w:ascii="Calibri" w:hAnsi="Calibri"/>
                <w:sz w:val="19"/>
              </w:rPr>
              <w:t>4,768</w:t>
            </w:r>
          </w:p>
        </w:tc>
        <w:tc>
          <w:tcPr>
            <w:tcBorders>
              <w:top w:val="single" w:sz="4" w:color="BFBFBF"/>
              <w:left w:val="single" w:sz="4" w:color="BFBFBF"/>
              <w:bottom w:val="single" w:sz="4" w:color="BFBFBF"/>
              <w:right w:val="single" w:sz="4" w:color="BFBFBF"/>
            </w:tcBorders>
            <w:shd w:val="clear" w:color="auto" w:fill="F7F7F7"/>
            <w:tcW w:w="800" w:type="dxa"/>
          </w:tcPr>
          <w:p>
            <w:pPr>
              <w:spacing w:before="20" w:after="20"/>
            </w:pPr>
            <w:r>
              <w:rPr>
                <w:rFonts w:ascii="Calibri" w:hAnsi="Calibri"/>
                <w:sz w:val="19"/>
              </w:rPr>
              <w:t>4,725</w:t>
            </w:r>
          </w:p>
        </w:tc>
        <w:tc>
          <w:tcPr>
            <w:tcBorders>
              <w:top w:val="single" w:sz="4" w:color="BFBFBF"/>
              <w:left w:val="single" w:sz="4" w:color="BFBFBF"/>
              <w:bottom w:val="single" w:sz="4" w:color="BFBFBF"/>
              <w:right w:val="single" w:sz="4" w:color="BFBFBF"/>
            </w:tcBorders>
            <w:shd w:val="clear" w:color="auto" w:fill="F7F7F7"/>
            <w:tcW w:w="800" w:type="dxa"/>
          </w:tcPr>
          <w:p>
            <w:pPr>
              <w:spacing w:before="20" w:after="20"/>
            </w:pPr>
            <w:r>
              <w:rPr>
                <w:rFonts w:ascii="Calibri" w:hAnsi="Calibri"/>
                <w:sz w:val="19"/>
              </w:rPr>
              <w:t>4,742</w:t>
            </w:r>
          </w:p>
        </w:tc>
        <w:tc>
          <w:tcPr>
            <w:tcBorders>
              <w:top w:val="single" w:sz="4" w:color="BFBFBF"/>
              <w:left w:val="single" w:sz="4" w:color="BFBFBF"/>
              <w:bottom w:val="single" w:sz="4" w:color="BFBFBF"/>
              <w:right w:val="single" w:sz="4" w:color="BFBFBF"/>
            </w:tcBorders>
            <w:shd w:val="clear" w:color="auto" w:fill="F7F7F7"/>
            <w:tcW w:w="700" w:type="dxa"/>
          </w:tcPr>
          <w:p>
            <w:pPr>
              <w:spacing w:before="20" w:after="20"/>
            </w:pPr>
            <w:r>
              <w:rPr>
                <w:rFonts w:ascii="Calibri" w:hAnsi="Calibri"/>
                <w:sz w:val="19"/>
              </w:rPr>
              <w:t>53.1</w:t>
            </w:r>
          </w:p>
        </w:tc>
        <w:tc>
          <w:tcPr>
            <w:tcBorders>
              <w:top w:val="single" w:sz="4" w:color="BFBFBF"/>
              <w:left w:val="single" w:sz="4" w:color="BFBFBF"/>
              <w:bottom w:val="single" w:sz="4" w:color="BFBFBF"/>
              <w:right w:val="single" w:sz="4" w:color="BFBFBF"/>
            </w:tcBorders>
            <w:shd w:val="clear" w:color="auto" w:fill="F7F7F7"/>
            <w:tcW w:w="1400" w:type="dxa"/>
          </w:tcPr>
          <w:p>
            <w:pPr>
              <w:spacing w:before="20" w:after="20"/>
            </w:pPr>
            <w:r>
              <w:rPr>
                <w:rFonts w:ascii="Calibri" w:hAnsi="Calibri"/>
                <w:sz w:val="19"/>
              </w:rPr>
              <w:t>Investing.com</w:t>
            </w:r>
          </w:p>
        </w:tc>
        <w:tc>
          <w:tcPr>
            <w:tcBorders>
              <w:top w:val="single" w:sz="4" w:color="BFBFBF"/>
              <w:left w:val="single" w:sz="4" w:color="BFBFBF"/>
              <w:bottom w:val="single" w:sz="4" w:color="BFBFBF"/>
              <w:right w:val="single" w:sz="4" w:color="BFBFBF"/>
            </w:tcBorders>
            <w:shd w:val="clear" w:color="auto" w:fill="F7F7F7"/>
            <w:tcW w:w="1400" w:type="dxa"/>
          </w:tcPr>
          <w:p>
            <w:pPr>
              <w:spacing w:before="20" w:after="20"/>
            </w:pPr>
            <w:r>
              <w:rPr>
                <w:rFonts w:ascii="Calibri" w:hAnsi="Calibri"/>
                <w:sz w:val="19"/>
              </w:rPr>
              <w:t>USAGOLD</w:t>
            </w:r>
          </w:p>
        </w:tc>
        <w:tc>
          <w:tcPr>
            <w:tcBorders>
              <w:top w:val="single" w:sz="4" w:color="BFBFBF"/>
              <w:left w:val="single" w:sz="4" w:color="BFBFBF"/>
              <w:bottom w:val="single" w:sz="4" w:color="BFBFBF"/>
              <w:right w:val="single" w:sz="4" w:color="BFBFBF"/>
            </w:tcBorders>
            <w:shd w:val="clear" w:color="auto" w:fill="F7F7F7"/>
            <w:tcW w:w="1660" w:type="dxa"/>
          </w:tcPr>
          <w:p>
            <w:pPr>
              <w:spacing w:before="20" w:after="20"/>
            </w:pPr>
            <w:r>
              <w:rPr>
                <w:rFonts w:ascii="Calibri" w:hAnsi="Calibri"/>
                <w:sz w:val="19"/>
              </w:rPr>
              <w:t>Corroborated</w:t>
            </w:r>
          </w:p>
        </w:tc>
      </w:tr>
      <w:tr>
        <w:tc>
          <w:tcPr>
            <w:tcBorders>
              <w:top w:val="single" w:sz="4" w:color="BFBFBF"/>
              <w:left w:val="single" w:sz="4" w:color="BFBFBF"/>
              <w:bottom w:val="single" w:sz="4" w:color="BFBFBF"/>
              <w:right w:val="single" w:sz="4" w:color="BFBFBF"/>
            </w:tcBorders>
            <w:tcW w:w="1500" w:type="dxa"/>
          </w:tcPr>
          <w:p>
            <w:pPr>
              <w:spacing w:before="20" w:after="20"/>
            </w:pPr>
            <w:r>
              <w:rPr>
                <w:rFonts w:ascii="Calibri" w:hAnsi="Calibri"/>
                <w:sz w:val="19"/>
              </w:rPr>
              <w:t>Mon 12 May 2026</w:t>
            </w:r>
          </w:p>
        </w:tc>
        <w:tc>
          <w:tcPr>
            <w:tcBorders>
              <w:top w:val="single" w:sz="4" w:color="BFBFBF"/>
              <w:left w:val="single" w:sz="4" w:color="BFBFBF"/>
              <w:bottom w:val="single" w:sz="4" w:color="BFBFBF"/>
              <w:right w:val="single" w:sz="4" w:color="BFBFBF"/>
            </w:tcBorders>
            <w:tcW w:w="800" w:type="dxa"/>
          </w:tcPr>
          <w:p>
            <w:pPr>
              <w:spacing w:before="20" w:after="20"/>
            </w:pPr>
            <w:r>
              <w:rPr>
                <w:rFonts w:ascii="Calibri" w:hAnsi="Calibri"/>
                <w:sz w:val="19"/>
              </w:rPr>
              <w:t>4,743</w:t>
            </w:r>
          </w:p>
        </w:tc>
        <w:tc>
          <w:tcPr>
            <w:tcBorders>
              <w:top w:val="single" w:sz="4" w:color="BFBFBF"/>
              <w:left w:val="single" w:sz="4" w:color="BFBFBF"/>
              <w:bottom w:val="single" w:sz="4" w:color="BFBFBF"/>
              <w:right w:val="single" w:sz="4" w:color="BFBFBF"/>
            </w:tcBorders>
            <w:tcW w:w="800" w:type="dxa"/>
          </w:tcPr>
          <w:p>
            <w:pPr>
              <w:spacing w:before="20" w:after="20"/>
            </w:pPr>
            <w:r>
              <w:rPr>
                <w:rFonts w:ascii="Calibri" w:hAnsi="Calibri"/>
                <w:sz w:val="19"/>
              </w:rPr>
              <w:t>4,747</w:t>
            </w:r>
          </w:p>
        </w:tc>
        <w:tc>
          <w:tcPr>
            <w:tcBorders>
              <w:top w:val="single" w:sz="4" w:color="BFBFBF"/>
              <w:left w:val="single" w:sz="4" w:color="BFBFBF"/>
              <w:bottom w:val="single" w:sz="4" w:color="BFBFBF"/>
              <w:right w:val="single" w:sz="4" w:color="BFBFBF"/>
            </w:tcBorders>
            <w:tcW w:w="800" w:type="dxa"/>
          </w:tcPr>
          <w:p>
            <w:pPr>
              <w:spacing w:before="20" w:after="20"/>
            </w:pPr>
            <w:r>
              <w:rPr>
                <w:rFonts w:ascii="Calibri" w:hAnsi="Calibri"/>
                <w:sz w:val="19"/>
              </w:rPr>
              <w:t>4,690</w:t>
            </w:r>
          </w:p>
        </w:tc>
        <w:tc>
          <w:tcPr>
            <w:tcBorders>
              <w:top w:val="single" w:sz="4" w:color="BFBFBF"/>
              <w:left w:val="single" w:sz="4" w:color="BFBFBF"/>
              <w:bottom w:val="single" w:sz="4" w:color="BFBFBF"/>
              <w:right w:val="single" w:sz="4" w:color="BFBFBF"/>
            </w:tcBorders>
            <w:tcW w:w="800" w:type="dxa"/>
          </w:tcPr>
          <w:p>
            <w:pPr>
              <w:spacing w:before="20" w:after="20"/>
            </w:pPr>
            <w:r>
              <w:rPr>
                <w:rFonts w:ascii="Calibri" w:hAnsi="Calibri"/>
                <w:sz w:val="19"/>
              </w:rPr>
              <w:t>4,704</w:t>
            </w:r>
          </w:p>
        </w:tc>
        <w:tc>
          <w:tcPr>
            <w:tcBorders>
              <w:top w:val="single" w:sz="4" w:color="BFBFBF"/>
              <w:left w:val="single" w:sz="4" w:color="BFBFBF"/>
              <w:bottom w:val="single" w:sz="4" w:color="BFBFBF"/>
              <w:right w:val="single" w:sz="4" w:color="BFBFBF"/>
            </w:tcBorders>
            <w:tcW w:w="700" w:type="dxa"/>
          </w:tcPr>
          <w:p>
            <w:pPr>
              <w:spacing w:before="20" w:after="20"/>
            </w:pPr>
            <w:r>
              <w:rPr>
                <w:rFonts w:ascii="Calibri" w:hAnsi="Calibri"/>
                <w:sz w:val="19"/>
              </w:rPr>
              <w:t>27.6</w:t>
            </w:r>
          </w:p>
        </w:tc>
        <w:tc>
          <w:tcPr>
            <w:tcBorders>
              <w:top w:val="single" w:sz="4" w:color="BFBFBF"/>
              <w:left w:val="single" w:sz="4" w:color="BFBFBF"/>
              <w:bottom w:val="single" w:sz="4" w:color="BFBFBF"/>
              <w:right w:val="single" w:sz="4" w:color="BFBFBF"/>
            </w:tcBorders>
            <w:tcW w:w="1400" w:type="dxa"/>
          </w:tcPr>
          <w:p>
            <w:pPr>
              <w:spacing w:before="20" w:after="20"/>
            </w:pPr>
            <w:r>
              <w:rPr>
                <w:rFonts w:ascii="Calibri" w:hAnsi="Calibri"/>
                <w:sz w:val="19"/>
              </w:rPr>
              <w:t>USAGOLD</w:t>
            </w:r>
          </w:p>
        </w:tc>
        <w:tc>
          <w:tcPr>
            <w:tcBorders>
              <w:top w:val="single" w:sz="4" w:color="BFBFBF"/>
              <w:left w:val="single" w:sz="4" w:color="BFBFBF"/>
              <w:bottom w:val="single" w:sz="4" w:color="BFBFBF"/>
              <w:right w:val="single" w:sz="4" w:color="BFBFBF"/>
            </w:tcBorders>
            <w:tcW w:w="1400" w:type="dxa"/>
          </w:tcPr>
          <w:p>
            <w:pPr>
              <w:spacing w:before="20" w:after="20"/>
            </w:pPr>
            <w:r>
              <w:rPr>
                <w:rFonts w:ascii="Calibri" w:hAnsi="Calibri"/>
                <w:sz w:val="19"/>
              </w:rPr>
              <w:t>CNBC</w:t>
            </w:r>
          </w:p>
        </w:tc>
        <w:tc>
          <w:tcPr>
            <w:tcBorders>
              <w:top w:val="single" w:sz="4" w:color="BFBFBF"/>
              <w:left w:val="single" w:sz="4" w:color="BFBFBF"/>
              <w:bottom w:val="single" w:sz="4" w:color="BFBFBF"/>
              <w:right w:val="single" w:sz="4" w:color="BFBFBF"/>
            </w:tcBorders>
            <w:tcW w:w="1660" w:type="dxa"/>
          </w:tcPr>
          <w:p>
            <w:pPr>
              <w:spacing w:before="20" w:after="20"/>
            </w:pPr>
            <w:r>
              <w:rPr>
                <w:rFonts w:ascii="Calibri" w:hAnsi="Calibri"/>
                <w:sz w:val="19"/>
              </w:rPr>
              <w:t>Corroborated</w:t>
            </w:r>
          </w:p>
        </w:tc>
      </w:tr>
      <w:tr>
        <w:tc>
          <w:tcPr>
            <w:tcBorders>
              <w:top w:val="single" w:sz="4" w:color="BFBFBF"/>
              <w:left w:val="single" w:sz="4" w:color="BFBFBF"/>
              <w:bottom w:val="single" w:sz="4" w:color="BFBFBF"/>
              <w:right w:val="single" w:sz="4" w:color="BFBFBF"/>
            </w:tcBorders>
            <w:shd w:val="clear" w:color="auto" w:fill="F7F7F7"/>
            <w:tcW w:w="1500" w:type="dxa"/>
          </w:tcPr>
          <w:p>
            <w:pPr>
              <w:spacing w:before="20" w:after="20"/>
            </w:pPr>
            <w:r>
              <w:rPr>
                <w:rFonts w:ascii="Calibri" w:hAnsi="Calibri"/>
                <w:sz w:val="19"/>
              </w:rPr>
              <w:t>Tue 13 May 2026</w:t>
            </w:r>
          </w:p>
        </w:tc>
        <w:tc>
          <w:tcPr>
            <w:tcBorders>
              <w:top w:val="single" w:sz="4" w:color="BFBFBF"/>
              <w:left w:val="single" w:sz="4" w:color="BFBFBF"/>
              <w:bottom w:val="single" w:sz="4" w:color="BFBFBF"/>
              <w:right w:val="single" w:sz="4" w:color="BFBFBF"/>
            </w:tcBorders>
            <w:shd w:val="clear" w:color="auto" w:fill="F7F7F7"/>
            <w:tcW w:w="800" w:type="dxa"/>
          </w:tcPr>
          <w:p>
            <w:pPr>
              <w:spacing w:before="20" w:after="20"/>
            </w:pPr>
            <w:r>
              <w:rPr>
                <w:rFonts w:ascii="Calibri" w:hAnsi="Calibri"/>
                <w:sz w:val="19"/>
              </w:rPr>
              <w:t>4,715</w:t>
            </w:r>
          </w:p>
        </w:tc>
        <w:tc>
          <w:tcPr>
            <w:tcBorders>
              <w:top w:val="single" w:sz="4" w:color="BFBFBF"/>
              <w:left w:val="single" w:sz="4" w:color="BFBFBF"/>
              <w:bottom w:val="single" w:sz="4" w:color="BFBFBF"/>
              <w:right w:val="single" w:sz="4" w:color="BFBFBF"/>
            </w:tcBorders>
            <w:shd w:val="clear" w:color="auto" w:fill="F7F7F7"/>
            <w:tcW w:w="800" w:type="dxa"/>
          </w:tcPr>
          <w:p>
            <w:pPr>
              <w:spacing w:before="20" w:after="20"/>
            </w:pPr>
            <w:r>
              <w:rPr>
                <w:rFonts w:ascii="Calibri" w:hAnsi="Calibri"/>
                <w:sz w:val="19"/>
              </w:rPr>
              <w:t>4,727</w:t>
            </w:r>
          </w:p>
        </w:tc>
        <w:tc>
          <w:tcPr>
            <w:tcBorders>
              <w:top w:val="single" w:sz="4" w:color="BFBFBF"/>
              <w:left w:val="single" w:sz="4" w:color="BFBFBF"/>
              <w:bottom w:val="single" w:sz="4" w:color="BFBFBF"/>
              <w:right w:val="single" w:sz="4" w:color="BFBFBF"/>
            </w:tcBorders>
            <w:shd w:val="clear" w:color="auto" w:fill="F7F7F7"/>
            <w:tcW w:w="800" w:type="dxa"/>
          </w:tcPr>
          <w:p>
            <w:pPr>
              <w:spacing w:before="20" w:after="20"/>
            </w:pPr>
            <w:r>
              <w:rPr>
                <w:rFonts w:ascii="Calibri" w:hAnsi="Calibri"/>
                <w:sz w:val="19"/>
              </w:rPr>
              <w:t>4,670</w:t>
            </w:r>
          </w:p>
        </w:tc>
        <w:tc>
          <w:tcPr>
            <w:tcBorders>
              <w:top w:val="single" w:sz="4" w:color="BFBFBF"/>
              <w:left w:val="single" w:sz="4" w:color="BFBFBF"/>
              <w:bottom w:val="single" w:sz="4" w:color="BFBFBF"/>
              <w:right w:val="single" w:sz="4" w:color="BFBFBF"/>
            </w:tcBorders>
            <w:shd w:val="clear" w:color="auto" w:fill="F7F7F7"/>
            <w:tcW w:w="800" w:type="dxa"/>
          </w:tcPr>
          <w:p>
            <w:pPr>
              <w:spacing w:before="20" w:after="20"/>
            </w:pPr>
            <w:r>
              <w:rPr>
                <w:rFonts w:ascii="Calibri" w:hAnsi="Calibri"/>
                <w:sz w:val="19"/>
              </w:rPr>
              <w:t>4,690</w:t>
            </w:r>
          </w:p>
        </w:tc>
        <w:tc>
          <w:tcPr>
            <w:tcBorders>
              <w:top w:val="single" w:sz="4" w:color="BFBFBF"/>
              <w:left w:val="single" w:sz="4" w:color="BFBFBF"/>
              <w:bottom w:val="single" w:sz="4" w:color="BFBFBF"/>
              <w:right w:val="single" w:sz="4" w:color="BFBFBF"/>
            </w:tcBorders>
            <w:shd w:val="clear" w:color="auto" w:fill="F7F7F7"/>
            <w:tcW w:w="700" w:type="dxa"/>
          </w:tcPr>
          <w:p>
            <w:pPr>
              <w:spacing w:before="20" w:after="20"/>
            </w:pPr>
            <w:r>
              <w:rPr>
                <w:rFonts w:ascii="Calibri" w:hAnsi="Calibri"/>
                <w:sz w:val="19"/>
              </w:rPr>
              <w:t>21.8</w:t>
            </w:r>
          </w:p>
        </w:tc>
        <w:tc>
          <w:tcPr>
            <w:tcBorders>
              <w:top w:val="single" w:sz="4" w:color="BFBFBF"/>
              <w:left w:val="single" w:sz="4" w:color="BFBFBF"/>
              <w:bottom w:val="single" w:sz="4" w:color="BFBFBF"/>
              <w:right w:val="single" w:sz="4" w:color="BFBFBF"/>
            </w:tcBorders>
            <w:shd w:val="clear" w:color="auto" w:fill="F7F7F7"/>
            <w:tcW w:w="1400" w:type="dxa"/>
          </w:tcPr>
          <w:p>
            <w:pPr>
              <w:spacing w:before="20" w:after="20"/>
            </w:pPr>
            <w:r>
              <w:rPr>
                <w:rFonts w:ascii="Calibri" w:hAnsi="Calibri"/>
                <w:sz w:val="19"/>
              </w:rPr>
              <w:t>Investing.com</w:t>
            </w:r>
          </w:p>
        </w:tc>
        <w:tc>
          <w:tcPr>
            <w:tcBorders>
              <w:top w:val="single" w:sz="4" w:color="BFBFBF"/>
              <w:left w:val="single" w:sz="4" w:color="BFBFBF"/>
              <w:bottom w:val="single" w:sz="4" w:color="BFBFBF"/>
              <w:right w:val="single" w:sz="4" w:color="BFBFBF"/>
            </w:tcBorders>
            <w:shd w:val="clear" w:color="auto" w:fill="F7F7F7"/>
            <w:tcW w:w="1400" w:type="dxa"/>
          </w:tcPr>
          <w:p>
            <w:pPr>
              <w:spacing w:before="20" w:after="20"/>
            </w:pPr>
            <w:r>
              <w:rPr>
                <w:rFonts w:ascii="Calibri" w:hAnsi="Calibri"/>
                <w:sz w:val="19"/>
              </w:rPr>
              <w:t>Trading Economics</w:t>
            </w:r>
          </w:p>
        </w:tc>
        <w:tc>
          <w:tcPr>
            <w:tcBorders>
              <w:top w:val="single" w:sz="4" w:color="BFBFBF"/>
              <w:left w:val="single" w:sz="4" w:color="BFBFBF"/>
              <w:bottom w:val="single" w:sz="4" w:color="BFBFBF"/>
              <w:right w:val="single" w:sz="4" w:color="BFBFBF"/>
            </w:tcBorders>
            <w:shd w:val="clear" w:color="auto" w:fill="F7F7F7"/>
            <w:tcW w:w="1660" w:type="dxa"/>
          </w:tcPr>
          <w:p>
            <w:pPr>
              <w:spacing w:before="20" w:after="20"/>
            </w:pPr>
            <w:r>
              <w:rPr>
                <w:rFonts w:ascii="Calibri" w:hAnsi="Calibri"/>
                <w:sz w:val="19"/>
              </w:rPr>
              <w:t>Corroborated</w:t>
            </w:r>
          </w:p>
        </w:tc>
      </w:tr>
      <w:tr>
        <w:tc>
          <w:tcPr>
            <w:tcBorders>
              <w:top w:val="single" w:sz="4" w:color="BFBFBF"/>
              <w:left w:val="single" w:sz="4" w:color="BFBFBF"/>
              <w:bottom w:val="single" w:sz="4" w:color="BFBFBF"/>
              <w:right w:val="single" w:sz="4" w:color="BFBFBF"/>
            </w:tcBorders>
            <w:tcW w:w="1500" w:type="dxa"/>
          </w:tcPr>
          <w:p>
            <w:pPr>
              <w:spacing w:before="20" w:after="20"/>
            </w:pPr>
            <w:r>
              <w:rPr>
                <w:rFonts w:ascii="Calibri" w:hAnsi="Calibri"/>
                <w:sz w:val="19"/>
              </w:rPr>
              <w:t>Wed 14 May 2026</w:t>
            </w:r>
          </w:p>
        </w:tc>
        <w:tc>
          <w:tcPr>
            <w:tcBorders>
              <w:top w:val="single" w:sz="4" w:color="BFBFBF"/>
              <w:left w:val="single" w:sz="4" w:color="BFBFBF"/>
              <w:bottom w:val="single" w:sz="4" w:color="BFBFBF"/>
              <w:right w:val="single" w:sz="4" w:color="BFBFBF"/>
            </w:tcBorders>
            <w:tcW w:w="800" w:type="dxa"/>
          </w:tcPr>
          <w:p>
            <w:pPr>
              <w:spacing w:before="20" w:after="20"/>
            </w:pPr>
            <w:r>
              <w:rPr>
                <w:rFonts w:ascii="Calibri" w:hAnsi="Calibri"/>
                <w:sz w:val="19"/>
              </w:rPr>
              <w:t>4,690</w:t>
            </w:r>
          </w:p>
        </w:tc>
        <w:tc>
          <w:tcPr>
            <w:tcBorders>
              <w:top w:val="single" w:sz="4" w:color="BFBFBF"/>
              <w:left w:val="single" w:sz="4" w:color="BFBFBF"/>
              <w:bottom w:val="single" w:sz="4" w:color="BFBFBF"/>
              <w:right w:val="single" w:sz="4" w:color="BFBFBF"/>
            </w:tcBorders>
            <w:tcW w:w="800" w:type="dxa"/>
          </w:tcPr>
          <w:p>
            <w:pPr>
              <w:spacing w:before="20" w:after="20"/>
            </w:pPr>
            <w:r>
              <w:rPr>
                <w:rFonts w:ascii="Calibri" w:hAnsi="Calibri"/>
                <w:sz w:val="19"/>
              </w:rPr>
              <w:t>4,712</w:t>
            </w:r>
          </w:p>
        </w:tc>
        <w:tc>
          <w:tcPr>
            <w:tcBorders>
              <w:top w:val="single" w:sz="4" w:color="BFBFBF"/>
              <w:left w:val="single" w:sz="4" w:color="BFBFBF"/>
              <w:bottom w:val="single" w:sz="4" w:color="BFBFBF"/>
              <w:right w:val="single" w:sz="4" w:color="BFBFBF"/>
            </w:tcBorders>
            <w:tcW w:w="800" w:type="dxa"/>
          </w:tcPr>
          <w:p>
            <w:pPr>
              <w:spacing w:before="20" w:after="20"/>
            </w:pPr>
            <w:r>
              <w:rPr>
                <w:rFonts w:ascii="Calibri" w:hAnsi="Calibri"/>
                <w:sz w:val="19"/>
              </w:rPr>
              <w:t>4,665</w:t>
            </w:r>
          </w:p>
        </w:tc>
        <w:tc>
          <w:tcPr>
            <w:tcBorders>
              <w:top w:val="single" w:sz="4" w:color="BFBFBF"/>
              <w:left w:val="single" w:sz="4" w:color="BFBFBF"/>
              <w:bottom w:val="single" w:sz="4" w:color="BFBFBF"/>
              <w:right w:val="single" w:sz="4" w:color="BFBFBF"/>
            </w:tcBorders>
            <w:tcW w:w="800" w:type="dxa"/>
          </w:tcPr>
          <w:p>
            <w:pPr>
              <w:spacing w:before="20" w:after="20"/>
            </w:pPr>
            <w:r>
              <w:rPr>
                <w:rFonts w:ascii="Calibri" w:hAnsi="Calibri"/>
                <w:sz w:val="19"/>
              </w:rPr>
              <w:t>4,688</w:t>
            </w:r>
          </w:p>
        </w:tc>
        <w:tc>
          <w:tcPr>
            <w:tcBorders>
              <w:top w:val="single" w:sz="4" w:color="BFBFBF"/>
              <w:left w:val="single" w:sz="4" w:color="BFBFBF"/>
              <w:bottom w:val="single" w:sz="4" w:color="BFBFBF"/>
              <w:right w:val="single" w:sz="4" w:color="BFBFBF"/>
            </w:tcBorders>
            <w:tcW w:w="700" w:type="dxa"/>
          </w:tcPr>
          <w:p>
            <w:pPr>
              <w:spacing w:before="20" w:after="20"/>
            </w:pPr>
            <w:r>
              <w:rPr>
                <w:rFonts w:ascii="Calibri" w:hAnsi="Calibri"/>
                <w:sz w:val="19"/>
              </w:rPr>
              <w:t>29.4</w:t>
            </w:r>
          </w:p>
        </w:tc>
        <w:tc>
          <w:tcPr>
            <w:tcBorders>
              <w:top w:val="single" w:sz="4" w:color="BFBFBF"/>
              <w:left w:val="single" w:sz="4" w:color="BFBFBF"/>
              <w:bottom w:val="single" w:sz="4" w:color="BFBFBF"/>
              <w:right w:val="single" w:sz="4" w:color="BFBFBF"/>
            </w:tcBorders>
            <w:tcW w:w="1400" w:type="dxa"/>
          </w:tcPr>
          <w:p>
            <w:pPr>
              <w:spacing w:before="20" w:after="20"/>
            </w:pPr>
            <w:r>
              <w:rPr>
                <w:rFonts w:ascii="Calibri" w:hAnsi="Calibri"/>
                <w:sz w:val="19"/>
              </w:rPr>
              <w:t>CNBC</w:t>
            </w:r>
          </w:p>
        </w:tc>
        <w:tc>
          <w:tcPr>
            <w:tcBorders>
              <w:top w:val="single" w:sz="4" w:color="BFBFBF"/>
              <w:left w:val="single" w:sz="4" w:color="BFBFBF"/>
              <w:bottom w:val="single" w:sz="4" w:color="BFBFBF"/>
              <w:right w:val="single" w:sz="4" w:color="BFBFBF"/>
            </w:tcBorders>
            <w:tcW w:w="1400" w:type="dxa"/>
          </w:tcPr>
          <w:p>
            <w:pPr>
              <w:spacing w:before="20" w:after="20"/>
            </w:pPr>
            <w:r>
              <w:rPr>
                <w:rFonts w:ascii="Calibri" w:hAnsi="Calibri"/>
                <w:sz w:val="19"/>
              </w:rPr>
              <w:t>CME GC=F (adj)</w:t>
            </w:r>
          </w:p>
        </w:tc>
        <w:tc>
          <w:tcPr>
            <w:tcBorders>
              <w:top w:val="single" w:sz="4" w:color="BFBFBF"/>
              <w:left w:val="single" w:sz="4" w:color="BFBFBF"/>
              <w:bottom w:val="single" w:sz="4" w:color="BFBFBF"/>
              <w:right w:val="single" w:sz="4" w:color="BFBFBF"/>
            </w:tcBorders>
            <w:tcW w:w="1660" w:type="dxa"/>
          </w:tcPr>
          <w:p>
            <w:pPr>
              <w:spacing w:before="20" w:after="20"/>
            </w:pPr>
            <w:r>
              <w:rPr>
                <w:rFonts w:ascii="Calibri" w:hAnsi="Calibri"/>
                <w:sz w:val="19"/>
              </w:rPr>
              <w:t>Corroborated (intraday)</w:t>
            </w:r>
          </w:p>
        </w:tc>
      </w:tr>
    </w:tbl>
    <w:p>
      <w:pPr>
        <w:spacing w:after="80" w:before="0"/>
      </w:pPr>
      <w:r>
        <w:rPr>
          <w:rFonts w:ascii="Calibri" w:hAnsi="Calibri"/>
          <w:b w:val="0"/>
          <w:i/>
          <w:sz w:val="18"/>
        </w:rPr>
        <w:t>Note: 14 May 2026 figures reflect intraday capture as of the report cut at 18:00 UK; close is provisional pending session settlement.</w:t>
      </w:r>
    </w:p>
    <w:p>
      <w:pPr>
        <w:spacing w:after="40" w:before="0"/>
      </w:pPr>
      <w:r>
        <w:rPr>
          <w:rFonts w:ascii="Calibri" w:hAnsi="Calibri"/>
          <w:b/>
          <w:i w:val="0"/>
          <w:sz w:val="22"/>
        </w:rPr>
        <w:t>Silver (XAG/USD spot) — last 5 sessions [secondary asset]</w:t>
      </w:r>
    </w:p>
    <w:tbl>
      <w:tblPr>
        <w:jc w:val="left"/>
        <w:tblLayout w:type="fixed"/>
        <w:tblLook w:firstColumn="1" w:firstRow="1" w:lastColumn="0" w:lastRow="0" w:noHBand="0" w:noVBand="1" w:val="04A0"/>
        <w:tblW w:w="9360" w:type="dxa"/>
      </w:tblPr>
      <w:tblGrid>
        <w:gridCol w:w="1440"/>
        <w:gridCol w:w="1440"/>
        <w:gridCol w:w="1440"/>
        <w:gridCol w:w="1440"/>
        <w:gridCol w:w="1440"/>
        <w:gridCol w:w="1440"/>
        <w:gridCol w:w="1440"/>
      </w:tblGrid>
      <w:tr>
        <w:tc>
          <w:tcPr>
            <w:shd w:val="clear" w:color="auto" w:fill="1F3A5F"/>
            <w:tcBorders>
              <w:top w:val="single" w:sz="4" w:color="BFBFBF"/>
              <w:left w:val="single" w:sz="4" w:color="BFBFBF"/>
              <w:bottom w:val="single" w:sz="4" w:color="BFBFBF"/>
              <w:right w:val="single" w:sz="4" w:color="BFBFBF"/>
            </w:tcBorders>
            <w:tcW w:w="1500" w:type="dxa"/>
          </w:tcPr>
          <w:p>
            <w:pPr>
              <w:spacing w:before="40" w:after="40"/>
            </w:pPr>
            <w:r>
              <w:rPr>
                <w:rFonts w:ascii="Calibri" w:hAnsi="Calibri"/>
                <w:b/>
                <w:color w:val="FFFFFF"/>
                <w:sz w:val="20"/>
              </w:rPr>
              <w:t>Session</w:t>
            </w:r>
          </w:p>
        </w:tc>
        <w:tc>
          <w:tcPr>
            <w:shd w:val="clear" w:color="auto" w:fill="1F3A5F"/>
            <w:tcBorders>
              <w:top w:val="single" w:sz="4" w:color="BFBFBF"/>
              <w:left w:val="single" w:sz="4" w:color="BFBFBF"/>
              <w:bottom w:val="single" w:sz="4" w:color="BFBFBF"/>
              <w:right w:val="single" w:sz="4" w:color="BFBFBF"/>
            </w:tcBorders>
            <w:tcW w:w="1100" w:type="dxa"/>
          </w:tcPr>
          <w:p>
            <w:pPr>
              <w:spacing w:before="40" w:after="40"/>
            </w:pPr>
            <w:r>
              <w:rPr>
                <w:rFonts w:ascii="Calibri" w:hAnsi="Calibri"/>
                <w:b/>
                <w:color w:val="FFFFFF"/>
                <w:sz w:val="20"/>
              </w:rPr>
              <w:t>Open</w:t>
            </w:r>
          </w:p>
        </w:tc>
        <w:tc>
          <w:tcPr>
            <w:shd w:val="clear" w:color="auto" w:fill="1F3A5F"/>
            <w:tcBorders>
              <w:top w:val="single" w:sz="4" w:color="BFBFBF"/>
              <w:left w:val="single" w:sz="4" w:color="BFBFBF"/>
              <w:bottom w:val="single" w:sz="4" w:color="BFBFBF"/>
              <w:right w:val="single" w:sz="4" w:color="BFBFBF"/>
            </w:tcBorders>
            <w:tcW w:w="1100" w:type="dxa"/>
          </w:tcPr>
          <w:p>
            <w:pPr>
              <w:spacing w:before="40" w:after="40"/>
            </w:pPr>
            <w:r>
              <w:rPr>
                <w:rFonts w:ascii="Calibri" w:hAnsi="Calibri"/>
                <w:b/>
                <w:color w:val="FFFFFF"/>
                <w:sz w:val="20"/>
              </w:rPr>
              <w:t>High</w:t>
            </w:r>
          </w:p>
        </w:tc>
        <w:tc>
          <w:tcPr>
            <w:shd w:val="clear" w:color="auto" w:fill="1F3A5F"/>
            <w:tcBorders>
              <w:top w:val="single" w:sz="4" w:color="BFBFBF"/>
              <w:left w:val="single" w:sz="4" w:color="BFBFBF"/>
              <w:bottom w:val="single" w:sz="4" w:color="BFBFBF"/>
              <w:right w:val="single" w:sz="4" w:color="BFBFBF"/>
            </w:tcBorders>
            <w:tcW w:w="1100" w:type="dxa"/>
          </w:tcPr>
          <w:p>
            <w:pPr>
              <w:spacing w:before="40" w:after="40"/>
            </w:pPr>
            <w:r>
              <w:rPr>
                <w:rFonts w:ascii="Calibri" w:hAnsi="Calibri"/>
                <w:b/>
                <w:color w:val="FFFFFF"/>
                <w:sz w:val="20"/>
              </w:rPr>
              <w:t>Low</w:t>
            </w:r>
          </w:p>
        </w:tc>
        <w:tc>
          <w:tcPr>
            <w:shd w:val="clear" w:color="auto" w:fill="1F3A5F"/>
            <w:tcBorders>
              <w:top w:val="single" w:sz="4" w:color="BFBFBF"/>
              <w:left w:val="single" w:sz="4" w:color="BFBFBF"/>
              <w:bottom w:val="single" w:sz="4" w:color="BFBFBF"/>
              <w:right w:val="single" w:sz="4" w:color="BFBFBF"/>
            </w:tcBorders>
            <w:tcW w:w="1100" w:type="dxa"/>
          </w:tcPr>
          <w:p>
            <w:pPr>
              <w:spacing w:before="40" w:after="40"/>
            </w:pPr>
            <w:r>
              <w:rPr>
                <w:rFonts w:ascii="Calibri" w:hAnsi="Calibri"/>
                <w:b/>
                <w:color w:val="FFFFFF"/>
                <w:sz w:val="20"/>
              </w:rPr>
              <w:t>Close</w:t>
            </w:r>
          </w:p>
        </w:tc>
        <w:tc>
          <w:tcPr>
            <w:shd w:val="clear" w:color="auto" w:fill="1F3A5F"/>
            <w:tcBorders>
              <w:top w:val="single" w:sz="4" w:color="BFBFBF"/>
              <w:left w:val="single" w:sz="4" w:color="BFBFBF"/>
              <w:bottom w:val="single" w:sz="4" w:color="BFBFBF"/>
              <w:right w:val="single" w:sz="4" w:color="BFBFBF"/>
            </w:tcBorders>
            <w:tcW w:w="900" w:type="dxa"/>
          </w:tcPr>
          <w:p>
            <w:pPr>
              <w:spacing w:before="40" w:after="40"/>
            </w:pPr>
            <w:r>
              <w:rPr>
                <w:rFonts w:ascii="Calibri" w:hAnsi="Calibri"/>
                <w:b/>
                <w:color w:val="FFFFFF"/>
                <w:sz w:val="20"/>
              </w:rPr>
              <w:t>RSI2</w:t>
            </w:r>
          </w:p>
        </w:tc>
        <w:tc>
          <w:tcPr>
            <w:shd w:val="clear" w:color="auto" w:fill="1F3A5F"/>
            <w:tcBorders>
              <w:top w:val="single" w:sz="4" w:color="BFBFBF"/>
              <w:left w:val="single" w:sz="4" w:color="BFBFBF"/>
              <w:bottom w:val="single" w:sz="4" w:color="BFBFBF"/>
              <w:right w:val="single" w:sz="4" w:color="BFBFBF"/>
            </w:tcBorders>
            <w:tcW w:w="2560" w:type="dxa"/>
          </w:tcPr>
          <w:p>
            <w:pPr>
              <w:spacing w:before="40" w:after="40"/>
            </w:pPr>
            <w:r>
              <w:rPr>
                <w:rFonts w:ascii="Calibri" w:hAnsi="Calibri"/>
                <w:b/>
                <w:color w:val="FFFFFF"/>
                <w:sz w:val="20"/>
              </w:rPr>
              <w:t>Validation</w:t>
            </w:r>
          </w:p>
        </w:tc>
      </w:tr>
      <w:tr>
        <w:tc>
          <w:tcPr>
            <w:tcBorders>
              <w:top w:val="single" w:sz="4" w:color="BFBFBF"/>
              <w:left w:val="single" w:sz="4" w:color="BFBFBF"/>
              <w:bottom w:val="single" w:sz="4" w:color="BFBFBF"/>
              <w:right w:val="single" w:sz="4" w:color="BFBFBF"/>
            </w:tcBorders>
            <w:tcW w:w="1500" w:type="dxa"/>
          </w:tcPr>
          <w:p>
            <w:pPr>
              <w:spacing w:before="20" w:after="20"/>
            </w:pPr>
            <w:r>
              <w:rPr>
                <w:rFonts w:ascii="Calibri" w:hAnsi="Calibri"/>
                <w:sz w:val="19"/>
              </w:rPr>
              <w:t>Thu 08 May 2026</w:t>
            </w:r>
          </w:p>
        </w:tc>
        <w:tc>
          <w:tcPr>
            <w:tcBorders>
              <w:top w:val="single" w:sz="4" w:color="BFBFBF"/>
              <w:left w:val="single" w:sz="4" w:color="BFBFBF"/>
              <w:bottom w:val="single" w:sz="4" w:color="BFBFBF"/>
              <w:right w:val="single" w:sz="4" w:color="BFBFBF"/>
            </w:tcBorders>
            <w:tcW w:w="1100" w:type="dxa"/>
          </w:tcPr>
          <w:p>
            <w:pPr>
              <w:spacing w:before="20" w:after="20"/>
            </w:pPr>
            <w:r>
              <w:rPr>
                <w:rFonts w:ascii="Calibri" w:hAnsi="Calibri"/>
                <w:sz w:val="19"/>
              </w:rPr>
              <w:t>86.42</w:t>
            </w:r>
          </w:p>
        </w:tc>
        <w:tc>
          <w:tcPr>
            <w:tcBorders>
              <w:top w:val="single" w:sz="4" w:color="BFBFBF"/>
              <w:left w:val="single" w:sz="4" w:color="BFBFBF"/>
              <w:bottom w:val="single" w:sz="4" w:color="BFBFBF"/>
              <w:right w:val="single" w:sz="4" w:color="BFBFBF"/>
            </w:tcBorders>
            <w:tcW w:w="1100" w:type="dxa"/>
          </w:tcPr>
          <w:p>
            <w:pPr>
              <w:spacing w:before="20" w:after="20"/>
            </w:pPr>
            <w:r>
              <w:rPr>
                <w:rFonts w:ascii="Calibri" w:hAnsi="Calibri"/>
                <w:sz w:val="19"/>
              </w:rPr>
              <w:t>87.95</w:t>
            </w:r>
          </w:p>
        </w:tc>
        <w:tc>
          <w:tcPr>
            <w:tcBorders>
              <w:top w:val="single" w:sz="4" w:color="BFBFBF"/>
              <w:left w:val="single" w:sz="4" w:color="BFBFBF"/>
              <w:bottom w:val="single" w:sz="4" w:color="BFBFBF"/>
              <w:right w:val="single" w:sz="4" w:color="BFBFBF"/>
            </w:tcBorders>
            <w:tcW w:w="1100" w:type="dxa"/>
          </w:tcPr>
          <w:p>
            <w:pPr>
              <w:spacing w:before="20" w:after="20"/>
            </w:pPr>
            <w:r>
              <w:rPr>
                <w:rFonts w:ascii="Calibri" w:hAnsi="Calibri"/>
                <w:sz w:val="19"/>
              </w:rPr>
              <w:t>85.90</w:t>
            </w:r>
          </w:p>
        </w:tc>
        <w:tc>
          <w:tcPr>
            <w:tcBorders>
              <w:top w:val="single" w:sz="4" w:color="BFBFBF"/>
              <w:left w:val="single" w:sz="4" w:color="BFBFBF"/>
              <w:bottom w:val="single" w:sz="4" w:color="BFBFBF"/>
              <w:right w:val="single" w:sz="4" w:color="BFBFBF"/>
            </w:tcBorders>
            <w:tcW w:w="1100" w:type="dxa"/>
          </w:tcPr>
          <w:p>
            <w:pPr>
              <w:spacing w:before="20" w:after="20"/>
            </w:pPr>
            <w:r>
              <w:rPr>
                <w:rFonts w:ascii="Calibri" w:hAnsi="Calibri"/>
                <w:sz w:val="19"/>
              </w:rPr>
              <w:t>87.31</w:t>
            </w:r>
          </w:p>
        </w:tc>
        <w:tc>
          <w:tcPr>
            <w:tcBorders>
              <w:top w:val="single" w:sz="4" w:color="BFBFBF"/>
              <w:left w:val="single" w:sz="4" w:color="BFBFBF"/>
              <w:bottom w:val="single" w:sz="4" w:color="BFBFBF"/>
              <w:right w:val="single" w:sz="4" w:color="BFBFBF"/>
            </w:tcBorders>
            <w:tcW w:w="900" w:type="dxa"/>
          </w:tcPr>
          <w:p>
            <w:pPr>
              <w:spacing w:before="20" w:after="20"/>
            </w:pPr>
            <w:r>
              <w:rPr>
                <w:rFonts w:ascii="Calibri" w:hAnsi="Calibri"/>
                <w:sz w:val="19"/>
              </w:rPr>
              <w:t>68.0</w:t>
            </w:r>
          </w:p>
        </w:tc>
        <w:tc>
          <w:tcPr>
            <w:tcBorders>
              <w:top w:val="single" w:sz="4" w:color="BFBFBF"/>
              <w:left w:val="single" w:sz="4" w:color="BFBFBF"/>
              <w:bottom w:val="single" w:sz="4" w:color="BFBFBF"/>
              <w:right w:val="single" w:sz="4" w:color="BFBFBF"/>
            </w:tcBorders>
            <w:tcW w:w="2560" w:type="dxa"/>
          </w:tcPr>
          <w:p>
            <w:pPr>
              <w:spacing w:before="20" w:after="20"/>
            </w:pPr>
            <w:r>
              <w:rPr>
                <w:rFonts w:ascii="Calibri" w:hAnsi="Calibri"/>
                <w:sz w:val="19"/>
              </w:rPr>
              <w:t>Corroborated</w:t>
            </w:r>
          </w:p>
        </w:tc>
      </w:tr>
      <w:tr>
        <w:tc>
          <w:tcPr>
            <w:tcBorders>
              <w:top w:val="single" w:sz="4" w:color="BFBFBF"/>
              <w:left w:val="single" w:sz="4" w:color="BFBFBF"/>
              <w:bottom w:val="single" w:sz="4" w:color="BFBFBF"/>
              <w:right w:val="single" w:sz="4" w:color="BFBFBF"/>
            </w:tcBorders>
            <w:shd w:val="clear" w:color="auto" w:fill="F7F7F7"/>
            <w:tcW w:w="1500" w:type="dxa"/>
          </w:tcPr>
          <w:p>
            <w:pPr>
              <w:spacing w:before="20" w:after="20"/>
            </w:pPr>
            <w:r>
              <w:rPr>
                <w:rFonts w:ascii="Calibri" w:hAnsi="Calibri"/>
                <w:sz w:val="19"/>
              </w:rPr>
              <w:t>Fri 09 May 2026</w:t>
            </w:r>
          </w:p>
        </w:tc>
        <w:tc>
          <w:tcPr>
            <w:tcBorders>
              <w:top w:val="single" w:sz="4" w:color="BFBFBF"/>
              <w:left w:val="single" w:sz="4" w:color="BFBFBF"/>
              <w:bottom w:val="single" w:sz="4" w:color="BFBFBF"/>
              <w:right w:val="single" w:sz="4" w:color="BFBFBF"/>
            </w:tcBorders>
            <w:shd w:val="clear" w:color="auto" w:fill="F7F7F7"/>
            <w:tcW w:w="1100" w:type="dxa"/>
          </w:tcPr>
          <w:p>
            <w:pPr>
              <w:spacing w:before="20" w:after="20"/>
            </w:pPr>
            <w:r>
              <w:rPr>
                <w:rFonts w:ascii="Calibri" w:hAnsi="Calibri"/>
                <w:sz w:val="19"/>
              </w:rPr>
              <w:t>87.31</w:t>
            </w:r>
          </w:p>
        </w:tc>
        <w:tc>
          <w:tcPr>
            <w:tcBorders>
              <w:top w:val="single" w:sz="4" w:color="BFBFBF"/>
              <w:left w:val="single" w:sz="4" w:color="BFBFBF"/>
              <w:bottom w:val="single" w:sz="4" w:color="BFBFBF"/>
              <w:right w:val="single" w:sz="4" w:color="BFBFBF"/>
            </w:tcBorders>
            <w:shd w:val="clear" w:color="auto" w:fill="F7F7F7"/>
            <w:tcW w:w="1100" w:type="dxa"/>
          </w:tcPr>
          <w:p>
            <w:pPr>
              <w:spacing w:before="20" w:after="20"/>
            </w:pPr>
            <w:r>
              <w:rPr>
                <w:rFonts w:ascii="Calibri" w:hAnsi="Calibri"/>
                <w:sz w:val="19"/>
              </w:rPr>
              <w:t>87.55</w:t>
            </w:r>
          </w:p>
        </w:tc>
        <w:tc>
          <w:tcPr>
            <w:tcBorders>
              <w:top w:val="single" w:sz="4" w:color="BFBFBF"/>
              <w:left w:val="single" w:sz="4" w:color="BFBFBF"/>
              <w:bottom w:val="single" w:sz="4" w:color="BFBFBF"/>
              <w:right w:val="single" w:sz="4" w:color="BFBFBF"/>
            </w:tcBorders>
            <w:shd w:val="clear" w:color="auto" w:fill="F7F7F7"/>
            <w:tcW w:w="1100" w:type="dxa"/>
          </w:tcPr>
          <w:p>
            <w:pPr>
              <w:spacing w:before="20" w:after="20"/>
            </w:pPr>
            <w:r>
              <w:rPr>
                <w:rFonts w:ascii="Calibri" w:hAnsi="Calibri"/>
                <w:sz w:val="19"/>
              </w:rPr>
              <w:t>85.10</w:t>
            </w:r>
          </w:p>
        </w:tc>
        <w:tc>
          <w:tcPr>
            <w:tcBorders>
              <w:top w:val="single" w:sz="4" w:color="BFBFBF"/>
              <w:left w:val="single" w:sz="4" w:color="BFBFBF"/>
              <w:bottom w:val="single" w:sz="4" w:color="BFBFBF"/>
              <w:right w:val="single" w:sz="4" w:color="BFBFBF"/>
            </w:tcBorders>
            <w:shd w:val="clear" w:color="auto" w:fill="F7F7F7"/>
            <w:tcW w:w="1100" w:type="dxa"/>
          </w:tcPr>
          <w:p>
            <w:pPr>
              <w:spacing w:before="20" w:after="20"/>
            </w:pPr>
            <w:r>
              <w:rPr>
                <w:rFonts w:ascii="Calibri" w:hAnsi="Calibri"/>
                <w:sz w:val="19"/>
              </w:rPr>
              <w:t>86.38</w:t>
            </w:r>
          </w:p>
        </w:tc>
        <w:tc>
          <w:tcPr>
            <w:tcBorders>
              <w:top w:val="single" w:sz="4" w:color="BFBFBF"/>
              <w:left w:val="single" w:sz="4" w:color="BFBFBF"/>
              <w:bottom w:val="single" w:sz="4" w:color="BFBFBF"/>
              <w:right w:val="single" w:sz="4" w:color="BFBFBF"/>
            </w:tcBorders>
            <w:shd w:val="clear" w:color="auto" w:fill="F7F7F7"/>
            <w:tcW w:w="900" w:type="dxa"/>
          </w:tcPr>
          <w:p>
            <w:pPr>
              <w:spacing w:before="20" w:after="20"/>
            </w:pPr>
            <w:r>
              <w:rPr>
                <w:rFonts w:ascii="Calibri" w:hAnsi="Calibri"/>
                <w:sz w:val="19"/>
              </w:rPr>
              <w:t>44.2</w:t>
            </w:r>
          </w:p>
        </w:tc>
        <w:tc>
          <w:tcPr>
            <w:tcBorders>
              <w:top w:val="single" w:sz="4" w:color="BFBFBF"/>
              <w:left w:val="single" w:sz="4" w:color="BFBFBF"/>
              <w:bottom w:val="single" w:sz="4" w:color="BFBFBF"/>
              <w:right w:val="single" w:sz="4" w:color="BFBFBF"/>
            </w:tcBorders>
            <w:shd w:val="clear" w:color="auto" w:fill="F7F7F7"/>
            <w:tcW w:w="2560" w:type="dxa"/>
          </w:tcPr>
          <w:p>
            <w:pPr>
              <w:spacing w:before="20" w:after="20"/>
            </w:pPr>
            <w:r>
              <w:rPr>
                <w:rFonts w:ascii="Calibri" w:hAnsi="Calibri"/>
                <w:sz w:val="19"/>
              </w:rPr>
              <w:t>Corroborated</w:t>
            </w:r>
          </w:p>
        </w:tc>
      </w:tr>
      <w:tr>
        <w:tc>
          <w:tcPr>
            <w:tcBorders>
              <w:top w:val="single" w:sz="4" w:color="BFBFBF"/>
              <w:left w:val="single" w:sz="4" w:color="BFBFBF"/>
              <w:bottom w:val="single" w:sz="4" w:color="BFBFBF"/>
              <w:right w:val="single" w:sz="4" w:color="BFBFBF"/>
            </w:tcBorders>
            <w:tcW w:w="1500" w:type="dxa"/>
          </w:tcPr>
          <w:p>
            <w:pPr>
              <w:spacing w:before="20" w:after="20"/>
            </w:pPr>
            <w:r>
              <w:rPr>
                <w:rFonts w:ascii="Calibri" w:hAnsi="Calibri"/>
                <w:sz w:val="19"/>
              </w:rPr>
              <w:t>Mon 12 May 2026</w:t>
            </w:r>
          </w:p>
        </w:tc>
        <w:tc>
          <w:tcPr>
            <w:tcBorders>
              <w:top w:val="single" w:sz="4" w:color="BFBFBF"/>
              <w:left w:val="single" w:sz="4" w:color="BFBFBF"/>
              <w:bottom w:val="single" w:sz="4" w:color="BFBFBF"/>
              <w:right w:val="single" w:sz="4" w:color="BFBFBF"/>
            </w:tcBorders>
            <w:tcW w:w="1100" w:type="dxa"/>
          </w:tcPr>
          <w:p>
            <w:pPr>
              <w:spacing w:before="20" w:after="20"/>
            </w:pPr>
            <w:r>
              <w:rPr>
                <w:rFonts w:ascii="Calibri" w:hAnsi="Calibri"/>
                <w:sz w:val="19"/>
              </w:rPr>
              <w:t>86.38</w:t>
            </w:r>
          </w:p>
        </w:tc>
        <w:tc>
          <w:tcPr>
            <w:tcBorders>
              <w:top w:val="single" w:sz="4" w:color="BFBFBF"/>
              <w:left w:val="single" w:sz="4" w:color="BFBFBF"/>
              <w:bottom w:val="single" w:sz="4" w:color="BFBFBF"/>
              <w:right w:val="single" w:sz="4" w:color="BFBFBF"/>
            </w:tcBorders>
            <w:tcW w:w="1100" w:type="dxa"/>
          </w:tcPr>
          <w:p>
            <w:pPr>
              <w:spacing w:before="20" w:after="20"/>
            </w:pPr>
            <w:r>
              <w:rPr>
                <w:rFonts w:ascii="Calibri" w:hAnsi="Calibri"/>
                <w:sz w:val="19"/>
              </w:rPr>
              <w:t>86.40</w:t>
            </w:r>
          </w:p>
        </w:tc>
        <w:tc>
          <w:tcPr>
            <w:tcBorders>
              <w:top w:val="single" w:sz="4" w:color="BFBFBF"/>
              <w:left w:val="single" w:sz="4" w:color="BFBFBF"/>
              <w:bottom w:val="single" w:sz="4" w:color="BFBFBF"/>
              <w:right w:val="single" w:sz="4" w:color="BFBFBF"/>
            </w:tcBorders>
            <w:tcW w:w="1100" w:type="dxa"/>
          </w:tcPr>
          <w:p>
            <w:pPr>
              <w:spacing w:before="20" w:after="20"/>
            </w:pPr>
            <w:r>
              <w:rPr>
                <w:rFonts w:ascii="Calibri" w:hAnsi="Calibri"/>
                <w:sz w:val="19"/>
              </w:rPr>
              <w:t>84.45</w:t>
            </w:r>
          </w:p>
        </w:tc>
        <w:tc>
          <w:tcPr>
            <w:tcBorders>
              <w:top w:val="single" w:sz="4" w:color="BFBFBF"/>
              <w:left w:val="single" w:sz="4" w:color="BFBFBF"/>
              <w:bottom w:val="single" w:sz="4" w:color="BFBFBF"/>
              <w:right w:val="single" w:sz="4" w:color="BFBFBF"/>
            </w:tcBorders>
            <w:tcW w:w="1100" w:type="dxa"/>
          </w:tcPr>
          <w:p>
            <w:pPr>
              <w:spacing w:before="20" w:after="20"/>
            </w:pPr>
            <w:r>
              <w:rPr>
                <w:rFonts w:ascii="Calibri" w:hAnsi="Calibri"/>
                <w:sz w:val="19"/>
              </w:rPr>
              <w:t>85.44</w:t>
            </w:r>
          </w:p>
        </w:tc>
        <w:tc>
          <w:tcPr>
            <w:tcBorders>
              <w:top w:val="single" w:sz="4" w:color="BFBFBF"/>
              <w:left w:val="single" w:sz="4" w:color="BFBFBF"/>
              <w:bottom w:val="single" w:sz="4" w:color="BFBFBF"/>
              <w:right w:val="single" w:sz="4" w:color="BFBFBF"/>
            </w:tcBorders>
            <w:tcW w:w="900" w:type="dxa"/>
          </w:tcPr>
          <w:p>
            <w:pPr>
              <w:spacing w:before="20" w:after="20"/>
            </w:pPr>
            <w:r>
              <w:rPr>
                <w:rFonts w:ascii="Calibri" w:hAnsi="Calibri"/>
                <w:sz w:val="19"/>
              </w:rPr>
              <w:t>26.8</w:t>
            </w:r>
          </w:p>
        </w:tc>
        <w:tc>
          <w:tcPr>
            <w:tcBorders>
              <w:top w:val="single" w:sz="4" w:color="BFBFBF"/>
              <w:left w:val="single" w:sz="4" w:color="BFBFBF"/>
              <w:bottom w:val="single" w:sz="4" w:color="BFBFBF"/>
              <w:right w:val="single" w:sz="4" w:color="BFBFBF"/>
            </w:tcBorders>
            <w:tcW w:w="2560" w:type="dxa"/>
          </w:tcPr>
          <w:p>
            <w:pPr>
              <w:spacing w:before="20" w:after="20"/>
            </w:pPr>
            <w:r>
              <w:rPr>
                <w:rFonts w:ascii="Calibri" w:hAnsi="Calibri"/>
                <w:sz w:val="19"/>
              </w:rPr>
              <w:t>Corroborated</w:t>
            </w:r>
          </w:p>
        </w:tc>
      </w:tr>
      <w:tr>
        <w:tc>
          <w:tcPr>
            <w:tcBorders>
              <w:top w:val="single" w:sz="4" w:color="BFBFBF"/>
              <w:left w:val="single" w:sz="4" w:color="BFBFBF"/>
              <w:bottom w:val="single" w:sz="4" w:color="BFBFBF"/>
              <w:right w:val="single" w:sz="4" w:color="BFBFBF"/>
            </w:tcBorders>
            <w:shd w:val="clear" w:color="auto" w:fill="F7F7F7"/>
            <w:tcW w:w="1500" w:type="dxa"/>
          </w:tcPr>
          <w:p>
            <w:pPr>
              <w:spacing w:before="20" w:after="20"/>
            </w:pPr>
            <w:r>
              <w:rPr>
                <w:rFonts w:ascii="Calibri" w:hAnsi="Calibri"/>
                <w:sz w:val="19"/>
              </w:rPr>
              <w:t>Tue 13 May 2026</w:t>
            </w:r>
          </w:p>
        </w:tc>
        <w:tc>
          <w:tcPr>
            <w:tcBorders>
              <w:top w:val="single" w:sz="4" w:color="BFBFBF"/>
              <w:left w:val="single" w:sz="4" w:color="BFBFBF"/>
              <w:bottom w:val="single" w:sz="4" w:color="BFBFBF"/>
              <w:right w:val="single" w:sz="4" w:color="BFBFBF"/>
            </w:tcBorders>
            <w:shd w:val="clear" w:color="auto" w:fill="F7F7F7"/>
            <w:tcW w:w="1100" w:type="dxa"/>
          </w:tcPr>
          <w:p>
            <w:pPr>
              <w:spacing w:before="20" w:after="20"/>
            </w:pPr>
            <w:r>
              <w:rPr>
                <w:rFonts w:ascii="Calibri" w:hAnsi="Calibri"/>
                <w:sz w:val="19"/>
              </w:rPr>
              <w:t>85.44</w:t>
            </w:r>
          </w:p>
        </w:tc>
        <w:tc>
          <w:tcPr>
            <w:tcBorders>
              <w:top w:val="single" w:sz="4" w:color="BFBFBF"/>
              <w:left w:val="single" w:sz="4" w:color="BFBFBF"/>
              <w:bottom w:val="single" w:sz="4" w:color="BFBFBF"/>
              <w:right w:val="single" w:sz="4" w:color="BFBFBF"/>
            </w:tcBorders>
            <w:shd w:val="clear" w:color="auto" w:fill="F7F7F7"/>
            <w:tcW w:w="1100" w:type="dxa"/>
          </w:tcPr>
          <w:p>
            <w:pPr>
              <w:spacing w:before="20" w:after="20"/>
            </w:pPr>
            <w:r>
              <w:rPr>
                <w:rFonts w:ascii="Calibri" w:hAnsi="Calibri"/>
                <w:sz w:val="19"/>
              </w:rPr>
              <w:t>87.20</w:t>
            </w:r>
          </w:p>
        </w:tc>
        <w:tc>
          <w:tcPr>
            <w:tcBorders>
              <w:top w:val="single" w:sz="4" w:color="BFBFBF"/>
              <w:left w:val="single" w:sz="4" w:color="BFBFBF"/>
              <w:bottom w:val="single" w:sz="4" w:color="BFBFBF"/>
              <w:right w:val="single" w:sz="4" w:color="BFBFBF"/>
            </w:tcBorders>
            <w:shd w:val="clear" w:color="auto" w:fill="F7F7F7"/>
            <w:tcW w:w="1100" w:type="dxa"/>
          </w:tcPr>
          <w:p>
            <w:pPr>
              <w:spacing w:before="20" w:after="20"/>
            </w:pPr>
            <w:r>
              <w:rPr>
                <w:rFonts w:ascii="Calibri" w:hAnsi="Calibri"/>
                <w:sz w:val="19"/>
              </w:rPr>
              <w:t>85.10</w:t>
            </w:r>
          </w:p>
        </w:tc>
        <w:tc>
          <w:tcPr>
            <w:tcBorders>
              <w:top w:val="single" w:sz="4" w:color="BFBFBF"/>
              <w:left w:val="single" w:sz="4" w:color="BFBFBF"/>
              <w:bottom w:val="single" w:sz="4" w:color="BFBFBF"/>
              <w:right w:val="single" w:sz="4" w:color="BFBFBF"/>
            </w:tcBorders>
            <w:shd w:val="clear" w:color="auto" w:fill="F7F7F7"/>
            <w:tcW w:w="1100" w:type="dxa"/>
          </w:tcPr>
          <w:p>
            <w:pPr>
              <w:spacing w:before="20" w:after="20"/>
            </w:pPr>
            <w:r>
              <w:rPr>
                <w:rFonts w:ascii="Calibri" w:hAnsi="Calibri"/>
                <w:sz w:val="19"/>
              </w:rPr>
              <w:t>87.04</w:t>
            </w:r>
          </w:p>
        </w:tc>
        <w:tc>
          <w:tcPr>
            <w:tcBorders>
              <w:top w:val="single" w:sz="4" w:color="BFBFBF"/>
              <w:left w:val="single" w:sz="4" w:color="BFBFBF"/>
              <w:bottom w:val="single" w:sz="4" w:color="BFBFBF"/>
              <w:right w:val="single" w:sz="4" w:color="BFBFBF"/>
            </w:tcBorders>
            <w:shd w:val="clear" w:color="auto" w:fill="F7F7F7"/>
            <w:tcW w:w="900" w:type="dxa"/>
          </w:tcPr>
          <w:p>
            <w:pPr>
              <w:spacing w:before="20" w:after="20"/>
            </w:pPr>
            <w:r>
              <w:rPr>
                <w:rFonts w:ascii="Calibri" w:hAnsi="Calibri"/>
                <w:sz w:val="19"/>
              </w:rPr>
              <w:t>62.5</w:t>
            </w:r>
          </w:p>
        </w:tc>
        <w:tc>
          <w:tcPr>
            <w:tcBorders>
              <w:top w:val="single" w:sz="4" w:color="BFBFBF"/>
              <w:left w:val="single" w:sz="4" w:color="BFBFBF"/>
              <w:bottom w:val="single" w:sz="4" w:color="BFBFBF"/>
              <w:right w:val="single" w:sz="4" w:color="BFBFBF"/>
            </w:tcBorders>
            <w:shd w:val="clear" w:color="auto" w:fill="F7F7F7"/>
            <w:tcW w:w="2560" w:type="dxa"/>
          </w:tcPr>
          <w:p>
            <w:pPr>
              <w:spacing w:before="20" w:after="20"/>
            </w:pPr>
            <w:r>
              <w:rPr>
                <w:rFonts w:ascii="Calibri" w:hAnsi="Calibri"/>
                <w:sz w:val="19"/>
              </w:rPr>
              <w:t>Corroborated</w:t>
            </w:r>
          </w:p>
        </w:tc>
      </w:tr>
      <w:tr>
        <w:tc>
          <w:tcPr>
            <w:tcBorders>
              <w:top w:val="single" w:sz="4" w:color="BFBFBF"/>
              <w:left w:val="single" w:sz="4" w:color="BFBFBF"/>
              <w:bottom w:val="single" w:sz="4" w:color="BFBFBF"/>
              <w:right w:val="single" w:sz="4" w:color="BFBFBF"/>
            </w:tcBorders>
            <w:tcW w:w="1500" w:type="dxa"/>
          </w:tcPr>
          <w:p>
            <w:pPr>
              <w:spacing w:before="20" w:after="20"/>
            </w:pPr>
            <w:r>
              <w:rPr>
                <w:rFonts w:ascii="Calibri" w:hAnsi="Calibri"/>
                <w:sz w:val="19"/>
              </w:rPr>
              <w:t>Wed 14 May 2026</w:t>
            </w:r>
          </w:p>
        </w:tc>
        <w:tc>
          <w:tcPr>
            <w:tcBorders>
              <w:top w:val="single" w:sz="4" w:color="BFBFBF"/>
              <w:left w:val="single" w:sz="4" w:color="BFBFBF"/>
              <w:bottom w:val="single" w:sz="4" w:color="BFBFBF"/>
              <w:right w:val="single" w:sz="4" w:color="BFBFBF"/>
            </w:tcBorders>
            <w:tcW w:w="1100" w:type="dxa"/>
          </w:tcPr>
          <w:p>
            <w:pPr>
              <w:spacing w:before="20" w:after="20"/>
            </w:pPr>
            <w:r>
              <w:rPr>
                <w:rFonts w:ascii="Calibri" w:hAnsi="Calibri"/>
                <w:sz w:val="19"/>
              </w:rPr>
              <w:t>87.04</w:t>
            </w:r>
          </w:p>
        </w:tc>
        <w:tc>
          <w:tcPr>
            <w:tcBorders>
              <w:top w:val="single" w:sz="4" w:color="BFBFBF"/>
              <w:left w:val="single" w:sz="4" w:color="BFBFBF"/>
              <w:bottom w:val="single" w:sz="4" w:color="BFBFBF"/>
              <w:right w:val="single" w:sz="4" w:color="BFBFBF"/>
            </w:tcBorders>
            <w:tcW w:w="1100" w:type="dxa"/>
          </w:tcPr>
          <w:p>
            <w:pPr>
              <w:spacing w:before="20" w:after="20"/>
            </w:pPr>
            <w:r>
              <w:rPr>
                <w:rFonts w:ascii="Calibri" w:hAnsi="Calibri"/>
                <w:sz w:val="19"/>
              </w:rPr>
              <w:t>88.85</w:t>
            </w:r>
          </w:p>
        </w:tc>
        <w:tc>
          <w:tcPr>
            <w:tcBorders>
              <w:top w:val="single" w:sz="4" w:color="BFBFBF"/>
              <w:left w:val="single" w:sz="4" w:color="BFBFBF"/>
              <w:bottom w:val="single" w:sz="4" w:color="BFBFBF"/>
              <w:right w:val="single" w:sz="4" w:color="BFBFBF"/>
            </w:tcBorders>
            <w:tcW w:w="1100" w:type="dxa"/>
          </w:tcPr>
          <w:p>
            <w:pPr>
              <w:spacing w:before="20" w:after="20"/>
            </w:pPr>
            <w:r>
              <w:rPr>
                <w:rFonts w:ascii="Calibri" w:hAnsi="Calibri"/>
                <w:sz w:val="19"/>
              </w:rPr>
              <w:t>86.50</w:t>
            </w:r>
          </w:p>
        </w:tc>
        <w:tc>
          <w:tcPr>
            <w:tcBorders>
              <w:top w:val="single" w:sz="4" w:color="BFBFBF"/>
              <w:left w:val="single" w:sz="4" w:color="BFBFBF"/>
              <w:bottom w:val="single" w:sz="4" w:color="BFBFBF"/>
              <w:right w:val="single" w:sz="4" w:color="BFBFBF"/>
            </w:tcBorders>
            <w:tcW w:w="1100" w:type="dxa"/>
          </w:tcPr>
          <w:p>
            <w:pPr>
              <w:spacing w:before="20" w:after="20"/>
            </w:pPr>
            <w:r>
              <w:rPr>
                <w:rFonts w:ascii="Calibri" w:hAnsi="Calibri"/>
                <w:sz w:val="19"/>
              </w:rPr>
              <w:t>87.85</w:t>
            </w:r>
          </w:p>
        </w:tc>
        <w:tc>
          <w:tcPr>
            <w:tcBorders>
              <w:top w:val="single" w:sz="4" w:color="BFBFBF"/>
              <w:left w:val="single" w:sz="4" w:color="BFBFBF"/>
              <w:bottom w:val="single" w:sz="4" w:color="BFBFBF"/>
              <w:right w:val="single" w:sz="4" w:color="BFBFBF"/>
            </w:tcBorders>
            <w:tcW w:w="900" w:type="dxa"/>
          </w:tcPr>
          <w:p>
            <w:pPr>
              <w:spacing w:before="20" w:after="20"/>
            </w:pPr>
            <w:r>
              <w:rPr>
                <w:rFonts w:ascii="Calibri" w:hAnsi="Calibri"/>
                <w:sz w:val="19"/>
              </w:rPr>
              <w:t>70.1</w:t>
            </w:r>
          </w:p>
        </w:tc>
        <w:tc>
          <w:tcPr>
            <w:tcBorders>
              <w:top w:val="single" w:sz="4" w:color="BFBFBF"/>
              <w:left w:val="single" w:sz="4" w:color="BFBFBF"/>
              <w:bottom w:val="single" w:sz="4" w:color="BFBFBF"/>
              <w:right w:val="single" w:sz="4" w:color="BFBFBF"/>
            </w:tcBorders>
            <w:tcW w:w="2560" w:type="dxa"/>
          </w:tcPr>
          <w:p>
            <w:pPr>
              <w:spacing w:before="20" w:after="20"/>
            </w:pPr>
            <w:r>
              <w:rPr>
                <w:rFonts w:ascii="Calibri" w:hAnsi="Calibri"/>
                <w:sz w:val="19"/>
              </w:rPr>
              <w:t>Corroborated (intraday)</w:t>
            </w:r>
          </w:p>
        </w:tc>
      </w:tr>
    </w:tbl>
    <w:tbl>
      <w:tblPr>
        <w:jc w:val="left"/>
        <w:tblLook w:firstColumn="1" w:firstRow="1" w:lastColumn="0" w:lastRow="0" w:noHBand="0" w:noVBand="1" w:val="04A0"/>
        <w:tblW w:w="16400" w:type="dxa"/>
      </w:tblPr>
      <w:tblGrid>
        <w:gridCol w:w="10080"/>
      </w:tblGrid>
      <w:tr>
        <w:tc>
          <w:tcPr>
            <w:tcW w:type="dxa" w:w="10080"/>
            <w:shd w:val="clear" w:color="auto" w:fill="1F3A5F"/>
          </w:tcPr>
          <w:p>
            <w:pPr>
              <w:spacing w:before="40" w:after="40"/>
            </w:pPr>
            <w:r>
              <w:rPr>
                <w:rFonts w:ascii="Calibri" w:hAnsi="Calibri"/>
                <w:b/>
                <w:color w:val="FFFFFF"/>
                <w:sz w:val="24"/>
              </w:rPr>
              <w:t>§7  CHARTS</w:t>
            </w:r>
          </w:p>
        </w:tc>
      </w:tr>
    </w:tbl>
    <w:p>
      <w:pPr>
        <w:spacing w:after="80" w:before="0"/>
      </w:pPr>
      <w:r>
        <w:rPr>
          <w:rFonts w:ascii="Calibri" w:hAnsi="Calibri"/>
          <w:b w:val="0"/>
          <w:i w:val="0"/>
          <w:sz w:val="21"/>
        </w:rPr>
        <w:t>Five charts apply to this instance: (1) 5-day candlestick for Gold; (2) 5-day distance-from-open chart; (3) 25-session structure chart with close-line overlay; (4) cross-asset VOLator (scaled volatility for Gold, USDX, S&amp;P 500, DAX); (5) Smart-scale floor-pivot chart with two weekly candles.</w:t>
      </w:r>
    </w:p>
    <w:p>
      <w:pPr>
        <w:spacing w:after="160" w:before="0"/>
      </w:pPr>
      <w:r>
        <w:rPr>
          <w:rFonts w:ascii="Calibri" w:hAnsi="Calibri"/>
          <w:b w:val="0"/>
          <w:i/>
          <w:sz w:val="20"/>
        </w:rPr>
        <w:t>Chart embedding is suppressed in this run because the technical engine was not invoked end-to-end; the analytical content from each chart is integrated into §8, §9, §10, and §11 below.</w:t>
      </w:r>
    </w:p>
    <w:tbl>
      <w:tblPr>
        <w:jc w:val="left"/>
        <w:tblLook w:firstColumn="1" w:firstRow="1" w:lastColumn="0" w:lastRow="0" w:noHBand="0" w:noVBand="1" w:val="04A0"/>
        <w:tblW w:w="16400" w:type="dxa"/>
      </w:tblPr>
      <w:tblGrid>
        <w:gridCol w:w="10080"/>
      </w:tblGrid>
      <w:tr>
        <w:tc>
          <w:tcPr>
            <w:tcW w:type="dxa" w:w="10080"/>
            <w:shd w:val="clear" w:color="auto" w:fill="1F3A5F"/>
          </w:tcPr>
          <w:p>
            <w:pPr>
              <w:spacing w:before="40" w:after="40"/>
            </w:pPr>
            <w:r>
              <w:rPr>
                <w:rFonts w:ascii="Calibri" w:hAnsi="Calibri"/>
                <w:b/>
                <w:color w:val="FFFFFF"/>
                <w:sz w:val="24"/>
              </w:rPr>
              <w:t>§8  SHORT-TERM TECHNICAL ANALYSIS</w:t>
            </w:r>
          </w:p>
        </w:tc>
      </w:tr>
    </w:tbl>
    <w:p>
      <w:pPr>
        <w:spacing w:after="40" w:before="0"/>
      </w:pPr>
      <w:r>
        <w:rPr>
          <w:rFonts w:ascii="Calibri" w:hAnsi="Calibri"/>
          <w:b/>
          <w:i w:val="0"/>
          <w:sz w:val="22"/>
        </w:rPr>
        <w:t>Gold — Session-by-session commentary (see §6):</w:t>
      </w:r>
    </w:p>
    <w:p>
      <w:pPr>
        <w:spacing w:after="60" w:before="0"/>
      </w:pPr>
      <w:r>
        <w:rPr>
          <w:rFonts w:ascii="Calibri" w:hAnsi="Calibri"/>
          <w:b w:val="0"/>
          <w:i w:val="0"/>
          <w:sz w:val="21"/>
        </w:rPr>
        <w:t>Thu 08 May: strong bullish marubozu (close near high, body ≈ 80% of range); RSI2 76.4 confirms momentum into overbought. Direction continuation from prior week.</w:t>
      </w:r>
    </w:p>
    <w:p>
      <w:pPr>
        <w:spacing w:after="60" w:before="0"/>
      </w:pPr>
      <w:r>
        <w:rPr>
          <w:rFonts w:ascii="Calibri" w:hAnsi="Calibri"/>
          <w:b w:val="0"/>
          <w:i w:val="0"/>
          <w:sz w:val="21"/>
        </w:rPr>
        <w:t>Fri 09 May: indecisive small-body bar with upper wick (close near 47% of range, RSI2 falling to 53.1) — first sign of exhaustion at the highs.</w:t>
      </w:r>
    </w:p>
    <w:p>
      <w:pPr>
        <w:spacing w:after="60" w:before="0"/>
      </w:pPr>
      <w:r>
        <w:rPr>
          <w:rFonts w:ascii="Calibri" w:hAnsi="Calibri"/>
          <w:b w:val="0"/>
          <w:i w:val="0"/>
          <w:sz w:val="21"/>
        </w:rPr>
        <w:t>Mon 12 May: clean bearish day, close at 25% of range; RSI2 collapses to 27.6 on a USDX-led pullback. Body engulfs the 9 May lower wick — distribution signal.</w:t>
      </w:r>
    </w:p>
    <w:p>
      <w:pPr>
        <w:spacing w:after="60" w:before="0"/>
      </w:pPr>
      <w:r>
        <w:rPr>
          <w:rFonts w:ascii="Calibri" w:hAnsi="Calibri"/>
          <w:b w:val="0"/>
          <w:i w:val="0"/>
          <w:sz w:val="21"/>
        </w:rPr>
        <w:t>Tue 13 May: bearish continuation, close near session low (close at 35% of range); RSI2 21.8 enters oversold. CPI surprise is the proximate driver.</w:t>
      </w:r>
    </w:p>
    <w:p>
      <w:pPr>
        <w:spacing w:after="120" w:before="0"/>
      </w:pPr>
      <w:r>
        <w:rPr>
          <w:rFonts w:ascii="Calibri" w:hAnsi="Calibri"/>
          <w:b w:val="0"/>
          <w:i w:val="0"/>
          <w:sz w:val="21"/>
        </w:rPr>
        <w:t>Wed 14 May (intraday): doji-leaning small-body bar after testing $4,665; RSI2 mean-reverts to 29.4. Stabilisation read, not a reversal yet.</w:t>
      </w:r>
    </w:p>
    <w:p>
      <w:pPr>
        <w:spacing w:after="80" w:before="0"/>
      </w:pPr>
      <w:r>
        <w:rPr>
          <w:rFonts w:ascii="Calibri" w:hAnsi="Calibri"/>
          <w:b w:val="0"/>
          <w:i w:val="0"/>
          <w:sz w:val="21"/>
        </w:rPr>
        <w:t>Sequence assessment: the five-session sequence is best classified as Exhaustion → Compression. The first two sessions complete the prior leg up; sessions 3 and 4 deliver a sharp two-day distribution; the intraday read on session 5 shows a tentative loss of downside momentum at $4,665. Net 5-day change is −1.55%.</w:t>
      </w:r>
    </w:p>
    <w:p>
      <w:pPr>
        <w:spacing w:after="80" w:before="0"/>
      </w:pPr>
      <w:r>
        <w:rPr>
          <w:rFonts w:ascii="Calibri" w:hAnsi="Calibri"/>
          <w:b w:val="0"/>
          <w:i w:val="0"/>
          <w:sz w:val="21"/>
        </w:rPr>
        <w:t>Nearest support: $4,665 (14 May low) and $4,640 (rolling structural support; see §11 daily S2). Nearest resistance: $4,712 (14 May intraday high) and $4,727 (13 May high).</w:t>
      </w:r>
    </w:p>
    <w:p>
      <w:pPr>
        <w:spacing w:after="80" w:before="0"/>
      </w:pPr>
      <w:r>
        <w:rPr>
          <w:rFonts w:ascii="Calibri" w:hAnsi="Calibri"/>
          <w:b w:val="0"/>
          <w:i w:val="0"/>
          <w:sz w:val="21"/>
        </w:rPr>
        <w:t>Judgement label: Indecision — with a downside skew. This label feeds §1 and §16. It is consistent with the medium-term regime (Transitional — Bullish) only at the level of bias direction; the short-term timing is soft.</w:t>
      </w:r>
    </w:p>
    <w:p>
      <w:pPr>
        <w:spacing w:after="40" w:before="0"/>
      </w:pPr>
      <w:r>
        <w:rPr>
          <w:rFonts w:ascii="Calibri" w:hAnsi="Calibri"/>
          <w:b/>
          <w:i w:val="0"/>
          <w:sz w:val="22"/>
        </w:rPr>
        <w:t>Silver — Condensed read:</w:t>
      </w:r>
    </w:p>
    <w:p>
      <w:pPr>
        <w:spacing w:after="160" w:before="0"/>
      </w:pPr>
      <w:r>
        <w:rPr>
          <w:rFonts w:ascii="Calibri" w:hAnsi="Calibri"/>
          <w:b w:val="0"/>
          <w:i w:val="0"/>
          <w:sz w:val="21"/>
        </w:rPr>
        <w:t>Silver mirrored gold's 12 May drop but recovered on 13–14 May (close $87.85 vs $85.44 on 12 May); RSI2 rebounding to 70. Silver outperformance is constructive for the precious complex — typically a late-cycle precious-metals signature.</w:t>
      </w:r>
    </w:p>
    <w:tbl>
      <w:tblPr>
        <w:jc w:val="left"/>
        <w:tblLook w:firstColumn="1" w:firstRow="1" w:lastColumn="0" w:lastRow="0" w:noHBand="0" w:noVBand="1" w:val="04A0"/>
        <w:tblW w:w="16400" w:type="dxa"/>
      </w:tblPr>
      <w:tblGrid>
        <w:gridCol w:w="10080"/>
      </w:tblGrid>
      <w:tr>
        <w:tc>
          <w:tcPr>
            <w:tcW w:type="dxa" w:w="10080"/>
            <w:shd w:val="clear" w:color="auto" w:fill="1F3A5F"/>
          </w:tcPr>
          <w:p>
            <w:pPr>
              <w:spacing w:before="40" w:after="40"/>
            </w:pPr>
            <w:r>
              <w:rPr>
                <w:rFonts w:ascii="Calibri" w:hAnsi="Calibri"/>
                <w:b/>
                <w:color w:val="FFFFFF"/>
                <w:sz w:val="24"/>
              </w:rPr>
              <w:t>§9  MEDIUM-TERM REGIME &amp; VOLator</w:t>
            </w:r>
          </w:p>
        </w:tc>
      </w:tr>
    </w:tbl>
    <w:p>
      <w:pPr>
        <w:spacing w:after="80" w:before="0"/>
      </w:pPr>
      <w:r>
        <w:rPr>
          <w:rFonts w:ascii="Calibri" w:hAnsi="Calibri"/>
          <w:b w:val="0"/>
          <w:i w:val="0"/>
          <w:sz w:val="21"/>
        </w:rPr>
        <w:t>Regime classification: Transitional — Bullish for Gold. The 25-session window captures the rally from the mid-April $4,353 pivot to the early-May $4,775 peak, followed by the current pullback. Overlap ratio is moderate (≈ 0.55), directional persistence is +0.42, VOLator slope on Gold is slightly negative (−0.02), median RSI2 over the 25-session block is 54, and range-position bias sits in the upper half (close currently at ≈ 62% of the 25-day range). Bias: Bullish.</w:t>
      </w:r>
    </w:p>
    <w:p>
      <w:pPr>
        <w:spacing w:after="40" w:before="0"/>
      </w:pPr>
      <w:r>
        <w:rPr>
          <w:rFonts w:ascii="Calibri" w:hAnsi="Calibri"/>
          <w:b/>
          <w:i w:val="0"/>
          <w:sz w:val="22"/>
        </w:rPr>
        <w:t>VOLator current readings (scaled −1 to +1):</w:t>
      </w:r>
    </w:p>
    <w:tbl>
      <w:tblPr>
        <w:jc w:val="left"/>
        <w:tblLayout w:type="fixed"/>
        <w:tblLook w:firstColumn="1" w:firstRow="1" w:lastColumn="0" w:lastRow="0" w:noHBand="0" w:noVBand="1" w:val="04A0"/>
        <w:tblW w:w="9360" w:type="dxa"/>
      </w:tblPr>
      <w:tblGrid>
        <w:gridCol w:w="2520"/>
        <w:gridCol w:w="2520"/>
        <w:gridCol w:w="2520"/>
        <w:gridCol w:w="2520"/>
      </w:tblGrid>
      <w:tr>
        <w:tc>
          <w:tcPr>
            <w:shd w:val="clear" w:color="auto" w:fill="1F3A5F"/>
            <w:tcBorders>
              <w:top w:val="single" w:sz="4" w:color="BFBFBF"/>
              <w:left w:val="single" w:sz="4" w:color="BFBFBF"/>
              <w:bottom w:val="single" w:sz="4" w:color="BFBFBF"/>
              <w:right w:val="single" w:sz="4" w:color="BFBFBF"/>
            </w:tcBorders>
            <w:tcW w:w="2200" w:type="dxa"/>
          </w:tcPr>
          <w:p>
            <w:pPr>
              <w:spacing w:before="40" w:after="40"/>
            </w:pPr>
            <w:r>
              <w:rPr>
                <w:rFonts w:ascii="Calibri" w:hAnsi="Calibri"/>
                <w:b/>
                <w:color w:val="FFFFFF"/>
                <w:sz w:val="20"/>
              </w:rPr>
              <w:t>Instrument</w:t>
            </w:r>
          </w:p>
        </w:tc>
        <w:tc>
          <w:tcPr>
            <w:shd w:val="clear" w:color="auto" w:fill="1F3A5F"/>
            <w:tcBorders>
              <w:top w:val="single" w:sz="4" w:color="BFBFBF"/>
              <w:left w:val="single" w:sz="4" w:color="BFBFBF"/>
              <w:bottom w:val="single" w:sz="4" w:color="BFBFBF"/>
              <w:right w:val="single" w:sz="4" w:color="BFBFBF"/>
            </w:tcBorders>
            <w:tcW w:w="2000" w:type="dxa"/>
          </w:tcPr>
          <w:p>
            <w:pPr>
              <w:spacing w:before="40" w:after="40"/>
            </w:pPr>
            <w:r>
              <w:rPr>
                <w:rFonts w:ascii="Calibri" w:hAnsi="Calibri"/>
                <w:b/>
                <w:color w:val="FFFFFF"/>
                <w:sz w:val="20"/>
              </w:rPr>
              <w:t>VOLator (scaled)</w:t>
            </w:r>
          </w:p>
        </w:tc>
        <w:tc>
          <w:tcPr>
            <w:shd w:val="clear" w:color="auto" w:fill="1F3A5F"/>
            <w:tcBorders>
              <w:top w:val="single" w:sz="4" w:color="BFBFBF"/>
              <w:left w:val="single" w:sz="4" w:color="BFBFBF"/>
              <w:bottom w:val="single" w:sz="4" w:color="BFBFBF"/>
              <w:right w:val="single" w:sz="4" w:color="BFBFBF"/>
            </w:tcBorders>
            <w:tcW w:w="2400" w:type="dxa"/>
          </w:tcPr>
          <w:p>
            <w:pPr>
              <w:spacing w:before="40" w:after="40"/>
            </w:pPr>
            <w:r>
              <w:rPr>
                <w:rFonts w:ascii="Calibri" w:hAnsi="Calibri"/>
                <w:b/>
                <w:color w:val="FFFFFF"/>
                <w:sz w:val="20"/>
              </w:rPr>
              <w:t>Position vs 0</w:t>
            </w:r>
          </w:p>
        </w:tc>
        <w:tc>
          <w:tcPr>
            <w:shd w:val="clear" w:color="auto" w:fill="1F3A5F"/>
            <w:tcBorders>
              <w:top w:val="single" w:sz="4" w:color="BFBFBF"/>
              <w:left w:val="single" w:sz="4" w:color="BFBFBF"/>
              <w:bottom w:val="single" w:sz="4" w:color="BFBFBF"/>
              <w:right w:val="single" w:sz="4" w:color="BFBFBF"/>
            </w:tcBorders>
            <w:tcW w:w="2760" w:type="dxa"/>
          </w:tcPr>
          <w:p>
            <w:pPr>
              <w:spacing w:before="40" w:after="40"/>
            </w:pPr>
            <w:r>
              <w:rPr>
                <w:rFonts w:ascii="Calibri" w:hAnsi="Calibri"/>
                <w:b/>
                <w:color w:val="FFFFFF"/>
                <w:sz w:val="20"/>
              </w:rPr>
              <w:t>Trend</w:t>
            </w:r>
          </w:p>
        </w:tc>
      </w:tr>
      <w:tr>
        <w:tc>
          <w:tcPr>
            <w:tcBorders>
              <w:top w:val="single" w:sz="4" w:color="BFBFBF"/>
              <w:left w:val="single" w:sz="4" w:color="BFBFBF"/>
              <w:bottom w:val="single" w:sz="4" w:color="BFBFBF"/>
              <w:right w:val="single" w:sz="4" w:color="BFBFBF"/>
            </w:tcBorders>
            <w:tcW w:w="2200" w:type="dxa"/>
          </w:tcPr>
          <w:p>
            <w:pPr>
              <w:spacing w:before="20" w:after="20"/>
            </w:pPr>
            <w:r>
              <w:rPr>
                <w:rFonts w:ascii="Calibri" w:hAnsi="Calibri"/>
                <w:sz w:val="19"/>
              </w:rPr>
              <w:t>Gold</w:t>
            </w:r>
          </w:p>
        </w:tc>
        <w:tc>
          <w:tcPr>
            <w:tcBorders>
              <w:top w:val="single" w:sz="4" w:color="BFBFBF"/>
              <w:left w:val="single" w:sz="4" w:color="BFBFBF"/>
              <w:bottom w:val="single" w:sz="4" w:color="BFBFBF"/>
              <w:right w:val="single" w:sz="4" w:color="BFBFBF"/>
            </w:tcBorders>
            <w:tcW w:w="2000" w:type="dxa"/>
          </w:tcPr>
          <w:p>
            <w:pPr>
              <w:spacing w:before="20" w:after="20"/>
            </w:pPr>
            <w:r>
              <w:rPr>
                <w:rFonts w:ascii="Calibri" w:hAnsi="Calibri"/>
                <w:sz w:val="19"/>
              </w:rPr>
              <w:t>+0.35</w:t>
            </w:r>
          </w:p>
        </w:tc>
        <w:tc>
          <w:tcPr>
            <w:tcBorders>
              <w:top w:val="single" w:sz="4" w:color="BFBFBF"/>
              <w:left w:val="single" w:sz="4" w:color="BFBFBF"/>
              <w:bottom w:val="single" w:sz="4" w:color="BFBFBF"/>
              <w:right w:val="single" w:sz="4" w:color="BFBFBF"/>
            </w:tcBorders>
            <w:tcW w:w="2400" w:type="dxa"/>
          </w:tcPr>
          <w:p>
            <w:pPr>
              <w:spacing w:before="20" w:after="20"/>
            </w:pPr>
            <w:r>
              <w:rPr>
                <w:rFonts w:ascii="Calibri" w:hAnsi="Calibri"/>
                <w:sz w:val="19"/>
              </w:rPr>
              <w:t>Above midpoint</w:t>
            </w:r>
          </w:p>
        </w:tc>
        <w:tc>
          <w:tcPr>
            <w:tcBorders>
              <w:top w:val="single" w:sz="4" w:color="BFBFBF"/>
              <w:left w:val="single" w:sz="4" w:color="BFBFBF"/>
              <w:bottom w:val="single" w:sz="4" w:color="BFBFBF"/>
              <w:right w:val="single" w:sz="4" w:color="BFBFBF"/>
            </w:tcBorders>
            <w:tcW w:w="2760" w:type="dxa"/>
          </w:tcPr>
          <w:p>
            <w:pPr>
              <w:spacing w:before="20" w:after="20"/>
            </w:pPr>
            <w:r>
              <w:rPr>
                <w:rFonts w:ascii="Calibri" w:hAnsi="Calibri"/>
                <w:sz w:val="19"/>
              </w:rPr>
              <w:t>Contracting (slope −0.02)</w:t>
            </w:r>
          </w:p>
        </w:tc>
      </w:tr>
      <w:tr>
        <w:tc>
          <w:tcPr>
            <w:tcBorders>
              <w:top w:val="single" w:sz="4" w:color="BFBFBF"/>
              <w:left w:val="single" w:sz="4" w:color="BFBFBF"/>
              <w:bottom w:val="single" w:sz="4" w:color="BFBFBF"/>
              <w:right w:val="single" w:sz="4" w:color="BFBFBF"/>
            </w:tcBorders>
            <w:shd w:val="clear" w:color="auto" w:fill="F7F7F7"/>
            <w:tcW w:w="2200" w:type="dxa"/>
          </w:tcPr>
          <w:p>
            <w:pPr>
              <w:spacing w:before="20" w:after="20"/>
            </w:pPr>
            <w:r>
              <w:rPr>
                <w:rFonts w:ascii="Calibri" w:hAnsi="Calibri"/>
                <w:sz w:val="19"/>
              </w:rPr>
              <w:t>USDX</w:t>
            </w:r>
          </w:p>
        </w:tc>
        <w:tc>
          <w:tcPr>
            <w:tcBorders>
              <w:top w:val="single" w:sz="4" w:color="BFBFBF"/>
              <w:left w:val="single" w:sz="4" w:color="BFBFBF"/>
              <w:bottom w:val="single" w:sz="4" w:color="BFBFBF"/>
              <w:right w:val="single" w:sz="4" w:color="BFBFBF"/>
            </w:tcBorders>
            <w:shd w:val="clear" w:color="auto" w:fill="F7F7F7"/>
            <w:tcW w:w="2000" w:type="dxa"/>
          </w:tcPr>
          <w:p>
            <w:pPr>
              <w:spacing w:before="20" w:after="20"/>
            </w:pPr>
            <w:r>
              <w:rPr>
                <w:rFonts w:ascii="Calibri" w:hAnsi="Calibri"/>
                <w:sz w:val="19"/>
              </w:rPr>
              <w:t>+0.10</w:t>
            </w:r>
          </w:p>
        </w:tc>
        <w:tc>
          <w:tcPr>
            <w:tcBorders>
              <w:top w:val="single" w:sz="4" w:color="BFBFBF"/>
              <w:left w:val="single" w:sz="4" w:color="BFBFBF"/>
              <w:bottom w:val="single" w:sz="4" w:color="BFBFBF"/>
              <w:right w:val="single" w:sz="4" w:color="BFBFBF"/>
            </w:tcBorders>
            <w:shd w:val="clear" w:color="auto" w:fill="F7F7F7"/>
            <w:tcW w:w="2400" w:type="dxa"/>
          </w:tcPr>
          <w:p>
            <w:pPr>
              <w:spacing w:before="20" w:after="20"/>
            </w:pPr>
            <w:r>
              <w:rPr>
                <w:rFonts w:ascii="Calibri" w:hAnsi="Calibri"/>
                <w:sz w:val="19"/>
              </w:rPr>
              <w:t>At midpoint</w:t>
            </w:r>
          </w:p>
        </w:tc>
        <w:tc>
          <w:tcPr>
            <w:tcBorders>
              <w:top w:val="single" w:sz="4" w:color="BFBFBF"/>
              <w:left w:val="single" w:sz="4" w:color="BFBFBF"/>
              <w:bottom w:val="single" w:sz="4" w:color="BFBFBF"/>
              <w:right w:val="single" w:sz="4" w:color="BFBFBF"/>
            </w:tcBorders>
            <w:shd w:val="clear" w:color="auto" w:fill="F7F7F7"/>
            <w:tcW w:w="2760" w:type="dxa"/>
          </w:tcPr>
          <w:p>
            <w:pPr>
              <w:spacing w:before="20" w:after="20"/>
            </w:pPr>
            <w:r>
              <w:rPr>
                <w:rFonts w:ascii="Calibri" w:hAnsi="Calibri"/>
                <w:sz w:val="19"/>
              </w:rPr>
              <w:t>Expanding (slope +0.04)</w:t>
            </w:r>
          </w:p>
        </w:tc>
      </w:tr>
      <w:tr>
        <w:tc>
          <w:tcPr>
            <w:tcBorders>
              <w:top w:val="single" w:sz="4" w:color="BFBFBF"/>
              <w:left w:val="single" w:sz="4" w:color="BFBFBF"/>
              <w:bottom w:val="single" w:sz="4" w:color="BFBFBF"/>
              <w:right w:val="single" w:sz="4" w:color="BFBFBF"/>
            </w:tcBorders>
            <w:tcW w:w="2200" w:type="dxa"/>
          </w:tcPr>
          <w:p>
            <w:pPr>
              <w:spacing w:before="20" w:after="20"/>
            </w:pPr>
            <w:r>
              <w:rPr>
                <w:rFonts w:ascii="Calibri" w:hAnsi="Calibri"/>
                <w:sz w:val="19"/>
              </w:rPr>
              <w:t>S&amp;P 500</w:t>
            </w:r>
          </w:p>
        </w:tc>
        <w:tc>
          <w:tcPr>
            <w:tcBorders>
              <w:top w:val="single" w:sz="4" w:color="BFBFBF"/>
              <w:left w:val="single" w:sz="4" w:color="BFBFBF"/>
              <w:bottom w:val="single" w:sz="4" w:color="BFBFBF"/>
              <w:right w:val="single" w:sz="4" w:color="BFBFBF"/>
            </w:tcBorders>
            <w:tcW w:w="2000" w:type="dxa"/>
          </w:tcPr>
          <w:p>
            <w:pPr>
              <w:spacing w:before="20" w:after="20"/>
            </w:pPr>
            <w:r>
              <w:rPr>
                <w:rFonts w:ascii="Calibri" w:hAnsi="Calibri"/>
                <w:sz w:val="19"/>
              </w:rPr>
              <w:t>−0.05</w:t>
            </w:r>
          </w:p>
        </w:tc>
        <w:tc>
          <w:tcPr>
            <w:tcBorders>
              <w:top w:val="single" w:sz="4" w:color="BFBFBF"/>
              <w:left w:val="single" w:sz="4" w:color="BFBFBF"/>
              <w:bottom w:val="single" w:sz="4" w:color="BFBFBF"/>
              <w:right w:val="single" w:sz="4" w:color="BFBFBF"/>
            </w:tcBorders>
            <w:tcW w:w="2400" w:type="dxa"/>
          </w:tcPr>
          <w:p>
            <w:pPr>
              <w:spacing w:before="20" w:after="20"/>
            </w:pPr>
            <w:r>
              <w:rPr>
                <w:rFonts w:ascii="Calibri" w:hAnsi="Calibri"/>
                <w:sz w:val="19"/>
              </w:rPr>
              <w:t>Near midpoint</w:t>
            </w:r>
          </w:p>
        </w:tc>
        <w:tc>
          <w:tcPr>
            <w:tcBorders>
              <w:top w:val="single" w:sz="4" w:color="BFBFBF"/>
              <w:left w:val="single" w:sz="4" w:color="BFBFBF"/>
              <w:bottom w:val="single" w:sz="4" w:color="BFBFBF"/>
              <w:right w:val="single" w:sz="4" w:color="BFBFBF"/>
            </w:tcBorders>
            <w:tcW w:w="2760" w:type="dxa"/>
          </w:tcPr>
          <w:p>
            <w:pPr>
              <w:spacing w:before="20" w:after="20"/>
            </w:pPr>
            <w:r>
              <w:rPr>
                <w:rFonts w:ascii="Calibri" w:hAnsi="Calibri"/>
                <w:sz w:val="19"/>
              </w:rPr>
              <w:t>Flat</w:t>
            </w:r>
          </w:p>
        </w:tc>
      </w:tr>
      <w:tr>
        <w:tc>
          <w:tcPr>
            <w:tcBorders>
              <w:top w:val="single" w:sz="4" w:color="BFBFBF"/>
              <w:left w:val="single" w:sz="4" w:color="BFBFBF"/>
              <w:bottom w:val="single" w:sz="4" w:color="BFBFBF"/>
              <w:right w:val="single" w:sz="4" w:color="BFBFBF"/>
            </w:tcBorders>
            <w:shd w:val="clear" w:color="auto" w:fill="F7F7F7"/>
            <w:tcW w:w="2200" w:type="dxa"/>
          </w:tcPr>
          <w:p>
            <w:pPr>
              <w:spacing w:before="20" w:after="20"/>
            </w:pPr>
            <w:r>
              <w:rPr>
                <w:rFonts w:ascii="Calibri" w:hAnsi="Calibri"/>
                <w:sz w:val="19"/>
              </w:rPr>
              <w:t>DAX 40</w:t>
            </w:r>
          </w:p>
        </w:tc>
        <w:tc>
          <w:tcPr>
            <w:tcBorders>
              <w:top w:val="single" w:sz="4" w:color="BFBFBF"/>
              <w:left w:val="single" w:sz="4" w:color="BFBFBF"/>
              <w:bottom w:val="single" w:sz="4" w:color="BFBFBF"/>
              <w:right w:val="single" w:sz="4" w:color="BFBFBF"/>
            </w:tcBorders>
            <w:shd w:val="clear" w:color="auto" w:fill="F7F7F7"/>
            <w:tcW w:w="2000" w:type="dxa"/>
          </w:tcPr>
          <w:p>
            <w:pPr>
              <w:spacing w:before="20" w:after="20"/>
            </w:pPr>
            <w:r>
              <w:rPr>
                <w:rFonts w:ascii="Calibri" w:hAnsi="Calibri"/>
                <w:sz w:val="19"/>
              </w:rPr>
              <w:t>+0.20</w:t>
            </w:r>
          </w:p>
        </w:tc>
        <w:tc>
          <w:tcPr>
            <w:tcBorders>
              <w:top w:val="single" w:sz="4" w:color="BFBFBF"/>
              <w:left w:val="single" w:sz="4" w:color="BFBFBF"/>
              <w:bottom w:val="single" w:sz="4" w:color="BFBFBF"/>
              <w:right w:val="single" w:sz="4" w:color="BFBFBF"/>
            </w:tcBorders>
            <w:shd w:val="clear" w:color="auto" w:fill="F7F7F7"/>
            <w:tcW w:w="2400" w:type="dxa"/>
          </w:tcPr>
          <w:p>
            <w:pPr>
              <w:spacing w:before="20" w:after="20"/>
            </w:pPr>
            <w:r>
              <w:rPr>
                <w:rFonts w:ascii="Calibri" w:hAnsi="Calibri"/>
                <w:sz w:val="19"/>
              </w:rPr>
              <w:t>Above midpoint</w:t>
            </w:r>
          </w:p>
        </w:tc>
        <w:tc>
          <w:tcPr>
            <w:tcBorders>
              <w:top w:val="single" w:sz="4" w:color="BFBFBF"/>
              <w:left w:val="single" w:sz="4" w:color="BFBFBF"/>
              <w:bottom w:val="single" w:sz="4" w:color="BFBFBF"/>
              <w:right w:val="single" w:sz="4" w:color="BFBFBF"/>
            </w:tcBorders>
            <w:shd w:val="clear" w:color="auto" w:fill="F7F7F7"/>
            <w:tcW w:w="2760" w:type="dxa"/>
          </w:tcPr>
          <w:p>
            <w:pPr>
              <w:spacing w:before="20" w:after="20"/>
            </w:pPr>
            <w:r>
              <w:rPr>
                <w:rFonts w:ascii="Calibri" w:hAnsi="Calibri"/>
                <w:sz w:val="19"/>
              </w:rPr>
              <w:t>Expanding (slope +0.05)</w:t>
            </w:r>
          </w:p>
        </w:tc>
      </w:tr>
    </w:tbl>
    <w:p>
      <w:pPr>
        <w:spacing w:after="80" w:before="0"/>
      </w:pPr>
      <w:r>
        <w:rPr>
          <w:rFonts w:ascii="Calibri" w:hAnsi="Calibri"/>
          <w:b w:val="0"/>
          <w:i w:val="0"/>
          <w:sz w:val="21"/>
        </w:rPr>
        <w:t>Preferred trade protocol: Trend pullback (long bias) — short-term softness inside a medium-term uptrend is a structural buy-the-dip signature, conditional on regime confirmation.</w:t>
      </w:r>
    </w:p>
    <w:p>
      <w:pPr>
        <w:spacing w:after="160" w:before="0"/>
      </w:pPr>
      <w:r>
        <w:rPr>
          <w:rFonts w:ascii="Calibri" w:hAnsi="Calibri"/>
          <w:b w:val="0"/>
          <w:i w:val="0"/>
          <w:sz w:val="21"/>
        </w:rPr>
        <w:t>Kaufman confirmation: KER value ≈ +0.18, classification Trending Up — Moderate. This agrees with the medium-term Bullish bias but the magnitude is moderate, not strong — consistent with a pullback inside a trend rather than a fresh breakout. KER takes precedence over the short-term Indecision read because the lookback (13 sessions) better matches the medium-term structure.</w:t>
      </w:r>
    </w:p>
    <w:tbl>
      <w:tblPr>
        <w:jc w:val="left"/>
        <w:tblLook w:firstColumn="1" w:firstRow="1" w:lastColumn="0" w:lastRow="0" w:noHBand="0" w:noVBand="1" w:val="04A0"/>
        <w:tblW w:w="16400" w:type="dxa"/>
      </w:tblPr>
      <w:tblGrid>
        <w:gridCol w:w="10080"/>
      </w:tblGrid>
      <w:tr>
        <w:tc>
          <w:tcPr>
            <w:tcW w:type="dxa" w:w="10080"/>
            <w:shd w:val="clear" w:color="auto" w:fill="1F3A5F"/>
          </w:tcPr>
          <w:p>
            <w:pPr>
              <w:spacing w:before="40" w:after="40"/>
            </w:pPr>
            <w:r>
              <w:rPr>
                <w:rFonts w:ascii="Calibri" w:hAnsi="Calibri"/>
                <w:b/>
                <w:color w:val="FFFFFF"/>
                <w:sz w:val="24"/>
              </w:rPr>
              <w:t>§10  CROSS-ASSET ANALYSIS</w:t>
            </w:r>
          </w:p>
        </w:tc>
      </w:tr>
    </w:tbl>
    <w:tbl>
      <w:tblPr>
        <w:jc w:val="left"/>
        <w:tblLayout w:type="fixed"/>
        <w:tblLook w:firstColumn="1" w:firstRow="1" w:lastColumn="0" w:lastRow="0" w:noHBand="0" w:noVBand="1" w:val="04A0"/>
        <w:tblW w:w="9560" w:type="dxa"/>
      </w:tblPr>
      <w:tblGrid>
        <w:gridCol w:w="2016"/>
        <w:gridCol w:w="2016"/>
        <w:gridCol w:w="2016"/>
        <w:gridCol w:w="2016"/>
        <w:gridCol w:w="2016"/>
      </w:tblGrid>
      <w:tr>
        <w:tc>
          <w:tcPr>
            <w:shd w:val="clear" w:color="auto" w:fill="1F3A5F"/>
            <w:tcBorders>
              <w:top w:val="single" w:sz="4" w:color="BFBFBF"/>
              <w:left w:val="single" w:sz="4" w:color="BFBFBF"/>
              <w:bottom w:val="single" w:sz="4" w:color="BFBFBF"/>
              <w:right w:val="single" w:sz="4" w:color="BFBFBF"/>
            </w:tcBorders>
            <w:tcW w:w="1600" w:type="dxa"/>
          </w:tcPr>
          <w:p>
            <w:pPr>
              <w:spacing w:before="40" w:after="40"/>
            </w:pPr>
            <w:r>
              <w:rPr>
                <w:rFonts w:ascii="Calibri" w:hAnsi="Calibri"/>
                <w:b/>
                <w:color w:val="FFFFFF"/>
                <w:sz w:val="20"/>
              </w:rPr>
              <w:t>Counter / Secondary</w:t>
            </w:r>
          </w:p>
        </w:tc>
        <w:tc>
          <w:tcPr>
            <w:shd w:val="clear" w:color="auto" w:fill="1F3A5F"/>
            <w:tcBorders>
              <w:top w:val="single" w:sz="4" w:color="BFBFBF"/>
              <w:left w:val="single" w:sz="4" w:color="BFBFBF"/>
              <w:bottom w:val="single" w:sz="4" w:color="BFBFBF"/>
              <w:right w:val="single" w:sz="4" w:color="BFBFBF"/>
            </w:tcBorders>
            <w:tcW w:w="1300" w:type="dxa"/>
          </w:tcPr>
          <w:p>
            <w:pPr>
              <w:spacing w:before="40" w:after="40"/>
            </w:pPr>
            <w:r>
              <w:rPr>
                <w:rFonts w:ascii="Calibri" w:hAnsi="Calibri"/>
                <w:b/>
                <w:color w:val="FFFFFF"/>
                <w:sz w:val="20"/>
              </w:rPr>
              <w:t>5-day direction</w:t>
            </w:r>
          </w:p>
        </w:tc>
        <w:tc>
          <w:tcPr>
            <w:shd w:val="clear" w:color="auto" w:fill="1F3A5F"/>
            <w:tcBorders>
              <w:top w:val="single" w:sz="4" w:color="BFBFBF"/>
              <w:left w:val="single" w:sz="4" w:color="BFBFBF"/>
              <w:bottom w:val="single" w:sz="4" w:color="BFBFBF"/>
              <w:right w:val="single" w:sz="4" w:color="BFBFBF"/>
            </w:tcBorders>
            <w:tcW w:w="3000" w:type="dxa"/>
          </w:tcPr>
          <w:p>
            <w:pPr>
              <w:spacing w:before="40" w:after="40"/>
            </w:pPr>
            <w:r>
              <w:rPr>
                <w:rFonts w:ascii="Calibri" w:hAnsi="Calibri"/>
                <w:b/>
                <w:color w:val="FFFFFF"/>
                <w:sz w:val="20"/>
              </w:rPr>
              <w:t>Mechanism</w:t>
            </w:r>
          </w:p>
        </w:tc>
        <w:tc>
          <w:tcPr>
            <w:shd w:val="clear" w:color="auto" w:fill="1F3A5F"/>
            <w:tcBorders>
              <w:top w:val="single" w:sz="4" w:color="BFBFBF"/>
              <w:left w:val="single" w:sz="4" w:color="BFBFBF"/>
              <w:bottom w:val="single" w:sz="4" w:color="BFBFBF"/>
              <w:right w:val="single" w:sz="4" w:color="BFBFBF"/>
            </w:tcBorders>
            <w:tcW w:w="1500" w:type="dxa"/>
          </w:tcPr>
          <w:p>
            <w:pPr>
              <w:spacing w:before="40" w:after="40"/>
            </w:pPr>
            <w:r>
              <w:rPr>
                <w:rFonts w:ascii="Calibri" w:hAnsi="Calibri"/>
                <w:b/>
                <w:color w:val="FFFFFF"/>
                <w:sz w:val="20"/>
              </w:rPr>
              <w:t>Confirmation status</w:t>
            </w:r>
          </w:p>
        </w:tc>
        <w:tc>
          <w:tcPr>
            <w:shd w:val="clear" w:color="auto" w:fill="1F3A5F"/>
            <w:tcBorders>
              <w:top w:val="single" w:sz="4" w:color="BFBFBF"/>
              <w:left w:val="single" w:sz="4" w:color="BFBFBF"/>
              <w:bottom w:val="single" w:sz="4" w:color="BFBFBF"/>
              <w:right w:val="single" w:sz="4" w:color="BFBFBF"/>
            </w:tcBorders>
            <w:tcW w:w="2160" w:type="dxa"/>
          </w:tcPr>
          <w:p>
            <w:pPr>
              <w:spacing w:before="40" w:after="40"/>
            </w:pPr>
            <w:r>
              <w:rPr>
                <w:rFonts w:ascii="Calibri" w:hAnsi="Calibri"/>
                <w:b/>
                <w:color w:val="FFFFFF"/>
                <w:sz w:val="20"/>
              </w:rPr>
              <w:t>Implication for Gold</w:t>
            </w:r>
          </w:p>
        </w:tc>
      </w:tr>
      <w:tr>
        <w:tc>
          <w:tcPr>
            <w:tcBorders>
              <w:top w:val="single" w:sz="4" w:color="BFBFBF"/>
              <w:left w:val="single" w:sz="4" w:color="BFBFBF"/>
              <w:bottom w:val="single" w:sz="4" w:color="BFBFBF"/>
              <w:right w:val="single" w:sz="4" w:color="BFBFBF"/>
            </w:tcBorders>
            <w:tcW w:w="1600" w:type="dxa"/>
          </w:tcPr>
          <w:p>
            <w:pPr>
              <w:spacing w:before="20" w:after="20"/>
            </w:pPr>
            <w:r>
              <w:rPr>
                <w:rFonts w:ascii="Calibri" w:hAnsi="Calibri"/>
                <w:sz w:val="19"/>
              </w:rPr>
              <w:t>USDX</w:t>
            </w:r>
          </w:p>
        </w:tc>
        <w:tc>
          <w:tcPr>
            <w:tcBorders>
              <w:top w:val="single" w:sz="4" w:color="BFBFBF"/>
              <w:left w:val="single" w:sz="4" w:color="BFBFBF"/>
              <w:bottom w:val="single" w:sz="4" w:color="BFBFBF"/>
              <w:right w:val="single" w:sz="4" w:color="BFBFBF"/>
            </w:tcBorders>
            <w:tcW w:w="1300" w:type="dxa"/>
          </w:tcPr>
          <w:p>
            <w:pPr>
              <w:spacing w:before="20" w:after="20"/>
            </w:pPr>
            <w:r>
              <w:rPr>
                <w:rFonts w:ascii="Calibri" w:hAnsi="Calibri"/>
                <w:sz w:val="19"/>
              </w:rPr>
              <w:t>Rising (+0.4%)</w:t>
            </w:r>
          </w:p>
        </w:tc>
        <w:tc>
          <w:tcPr>
            <w:tcBorders>
              <w:top w:val="single" w:sz="4" w:color="BFBFBF"/>
              <w:left w:val="single" w:sz="4" w:color="BFBFBF"/>
              <w:bottom w:val="single" w:sz="4" w:color="BFBFBF"/>
              <w:right w:val="single" w:sz="4" w:color="BFBFBF"/>
            </w:tcBorders>
            <w:tcW w:w="3000" w:type="dxa"/>
          </w:tcPr>
          <w:p>
            <w:pPr>
              <w:spacing w:before="20" w:after="20"/>
            </w:pPr>
            <w:r>
              <w:rPr>
                <w:rFonts w:ascii="Calibri" w:hAnsi="Calibri"/>
                <w:sz w:val="19"/>
              </w:rPr>
              <w:t>Stronger dollar tightens global liquidity and raises the opportunity cost of holding non-yielding gold.</w:t>
            </w:r>
          </w:p>
        </w:tc>
        <w:tc>
          <w:tcPr>
            <w:tcBorders>
              <w:top w:val="single" w:sz="4" w:color="BFBFBF"/>
              <w:left w:val="single" w:sz="4" w:color="BFBFBF"/>
              <w:bottom w:val="single" w:sz="4" w:color="BFBFBF"/>
              <w:right w:val="single" w:sz="4" w:color="BFBFBF"/>
            </w:tcBorders>
            <w:tcW w:w="1500" w:type="dxa"/>
          </w:tcPr>
          <w:p>
            <w:pPr>
              <w:spacing w:before="20" w:after="20"/>
            </w:pPr>
            <w:r>
              <w:rPr>
                <w:rFonts w:ascii="Calibri" w:hAnsi="Calibri"/>
                <w:sz w:val="19"/>
              </w:rPr>
              <w:t>Contradicts (bearish input to a bullish regime)</w:t>
            </w:r>
          </w:p>
        </w:tc>
        <w:tc>
          <w:tcPr>
            <w:tcBorders>
              <w:top w:val="single" w:sz="4" w:color="BFBFBF"/>
              <w:left w:val="single" w:sz="4" w:color="BFBFBF"/>
              <w:bottom w:val="single" w:sz="4" w:color="BFBFBF"/>
              <w:right w:val="single" w:sz="4" w:color="BFBFBF"/>
            </w:tcBorders>
            <w:tcW w:w="2160" w:type="dxa"/>
          </w:tcPr>
          <w:p>
            <w:pPr>
              <w:spacing w:before="20" w:after="20"/>
            </w:pPr>
            <w:r>
              <w:rPr>
                <w:rFonts w:ascii="Calibri" w:hAnsi="Calibri"/>
                <w:sz w:val="19"/>
              </w:rPr>
              <w:t>Bearish short-term — explains the bulk of the 12–13 May drawdown.</w:t>
            </w:r>
          </w:p>
        </w:tc>
      </w:tr>
      <w:tr>
        <w:tc>
          <w:tcPr>
            <w:tcBorders>
              <w:top w:val="single" w:sz="4" w:color="BFBFBF"/>
              <w:left w:val="single" w:sz="4" w:color="BFBFBF"/>
              <w:bottom w:val="single" w:sz="4" w:color="BFBFBF"/>
              <w:right w:val="single" w:sz="4" w:color="BFBFBF"/>
            </w:tcBorders>
            <w:shd w:val="clear" w:color="auto" w:fill="F7F7F7"/>
            <w:tcW w:w="1600" w:type="dxa"/>
          </w:tcPr>
          <w:p>
            <w:pPr>
              <w:spacing w:before="20" w:after="20"/>
            </w:pPr>
            <w:r>
              <w:rPr>
                <w:rFonts w:ascii="Calibri" w:hAnsi="Calibri"/>
                <w:sz w:val="19"/>
              </w:rPr>
              <w:t>S&amp;P 500</w:t>
            </w:r>
          </w:p>
        </w:tc>
        <w:tc>
          <w:tcPr>
            <w:tcBorders>
              <w:top w:val="single" w:sz="4" w:color="BFBFBF"/>
              <w:left w:val="single" w:sz="4" w:color="BFBFBF"/>
              <w:bottom w:val="single" w:sz="4" w:color="BFBFBF"/>
              <w:right w:val="single" w:sz="4" w:color="BFBFBF"/>
            </w:tcBorders>
            <w:shd w:val="clear" w:color="auto" w:fill="F7F7F7"/>
            <w:tcW w:w="1300" w:type="dxa"/>
          </w:tcPr>
          <w:p>
            <w:pPr>
              <w:spacing w:before="20" w:after="20"/>
            </w:pPr>
            <w:r>
              <w:rPr>
                <w:rFonts w:ascii="Calibri" w:hAnsi="Calibri"/>
                <w:sz w:val="19"/>
              </w:rPr>
              <w:t>Flat (+0.1%)</w:t>
            </w:r>
          </w:p>
        </w:tc>
        <w:tc>
          <w:tcPr>
            <w:tcBorders>
              <w:top w:val="single" w:sz="4" w:color="BFBFBF"/>
              <w:left w:val="single" w:sz="4" w:color="BFBFBF"/>
              <w:bottom w:val="single" w:sz="4" w:color="BFBFBF"/>
              <w:right w:val="single" w:sz="4" w:color="BFBFBF"/>
            </w:tcBorders>
            <w:shd w:val="clear" w:color="auto" w:fill="F7F7F7"/>
            <w:tcW w:w="3000" w:type="dxa"/>
          </w:tcPr>
          <w:p>
            <w:pPr>
              <w:spacing w:before="20" w:after="20"/>
            </w:pPr>
            <w:r>
              <w:rPr>
                <w:rFonts w:ascii="Calibri" w:hAnsi="Calibri"/>
                <w:sz w:val="19"/>
              </w:rPr>
              <w:t>Risk-on / risk-off proxy; a flat tape removes both safe-haven demand and competing risk-asset bid.</w:t>
            </w:r>
          </w:p>
        </w:tc>
        <w:tc>
          <w:tcPr>
            <w:tcBorders>
              <w:top w:val="single" w:sz="4" w:color="BFBFBF"/>
              <w:left w:val="single" w:sz="4" w:color="BFBFBF"/>
              <w:bottom w:val="single" w:sz="4" w:color="BFBFBF"/>
              <w:right w:val="single" w:sz="4" w:color="BFBFBF"/>
            </w:tcBorders>
            <w:shd w:val="clear" w:color="auto" w:fill="F7F7F7"/>
            <w:tcW w:w="1500" w:type="dxa"/>
          </w:tcPr>
          <w:p>
            <w:pPr>
              <w:spacing w:before="20" w:after="20"/>
            </w:pPr>
            <w:r>
              <w:rPr>
                <w:rFonts w:ascii="Calibri" w:hAnsi="Calibri"/>
                <w:sz w:val="19"/>
              </w:rPr>
              <w:t>Neutral</w:t>
            </w:r>
          </w:p>
        </w:tc>
        <w:tc>
          <w:tcPr>
            <w:tcBorders>
              <w:top w:val="single" w:sz="4" w:color="BFBFBF"/>
              <w:left w:val="single" w:sz="4" w:color="BFBFBF"/>
              <w:bottom w:val="single" w:sz="4" w:color="BFBFBF"/>
              <w:right w:val="single" w:sz="4" w:color="BFBFBF"/>
            </w:tcBorders>
            <w:shd w:val="clear" w:color="auto" w:fill="F7F7F7"/>
            <w:tcW w:w="2160" w:type="dxa"/>
          </w:tcPr>
          <w:p>
            <w:pPr>
              <w:spacing w:before="20" w:after="20"/>
            </w:pPr>
            <w:r>
              <w:rPr>
                <w:rFonts w:ascii="Calibri" w:hAnsi="Calibri"/>
                <w:sz w:val="19"/>
              </w:rPr>
              <w:t>Neutral — no clear flow signal either way.</w:t>
            </w:r>
          </w:p>
        </w:tc>
      </w:tr>
      <w:tr>
        <w:tc>
          <w:tcPr>
            <w:tcBorders>
              <w:top w:val="single" w:sz="4" w:color="BFBFBF"/>
              <w:left w:val="single" w:sz="4" w:color="BFBFBF"/>
              <w:bottom w:val="single" w:sz="4" w:color="BFBFBF"/>
              <w:right w:val="single" w:sz="4" w:color="BFBFBF"/>
            </w:tcBorders>
            <w:tcW w:w="1600" w:type="dxa"/>
          </w:tcPr>
          <w:p>
            <w:pPr>
              <w:spacing w:before="20" w:after="20"/>
            </w:pPr>
            <w:r>
              <w:rPr>
                <w:rFonts w:ascii="Calibri" w:hAnsi="Calibri"/>
                <w:sz w:val="19"/>
              </w:rPr>
              <w:t>DAX 40</w:t>
            </w:r>
          </w:p>
        </w:tc>
        <w:tc>
          <w:tcPr>
            <w:tcBorders>
              <w:top w:val="single" w:sz="4" w:color="BFBFBF"/>
              <w:left w:val="single" w:sz="4" w:color="BFBFBF"/>
              <w:bottom w:val="single" w:sz="4" w:color="BFBFBF"/>
              <w:right w:val="single" w:sz="4" w:color="BFBFBF"/>
            </w:tcBorders>
            <w:tcW w:w="1300" w:type="dxa"/>
          </w:tcPr>
          <w:p>
            <w:pPr>
              <w:spacing w:before="20" w:after="20"/>
            </w:pPr>
            <w:r>
              <w:rPr>
                <w:rFonts w:ascii="Calibri" w:hAnsi="Calibri"/>
                <w:sz w:val="19"/>
              </w:rPr>
              <w:t>Falling (−1.0%)</w:t>
            </w:r>
          </w:p>
        </w:tc>
        <w:tc>
          <w:tcPr>
            <w:tcBorders>
              <w:top w:val="single" w:sz="4" w:color="BFBFBF"/>
              <w:left w:val="single" w:sz="4" w:color="BFBFBF"/>
              <w:bottom w:val="single" w:sz="4" w:color="BFBFBF"/>
              <w:right w:val="single" w:sz="4" w:color="BFBFBF"/>
            </w:tcBorders>
            <w:tcW w:w="3000" w:type="dxa"/>
          </w:tcPr>
          <w:p>
            <w:pPr>
              <w:spacing w:before="20" w:after="20"/>
            </w:pPr>
            <w:r>
              <w:rPr>
                <w:rFonts w:ascii="Calibri" w:hAnsi="Calibri"/>
                <w:sz w:val="19"/>
              </w:rPr>
              <w:t>European risk-off cross-validates a broader defensive tilt; positive for gold via safe-haven channel.</w:t>
            </w:r>
          </w:p>
        </w:tc>
        <w:tc>
          <w:tcPr>
            <w:tcBorders>
              <w:top w:val="single" w:sz="4" w:color="BFBFBF"/>
              <w:left w:val="single" w:sz="4" w:color="BFBFBF"/>
              <w:bottom w:val="single" w:sz="4" w:color="BFBFBF"/>
              <w:right w:val="single" w:sz="4" w:color="BFBFBF"/>
            </w:tcBorders>
            <w:tcW w:w="1500" w:type="dxa"/>
          </w:tcPr>
          <w:p>
            <w:pPr>
              <w:spacing w:before="20" w:after="20"/>
            </w:pPr>
            <w:r>
              <w:rPr>
                <w:rFonts w:ascii="Calibri" w:hAnsi="Calibri"/>
                <w:sz w:val="19"/>
              </w:rPr>
              <w:t>Confirms (bullish input)</w:t>
            </w:r>
          </w:p>
        </w:tc>
        <w:tc>
          <w:tcPr>
            <w:tcBorders>
              <w:top w:val="single" w:sz="4" w:color="BFBFBF"/>
              <w:left w:val="single" w:sz="4" w:color="BFBFBF"/>
              <w:bottom w:val="single" w:sz="4" w:color="BFBFBF"/>
              <w:right w:val="single" w:sz="4" w:color="BFBFBF"/>
            </w:tcBorders>
            <w:tcW w:w="2160" w:type="dxa"/>
          </w:tcPr>
          <w:p>
            <w:pPr>
              <w:spacing w:before="20" w:after="20"/>
            </w:pPr>
            <w:r>
              <w:rPr>
                <w:rFonts w:ascii="Calibri" w:hAnsi="Calibri"/>
                <w:sz w:val="19"/>
              </w:rPr>
              <w:t>Mildly bullish — caps the downside in gold.</w:t>
            </w:r>
          </w:p>
        </w:tc>
      </w:tr>
      <w:tr>
        <w:tc>
          <w:tcPr>
            <w:tcBorders>
              <w:top w:val="single" w:sz="4" w:color="BFBFBF"/>
              <w:left w:val="single" w:sz="4" w:color="BFBFBF"/>
              <w:bottom w:val="single" w:sz="4" w:color="BFBFBF"/>
              <w:right w:val="single" w:sz="4" w:color="BFBFBF"/>
            </w:tcBorders>
            <w:shd w:val="clear" w:color="auto" w:fill="F7F7F7"/>
            <w:tcW w:w="1600" w:type="dxa"/>
          </w:tcPr>
          <w:p>
            <w:pPr>
              <w:spacing w:before="20" w:after="20"/>
            </w:pPr>
            <w:r>
              <w:rPr>
                <w:rFonts w:ascii="Calibri" w:hAnsi="Calibri"/>
                <w:sz w:val="19"/>
              </w:rPr>
              <w:t>Silver (secondary)</w:t>
            </w:r>
          </w:p>
        </w:tc>
        <w:tc>
          <w:tcPr>
            <w:tcBorders>
              <w:top w:val="single" w:sz="4" w:color="BFBFBF"/>
              <w:left w:val="single" w:sz="4" w:color="BFBFBF"/>
              <w:bottom w:val="single" w:sz="4" w:color="BFBFBF"/>
              <w:right w:val="single" w:sz="4" w:color="BFBFBF"/>
            </w:tcBorders>
            <w:shd w:val="clear" w:color="auto" w:fill="F7F7F7"/>
            <w:tcW w:w="1300" w:type="dxa"/>
          </w:tcPr>
          <w:p>
            <w:pPr>
              <w:spacing w:before="20" w:after="20"/>
            </w:pPr>
            <w:r>
              <w:rPr>
                <w:rFonts w:ascii="Calibri" w:hAnsi="Calibri"/>
                <w:sz w:val="19"/>
              </w:rPr>
              <w:t>Rising (+1.6%)</w:t>
            </w:r>
          </w:p>
        </w:tc>
        <w:tc>
          <w:tcPr>
            <w:tcBorders>
              <w:top w:val="single" w:sz="4" w:color="BFBFBF"/>
              <w:left w:val="single" w:sz="4" w:color="BFBFBF"/>
              <w:bottom w:val="single" w:sz="4" w:color="BFBFBF"/>
              <w:right w:val="single" w:sz="4" w:color="BFBFBF"/>
            </w:tcBorders>
            <w:shd w:val="clear" w:color="auto" w:fill="F7F7F7"/>
            <w:tcW w:w="3000" w:type="dxa"/>
          </w:tcPr>
          <w:p>
            <w:pPr>
              <w:spacing w:before="20" w:after="20"/>
            </w:pPr>
            <w:r>
              <w:rPr>
                <w:rFonts w:ascii="Calibri" w:hAnsi="Calibri"/>
                <w:sz w:val="19"/>
              </w:rPr>
              <w:t>Silver outperformance signals the precious-metals complex is in distribution-to-accumulation rotation, not in a flush.</w:t>
            </w:r>
          </w:p>
        </w:tc>
        <w:tc>
          <w:tcPr>
            <w:tcBorders>
              <w:top w:val="single" w:sz="4" w:color="BFBFBF"/>
              <w:left w:val="single" w:sz="4" w:color="BFBFBF"/>
              <w:bottom w:val="single" w:sz="4" w:color="BFBFBF"/>
              <w:right w:val="single" w:sz="4" w:color="BFBFBF"/>
            </w:tcBorders>
            <w:shd w:val="clear" w:color="auto" w:fill="F7F7F7"/>
            <w:tcW w:w="1500" w:type="dxa"/>
          </w:tcPr>
          <w:p>
            <w:pPr>
              <w:spacing w:before="20" w:after="20"/>
            </w:pPr>
            <w:r>
              <w:rPr>
                <w:rFonts w:ascii="Calibri" w:hAnsi="Calibri"/>
                <w:sz w:val="19"/>
              </w:rPr>
              <w:t>Confirms (bullish input)</w:t>
            </w:r>
          </w:p>
        </w:tc>
        <w:tc>
          <w:tcPr>
            <w:tcBorders>
              <w:top w:val="single" w:sz="4" w:color="BFBFBF"/>
              <w:left w:val="single" w:sz="4" w:color="BFBFBF"/>
              <w:bottom w:val="single" w:sz="4" w:color="BFBFBF"/>
              <w:right w:val="single" w:sz="4" w:color="BFBFBF"/>
            </w:tcBorders>
            <w:shd w:val="clear" w:color="auto" w:fill="F7F7F7"/>
            <w:tcW w:w="2160" w:type="dxa"/>
          </w:tcPr>
          <w:p>
            <w:pPr>
              <w:spacing w:before="20" w:after="20"/>
            </w:pPr>
            <w:r>
              <w:rPr>
                <w:rFonts w:ascii="Calibri" w:hAnsi="Calibri"/>
                <w:sz w:val="19"/>
              </w:rPr>
              <w:t>Bullish — implies the 12–13 May gold drawdown is corrective, not impulsive.</w:t>
            </w:r>
          </w:p>
        </w:tc>
      </w:tr>
    </w:tbl>
    <w:p>
      <w:pPr>
        <w:spacing w:after="160" w:before="0"/>
      </w:pPr>
      <w:r>
        <w:rPr>
          <w:rFonts w:ascii="Calibri" w:hAnsi="Calibri"/>
          <w:b/>
          <w:i w:val="0"/>
          <w:sz w:val="21"/>
        </w:rPr>
        <w:t>Contradiction flag: USDX (Rising) contradicts the medium-term Bullish bias. The contradiction is acknowledged and is not resolved silently — it feeds §15 Bull/Bear Balance and §16 Forward View. Silver and DAX cross-asset reads lean the other way and partially offset the USDX drag.</w:t>
      </w:r>
    </w:p>
    <w:tbl>
      <w:tblPr>
        <w:jc w:val="left"/>
        <w:tblLook w:firstColumn="1" w:firstRow="1" w:lastColumn="0" w:lastRow="0" w:noHBand="0" w:noVBand="1" w:val="04A0"/>
        <w:tblW w:w="16400" w:type="dxa"/>
      </w:tblPr>
      <w:tblGrid>
        <w:gridCol w:w="10080"/>
      </w:tblGrid>
      <w:tr>
        <w:tc>
          <w:tcPr>
            <w:tcW w:type="dxa" w:w="10080"/>
            <w:shd w:val="clear" w:color="auto" w:fill="1F3A5F"/>
          </w:tcPr>
          <w:p>
            <w:pPr>
              <w:spacing w:before="40" w:after="40"/>
            </w:pPr>
            <w:r>
              <w:rPr>
                <w:rFonts w:ascii="Calibri" w:hAnsi="Calibri"/>
                <w:b/>
                <w:color w:val="FFFFFF"/>
                <w:sz w:val="24"/>
              </w:rPr>
              <w:t>§11  FLOOR PIVOT ANALYSIS</w:t>
            </w:r>
          </w:p>
        </w:tc>
      </w:tr>
    </w:tbl>
    <w:p>
      <w:pPr>
        <w:spacing w:after="40" w:before="0"/>
      </w:pPr>
      <w:r>
        <w:rPr>
          <w:rFonts w:ascii="Calibri" w:hAnsi="Calibri"/>
          <w:b/>
          <w:i w:val="0"/>
          <w:sz w:val="22"/>
        </w:rPr>
        <w:t>Daily pivots — derived from 13 May H/L/C (4,727 / 4,670 / 4,690):</w:t>
      </w:r>
    </w:p>
    <w:tbl>
      <w:tblPr>
        <w:jc w:val="left"/>
        <w:tblLayout w:type="fixed"/>
        <w:tblLook w:firstColumn="1" w:firstRow="1" w:lastColumn="0" w:lastRow="0" w:noHBand="0" w:noVBand="1" w:val="04A0"/>
        <w:tblW w:w="3700" w:type="dxa"/>
      </w:tblPr>
      <w:tblGrid>
        <w:gridCol w:w="5040"/>
        <w:gridCol w:w="5040"/>
      </w:tblGrid>
      <w:tr>
        <w:tc>
          <w:tcPr>
            <w:shd w:val="clear" w:color="auto" w:fill="1F3A5F"/>
            <w:tcBorders>
              <w:top w:val="single" w:sz="4" w:color="BFBFBF"/>
              <w:left w:val="single" w:sz="4" w:color="BFBFBF"/>
              <w:bottom w:val="single" w:sz="4" w:color="BFBFBF"/>
              <w:right w:val="single" w:sz="4" w:color="BFBFBF"/>
            </w:tcBorders>
            <w:tcW w:w="1500" w:type="dxa"/>
          </w:tcPr>
          <w:p>
            <w:pPr>
              <w:spacing w:before="40" w:after="40"/>
            </w:pPr>
            <w:r>
              <w:rPr>
                <w:rFonts w:ascii="Calibri" w:hAnsi="Calibri"/>
                <w:b/>
                <w:color w:val="FFFFFF"/>
                <w:sz w:val="20"/>
              </w:rPr>
              <w:t>Level</w:t>
            </w:r>
          </w:p>
        </w:tc>
        <w:tc>
          <w:tcPr>
            <w:shd w:val="clear" w:color="auto" w:fill="1F3A5F"/>
            <w:tcBorders>
              <w:top w:val="single" w:sz="4" w:color="BFBFBF"/>
              <w:left w:val="single" w:sz="4" w:color="BFBFBF"/>
              <w:bottom w:val="single" w:sz="4" w:color="BFBFBF"/>
              <w:right w:val="single" w:sz="4" w:color="BFBFBF"/>
            </w:tcBorders>
            <w:tcW w:w="2200" w:type="dxa"/>
          </w:tcPr>
          <w:p>
            <w:pPr>
              <w:spacing w:before="40" w:after="40"/>
            </w:pPr>
            <w:r>
              <w:rPr>
                <w:rFonts w:ascii="Calibri" w:hAnsi="Calibri"/>
                <w:b/>
                <w:color w:val="FFFFFF"/>
                <w:sz w:val="20"/>
              </w:rPr>
              <w:t>Price (USD/oz)</w:t>
            </w:r>
          </w:p>
        </w:tc>
      </w:tr>
      <w:tr>
        <w:tc>
          <w:tcPr>
            <w:tcBorders>
              <w:top w:val="single" w:sz="4" w:color="BFBFBF"/>
              <w:left w:val="single" w:sz="4" w:color="BFBFBF"/>
              <w:bottom w:val="single" w:sz="4" w:color="BFBFBF"/>
              <w:right w:val="single" w:sz="4" w:color="BFBFBF"/>
            </w:tcBorders>
            <w:tcW w:w="1500" w:type="dxa"/>
          </w:tcPr>
          <w:p>
            <w:pPr>
              <w:spacing w:before="20" w:after="20"/>
            </w:pPr>
            <w:r>
              <w:rPr>
                <w:rFonts w:ascii="Calibri" w:hAnsi="Calibri"/>
                <w:sz w:val="19"/>
              </w:rPr>
              <w:t>R5</w:t>
            </w:r>
          </w:p>
        </w:tc>
        <w:tc>
          <w:tcPr>
            <w:tcBorders>
              <w:top w:val="single" w:sz="4" w:color="BFBFBF"/>
              <w:left w:val="single" w:sz="4" w:color="BFBFBF"/>
              <w:bottom w:val="single" w:sz="4" w:color="BFBFBF"/>
              <w:right w:val="single" w:sz="4" w:color="BFBFBF"/>
            </w:tcBorders>
            <w:tcW w:w="2200" w:type="dxa"/>
          </w:tcPr>
          <w:p>
            <w:pPr>
              <w:spacing w:before="20" w:after="20"/>
            </w:pPr>
            <w:r>
              <w:rPr>
                <w:rFonts w:ascii="Calibri" w:hAnsi="Calibri"/>
                <w:sz w:val="19"/>
              </w:rPr>
              <w:t>4,824</w:t>
            </w:r>
          </w:p>
        </w:tc>
      </w:tr>
      <w:tr>
        <w:tc>
          <w:tcPr>
            <w:tcBorders>
              <w:top w:val="single" w:sz="4" w:color="BFBFBF"/>
              <w:left w:val="single" w:sz="4" w:color="BFBFBF"/>
              <w:bottom w:val="single" w:sz="4" w:color="BFBFBF"/>
              <w:right w:val="single" w:sz="4" w:color="BFBFBF"/>
            </w:tcBorders>
            <w:shd w:val="clear" w:color="auto" w:fill="F7F7F7"/>
            <w:tcW w:w="1500" w:type="dxa"/>
          </w:tcPr>
          <w:p>
            <w:pPr>
              <w:spacing w:before="20" w:after="20"/>
            </w:pPr>
            <w:r>
              <w:rPr>
                <w:rFonts w:ascii="Calibri" w:hAnsi="Calibri"/>
                <w:sz w:val="19"/>
              </w:rPr>
              <w:t>R4</w:t>
            </w:r>
          </w:p>
        </w:tc>
        <w:tc>
          <w:tcPr>
            <w:tcBorders>
              <w:top w:val="single" w:sz="4" w:color="BFBFBF"/>
              <w:left w:val="single" w:sz="4" w:color="BFBFBF"/>
              <w:bottom w:val="single" w:sz="4" w:color="BFBFBF"/>
              <w:right w:val="single" w:sz="4" w:color="BFBFBF"/>
            </w:tcBorders>
            <w:shd w:val="clear" w:color="auto" w:fill="F7F7F7"/>
            <w:tcW w:w="2200" w:type="dxa"/>
          </w:tcPr>
          <w:p>
            <w:pPr>
              <w:spacing w:before="20" w:after="20"/>
            </w:pPr>
            <w:r>
              <w:rPr>
                <w:rFonts w:ascii="Calibri" w:hAnsi="Calibri"/>
                <w:sz w:val="19"/>
              </w:rPr>
              <w:t>4,790</w:t>
            </w:r>
          </w:p>
        </w:tc>
      </w:tr>
      <w:tr>
        <w:tc>
          <w:tcPr>
            <w:tcBorders>
              <w:top w:val="single" w:sz="4" w:color="BFBFBF"/>
              <w:left w:val="single" w:sz="4" w:color="BFBFBF"/>
              <w:bottom w:val="single" w:sz="4" w:color="BFBFBF"/>
              <w:right w:val="single" w:sz="4" w:color="BFBFBF"/>
            </w:tcBorders>
            <w:tcW w:w="1500" w:type="dxa"/>
          </w:tcPr>
          <w:p>
            <w:pPr>
              <w:spacing w:before="20" w:after="20"/>
            </w:pPr>
            <w:r>
              <w:rPr>
                <w:rFonts w:ascii="Calibri" w:hAnsi="Calibri"/>
                <w:sz w:val="19"/>
              </w:rPr>
              <w:t>R3</w:t>
            </w:r>
          </w:p>
        </w:tc>
        <w:tc>
          <w:tcPr>
            <w:tcBorders>
              <w:top w:val="single" w:sz="4" w:color="BFBFBF"/>
              <w:left w:val="single" w:sz="4" w:color="BFBFBF"/>
              <w:bottom w:val="single" w:sz="4" w:color="BFBFBF"/>
              <w:right w:val="single" w:sz="4" w:color="BFBFBF"/>
            </w:tcBorders>
            <w:tcW w:w="2200" w:type="dxa"/>
          </w:tcPr>
          <w:p>
            <w:pPr>
              <w:spacing w:before="20" w:after="20"/>
            </w:pPr>
            <w:r>
              <w:rPr>
                <w:rFonts w:ascii="Calibri" w:hAnsi="Calibri"/>
                <w:sz w:val="19"/>
              </w:rPr>
              <w:t>4,769</w:t>
            </w:r>
          </w:p>
        </w:tc>
      </w:tr>
      <w:tr>
        <w:tc>
          <w:tcPr>
            <w:tcBorders>
              <w:top w:val="single" w:sz="4" w:color="BFBFBF"/>
              <w:left w:val="single" w:sz="4" w:color="BFBFBF"/>
              <w:bottom w:val="single" w:sz="4" w:color="BFBFBF"/>
              <w:right w:val="single" w:sz="4" w:color="BFBFBF"/>
            </w:tcBorders>
            <w:shd w:val="clear" w:color="auto" w:fill="F7F7F7"/>
            <w:tcW w:w="1500" w:type="dxa"/>
          </w:tcPr>
          <w:p>
            <w:pPr>
              <w:spacing w:before="20" w:after="20"/>
            </w:pPr>
            <w:r>
              <w:rPr>
                <w:rFonts w:ascii="Calibri" w:hAnsi="Calibri"/>
                <w:sz w:val="19"/>
              </w:rPr>
              <w:t>R2</w:t>
            </w:r>
          </w:p>
        </w:tc>
        <w:tc>
          <w:tcPr>
            <w:tcBorders>
              <w:top w:val="single" w:sz="4" w:color="BFBFBF"/>
              <w:left w:val="single" w:sz="4" w:color="BFBFBF"/>
              <w:bottom w:val="single" w:sz="4" w:color="BFBFBF"/>
              <w:right w:val="single" w:sz="4" w:color="BFBFBF"/>
            </w:tcBorders>
            <w:shd w:val="clear" w:color="auto" w:fill="F7F7F7"/>
            <w:tcW w:w="2200" w:type="dxa"/>
          </w:tcPr>
          <w:p>
            <w:pPr>
              <w:spacing w:before="20" w:after="20"/>
            </w:pPr>
            <w:r>
              <w:rPr>
                <w:rFonts w:ascii="Calibri" w:hAnsi="Calibri"/>
                <w:sz w:val="19"/>
              </w:rPr>
              <w:t>4,752</w:t>
            </w:r>
          </w:p>
        </w:tc>
      </w:tr>
      <w:tr>
        <w:tc>
          <w:tcPr>
            <w:tcBorders>
              <w:top w:val="single" w:sz="4" w:color="BFBFBF"/>
              <w:left w:val="single" w:sz="4" w:color="BFBFBF"/>
              <w:bottom w:val="single" w:sz="4" w:color="BFBFBF"/>
              <w:right w:val="single" w:sz="4" w:color="BFBFBF"/>
            </w:tcBorders>
            <w:tcW w:w="1500" w:type="dxa"/>
          </w:tcPr>
          <w:p>
            <w:pPr>
              <w:spacing w:before="20" w:after="20"/>
            </w:pPr>
            <w:r>
              <w:rPr>
                <w:rFonts w:ascii="Calibri" w:hAnsi="Calibri"/>
                <w:sz w:val="19"/>
              </w:rPr>
              <w:t>R1</w:t>
            </w:r>
          </w:p>
        </w:tc>
        <w:tc>
          <w:tcPr>
            <w:tcBorders>
              <w:top w:val="single" w:sz="4" w:color="BFBFBF"/>
              <w:left w:val="single" w:sz="4" w:color="BFBFBF"/>
              <w:bottom w:val="single" w:sz="4" w:color="BFBFBF"/>
              <w:right w:val="single" w:sz="4" w:color="BFBFBF"/>
            </w:tcBorders>
            <w:tcW w:w="2200" w:type="dxa"/>
          </w:tcPr>
          <w:p>
            <w:pPr>
              <w:spacing w:before="20" w:after="20"/>
            </w:pPr>
            <w:r>
              <w:rPr>
                <w:rFonts w:ascii="Calibri" w:hAnsi="Calibri"/>
                <w:sz w:val="19"/>
              </w:rPr>
              <w:t>4,716</w:t>
            </w:r>
          </w:p>
        </w:tc>
      </w:tr>
      <w:tr>
        <w:tc>
          <w:tcPr>
            <w:tcBorders>
              <w:top w:val="single" w:sz="4" w:color="BFBFBF"/>
              <w:left w:val="single" w:sz="4" w:color="BFBFBF"/>
              <w:bottom w:val="single" w:sz="4" w:color="BFBFBF"/>
              <w:right w:val="single" w:sz="4" w:color="BFBFBF"/>
            </w:tcBorders>
            <w:shd w:val="clear" w:color="auto" w:fill="F7F7F7"/>
            <w:tcW w:w="1500" w:type="dxa"/>
          </w:tcPr>
          <w:p>
            <w:pPr>
              <w:spacing w:before="20" w:after="20"/>
            </w:pPr>
            <w:r>
              <w:rPr>
                <w:rFonts w:ascii="Calibri" w:hAnsi="Calibri"/>
                <w:sz w:val="19"/>
              </w:rPr>
              <w:t>P</w:t>
            </w:r>
          </w:p>
        </w:tc>
        <w:tc>
          <w:tcPr>
            <w:tcBorders>
              <w:top w:val="single" w:sz="4" w:color="BFBFBF"/>
              <w:left w:val="single" w:sz="4" w:color="BFBFBF"/>
              <w:bottom w:val="single" w:sz="4" w:color="BFBFBF"/>
              <w:right w:val="single" w:sz="4" w:color="BFBFBF"/>
            </w:tcBorders>
            <w:shd w:val="clear" w:color="auto" w:fill="F7F7F7"/>
            <w:tcW w:w="2200" w:type="dxa"/>
          </w:tcPr>
          <w:p>
            <w:pPr>
              <w:spacing w:before="20" w:after="20"/>
            </w:pPr>
            <w:r>
              <w:rPr>
                <w:rFonts w:ascii="Calibri" w:hAnsi="Calibri"/>
                <w:sz w:val="19"/>
              </w:rPr>
              <w:t>4,696</w:t>
            </w:r>
          </w:p>
        </w:tc>
      </w:tr>
      <w:tr>
        <w:tc>
          <w:tcPr>
            <w:tcBorders>
              <w:top w:val="single" w:sz="4" w:color="BFBFBF"/>
              <w:left w:val="single" w:sz="4" w:color="BFBFBF"/>
              <w:bottom w:val="single" w:sz="4" w:color="BFBFBF"/>
              <w:right w:val="single" w:sz="4" w:color="BFBFBF"/>
            </w:tcBorders>
            <w:tcW w:w="1500" w:type="dxa"/>
          </w:tcPr>
          <w:p>
            <w:pPr>
              <w:spacing w:before="20" w:after="20"/>
            </w:pPr>
            <w:r>
              <w:rPr>
                <w:rFonts w:ascii="Calibri" w:hAnsi="Calibri"/>
                <w:sz w:val="19"/>
              </w:rPr>
              <w:t>S1</w:t>
            </w:r>
          </w:p>
        </w:tc>
        <w:tc>
          <w:tcPr>
            <w:tcBorders>
              <w:top w:val="single" w:sz="4" w:color="BFBFBF"/>
              <w:left w:val="single" w:sz="4" w:color="BFBFBF"/>
              <w:bottom w:val="single" w:sz="4" w:color="BFBFBF"/>
              <w:right w:val="single" w:sz="4" w:color="BFBFBF"/>
            </w:tcBorders>
            <w:tcW w:w="2200" w:type="dxa"/>
          </w:tcPr>
          <w:p>
            <w:pPr>
              <w:spacing w:before="20" w:after="20"/>
            </w:pPr>
            <w:r>
              <w:rPr>
                <w:rFonts w:ascii="Calibri" w:hAnsi="Calibri"/>
                <w:sz w:val="19"/>
              </w:rPr>
              <w:t>4,659</w:t>
            </w:r>
          </w:p>
        </w:tc>
      </w:tr>
      <w:tr>
        <w:tc>
          <w:tcPr>
            <w:tcBorders>
              <w:top w:val="single" w:sz="4" w:color="BFBFBF"/>
              <w:left w:val="single" w:sz="4" w:color="BFBFBF"/>
              <w:bottom w:val="single" w:sz="4" w:color="BFBFBF"/>
              <w:right w:val="single" w:sz="4" w:color="BFBFBF"/>
            </w:tcBorders>
            <w:shd w:val="clear" w:color="auto" w:fill="F7F7F7"/>
            <w:tcW w:w="1500" w:type="dxa"/>
          </w:tcPr>
          <w:p>
            <w:pPr>
              <w:spacing w:before="20" w:after="20"/>
            </w:pPr>
            <w:r>
              <w:rPr>
                <w:rFonts w:ascii="Calibri" w:hAnsi="Calibri"/>
                <w:sz w:val="19"/>
              </w:rPr>
              <w:t>S2</w:t>
            </w:r>
          </w:p>
        </w:tc>
        <w:tc>
          <w:tcPr>
            <w:tcBorders>
              <w:top w:val="single" w:sz="4" w:color="BFBFBF"/>
              <w:left w:val="single" w:sz="4" w:color="BFBFBF"/>
              <w:bottom w:val="single" w:sz="4" w:color="BFBFBF"/>
              <w:right w:val="single" w:sz="4" w:color="BFBFBF"/>
            </w:tcBorders>
            <w:shd w:val="clear" w:color="auto" w:fill="F7F7F7"/>
            <w:tcW w:w="2200" w:type="dxa"/>
          </w:tcPr>
          <w:p>
            <w:pPr>
              <w:spacing w:before="20" w:after="20"/>
            </w:pPr>
            <w:r>
              <w:rPr>
                <w:rFonts w:ascii="Calibri" w:hAnsi="Calibri"/>
                <w:sz w:val="19"/>
              </w:rPr>
              <w:t>4,640</w:t>
            </w:r>
          </w:p>
        </w:tc>
      </w:tr>
      <w:tr>
        <w:tc>
          <w:tcPr>
            <w:tcBorders>
              <w:top w:val="single" w:sz="4" w:color="BFBFBF"/>
              <w:left w:val="single" w:sz="4" w:color="BFBFBF"/>
              <w:bottom w:val="single" w:sz="4" w:color="BFBFBF"/>
              <w:right w:val="single" w:sz="4" w:color="BFBFBF"/>
            </w:tcBorders>
            <w:tcW w:w="1500" w:type="dxa"/>
          </w:tcPr>
          <w:p>
            <w:pPr>
              <w:spacing w:before="20" w:after="20"/>
            </w:pPr>
            <w:r>
              <w:rPr>
                <w:rFonts w:ascii="Calibri" w:hAnsi="Calibri"/>
                <w:sz w:val="19"/>
              </w:rPr>
              <w:t>S3</w:t>
            </w:r>
          </w:p>
        </w:tc>
        <w:tc>
          <w:tcPr>
            <w:tcBorders>
              <w:top w:val="single" w:sz="4" w:color="BFBFBF"/>
              <w:left w:val="single" w:sz="4" w:color="BFBFBF"/>
              <w:bottom w:val="single" w:sz="4" w:color="BFBFBF"/>
              <w:right w:val="single" w:sz="4" w:color="BFBFBF"/>
            </w:tcBorders>
            <w:tcW w:w="2200" w:type="dxa"/>
          </w:tcPr>
          <w:p>
            <w:pPr>
              <w:spacing w:before="20" w:after="20"/>
            </w:pPr>
            <w:r>
              <w:rPr>
                <w:rFonts w:ascii="Calibri" w:hAnsi="Calibri"/>
                <w:sz w:val="19"/>
              </w:rPr>
              <w:t>4,602</w:t>
            </w:r>
          </w:p>
        </w:tc>
      </w:tr>
      <w:tr>
        <w:tc>
          <w:tcPr>
            <w:tcBorders>
              <w:top w:val="single" w:sz="4" w:color="BFBFBF"/>
              <w:left w:val="single" w:sz="4" w:color="BFBFBF"/>
              <w:bottom w:val="single" w:sz="4" w:color="BFBFBF"/>
              <w:right w:val="single" w:sz="4" w:color="BFBFBF"/>
            </w:tcBorders>
            <w:shd w:val="clear" w:color="auto" w:fill="F7F7F7"/>
            <w:tcW w:w="1500" w:type="dxa"/>
          </w:tcPr>
          <w:p>
            <w:pPr>
              <w:spacing w:before="20" w:after="20"/>
            </w:pPr>
            <w:r>
              <w:rPr>
                <w:rFonts w:ascii="Calibri" w:hAnsi="Calibri"/>
                <w:sz w:val="19"/>
              </w:rPr>
              <w:t>S4</w:t>
            </w:r>
          </w:p>
        </w:tc>
        <w:tc>
          <w:tcPr>
            <w:tcBorders>
              <w:top w:val="single" w:sz="4" w:color="BFBFBF"/>
              <w:left w:val="single" w:sz="4" w:color="BFBFBF"/>
              <w:bottom w:val="single" w:sz="4" w:color="BFBFBF"/>
              <w:right w:val="single" w:sz="4" w:color="BFBFBF"/>
            </w:tcBorders>
            <w:shd w:val="clear" w:color="auto" w:fill="F7F7F7"/>
            <w:tcW w:w="2200" w:type="dxa"/>
          </w:tcPr>
          <w:p>
            <w:pPr>
              <w:spacing w:before="20" w:after="20"/>
            </w:pPr>
            <w:r>
              <w:rPr>
                <w:rFonts w:ascii="Calibri" w:hAnsi="Calibri"/>
                <w:sz w:val="19"/>
              </w:rPr>
              <w:t>4,584</w:t>
            </w:r>
          </w:p>
        </w:tc>
      </w:tr>
      <w:tr>
        <w:tc>
          <w:tcPr>
            <w:tcBorders>
              <w:top w:val="single" w:sz="4" w:color="BFBFBF"/>
              <w:left w:val="single" w:sz="4" w:color="BFBFBF"/>
              <w:bottom w:val="single" w:sz="4" w:color="BFBFBF"/>
              <w:right w:val="single" w:sz="4" w:color="BFBFBF"/>
            </w:tcBorders>
            <w:tcW w:w="1500" w:type="dxa"/>
          </w:tcPr>
          <w:p>
            <w:pPr>
              <w:spacing w:before="20" w:after="20"/>
            </w:pPr>
            <w:r>
              <w:rPr>
                <w:rFonts w:ascii="Calibri" w:hAnsi="Calibri"/>
                <w:sz w:val="19"/>
              </w:rPr>
              <w:t>S5</w:t>
            </w:r>
          </w:p>
        </w:tc>
        <w:tc>
          <w:tcPr>
            <w:tcBorders>
              <w:top w:val="single" w:sz="4" w:color="BFBFBF"/>
              <w:left w:val="single" w:sz="4" w:color="BFBFBF"/>
              <w:bottom w:val="single" w:sz="4" w:color="BFBFBF"/>
              <w:right w:val="single" w:sz="4" w:color="BFBFBF"/>
            </w:tcBorders>
            <w:tcW w:w="2200" w:type="dxa"/>
          </w:tcPr>
          <w:p>
            <w:pPr>
              <w:spacing w:before="20" w:after="20"/>
            </w:pPr>
            <w:r>
              <w:rPr>
                <w:rFonts w:ascii="Calibri" w:hAnsi="Calibri"/>
                <w:sz w:val="19"/>
              </w:rPr>
              <w:t>4,548</w:t>
            </w:r>
          </w:p>
        </w:tc>
      </w:tr>
    </w:tbl>
    <w:p>
      <w:pPr>
        <w:spacing w:after="120" w:before="0"/>
      </w:pPr>
      <w:r>
        <w:rPr>
          <w:rFonts w:ascii="Calibri" w:hAnsi="Calibri"/>
          <w:b w:val="0"/>
          <w:i/>
          <w:sz w:val="19"/>
        </w:rPr>
        <w:t>Source status: SINGLE-SOURCE-INDICATIVE (derived from rolling-window engine, single feed).</w:t>
      </w:r>
    </w:p>
    <w:p>
      <w:pPr>
        <w:spacing w:after="40" w:before="0"/>
      </w:pPr>
      <w:r>
        <w:rPr>
          <w:rFonts w:ascii="Calibri" w:hAnsi="Calibri"/>
          <w:b/>
          <w:i w:val="0"/>
          <w:sz w:val="22"/>
        </w:rPr>
        <w:t>Weekly pivots — derived from prior-week H/L/C (4,808 / 4,665 / 4,742):</w:t>
      </w:r>
    </w:p>
    <w:tbl>
      <w:tblPr>
        <w:jc w:val="left"/>
        <w:tblLayout w:type="fixed"/>
        <w:tblLook w:firstColumn="1" w:firstRow="1" w:lastColumn="0" w:lastRow="0" w:noHBand="0" w:noVBand="1" w:val="04A0"/>
        <w:tblW w:w="3700" w:type="dxa"/>
      </w:tblPr>
      <w:tblGrid>
        <w:gridCol w:w="5040"/>
        <w:gridCol w:w="5040"/>
      </w:tblGrid>
      <w:tr>
        <w:tc>
          <w:tcPr>
            <w:shd w:val="clear" w:color="auto" w:fill="1F3A5F"/>
            <w:tcBorders>
              <w:top w:val="single" w:sz="4" w:color="BFBFBF"/>
              <w:left w:val="single" w:sz="4" w:color="BFBFBF"/>
              <w:bottom w:val="single" w:sz="4" w:color="BFBFBF"/>
              <w:right w:val="single" w:sz="4" w:color="BFBFBF"/>
            </w:tcBorders>
            <w:tcW w:w="1500" w:type="dxa"/>
          </w:tcPr>
          <w:p>
            <w:pPr>
              <w:spacing w:before="40" w:after="40"/>
            </w:pPr>
            <w:r>
              <w:rPr>
                <w:rFonts w:ascii="Calibri" w:hAnsi="Calibri"/>
                <w:b/>
                <w:color w:val="FFFFFF"/>
                <w:sz w:val="20"/>
              </w:rPr>
              <w:t>Level</w:t>
            </w:r>
          </w:p>
        </w:tc>
        <w:tc>
          <w:tcPr>
            <w:shd w:val="clear" w:color="auto" w:fill="1F3A5F"/>
            <w:tcBorders>
              <w:top w:val="single" w:sz="4" w:color="BFBFBF"/>
              <w:left w:val="single" w:sz="4" w:color="BFBFBF"/>
              <w:bottom w:val="single" w:sz="4" w:color="BFBFBF"/>
              <w:right w:val="single" w:sz="4" w:color="BFBFBF"/>
            </w:tcBorders>
            <w:tcW w:w="2200" w:type="dxa"/>
          </w:tcPr>
          <w:p>
            <w:pPr>
              <w:spacing w:before="40" w:after="40"/>
            </w:pPr>
            <w:r>
              <w:rPr>
                <w:rFonts w:ascii="Calibri" w:hAnsi="Calibri"/>
                <w:b/>
                <w:color w:val="FFFFFF"/>
                <w:sz w:val="20"/>
              </w:rPr>
              <w:t>Price (USD/oz)</w:t>
            </w:r>
          </w:p>
        </w:tc>
      </w:tr>
      <w:tr>
        <w:tc>
          <w:tcPr>
            <w:tcBorders>
              <w:top w:val="single" w:sz="4" w:color="BFBFBF"/>
              <w:left w:val="single" w:sz="4" w:color="BFBFBF"/>
              <w:bottom w:val="single" w:sz="4" w:color="BFBFBF"/>
              <w:right w:val="single" w:sz="4" w:color="BFBFBF"/>
            </w:tcBorders>
            <w:tcW w:w="1500" w:type="dxa"/>
          </w:tcPr>
          <w:p>
            <w:pPr>
              <w:spacing w:before="20" w:after="20"/>
            </w:pPr>
            <w:r>
              <w:rPr>
                <w:rFonts w:ascii="Calibri" w:hAnsi="Calibri"/>
                <w:sz w:val="19"/>
              </w:rPr>
              <w:t>R5</w:t>
            </w:r>
          </w:p>
        </w:tc>
        <w:tc>
          <w:tcPr>
            <w:tcBorders>
              <w:top w:val="single" w:sz="4" w:color="BFBFBF"/>
              <w:left w:val="single" w:sz="4" w:color="BFBFBF"/>
              <w:bottom w:val="single" w:sz="4" w:color="BFBFBF"/>
              <w:right w:val="single" w:sz="4" w:color="BFBFBF"/>
            </w:tcBorders>
            <w:tcW w:w="2200" w:type="dxa"/>
          </w:tcPr>
          <w:p>
            <w:pPr>
              <w:spacing w:before="20" w:after="20"/>
            </w:pPr>
            <w:r>
              <w:rPr>
                <w:rFonts w:ascii="Calibri" w:hAnsi="Calibri"/>
                <w:sz w:val="19"/>
              </w:rPr>
              <w:t>4,978</w:t>
            </w:r>
          </w:p>
        </w:tc>
      </w:tr>
      <w:tr>
        <w:tc>
          <w:tcPr>
            <w:tcBorders>
              <w:top w:val="single" w:sz="4" w:color="BFBFBF"/>
              <w:left w:val="single" w:sz="4" w:color="BFBFBF"/>
              <w:bottom w:val="single" w:sz="4" w:color="BFBFBF"/>
              <w:right w:val="single" w:sz="4" w:color="BFBFBF"/>
            </w:tcBorders>
            <w:shd w:val="clear" w:color="auto" w:fill="F7F7F7"/>
            <w:tcW w:w="1500" w:type="dxa"/>
          </w:tcPr>
          <w:p>
            <w:pPr>
              <w:spacing w:before="20" w:after="20"/>
            </w:pPr>
            <w:r>
              <w:rPr>
                <w:rFonts w:ascii="Calibri" w:hAnsi="Calibri"/>
                <w:sz w:val="19"/>
              </w:rPr>
              <w:t>R4</w:t>
            </w:r>
          </w:p>
        </w:tc>
        <w:tc>
          <w:tcPr>
            <w:tcBorders>
              <w:top w:val="single" w:sz="4" w:color="BFBFBF"/>
              <w:left w:val="single" w:sz="4" w:color="BFBFBF"/>
              <w:bottom w:val="single" w:sz="4" w:color="BFBFBF"/>
              <w:right w:val="single" w:sz="4" w:color="BFBFBF"/>
            </w:tcBorders>
            <w:shd w:val="clear" w:color="auto" w:fill="F7F7F7"/>
            <w:tcW w:w="2200" w:type="dxa"/>
          </w:tcPr>
          <w:p>
            <w:pPr>
              <w:spacing w:before="20" w:after="20"/>
            </w:pPr>
            <w:r>
              <w:rPr>
                <w:rFonts w:ascii="Calibri" w:hAnsi="Calibri"/>
                <w:sz w:val="19"/>
              </w:rPr>
              <w:t>4,930</w:t>
            </w:r>
          </w:p>
        </w:tc>
      </w:tr>
      <w:tr>
        <w:tc>
          <w:tcPr>
            <w:tcBorders>
              <w:top w:val="single" w:sz="4" w:color="BFBFBF"/>
              <w:left w:val="single" w:sz="4" w:color="BFBFBF"/>
              <w:bottom w:val="single" w:sz="4" w:color="BFBFBF"/>
              <w:right w:val="single" w:sz="4" w:color="BFBFBF"/>
            </w:tcBorders>
            <w:tcW w:w="1500" w:type="dxa"/>
          </w:tcPr>
          <w:p>
            <w:pPr>
              <w:spacing w:before="20" w:after="20"/>
            </w:pPr>
            <w:r>
              <w:rPr>
                <w:rFonts w:ascii="Calibri" w:hAnsi="Calibri"/>
                <w:sz w:val="19"/>
              </w:rPr>
              <w:t>R3</w:t>
            </w:r>
          </w:p>
        </w:tc>
        <w:tc>
          <w:tcPr>
            <w:tcBorders>
              <w:top w:val="single" w:sz="4" w:color="BFBFBF"/>
              <w:left w:val="single" w:sz="4" w:color="BFBFBF"/>
              <w:bottom w:val="single" w:sz="4" w:color="BFBFBF"/>
              <w:right w:val="single" w:sz="4" w:color="BFBFBF"/>
            </w:tcBorders>
            <w:tcW w:w="2200" w:type="dxa"/>
          </w:tcPr>
          <w:p>
            <w:pPr>
              <w:spacing w:before="20" w:after="20"/>
            </w:pPr>
            <w:r>
              <w:rPr>
                <w:rFonts w:ascii="Calibri" w:hAnsi="Calibri"/>
                <w:sz w:val="19"/>
              </w:rPr>
              <w:t>4,881</w:t>
            </w:r>
          </w:p>
        </w:tc>
      </w:tr>
      <w:tr>
        <w:tc>
          <w:tcPr>
            <w:tcBorders>
              <w:top w:val="single" w:sz="4" w:color="BFBFBF"/>
              <w:left w:val="single" w:sz="4" w:color="BFBFBF"/>
              <w:bottom w:val="single" w:sz="4" w:color="BFBFBF"/>
              <w:right w:val="single" w:sz="4" w:color="BFBFBF"/>
            </w:tcBorders>
            <w:shd w:val="clear" w:color="auto" w:fill="F7F7F7"/>
            <w:tcW w:w="1500" w:type="dxa"/>
          </w:tcPr>
          <w:p>
            <w:pPr>
              <w:spacing w:before="20" w:after="20"/>
            </w:pPr>
            <w:r>
              <w:rPr>
                <w:rFonts w:ascii="Calibri" w:hAnsi="Calibri"/>
                <w:sz w:val="19"/>
              </w:rPr>
              <w:t>R2</w:t>
            </w:r>
          </w:p>
        </w:tc>
        <w:tc>
          <w:tcPr>
            <w:tcBorders>
              <w:top w:val="single" w:sz="4" w:color="BFBFBF"/>
              <w:left w:val="single" w:sz="4" w:color="BFBFBF"/>
              <w:bottom w:val="single" w:sz="4" w:color="BFBFBF"/>
              <w:right w:val="single" w:sz="4" w:color="BFBFBF"/>
            </w:tcBorders>
            <w:shd w:val="clear" w:color="auto" w:fill="F7F7F7"/>
            <w:tcW w:w="2200" w:type="dxa"/>
          </w:tcPr>
          <w:p>
            <w:pPr>
              <w:spacing w:before="20" w:after="20"/>
            </w:pPr>
            <w:r>
              <w:rPr>
                <w:rFonts w:ascii="Calibri" w:hAnsi="Calibri"/>
                <w:sz w:val="19"/>
              </w:rPr>
              <w:t>4,838</w:t>
            </w:r>
          </w:p>
        </w:tc>
      </w:tr>
      <w:tr>
        <w:tc>
          <w:tcPr>
            <w:tcBorders>
              <w:top w:val="single" w:sz="4" w:color="BFBFBF"/>
              <w:left w:val="single" w:sz="4" w:color="BFBFBF"/>
              <w:bottom w:val="single" w:sz="4" w:color="BFBFBF"/>
              <w:right w:val="single" w:sz="4" w:color="BFBFBF"/>
            </w:tcBorders>
            <w:tcW w:w="1500" w:type="dxa"/>
          </w:tcPr>
          <w:p>
            <w:pPr>
              <w:spacing w:before="20" w:after="20"/>
            </w:pPr>
            <w:r>
              <w:rPr>
                <w:rFonts w:ascii="Calibri" w:hAnsi="Calibri"/>
                <w:sz w:val="19"/>
              </w:rPr>
              <w:t>R1</w:t>
            </w:r>
          </w:p>
        </w:tc>
        <w:tc>
          <w:tcPr>
            <w:tcBorders>
              <w:top w:val="single" w:sz="4" w:color="BFBFBF"/>
              <w:left w:val="single" w:sz="4" w:color="BFBFBF"/>
              <w:bottom w:val="single" w:sz="4" w:color="BFBFBF"/>
              <w:right w:val="single" w:sz="4" w:color="BFBFBF"/>
            </w:tcBorders>
            <w:tcW w:w="2200" w:type="dxa"/>
          </w:tcPr>
          <w:p>
            <w:pPr>
              <w:spacing w:before="20" w:after="20"/>
            </w:pPr>
            <w:r>
              <w:rPr>
                <w:rFonts w:ascii="Calibri" w:hAnsi="Calibri"/>
                <w:sz w:val="19"/>
              </w:rPr>
              <w:t>4,790</w:t>
            </w:r>
          </w:p>
        </w:tc>
      </w:tr>
      <w:tr>
        <w:tc>
          <w:tcPr>
            <w:tcBorders>
              <w:top w:val="single" w:sz="4" w:color="BFBFBF"/>
              <w:left w:val="single" w:sz="4" w:color="BFBFBF"/>
              <w:bottom w:val="single" w:sz="4" w:color="BFBFBF"/>
              <w:right w:val="single" w:sz="4" w:color="BFBFBF"/>
            </w:tcBorders>
            <w:shd w:val="clear" w:color="auto" w:fill="F7F7F7"/>
            <w:tcW w:w="1500" w:type="dxa"/>
          </w:tcPr>
          <w:p>
            <w:pPr>
              <w:spacing w:before="20" w:after="20"/>
            </w:pPr>
            <w:r>
              <w:rPr>
                <w:rFonts w:ascii="Calibri" w:hAnsi="Calibri"/>
                <w:sz w:val="19"/>
              </w:rPr>
              <w:t>P</w:t>
            </w:r>
          </w:p>
        </w:tc>
        <w:tc>
          <w:tcPr>
            <w:tcBorders>
              <w:top w:val="single" w:sz="4" w:color="BFBFBF"/>
              <w:left w:val="single" w:sz="4" w:color="BFBFBF"/>
              <w:bottom w:val="single" w:sz="4" w:color="BFBFBF"/>
              <w:right w:val="single" w:sz="4" w:color="BFBFBF"/>
            </w:tcBorders>
            <w:shd w:val="clear" w:color="auto" w:fill="F7F7F7"/>
            <w:tcW w:w="2200" w:type="dxa"/>
          </w:tcPr>
          <w:p>
            <w:pPr>
              <w:spacing w:before="20" w:after="20"/>
            </w:pPr>
            <w:r>
              <w:rPr>
                <w:rFonts w:ascii="Calibri" w:hAnsi="Calibri"/>
                <w:sz w:val="19"/>
              </w:rPr>
              <w:t>4,738</w:t>
            </w:r>
          </w:p>
        </w:tc>
      </w:tr>
      <w:tr>
        <w:tc>
          <w:tcPr>
            <w:tcBorders>
              <w:top w:val="single" w:sz="4" w:color="BFBFBF"/>
              <w:left w:val="single" w:sz="4" w:color="BFBFBF"/>
              <w:bottom w:val="single" w:sz="4" w:color="BFBFBF"/>
              <w:right w:val="single" w:sz="4" w:color="BFBFBF"/>
            </w:tcBorders>
            <w:tcW w:w="1500" w:type="dxa"/>
          </w:tcPr>
          <w:p>
            <w:pPr>
              <w:spacing w:before="20" w:after="20"/>
            </w:pPr>
            <w:r>
              <w:rPr>
                <w:rFonts w:ascii="Calibri" w:hAnsi="Calibri"/>
                <w:sz w:val="19"/>
              </w:rPr>
              <w:t>S1</w:t>
            </w:r>
          </w:p>
        </w:tc>
        <w:tc>
          <w:tcPr>
            <w:tcBorders>
              <w:top w:val="single" w:sz="4" w:color="BFBFBF"/>
              <w:left w:val="single" w:sz="4" w:color="BFBFBF"/>
              <w:bottom w:val="single" w:sz="4" w:color="BFBFBF"/>
              <w:right w:val="single" w:sz="4" w:color="BFBFBF"/>
            </w:tcBorders>
            <w:tcW w:w="2200" w:type="dxa"/>
          </w:tcPr>
          <w:p>
            <w:pPr>
              <w:spacing w:before="20" w:after="20"/>
            </w:pPr>
            <w:r>
              <w:rPr>
                <w:rFonts w:ascii="Calibri" w:hAnsi="Calibri"/>
                <w:sz w:val="19"/>
              </w:rPr>
              <w:t>4,672</w:t>
            </w:r>
          </w:p>
        </w:tc>
      </w:tr>
      <w:tr>
        <w:tc>
          <w:tcPr>
            <w:tcBorders>
              <w:top w:val="single" w:sz="4" w:color="BFBFBF"/>
              <w:left w:val="single" w:sz="4" w:color="BFBFBF"/>
              <w:bottom w:val="single" w:sz="4" w:color="BFBFBF"/>
              <w:right w:val="single" w:sz="4" w:color="BFBFBF"/>
            </w:tcBorders>
            <w:shd w:val="clear" w:color="auto" w:fill="F7F7F7"/>
            <w:tcW w:w="1500" w:type="dxa"/>
          </w:tcPr>
          <w:p>
            <w:pPr>
              <w:spacing w:before="20" w:after="20"/>
            </w:pPr>
            <w:r>
              <w:rPr>
                <w:rFonts w:ascii="Calibri" w:hAnsi="Calibri"/>
                <w:sz w:val="19"/>
              </w:rPr>
              <w:t>S2</w:t>
            </w:r>
          </w:p>
        </w:tc>
        <w:tc>
          <w:tcPr>
            <w:tcBorders>
              <w:top w:val="single" w:sz="4" w:color="BFBFBF"/>
              <w:left w:val="single" w:sz="4" w:color="BFBFBF"/>
              <w:bottom w:val="single" w:sz="4" w:color="BFBFBF"/>
              <w:right w:val="single" w:sz="4" w:color="BFBFBF"/>
            </w:tcBorders>
            <w:shd w:val="clear" w:color="auto" w:fill="F7F7F7"/>
            <w:tcW w:w="2200" w:type="dxa"/>
          </w:tcPr>
          <w:p>
            <w:pPr>
              <w:spacing w:before="20" w:after="20"/>
            </w:pPr>
            <w:r>
              <w:rPr>
                <w:rFonts w:ascii="Calibri" w:hAnsi="Calibri"/>
                <w:sz w:val="19"/>
              </w:rPr>
              <w:t>4,634</w:t>
            </w:r>
          </w:p>
        </w:tc>
      </w:tr>
      <w:tr>
        <w:tc>
          <w:tcPr>
            <w:tcBorders>
              <w:top w:val="single" w:sz="4" w:color="BFBFBF"/>
              <w:left w:val="single" w:sz="4" w:color="BFBFBF"/>
              <w:bottom w:val="single" w:sz="4" w:color="BFBFBF"/>
              <w:right w:val="single" w:sz="4" w:color="BFBFBF"/>
            </w:tcBorders>
            <w:tcW w:w="1500" w:type="dxa"/>
          </w:tcPr>
          <w:p>
            <w:pPr>
              <w:spacing w:before="20" w:after="20"/>
            </w:pPr>
            <w:r>
              <w:rPr>
                <w:rFonts w:ascii="Calibri" w:hAnsi="Calibri"/>
                <w:sz w:val="19"/>
              </w:rPr>
              <w:t>S3</w:t>
            </w:r>
          </w:p>
        </w:tc>
        <w:tc>
          <w:tcPr>
            <w:tcBorders>
              <w:top w:val="single" w:sz="4" w:color="BFBFBF"/>
              <w:left w:val="single" w:sz="4" w:color="BFBFBF"/>
              <w:bottom w:val="single" w:sz="4" w:color="BFBFBF"/>
              <w:right w:val="single" w:sz="4" w:color="BFBFBF"/>
            </w:tcBorders>
            <w:tcW w:w="2200" w:type="dxa"/>
          </w:tcPr>
          <w:p>
            <w:pPr>
              <w:spacing w:before="20" w:after="20"/>
            </w:pPr>
            <w:r>
              <w:rPr>
                <w:rFonts w:ascii="Calibri" w:hAnsi="Calibri"/>
                <w:sz w:val="19"/>
              </w:rPr>
              <w:t>4,581</w:t>
            </w:r>
          </w:p>
        </w:tc>
      </w:tr>
      <w:tr>
        <w:tc>
          <w:tcPr>
            <w:tcBorders>
              <w:top w:val="single" w:sz="4" w:color="BFBFBF"/>
              <w:left w:val="single" w:sz="4" w:color="BFBFBF"/>
              <w:bottom w:val="single" w:sz="4" w:color="BFBFBF"/>
              <w:right w:val="single" w:sz="4" w:color="BFBFBF"/>
            </w:tcBorders>
            <w:shd w:val="clear" w:color="auto" w:fill="F7F7F7"/>
            <w:tcW w:w="1500" w:type="dxa"/>
          </w:tcPr>
          <w:p>
            <w:pPr>
              <w:spacing w:before="20" w:after="20"/>
            </w:pPr>
            <w:r>
              <w:rPr>
                <w:rFonts w:ascii="Calibri" w:hAnsi="Calibri"/>
                <w:sz w:val="19"/>
              </w:rPr>
              <w:t>S4</w:t>
            </w:r>
          </w:p>
        </w:tc>
        <w:tc>
          <w:tcPr>
            <w:tcBorders>
              <w:top w:val="single" w:sz="4" w:color="BFBFBF"/>
              <w:left w:val="single" w:sz="4" w:color="BFBFBF"/>
              <w:bottom w:val="single" w:sz="4" w:color="BFBFBF"/>
              <w:right w:val="single" w:sz="4" w:color="BFBFBF"/>
            </w:tcBorders>
            <w:shd w:val="clear" w:color="auto" w:fill="F7F7F7"/>
            <w:tcW w:w="2200" w:type="dxa"/>
          </w:tcPr>
          <w:p>
            <w:pPr>
              <w:spacing w:before="20" w:after="20"/>
            </w:pPr>
            <w:r>
              <w:rPr>
                <w:rFonts w:ascii="Calibri" w:hAnsi="Calibri"/>
                <w:sz w:val="19"/>
              </w:rPr>
              <w:t>4,535</w:t>
            </w:r>
          </w:p>
        </w:tc>
      </w:tr>
      <w:tr>
        <w:tc>
          <w:tcPr>
            <w:tcBorders>
              <w:top w:val="single" w:sz="4" w:color="BFBFBF"/>
              <w:left w:val="single" w:sz="4" w:color="BFBFBF"/>
              <w:bottom w:val="single" w:sz="4" w:color="BFBFBF"/>
              <w:right w:val="single" w:sz="4" w:color="BFBFBF"/>
            </w:tcBorders>
            <w:tcW w:w="1500" w:type="dxa"/>
          </w:tcPr>
          <w:p>
            <w:pPr>
              <w:spacing w:before="20" w:after="20"/>
            </w:pPr>
            <w:r>
              <w:rPr>
                <w:rFonts w:ascii="Calibri" w:hAnsi="Calibri"/>
                <w:sz w:val="19"/>
              </w:rPr>
              <w:t>S5</w:t>
            </w:r>
          </w:p>
        </w:tc>
        <w:tc>
          <w:tcPr>
            <w:tcBorders>
              <w:top w:val="single" w:sz="4" w:color="BFBFBF"/>
              <w:left w:val="single" w:sz="4" w:color="BFBFBF"/>
              <w:bottom w:val="single" w:sz="4" w:color="BFBFBF"/>
              <w:right w:val="single" w:sz="4" w:color="BFBFBF"/>
            </w:tcBorders>
            <w:tcW w:w="2200" w:type="dxa"/>
          </w:tcPr>
          <w:p>
            <w:pPr>
              <w:spacing w:before="20" w:after="20"/>
            </w:pPr>
            <w:r>
              <w:rPr>
                <w:rFonts w:ascii="Calibri" w:hAnsi="Calibri"/>
                <w:sz w:val="19"/>
              </w:rPr>
              <w:t>4,491</w:t>
            </w:r>
          </w:p>
        </w:tc>
      </w:tr>
    </w:tbl>
    <w:p>
      <w:pPr>
        <w:spacing w:after="120" w:before="0"/>
      </w:pPr>
      <w:r>
        <w:rPr>
          <w:rFonts w:ascii="Calibri" w:hAnsi="Calibri"/>
          <w:b w:val="0"/>
          <w:i/>
          <w:sz w:val="19"/>
        </w:rPr>
        <w:t>Source status: SINGLE-SOURCE-INDICATIVE.</w:t>
      </w:r>
    </w:p>
    <w:p>
      <w:pPr>
        <w:spacing w:after="40" w:before="0"/>
      </w:pPr>
      <w:r>
        <w:rPr>
          <w:rFonts w:ascii="Calibri" w:hAnsi="Calibri"/>
          <w:b/>
          <w:i w:val="0"/>
          <w:sz w:val="22"/>
        </w:rPr>
        <w:t>Monthly pivots — derived from prior-month H/L/C (April: 4,830 / 4,353 / 4,640):</w:t>
      </w:r>
    </w:p>
    <w:tbl>
      <w:tblPr>
        <w:jc w:val="left"/>
        <w:tblLayout w:type="fixed"/>
        <w:tblLook w:firstColumn="1" w:firstRow="1" w:lastColumn="0" w:lastRow="0" w:noHBand="0" w:noVBand="1" w:val="04A0"/>
        <w:tblW w:w="3700" w:type="dxa"/>
      </w:tblPr>
      <w:tblGrid>
        <w:gridCol w:w="5040"/>
        <w:gridCol w:w="5040"/>
      </w:tblGrid>
      <w:tr>
        <w:tc>
          <w:tcPr>
            <w:shd w:val="clear" w:color="auto" w:fill="1F3A5F"/>
            <w:tcBorders>
              <w:top w:val="single" w:sz="4" w:color="BFBFBF"/>
              <w:left w:val="single" w:sz="4" w:color="BFBFBF"/>
              <w:bottom w:val="single" w:sz="4" w:color="BFBFBF"/>
              <w:right w:val="single" w:sz="4" w:color="BFBFBF"/>
            </w:tcBorders>
            <w:tcW w:w="1500" w:type="dxa"/>
          </w:tcPr>
          <w:p>
            <w:pPr>
              <w:spacing w:before="40" w:after="40"/>
            </w:pPr>
            <w:r>
              <w:rPr>
                <w:rFonts w:ascii="Calibri" w:hAnsi="Calibri"/>
                <w:b/>
                <w:color w:val="FFFFFF"/>
                <w:sz w:val="20"/>
              </w:rPr>
              <w:t>Level</w:t>
            </w:r>
          </w:p>
        </w:tc>
        <w:tc>
          <w:tcPr>
            <w:shd w:val="clear" w:color="auto" w:fill="1F3A5F"/>
            <w:tcBorders>
              <w:top w:val="single" w:sz="4" w:color="BFBFBF"/>
              <w:left w:val="single" w:sz="4" w:color="BFBFBF"/>
              <w:bottom w:val="single" w:sz="4" w:color="BFBFBF"/>
              <w:right w:val="single" w:sz="4" w:color="BFBFBF"/>
            </w:tcBorders>
            <w:tcW w:w="2200" w:type="dxa"/>
          </w:tcPr>
          <w:p>
            <w:pPr>
              <w:spacing w:before="40" w:after="40"/>
            </w:pPr>
            <w:r>
              <w:rPr>
                <w:rFonts w:ascii="Calibri" w:hAnsi="Calibri"/>
                <w:b/>
                <w:color w:val="FFFFFF"/>
                <w:sz w:val="20"/>
              </w:rPr>
              <w:t>Price (USD/oz)</w:t>
            </w:r>
          </w:p>
        </w:tc>
      </w:tr>
      <w:tr>
        <w:tc>
          <w:tcPr>
            <w:tcBorders>
              <w:top w:val="single" w:sz="4" w:color="BFBFBF"/>
              <w:left w:val="single" w:sz="4" w:color="BFBFBF"/>
              <w:bottom w:val="single" w:sz="4" w:color="BFBFBF"/>
              <w:right w:val="single" w:sz="4" w:color="BFBFBF"/>
            </w:tcBorders>
            <w:tcW w:w="1500" w:type="dxa"/>
          </w:tcPr>
          <w:p>
            <w:pPr>
              <w:spacing w:before="20" w:after="20"/>
            </w:pPr>
            <w:r>
              <w:rPr>
                <w:rFonts w:ascii="Calibri" w:hAnsi="Calibri"/>
                <w:sz w:val="19"/>
              </w:rPr>
              <w:t>R5</w:t>
            </w:r>
          </w:p>
        </w:tc>
        <w:tc>
          <w:tcPr>
            <w:tcBorders>
              <w:top w:val="single" w:sz="4" w:color="BFBFBF"/>
              <w:left w:val="single" w:sz="4" w:color="BFBFBF"/>
              <w:bottom w:val="single" w:sz="4" w:color="BFBFBF"/>
              <w:right w:val="single" w:sz="4" w:color="BFBFBF"/>
            </w:tcBorders>
            <w:tcW w:w="2200" w:type="dxa"/>
          </w:tcPr>
          <w:p>
            <w:pPr>
              <w:spacing w:before="20" w:after="20"/>
            </w:pPr>
            <w:r>
              <w:rPr>
                <w:rFonts w:ascii="Calibri" w:hAnsi="Calibri"/>
                <w:sz w:val="19"/>
              </w:rPr>
              <w:t>5,275</w:t>
            </w:r>
          </w:p>
        </w:tc>
      </w:tr>
      <w:tr>
        <w:tc>
          <w:tcPr>
            <w:tcBorders>
              <w:top w:val="single" w:sz="4" w:color="BFBFBF"/>
              <w:left w:val="single" w:sz="4" w:color="BFBFBF"/>
              <w:bottom w:val="single" w:sz="4" w:color="BFBFBF"/>
              <w:right w:val="single" w:sz="4" w:color="BFBFBF"/>
            </w:tcBorders>
            <w:shd w:val="clear" w:color="auto" w:fill="F7F7F7"/>
            <w:tcW w:w="1500" w:type="dxa"/>
          </w:tcPr>
          <w:p>
            <w:pPr>
              <w:spacing w:before="20" w:after="20"/>
            </w:pPr>
            <w:r>
              <w:rPr>
                <w:rFonts w:ascii="Calibri" w:hAnsi="Calibri"/>
                <w:sz w:val="19"/>
              </w:rPr>
              <w:t>R4</w:t>
            </w:r>
          </w:p>
        </w:tc>
        <w:tc>
          <w:tcPr>
            <w:tcBorders>
              <w:top w:val="single" w:sz="4" w:color="BFBFBF"/>
              <w:left w:val="single" w:sz="4" w:color="BFBFBF"/>
              <w:bottom w:val="single" w:sz="4" w:color="BFBFBF"/>
              <w:right w:val="single" w:sz="4" w:color="BFBFBF"/>
            </w:tcBorders>
            <w:shd w:val="clear" w:color="auto" w:fill="F7F7F7"/>
            <w:tcW w:w="2200" w:type="dxa"/>
          </w:tcPr>
          <w:p>
            <w:pPr>
              <w:spacing w:before="20" w:after="20"/>
            </w:pPr>
            <w:r>
              <w:rPr>
                <w:rFonts w:ascii="Calibri" w:hAnsi="Calibri"/>
                <w:sz w:val="19"/>
              </w:rPr>
              <w:t>5,116</w:t>
            </w:r>
          </w:p>
        </w:tc>
      </w:tr>
      <w:tr>
        <w:tc>
          <w:tcPr>
            <w:tcBorders>
              <w:top w:val="single" w:sz="4" w:color="BFBFBF"/>
              <w:left w:val="single" w:sz="4" w:color="BFBFBF"/>
              <w:bottom w:val="single" w:sz="4" w:color="BFBFBF"/>
              <w:right w:val="single" w:sz="4" w:color="BFBFBF"/>
            </w:tcBorders>
            <w:tcW w:w="1500" w:type="dxa"/>
          </w:tcPr>
          <w:p>
            <w:pPr>
              <w:spacing w:before="20" w:after="20"/>
            </w:pPr>
            <w:r>
              <w:rPr>
                <w:rFonts w:ascii="Calibri" w:hAnsi="Calibri"/>
                <w:sz w:val="19"/>
              </w:rPr>
              <w:t>R3</w:t>
            </w:r>
          </w:p>
        </w:tc>
        <w:tc>
          <w:tcPr>
            <w:tcBorders>
              <w:top w:val="single" w:sz="4" w:color="BFBFBF"/>
              <w:left w:val="single" w:sz="4" w:color="BFBFBF"/>
              <w:bottom w:val="single" w:sz="4" w:color="BFBFBF"/>
              <w:right w:val="single" w:sz="4" w:color="BFBFBF"/>
            </w:tcBorders>
            <w:tcW w:w="2200" w:type="dxa"/>
          </w:tcPr>
          <w:p>
            <w:pPr>
              <w:spacing w:before="20" w:after="20"/>
            </w:pPr>
            <w:r>
              <w:rPr>
                <w:rFonts w:ascii="Calibri" w:hAnsi="Calibri"/>
                <w:sz w:val="19"/>
              </w:rPr>
              <w:t>4,964</w:t>
            </w:r>
          </w:p>
        </w:tc>
      </w:tr>
      <w:tr>
        <w:tc>
          <w:tcPr>
            <w:tcBorders>
              <w:top w:val="single" w:sz="4" w:color="BFBFBF"/>
              <w:left w:val="single" w:sz="4" w:color="BFBFBF"/>
              <w:bottom w:val="single" w:sz="4" w:color="BFBFBF"/>
              <w:right w:val="single" w:sz="4" w:color="BFBFBF"/>
            </w:tcBorders>
            <w:shd w:val="clear" w:color="auto" w:fill="F7F7F7"/>
            <w:tcW w:w="1500" w:type="dxa"/>
          </w:tcPr>
          <w:p>
            <w:pPr>
              <w:spacing w:before="20" w:after="20"/>
            </w:pPr>
            <w:r>
              <w:rPr>
                <w:rFonts w:ascii="Calibri" w:hAnsi="Calibri"/>
                <w:sz w:val="19"/>
              </w:rPr>
              <w:t>R2</w:t>
            </w:r>
          </w:p>
        </w:tc>
        <w:tc>
          <w:tcPr>
            <w:tcBorders>
              <w:top w:val="single" w:sz="4" w:color="BFBFBF"/>
              <w:left w:val="single" w:sz="4" w:color="BFBFBF"/>
              <w:bottom w:val="single" w:sz="4" w:color="BFBFBF"/>
              <w:right w:val="single" w:sz="4" w:color="BFBFBF"/>
            </w:tcBorders>
            <w:shd w:val="clear" w:color="auto" w:fill="F7F7F7"/>
            <w:tcW w:w="2200" w:type="dxa"/>
          </w:tcPr>
          <w:p>
            <w:pPr>
              <w:spacing w:before="20" w:after="20"/>
            </w:pPr>
            <w:r>
              <w:rPr>
                <w:rFonts w:ascii="Calibri" w:hAnsi="Calibri"/>
                <w:sz w:val="19"/>
              </w:rPr>
              <w:t>4,805</w:t>
            </w:r>
          </w:p>
        </w:tc>
      </w:tr>
      <w:tr>
        <w:tc>
          <w:tcPr>
            <w:tcBorders>
              <w:top w:val="single" w:sz="4" w:color="BFBFBF"/>
              <w:left w:val="single" w:sz="4" w:color="BFBFBF"/>
              <w:bottom w:val="single" w:sz="4" w:color="BFBFBF"/>
              <w:right w:val="single" w:sz="4" w:color="BFBFBF"/>
            </w:tcBorders>
            <w:tcW w:w="1500" w:type="dxa"/>
          </w:tcPr>
          <w:p>
            <w:pPr>
              <w:spacing w:before="20" w:after="20"/>
            </w:pPr>
            <w:r>
              <w:rPr>
                <w:rFonts w:ascii="Calibri" w:hAnsi="Calibri"/>
                <w:sz w:val="19"/>
              </w:rPr>
              <w:t>R1</w:t>
            </w:r>
          </w:p>
        </w:tc>
        <w:tc>
          <w:tcPr>
            <w:tcBorders>
              <w:top w:val="single" w:sz="4" w:color="BFBFBF"/>
              <w:left w:val="single" w:sz="4" w:color="BFBFBF"/>
              <w:bottom w:val="single" w:sz="4" w:color="BFBFBF"/>
              <w:right w:val="single" w:sz="4" w:color="BFBFBF"/>
            </w:tcBorders>
            <w:tcW w:w="2200" w:type="dxa"/>
          </w:tcPr>
          <w:p>
            <w:pPr>
              <w:spacing w:before="20" w:after="20"/>
            </w:pPr>
            <w:r>
              <w:rPr>
                <w:rFonts w:ascii="Calibri" w:hAnsi="Calibri"/>
                <w:sz w:val="19"/>
              </w:rPr>
              <w:t>4,718</w:t>
            </w:r>
          </w:p>
        </w:tc>
      </w:tr>
      <w:tr>
        <w:tc>
          <w:tcPr>
            <w:tcBorders>
              <w:top w:val="single" w:sz="4" w:color="BFBFBF"/>
              <w:left w:val="single" w:sz="4" w:color="BFBFBF"/>
              <w:bottom w:val="single" w:sz="4" w:color="BFBFBF"/>
              <w:right w:val="single" w:sz="4" w:color="BFBFBF"/>
            </w:tcBorders>
            <w:shd w:val="clear" w:color="auto" w:fill="F7F7F7"/>
            <w:tcW w:w="1500" w:type="dxa"/>
          </w:tcPr>
          <w:p>
            <w:pPr>
              <w:spacing w:before="20" w:after="20"/>
            </w:pPr>
            <w:r>
              <w:rPr>
                <w:rFonts w:ascii="Calibri" w:hAnsi="Calibri"/>
                <w:sz w:val="19"/>
              </w:rPr>
              <w:t>P</w:t>
            </w:r>
          </w:p>
        </w:tc>
        <w:tc>
          <w:tcPr>
            <w:tcBorders>
              <w:top w:val="single" w:sz="4" w:color="BFBFBF"/>
              <w:left w:val="single" w:sz="4" w:color="BFBFBF"/>
              <w:bottom w:val="single" w:sz="4" w:color="BFBFBF"/>
              <w:right w:val="single" w:sz="4" w:color="BFBFBF"/>
            </w:tcBorders>
            <w:shd w:val="clear" w:color="auto" w:fill="F7F7F7"/>
            <w:tcW w:w="2200" w:type="dxa"/>
          </w:tcPr>
          <w:p>
            <w:pPr>
              <w:spacing w:before="20" w:after="20"/>
            </w:pPr>
            <w:r>
              <w:rPr>
                <w:rFonts w:ascii="Calibri" w:hAnsi="Calibri"/>
                <w:sz w:val="19"/>
              </w:rPr>
              <w:t>4,608</w:t>
            </w:r>
          </w:p>
        </w:tc>
      </w:tr>
      <w:tr>
        <w:tc>
          <w:tcPr>
            <w:tcBorders>
              <w:top w:val="single" w:sz="4" w:color="BFBFBF"/>
              <w:left w:val="single" w:sz="4" w:color="BFBFBF"/>
              <w:bottom w:val="single" w:sz="4" w:color="BFBFBF"/>
              <w:right w:val="single" w:sz="4" w:color="BFBFBF"/>
            </w:tcBorders>
            <w:tcW w:w="1500" w:type="dxa"/>
          </w:tcPr>
          <w:p>
            <w:pPr>
              <w:spacing w:before="20" w:after="20"/>
            </w:pPr>
            <w:r>
              <w:rPr>
                <w:rFonts w:ascii="Calibri" w:hAnsi="Calibri"/>
                <w:sz w:val="19"/>
              </w:rPr>
              <w:t>S1</w:t>
            </w:r>
          </w:p>
        </w:tc>
        <w:tc>
          <w:tcPr>
            <w:tcBorders>
              <w:top w:val="single" w:sz="4" w:color="BFBFBF"/>
              <w:left w:val="single" w:sz="4" w:color="BFBFBF"/>
              <w:bottom w:val="single" w:sz="4" w:color="BFBFBF"/>
              <w:right w:val="single" w:sz="4" w:color="BFBFBF"/>
            </w:tcBorders>
            <w:tcW w:w="2200" w:type="dxa"/>
          </w:tcPr>
          <w:p>
            <w:pPr>
              <w:spacing w:before="20" w:after="20"/>
            </w:pPr>
            <w:r>
              <w:rPr>
                <w:rFonts w:ascii="Calibri" w:hAnsi="Calibri"/>
                <w:sz w:val="19"/>
              </w:rPr>
              <w:t>4,438</w:t>
            </w:r>
          </w:p>
        </w:tc>
      </w:tr>
      <w:tr>
        <w:tc>
          <w:tcPr>
            <w:tcBorders>
              <w:top w:val="single" w:sz="4" w:color="BFBFBF"/>
              <w:left w:val="single" w:sz="4" w:color="BFBFBF"/>
              <w:bottom w:val="single" w:sz="4" w:color="BFBFBF"/>
              <w:right w:val="single" w:sz="4" w:color="BFBFBF"/>
            </w:tcBorders>
            <w:shd w:val="clear" w:color="auto" w:fill="F7F7F7"/>
            <w:tcW w:w="1500" w:type="dxa"/>
          </w:tcPr>
          <w:p>
            <w:pPr>
              <w:spacing w:before="20" w:after="20"/>
            </w:pPr>
            <w:r>
              <w:rPr>
                <w:rFonts w:ascii="Calibri" w:hAnsi="Calibri"/>
                <w:sz w:val="19"/>
              </w:rPr>
              <w:t>S2</w:t>
            </w:r>
          </w:p>
        </w:tc>
        <w:tc>
          <w:tcPr>
            <w:tcBorders>
              <w:top w:val="single" w:sz="4" w:color="BFBFBF"/>
              <w:left w:val="single" w:sz="4" w:color="BFBFBF"/>
              <w:bottom w:val="single" w:sz="4" w:color="BFBFBF"/>
              <w:right w:val="single" w:sz="4" w:color="BFBFBF"/>
            </w:tcBorders>
            <w:shd w:val="clear" w:color="auto" w:fill="F7F7F7"/>
            <w:tcW w:w="2200" w:type="dxa"/>
          </w:tcPr>
          <w:p>
            <w:pPr>
              <w:spacing w:before="20" w:after="20"/>
            </w:pPr>
            <w:r>
              <w:rPr>
                <w:rFonts w:ascii="Calibri" w:hAnsi="Calibri"/>
                <w:sz w:val="19"/>
              </w:rPr>
              <w:t>4,331</w:t>
            </w:r>
          </w:p>
        </w:tc>
      </w:tr>
      <w:tr>
        <w:tc>
          <w:tcPr>
            <w:tcBorders>
              <w:top w:val="single" w:sz="4" w:color="BFBFBF"/>
              <w:left w:val="single" w:sz="4" w:color="BFBFBF"/>
              <w:bottom w:val="single" w:sz="4" w:color="BFBFBF"/>
              <w:right w:val="single" w:sz="4" w:color="BFBFBF"/>
            </w:tcBorders>
            <w:tcW w:w="1500" w:type="dxa"/>
          </w:tcPr>
          <w:p>
            <w:pPr>
              <w:spacing w:before="20" w:after="20"/>
            </w:pPr>
            <w:r>
              <w:rPr>
                <w:rFonts w:ascii="Calibri" w:hAnsi="Calibri"/>
                <w:sz w:val="19"/>
              </w:rPr>
              <w:t>S3</w:t>
            </w:r>
          </w:p>
        </w:tc>
        <w:tc>
          <w:tcPr>
            <w:tcBorders>
              <w:top w:val="single" w:sz="4" w:color="BFBFBF"/>
              <w:left w:val="single" w:sz="4" w:color="BFBFBF"/>
              <w:bottom w:val="single" w:sz="4" w:color="BFBFBF"/>
              <w:right w:val="single" w:sz="4" w:color="BFBFBF"/>
            </w:tcBorders>
            <w:tcW w:w="2200" w:type="dxa"/>
          </w:tcPr>
          <w:p>
            <w:pPr>
              <w:spacing w:before="20" w:after="20"/>
            </w:pPr>
            <w:r>
              <w:rPr>
                <w:rFonts w:ascii="Calibri" w:hAnsi="Calibri"/>
                <w:sz w:val="19"/>
              </w:rPr>
              <w:t>4,179</w:t>
            </w:r>
          </w:p>
        </w:tc>
      </w:tr>
      <w:tr>
        <w:tc>
          <w:tcPr>
            <w:tcBorders>
              <w:top w:val="single" w:sz="4" w:color="BFBFBF"/>
              <w:left w:val="single" w:sz="4" w:color="BFBFBF"/>
              <w:bottom w:val="single" w:sz="4" w:color="BFBFBF"/>
              <w:right w:val="single" w:sz="4" w:color="BFBFBF"/>
            </w:tcBorders>
            <w:shd w:val="clear" w:color="auto" w:fill="F7F7F7"/>
            <w:tcW w:w="1500" w:type="dxa"/>
          </w:tcPr>
          <w:p>
            <w:pPr>
              <w:spacing w:before="20" w:after="20"/>
            </w:pPr>
            <w:r>
              <w:rPr>
                <w:rFonts w:ascii="Calibri" w:hAnsi="Calibri"/>
                <w:sz w:val="19"/>
              </w:rPr>
              <w:t>S4</w:t>
            </w:r>
          </w:p>
        </w:tc>
        <w:tc>
          <w:tcPr>
            <w:tcBorders>
              <w:top w:val="single" w:sz="4" w:color="BFBFBF"/>
              <w:left w:val="single" w:sz="4" w:color="BFBFBF"/>
              <w:bottom w:val="single" w:sz="4" w:color="BFBFBF"/>
              <w:right w:val="single" w:sz="4" w:color="BFBFBF"/>
            </w:tcBorders>
            <w:shd w:val="clear" w:color="auto" w:fill="F7F7F7"/>
            <w:tcW w:w="2200" w:type="dxa"/>
          </w:tcPr>
          <w:p>
            <w:pPr>
              <w:spacing w:before="20" w:after="20"/>
            </w:pPr>
            <w:r>
              <w:rPr>
                <w:rFonts w:ascii="Calibri" w:hAnsi="Calibri"/>
                <w:sz w:val="19"/>
              </w:rPr>
              <w:t>4,069</w:t>
            </w:r>
          </w:p>
        </w:tc>
      </w:tr>
      <w:tr>
        <w:tc>
          <w:tcPr>
            <w:tcBorders>
              <w:top w:val="single" w:sz="4" w:color="BFBFBF"/>
              <w:left w:val="single" w:sz="4" w:color="BFBFBF"/>
              <w:bottom w:val="single" w:sz="4" w:color="BFBFBF"/>
              <w:right w:val="single" w:sz="4" w:color="BFBFBF"/>
            </w:tcBorders>
            <w:tcW w:w="1500" w:type="dxa"/>
          </w:tcPr>
          <w:p>
            <w:pPr>
              <w:spacing w:before="20" w:after="20"/>
            </w:pPr>
            <w:r>
              <w:rPr>
                <w:rFonts w:ascii="Calibri" w:hAnsi="Calibri"/>
                <w:sz w:val="19"/>
              </w:rPr>
              <w:t>S5</w:t>
            </w:r>
          </w:p>
        </w:tc>
        <w:tc>
          <w:tcPr>
            <w:tcBorders>
              <w:top w:val="single" w:sz="4" w:color="BFBFBF"/>
              <w:left w:val="single" w:sz="4" w:color="BFBFBF"/>
              <w:bottom w:val="single" w:sz="4" w:color="BFBFBF"/>
              <w:right w:val="single" w:sz="4" w:color="BFBFBF"/>
            </w:tcBorders>
            <w:tcW w:w="2200" w:type="dxa"/>
          </w:tcPr>
          <w:p>
            <w:pPr>
              <w:spacing w:before="20" w:after="20"/>
            </w:pPr>
            <w:r>
              <w:rPr>
                <w:rFonts w:ascii="Calibri" w:hAnsi="Calibri"/>
                <w:sz w:val="19"/>
              </w:rPr>
              <w:t>3,917</w:t>
            </w:r>
          </w:p>
        </w:tc>
      </w:tr>
    </w:tbl>
    <w:p>
      <w:pPr>
        <w:spacing w:after="120" w:before="0"/>
      </w:pPr>
      <w:r>
        <w:rPr>
          <w:rFonts w:ascii="Calibri" w:hAnsi="Calibri"/>
          <w:b w:val="0"/>
          <w:i/>
          <w:sz w:val="19"/>
        </w:rPr>
        <w:t>Source status: SINGLE-SOURCE-INDICATIVE.</w:t>
      </w:r>
    </w:p>
    <w:p>
      <w:pPr>
        <w:spacing w:after="80" w:before="0"/>
      </w:pPr>
      <w:r>
        <w:rPr>
          <w:rFonts w:ascii="Calibri" w:hAnsi="Calibri"/>
          <w:b w:val="0"/>
          <w:i w:val="0"/>
          <w:sz w:val="21"/>
        </w:rPr>
        <w:t>Position narrative: the most recent close ($4,688 intraday 14 May) sits below the daily P at $4,696 and below the daily R1 at $4,716 — short-term bias is below pivot. Against the weekly P at $4,738 the close is firmly below — weekly bias is also below pivot. Against the monthly P at $4,608 the close is still well above — monthly bias remains above pivot, consistent with the intact medium-term uptrend.</w:t>
      </w:r>
    </w:p>
    <w:p>
      <w:pPr>
        <w:spacing w:after="160" w:before="0"/>
      </w:pPr>
      <w:r>
        <w:rPr>
          <w:rFonts w:ascii="Calibri" w:hAnsi="Calibri"/>
          <w:b w:val="0"/>
          <w:i w:val="0"/>
          <w:sz w:val="21"/>
        </w:rPr>
        <w:t>Confluence zone: daily R1 ($4,716) and weekly R1 area ($4,790)/monthly R1 ($4,718) are within 0.05% at the $4,716–$4,718 cluster — this is the first decisive upside hurdle. Downside, daily S2 ($4,640) sits close to weekly S2 ($4,634), a meaningful confluence support zone.</w:t>
      </w:r>
    </w:p>
    <w:tbl>
      <w:tblPr>
        <w:jc w:val="left"/>
        <w:tblLook w:firstColumn="1" w:firstRow="1" w:lastColumn="0" w:lastRow="0" w:noHBand="0" w:noVBand="1" w:val="04A0"/>
        <w:tblW w:w="16400" w:type="dxa"/>
      </w:tblPr>
      <w:tblGrid>
        <w:gridCol w:w="10080"/>
      </w:tblGrid>
      <w:tr>
        <w:tc>
          <w:tcPr>
            <w:tcW w:type="dxa" w:w="10080"/>
            <w:shd w:val="clear" w:color="auto" w:fill="1F3A5F"/>
          </w:tcPr>
          <w:p>
            <w:pPr>
              <w:spacing w:before="40" w:after="40"/>
            </w:pPr>
            <w:r>
              <w:rPr>
                <w:rFonts w:ascii="Calibri" w:hAnsi="Calibri"/>
                <w:b/>
                <w:color w:val="FFFFFF"/>
                <w:sz w:val="24"/>
              </w:rPr>
              <w:t>§12  KEY MARKET CONSIDERATIONS</w:t>
            </w:r>
          </w:p>
        </w:tc>
      </w:tr>
    </w:tbl>
    <w:tbl>
      <w:tblPr>
        <w:jc w:val="left"/>
        <w:tblLayout w:type="fixed"/>
        <w:tblLook w:firstColumn="1" w:firstRow="1" w:lastColumn="0" w:lastRow="0" w:noHBand="0" w:noVBand="1" w:val="04A0"/>
        <w:tblW w:w="9360" w:type="dxa"/>
      </w:tblPr>
      <w:tblGrid>
        <w:gridCol w:w="3360"/>
        <w:gridCol w:w="3360"/>
        <w:gridCol w:w="3360"/>
      </w:tblGrid>
      <w:tr>
        <w:tc>
          <w:tcPr>
            <w:shd w:val="clear" w:color="auto" w:fill="1F3A5F"/>
            <w:tcBorders>
              <w:top w:val="single" w:sz="4" w:color="BFBFBF"/>
              <w:left w:val="single" w:sz="4" w:color="BFBFBF"/>
              <w:bottom w:val="single" w:sz="4" w:color="BFBFBF"/>
              <w:right w:val="single" w:sz="4" w:color="BFBFBF"/>
            </w:tcBorders>
            <w:tcW w:w="2000" w:type="dxa"/>
          </w:tcPr>
          <w:p>
            <w:pPr>
              <w:spacing w:before="40" w:after="40"/>
            </w:pPr>
            <w:r>
              <w:rPr>
                <w:rFonts w:ascii="Calibri" w:hAnsi="Calibri"/>
                <w:b/>
                <w:color w:val="FFFFFF"/>
                <w:sz w:val="20"/>
              </w:rPr>
              <w:t>Lens</w:t>
            </w:r>
          </w:p>
        </w:tc>
        <w:tc>
          <w:tcPr>
            <w:shd w:val="clear" w:color="auto" w:fill="1F3A5F"/>
            <w:tcBorders>
              <w:top w:val="single" w:sz="4" w:color="BFBFBF"/>
              <w:left w:val="single" w:sz="4" w:color="BFBFBF"/>
              <w:bottom w:val="single" w:sz="4" w:color="BFBFBF"/>
              <w:right w:val="single" w:sz="4" w:color="BFBFBF"/>
            </w:tcBorders>
            <w:tcW w:w="5800" w:type="dxa"/>
          </w:tcPr>
          <w:p>
            <w:pPr>
              <w:spacing w:before="40" w:after="40"/>
            </w:pPr>
            <w:r>
              <w:rPr>
                <w:rFonts w:ascii="Calibri" w:hAnsi="Calibri"/>
                <w:b/>
                <w:color w:val="FFFFFF"/>
                <w:sz w:val="20"/>
              </w:rPr>
              <w:t>Read</w:t>
            </w:r>
          </w:p>
        </w:tc>
        <w:tc>
          <w:tcPr>
            <w:shd w:val="clear" w:color="auto" w:fill="1F3A5F"/>
            <w:tcBorders>
              <w:top w:val="single" w:sz="4" w:color="BFBFBF"/>
              <w:left w:val="single" w:sz="4" w:color="BFBFBF"/>
              <w:bottom w:val="single" w:sz="4" w:color="BFBFBF"/>
              <w:right w:val="single" w:sz="4" w:color="BFBFBF"/>
            </w:tcBorders>
            <w:tcW w:w="1560" w:type="dxa"/>
          </w:tcPr>
          <w:p>
            <w:pPr>
              <w:spacing w:before="40" w:after="40"/>
            </w:pPr>
            <w:r>
              <w:rPr>
                <w:rFonts w:ascii="Calibri" w:hAnsi="Calibri"/>
                <w:b/>
                <w:color w:val="FFFFFF"/>
                <w:sz w:val="20"/>
              </w:rPr>
              <w:t>Direction</w:t>
            </w:r>
          </w:p>
        </w:tc>
      </w:tr>
      <w:tr>
        <w:tc>
          <w:tcPr>
            <w:tcBorders>
              <w:top w:val="single" w:sz="4" w:color="BFBFBF"/>
              <w:left w:val="single" w:sz="4" w:color="BFBFBF"/>
              <w:bottom w:val="single" w:sz="4" w:color="BFBFBF"/>
              <w:right w:val="single" w:sz="4" w:color="BFBFBF"/>
            </w:tcBorders>
            <w:tcW w:w="2000" w:type="dxa"/>
          </w:tcPr>
          <w:p>
            <w:pPr>
              <w:spacing w:before="20" w:after="20"/>
            </w:pPr>
            <w:r>
              <w:rPr>
                <w:rFonts w:ascii="Calibri" w:hAnsi="Calibri"/>
                <w:sz w:val="19"/>
              </w:rPr>
              <w:t>Supply</w:t>
            </w:r>
          </w:p>
        </w:tc>
        <w:tc>
          <w:tcPr>
            <w:tcBorders>
              <w:top w:val="single" w:sz="4" w:color="BFBFBF"/>
              <w:left w:val="single" w:sz="4" w:color="BFBFBF"/>
              <w:bottom w:val="single" w:sz="4" w:color="BFBFBF"/>
              <w:right w:val="single" w:sz="4" w:color="BFBFBF"/>
            </w:tcBorders>
            <w:tcW w:w="5800" w:type="dxa"/>
          </w:tcPr>
          <w:p>
            <w:pPr>
              <w:spacing w:before="20" w:after="20"/>
            </w:pPr>
            <w:r>
              <w:rPr>
                <w:rFonts w:ascii="Calibri" w:hAnsi="Calibri"/>
                <w:sz w:val="19"/>
              </w:rPr>
              <w:t>Mine output stable QoQ; recycled-gold supply at a 5-year high on $4,700+ prices; ETF holdings have edged lower as tactical longs trim into strength (per WGC commentary).</w:t>
            </w:r>
          </w:p>
        </w:tc>
        <w:tc>
          <w:tcPr>
            <w:tcBorders>
              <w:top w:val="single" w:sz="4" w:color="BFBFBF"/>
              <w:left w:val="single" w:sz="4" w:color="BFBFBF"/>
              <w:bottom w:val="single" w:sz="4" w:color="BFBFBF"/>
              <w:right w:val="single" w:sz="4" w:color="BFBFBF"/>
            </w:tcBorders>
            <w:tcW w:w="1560" w:type="dxa"/>
          </w:tcPr>
          <w:p>
            <w:pPr>
              <w:spacing w:before="20" w:after="20"/>
            </w:pPr>
            <w:r>
              <w:rPr>
                <w:rFonts w:ascii="Calibri" w:hAnsi="Calibri"/>
                <w:sz w:val="19"/>
              </w:rPr>
              <w:t>Price-negative (modest)</w:t>
            </w:r>
          </w:p>
        </w:tc>
      </w:tr>
      <w:tr>
        <w:tc>
          <w:tcPr>
            <w:tcBorders>
              <w:top w:val="single" w:sz="4" w:color="BFBFBF"/>
              <w:left w:val="single" w:sz="4" w:color="BFBFBF"/>
              <w:bottom w:val="single" w:sz="4" w:color="BFBFBF"/>
              <w:right w:val="single" w:sz="4" w:color="BFBFBF"/>
            </w:tcBorders>
            <w:shd w:val="clear" w:color="auto" w:fill="F7F7F7"/>
            <w:tcW w:w="2000" w:type="dxa"/>
          </w:tcPr>
          <w:p>
            <w:pPr>
              <w:spacing w:before="20" w:after="20"/>
            </w:pPr>
            <w:r>
              <w:rPr>
                <w:rFonts w:ascii="Calibri" w:hAnsi="Calibri"/>
                <w:sz w:val="19"/>
              </w:rPr>
              <w:t>Demand</w:t>
            </w:r>
          </w:p>
        </w:tc>
        <w:tc>
          <w:tcPr>
            <w:tcBorders>
              <w:top w:val="single" w:sz="4" w:color="BFBFBF"/>
              <w:left w:val="single" w:sz="4" w:color="BFBFBF"/>
              <w:bottom w:val="single" w:sz="4" w:color="BFBFBF"/>
              <w:right w:val="single" w:sz="4" w:color="BFBFBF"/>
            </w:tcBorders>
            <w:shd w:val="clear" w:color="auto" w:fill="F7F7F7"/>
            <w:tcW w:w="5800" w:type="dxa"/>
          </w:tcPr>
          <w:p>
            <w:pPr>
              <w:spacing w:before="20" w:after="20"/>
            </w:pPr>
            <w:r>
              <w:rPr>
                <w:rFonts w:ascii="Calibri" w:hAnsi="Calibri"/>
                <w:sz w:val="19"/>
              </w:rPr>
              <w:t>Central-bank purchasing (PBoC, RBI, Turkey, Poland) remains the dominant structural driver in 2026. India just raised import duty 6%→15%, denting jewellery/investment demand at the margin. Physical premiums in wholesale markets remain firm sub-$4,750 (USAGOLD desk).</w:t>
            </w:r>
          </w:p>
        </w:tc>
        <w:tc>
          <w:tcPr>
            <w:tcBorders>
              <w:top w:val="single" w:sz="4" w:color="BFBFBF"/>
              <w:left w:val="single" w:sz="4" w:color="BFBFBF"/>
              <w:bottom w:val="single" w:sz="4" w:color="BFBFBF"/>
              <w:right w:val="single" w:sz="4" w:color="BFBFBF"/>
            </w:tcBorders>
            <w:shd w:val="clear" w:color="auto" w:fill="F7F7F7"/>
            <w:tcW w:w="1560" w:type="dxa"/>
          </w:tcPr>
          <w:p>
            <w:pPr>
              <w:spacing w:before="20" w:after="20"/>
            </w:pPr>
            <w:r>
              <w:rPr>
                <w:rFonts w:ascii="Calibri" w:hAnsi="Calibri"/>
                <w:sz w:val="19"/>
              </w:rPr>
              <w:t>Mixed — supportive structurally, soft tactically</w:t>
            </w:r>
          </w:p>
        </w:tc>
      </w:tr>
      <w:tr>
        <w:tc>
          <w:tcPr>
            <w:tcBorders>
              <w:top w:val="single" w:sz="4" w:color="BFBFBF"/>
              <w:left w:val="single" w:sz="4" w:color="BFBFBF"/>
              <w:bottom w:val="single" w:sz="4" w:color="BFBFBF"/>
              <w:right w:val="single" w:sz="4" w:color="BFBFBF"/>
            </w:tcBorders>
            <w:tcW w:w="2000" w:type="dxa"/>
          </w:tcPr>
          <w:p>
            <w:pPr>
              <w:spacing w:before="20" w:after="20"/>
            </w:pPr>
            <w:r>
              <w:rPr>
                <w:rFonts w:ascii="Calibri" w:hAnsi="Calibri"/>
                <w:sz w:val="19"/>
              </w:rPr>
              <w:t>Substitution / spread</w:t>
            </w:r>
          </w:p>
        </w:tc>
        <w:tc>
          <w:tcPr>
            <w:tcBorders>
              <w:top w:val="single" w:sz="4" w:color="BFBFBF"/>
              <w:left w:val="single" w:sz="4" w:color="BFBFBF"/>
              <w:bottom w:val="single" w:sz="4" w:color="BFBFBF"/>
              <w:right w:val="single" w:sz="4" w:color="BFBFBF"/>
            </w:tcBorders>
            <w:tcW w:w="5800" w:type="dxa"/>
          </w:tcPr>
          <w:p>
            <w:pPr>
              <w:spacing w:before="20" w:after="20"/>
            </w:pPr>
            <w:r>
              <w:rPr>
                <w:rFonts w:ascii="Calibri" w:hAnsi="Calibri"/>
                <w:sz w:val="19"/>
              </w:rPr>
              <w:t>Gold/silver ratio at ≈ 53.4 (87.85 / 4,688) — well off the historical mean (~70); silver outperformance reflects rotation within precious metals. Platinum/gold ratio remains depressed.</w:t>
            </w:r>
          </w:p>
        </w:tc>
        <w:tc>
          <w:tcPr>
            <w:tcBorders>
              <w:top w:val="single" w:sz="4" w:color="BFBFBF"/>
              <w:left w:val="single" w:sz="4" w:color="BFBFBF"/>
              <w:bottom w:val="single" w:sz="4" w:color="BFBFBF"/>
              <w:right w:val="single" w:sz="4" w:color="BFBFBF"/>
            </w:tcBorders>
            <w:tcW w:w="1560" w:type="dxa"/>
          </w:tcPr>
          <w:p>
            <w:pPr>
              <w:spacing w:before="20" w:after="20"/>
            </w:pPr>
            <w:r>
              <w:rPr>
                <w:rFonts w:ascii="Calibri" w:hAnsi="Calibri"/>
                <w:sz w:val="19"/>
              </w:rPr>
              <w:t>Price-neutral for gold</w:t>
            </w:r>
          </w:p>
        </w:tc>
      </w:tr>
      <w:tr>
        <w:tc>
          <w:tcPr>
            <w:tcBorders>
              <w:top w:val="single" w:sz="4" w:color="BFBFBF"/>
              <w:left w:val="single" w:sz="4" w:color="BFBFBF"/>
              <w:bottom w:val="single" w:sz="4" w:color="BFBFBF"/>
              <w:right w:val="single" w:sz="4" w:color="BFBFBF"/>
            </w:tcBorders>
            <w:shd w:val="clear" w:color="auto" w:fill="F7F7F7"/>
            <w:tcW w:w="2000" w:type="dxa"/>
          </w:tcPr>
          <w:p>
            <w:pPr>
              <w:spacing w:before="20" w:after="20"/>
            </w:pPr>
            <w:r>
              <w:rPr>
                <w:rFonts w:ascii="Calibri" w:hAnsi="Calibri"/>
                <w:sz w:val="19"/>
              </w:rPr>
              <w:t>Policy &amp; regulation</w:t>
            </w:r>
          </w:p>
        </w:tc>
        <w:tc>
          <w:tcPr>
            <w:tcBorders>
              <w:top w:val="single" w:sz="4" w:color="BFBFBF"/>
              <w:left w:val="single" w:sz="4" w:color="BFBFBF"/>
              <w:bottom w:val="single" w:sz="4" w:color="BFBFBF"/>
              <w:right w:val="single" w:sz="4" w:color="BFBFBF"/>
            </w:tcBorders>
            <w:shd w:val="clear" w:color="auto" w:fill="F7F7F7"/>
            <w:tcW w:w="5800" w:type="dxa"/>
          </w:tcPr>
          <w:p>
            <w:pPr>
              <w:spacing w:before="20" w:after="20"/>
            </w:pPr>
            <w:r>
              <w:rPr>
                <w:rFonts w:ascii="Calibri" w:hAnsi="Calibri"/>
                <w:sz w:val="19"/>
              </w:rPr>
              <w:t>Fed rate held at 3.50–3.75%; CME FedWatch implies 95.8% probability of a hold in June and only 4.2% probability of a cut. India tariff hike is a demand-side regulatory shock.</w:t>
            </w:r>
          </w:p>
        </w:tc>
        <w:tc>
          <w:tcPr>
            <w:tcBorders>
              <w:top w:val="single" w:sz="4" w:color="BFBFBF"/>
              <w:left w:val="single" w:sz="4" w:color="BFBFBF"/>
              <w:bottom w:val="single" w:sz="4" w:color="BFBFBF"/>
              <w:right w:val="single" w:sz="4" w:color="BFBFBF"/>
            </w:tcBorders>
            <w:shd w:val="clear" w:color="auto" w:fill="F7F7F7"/>
            <w:tcW w:w="1560" w:type="dxa"/>
          </w:tcPr>
          <w:p>
            <w:pPr>
              <w:spacing w:before="20" w:after="20"/>
            </w:pPr>
            <w:r>
              <w:rPr>
                <w:rFonts w:ascii="Calibri" w:hAnsi="Calibri"/>
                <w:sz w:val="19"/>
              </w:rPr>
              <w:t>Price-negative</w:t>
            </w:r>
          </w:p>
        </w:tc>
      </w:tr>
      <w:tr>
        <w:tc>
          <w:tcPr>
            <w:tcBorders>
              <w:top w:val="single" w:sz="4" w:color="BFBFBF"/>
              <w:left w:val="single" w:sz="4" w:color="BFBFBF"/>
              <w:bottom w:val="single" w:sz="4" w:color="BFBFBF"/>
              <w:right w:val="single" w:sz="4" w:color="BFBFBF"/>
            </w:tcBorders>
            <w:tcW w:w="2000" w:type="dxa"/>
          </w:tcPr>
          <w:p>
            <w:pPr>
              <w:spacing w:before="20" w:after="20"/>
            </w:pPr>
            <w:r>
              <w:rPr>
                <w:rFonts w:ascii="Calibri" w:hAnsi="Calibri"/>
                <w:sz w:val="19"/>
              </w:rPr>
              <w:t>Macro &amp; market structure</w:t>
            </w:r>
          </w:p>
        </w:tc>
        <w:tc>
          <w:tcPr>
            <w:tcBorders>
              <w:top w:val="single" w:sz="4" w:color="BFBFBF"/>
              <w:left w:val="single" w:sz="4" w:color="BFBFBF"/>
              <w:bottom w:val="single" w:sz="4" w:color="BFBFBF"/>
              <w:right w:val="single" w:sz="4" w:color="BFBFBF"/>
            </w:tcBorders>
            <w:tcW w:w="5800" w:type="dxa"/>
          </w:tcPr>
          <w:p>
            <w:pPr>
              <w:spacing w:before="20" w:after="20"/>
            </w:pPr>
            <w:r>
              <w:rPr>
                <w:rFonts w:ascii="Calibri" w:hAnsi="Calibri"/>
                <w:sz w:val="19"/>
              </w:rPr>
              <w:t>USDX firm at ≈ 98.6; US 10Y real yield drifting higher post-CPI/PPI; oil rallying on Iran tensions feeds inflation pass-through (negative for real yields, positive for gold). VIX subdued (≈ 18).</w:t>
            </w:r>
          </w:p>
        </w:tc>
        <w:tc>
          <w:tcPr>
            <w:tcBorders>
              <w:top w:val="single" w:sz="4" w:color="BFBFBF"/>
              <w:left w:val="single" w:sz="4" w:color="BFBFBF"/>
              <w:bottom w:val="single" w:sz="4" w:color="BFBFBF"/>
              <w:right w:val="single" w:sz="4" w:color="BFBFBF"/>
            </w:tcBorders>
            <w:tcW w:w="1560" w:type="dxa"/>
          </w:tcPr>
          <w:p>
            <w:pPr>
              <w:spacing w:before="20" w:after="20"/>
            </w:pPr>
            <w:r>
              <w:rPr>
                <w:rFonts w:ascii="Calibri" w:hAnsi="Calibri"/>
                <w:sz w:val="19"/>
              </w:rPr>
              <w:t>Mixed</w:t>
            </w:r>
          </w:p>
        </w:tc>
      </w:tr>
      <w:tr>
        <w:tc>
          <w:tcPr>
            <w:tcBorders>
              <w:top w:val="single" w:sz="4" w:color="BFBFBF"/>
              <w:left w:val="single" w:sz="4" w:color="BFBFBF"/>
              <w:bottom w:val="single" w:sz="4" w:color="BFBFBF"/>
              <w:right w:val="single" w:sz="4" w:color="BFBFBF"/>
            </w:tcBorders>
            <w:shd w:val="clear" w:color="auto" w:fill="F7F7F7"/>
            <w:tcW w:w="2000" w:type="dxa"/>
          </w:tcPr>
          <w:p>
            <w:pPr>
              <w:spacing w:before="20" w:after="20"/>
            </w:pPr>
            <w:r>
              <w:rPr>
                <w:rFonts w:ascii="Calibri" w:hAnsi="Calibri"/>
                <w:sz w:val="19"/>
              </w:rPr>
              <w:t>Near-term catalysts</w:t>
            </w:r>
          </w:p>
        </w:tc>
        <w:tc>
          <w:tcPr>
            <w:tcBorders>
              <w:top w:val="single" w:sz="4" w:color="BFBFBF"/>
              <w:left w:val="single" w:sz="4" w:color="BFBFBF"/>
              <w:bottom w:val="single" w:sz="4" w:color="BFBFBF"/>
              <w:right w:val="single" w:sz="4" w:color="BFBFBF"/>
            </w:tcBorders>
            <w:shd w:val="clear" w:color="auto" w:fill="F7F7F7"/>
            <w:tcW w:w="5800" w:type="dxa"/>
          </w:tcPr>
          <w:p>
            <w:pPr>
              <w:spacing w:before="20" w:after="20"/>
            </w:pPr>
            <w:r>
              <w:rPr>
                <w:rFonts w:ascii="Calibri" w:hAnsi="Calibri"/>
                <w:sz w:val="19"/>
              </w:rPr>
              <w:t>15 May US import-prices; 15 May initial jobless claims; 16 May Michigan inflation expectations (prelim); upcoming Trump–Xi meeting. PBoC monthly reserves data is the largest structural watch item.</w:t>
            </w:r>
          </w:p>
        </w:tc>
        <w:tc>
          <w:tcPr>
            <w:tcBorders>
              <w:top w:val="single" w:sz="4" w:color="BFBFBF"/>
              <w:left w:val="single" w:sz="4" w:color="BFBFBF"/>
              <w:bottom w:val="single" w:sz="4" w:color="BFBFBF"/>
              <w:right w:val="single" w:sz="4" w:color="BFBFBF"/>
            </w:tcBorders>
            <w:shd w:val="clear" w:color="auto" w:fill="F7F7F7"/>
            <w:tcW w:w="1560" w:type="dxa"/>
          </w:tcPr>
          <w:p>
            <w:pPr>
              <w:spacing w:before="20" w:after="20"/>
            </w:pPr>
            <w:r>
              <w:rPr>
                <w:rFonts w:ascii="Calibri" w:hAnsi="Calibri"/>
                <w:sz w:val="19"/>
              </w:rPr>
              <w:t>Two-sided</w:t>
            </w:r>
          </w:p>
        </w:tc>
      </w:tr>
    </w:tbl>
    <w:tbl>
      <w:tblPr>
        <w:jc w:val="left"/>
        <w:tblLook w:firstColumn="1" w:firstRow="1" w:lastColumn="0" w:lastRow="0" w:noHBand="0" w:noVBand="1" w:val="04A0"/>
        <w:tblW w:w="16400" w:type="dxa"/>
      </w:tblPr>
      <w:tblGrid>
        <w:gridCol w:w="10080"/>
      </w:tblGrid>
      <w:tr>
        <w:tc>
          <w:tcPr>
            <w:tcW w:type="dxa" w:w="10080"/>
            <w:shd w:val="clear" w:color="auto" w:fill="1F3A5F"/>
          </w:tcPr>
          <w:p>
            <w:pPr>
              <w:spacing w:before="40" w:after="40"/>
            </w:pPr>
            <w:r>
              <w:rPr>
                <w:rFonts w:ascii="Calibri" w:hAnsi="Calibri"/>
                <w:b/>
                <w:color w:val="FFFFFF"/>
                <w:sz w:val="24"/>
              </w:rPr>
              <w:t>§13  SENTIMENT, NEWS &amp; CALENDAR</w:t>
            </w:r>
          </w:p>
        </w:tc>
      </w:tr>
    </w:tbl>
    <w:p>
      <w:pPr>
        <w:spacing w:after="40" w:before="0"/>
      </w:pPr>
      <w:r>
        <w:rPr>
          <w:rFonts w:ascii="Calibri" w:hAnsi="Calibri"/>
          <w:b/>
          <w:i w:val="0"/>
          <w:sz w:val="22"/>
        </w:rPr>
        <w:t>§13a  Per-article sentiment table (≥ 6 articles for primary, ≥ 2 for secondary):</w:t>
      </w:r>
    </w:p>
    <w:tbl>
      <w:tblPr>
        <w:jc w:val="left"/>
        <w:tblLayout w:type="fixed"/>
        <w:tblLook w:firstColumn="1" w:firstRow="1" w:lastColumn="0" w:lastRow="0" w:noHBand="0" w:noVBand="1" w:val="04A0"/>
        <w:tblW w:w="10360" w:type="dxa"/>
      </w:tblPr>
      <w:tblGrid>
        <w:gridCol w:w="1680"/>
        <w:gridCol w:w="1680"/>
        <w:gridCol w:w="1680"/>
        <w:gridCol w:w="1680"/>
        <w:gridCol w:w="1680"/>
        <w:gridCol w:w="1680"/>
      </w:tblGrid>
      <w:tr>
        <w:tc>
          <w:tcPr>
            <w:shd w:val="clear" w:color="auto" w:fill="1F3A5F"/>
            <w:tcBorders>
              <w:top w:val="single" w:sz="4" w:color="BFBFBF"/>
              <w:left w:val="single" w:sz="4" w:color="BFBFBF"/>
              <w:bottom w:val="single" w:sz="4" w:color="BFBFBF"/>
              <w:right w:val="single" w:sz="4" w:color="BFBFBF"/>
            </w:tcBorders>
            <w:tcW w:w="600" w:type="dxa"/>
          </w:tcPr>
          <w:p>
            <w:pPr>
              <w:spacing w:before="40" w:after="40"/>
            </w:pPr>
            <w:r>
              <w:rPr>
                <w:rFonts w:ascii="Calibri" w:hAnsi="Calibri"/>
                <w:b/>
                <w:color w:val="FFFFFF"/>
                <w:sz w:val="20"/>
              </w:rPr>
              <w:t>#</w:t>
            </w:r>
          </w:p>
        </w:tc>
        <w:tc>
          <w:tcPr>
            <w:shd w:val="clear" w:color="auto" w:fill="1F3A5F"/>
            <w:tcBorders>
              <w:top w:val="single" w:sz="4" w:color="BFBFBF"/>
              <w:left w:val="single" w:sz="4" w:color="BFBFBF"/>
              <w:bottom w:val="single" w:sz="4" w:color="BFBFBF"/>
              <w:right w:val="single" w:sz="4" w:color="BFBFBF"/>
            </w:tcBorders>
            <w:tcW w:w="2400" w:type="dxa"/>
          </w:tcPr>
          <w:p>
            <w:pPr>
              <w:spacing w:before="40" w:after="40"/>
            </w:pPr>
            <w:r>
              <w:rPr>
                <w:rFonts w:ascii="Calibri" w:hAnsi="Calibri"/>
                <w:b/>
                <w:color w:val="FFFFFF"/>
                <w:sz w:val="20"/>
              </w:rPr>
              <w:t>Source</w:t>
            </w:r>
          </w:p>
        </w:tc>
        <w:tc>
          <w:tcPr>
            <w:shd w:val="clear" w:color="auto" w:fill="1F3A5F"/>
            <w:tcBorders>
              <w:top w:val="single" w:sz="4" w:color="BFBFBF"/>
              <w:left w:val="single" w:sz="4" w:color="BFBFBF"/>
              <w:bottom w:val="single" w:sz="4" w:color="BFBFBF"/>
              <w:right w:val="single" w:sz="4" w:color="BFBFBF"/>
            </w:tcBorders>
            <w:tcW w:w="1200" w:type="dxa"/>
          </w:tcPr>
          <w:p>
            <w:pPr>
              <w:spacing w:before="40" w:after="40"/>
            </w:pPr>
            <w:r>
              <w:rPr>
                <w:rFonts w:ascii="Calibri" w:hAnsi="Calibri"/>
                <w:b/>
                <w:color w:val="FFFFFF"/>
                <w:sz w:val="20"/>
              </w:rPr>
              <w:t>Date</w:t>
            </w:r>
          </w:p>
        </w:tc>
        <w:tc>
          <w:tcPr>
            <w:shd w:val="clear" w:color="auto" w:fill="1F3A5F"/>
            <w:tcBorders>
              <w:top w:val="single" w:sz="4" w:color="BFBFBF"/>
              <w:left w:val="single" w:sz="4" w:color="BFBFBF"/>
              <w:bottom w:val="single" w:sz="4" w:color="BFBFBF"/>
              <w:right w:val="single" w:sz="4" w:color="BFBFBF"/>
            </w:tcBorders>
            <w:tcW w:w="2800" w:type="dxa"/>
          </w:tcPr>
          <w:p>
            <w:pPr>
              <w:spacing w:before="40" w:after="40"/>
            </w:pPr>
            <w:r>
              <w:rPr>
                <w:rFonts w:ascii="Calibri" w:hAnsi="Calibri"/>
                <w:b/>
                <w:color w:val="FFFFFF"/>
                <w:sz w:val="20"/>
              </w:rPr>
              <w:t>Headline (paraphrased)</w:t>
            </w:r>
          </w:p>
        </w:tc>
        <w:tc>
          <w:tcPr>
            <w:shd w:val="clear" w:color="auto" w:fill="1F3A5F"/>
            <w:tcBorders>
              <w:top w:val="single" w:sz="4" w:color="BFBFBF"/>
              <w:left w:val="single" w:sz="4" w:color="BFBFBF"/>
              <w:bottom w:val="single" w:sz="4" w:color="BFBFBF"/>
              <w:right w:val="single" w:sz="4" w:color="BFBFBF"/>
            </w:tcBorders>
            <w:tcW w:w="1300" w:type="dxa"/>
          </w:tcPr>
          <w:p>
            <w:pPr>
              <w:spacing w:before="40" w:after="40"/>
            </w:pPr>
            <w:r>
              <w:rPr>
                <w:rFonts w:ascii="Calibri" w:hAnsi="Calibri"/>
                <w:b/>
                <w:color w:val="FFFFFF"/>
                <w:sz w:val="20"/>
              </w:rPr>
              <w:t>Classification</w:t>
            </w:r>
          </w:p>
        </w:tc>
        <w:tc>
          <w:tcPr>
            <w:shd w:val="clear" w:color="auto" w:fill="1F3A5F"/>
            <w:tcBorders>
              <w:top w:val="single" w:sz="4" w:color="BFBFBF"/>
              <w:left w:val="single" w:sz="4" w:color="BFBFBF"/>
              <w:bottom w:val="single" w:sz="4" w:color="BFBFBF"/>
              <w:right w:val="single" w:sz="4" w:color="BFBFBF"/>
            </w:tcBorders>
            <w:tcW w:w="2060" w:type="dxa"/>
          </w:tcPr>
          <w:p>
            <w:pPr>
              <w:spacing w:before="40" w:after="40"/>
            </w:pPr>
            <w:r>
              <w:rPr>
                <w:rFonts w:ascii="Calibri" w:hAnsi="Calibri"/>
                <w:b/>
                <w:color w:val="FFFFFF"/>
                <w:sz w:val="20"/>
              </w:rPr>
              <w:t>Derivation quote (≤15 words)</w:t>
            </w:r>
          </w:p>
        </w:tc>
      </w:tr>
      <w:tr>
        <w:tc>
          <w:tcPr>
            <w:tcBorders>
              <w:top w:val="single" w:sz="4" w:color="BFBFBF"/>
              <w:left w:val="single" w:sz="4" w:color="BFBFBF"/>
              <w:bottom w:val="single" w:sz="4" w:color="BFBFBF"/>
              <w:right w:val="single" w:sz="4" w:color="BFBFBF"/>
            </w:tcBorders>
            <w:tcW w:w="600" w:type="dxa"/>
          </w:tcPr>
          <w:p>
            <w:pPr>
              <w:spacing w:before="20" w:after="20"/>
            </w:pPr>
            <w:r>
              <w:rPr>
                <w:rFonts w:ascii="Calibri" w:hAnsi="Calibri"/>
                <w:sz w:val="19"/>
              </w:rPr>
              <w:t>1</w:t>
            </w:r>
          </w:p>
        </w:tc>
        <w:tc>
          <w:tcPr>
            <w:tcBorders>
              <w:top w:val="single" w:sz="4" w:color="BFBFBF"/>
              <w:left w:val="single" w:sz="4" w:color="BFBFBF"/>
              <w:bottom w:val="single" w:sz="4" w:color="BFBFBF"/>
              <w:right w:val="single" w:sz="4" w:color="BFBFBF"/>
            </w:tcBorders>
            <w:tcW w:w="2400" w:type="dxa"/>
          </w:tcPr>
          <w:p>
            <w:pPr>
              <w:spacing w:before="20" w:after="20"/>
            </w:pPr>
            <w:r>
              <w:rPr>
                <w:rFonts w:ascii="Calibri" w:hAnsi="Calibri"/>
                <w:sz w:val="19"/>
              </w:rPr>
              <w:t>Trading Economics (tradingeconomics.com)</w:t>
            </w:r>
          </w:p>
        </w:tc>
        <w:tc>
          <w:tcPr>
            <w:tcBorders>
              <w:top w:val="single" w:sz="4" w:color="BFBFBF"/>
              <w:left w:val="single" w:sz="4" w:color="BFBFBF"/>
              <w:bottom w:val="single" w:sz="4" w:color="BFBFBF"/>
              <w:right w:val="single" w:sz="4" w:color="BFBFBF"/>
            </w:tcBorders>
            <w:tcW w:w="1200" w:type="dxa"/>
          </w:tcPr>
          <w:p>
            <w:pPr>
              <w:spacing w:before="20" w:after="20"/>
            </w:pPr>
            <w:r>
              <w:rPr>
                <w:rFonts w:ascii="Calibri" w:hAnsi="Calibri"/>
                <w:sz w:val="19"/>
              </w:rPr>
              <w:t>13 May 2026</w:t>
            </w:r>
          </w:p>
        </w:tc>
        <w:tc>
          <w:tcPr>
            <w:tcBorders>
              <w:top w:val="single" w:sz="4" w:color="BFBFBF"/>
              <w:left w:val="single" w:sz="4" w:color="BFBFBF"/>
              <w:bottom w:val="single" w:sz="4" w:color="BFBFBF"/>
              <w:right w:val="single" w:sz="4" w:color="BFBFBF"/>
            </w:tcBorders>
            <w:tcW w:w="2800" w:type="dxa"/>
          </w:tcPr>
          <w:p>
            <w:pPr>
              <w:spacing w:before="20" w:after="20"/>
            </w:pPr>
            <w:r>
              <w:rPr>
                <w:rFonts w:ascii="Calibri" w:hAnsi="Calibri"/>
                <w:sz w:val="19"/>
              </w:rPr>
              <w:t>Gold slips on hotter CPI; rate-cut bets pared</w:t>
            </w:r>
          </w:p>
        </w:tc>
        <w:tc>
          <w:tcPr>
            <w:tcBorders>
              <w:top w:val="single" w:sz="4" w:color="BFBFBF"/>
              <w:left w:val="single" w:sz="4" w:color="BFBFBF"/>
              <w:bottom w:val="single" w:sz="4" w:color="BFBFBF"/>
              <w:right w:val="single" w:sz="4" w:color="BFBFBF"/>
            </w:tcBorders>
            <w:tcW w:w="1300" w:type="dxa"/>
          </w:tcPr>
          <w:p>
            <w:pPr>
              <w:spacing w:before="20" w:after="20"/>
            </w:pPr>
            <w:r>
              <w:rPr>
                <w:rFonts w:ascii="Calibri" w:hAnsi="Calibri"/>
                <w:sz w:val="19"/>
              </w:rPr>
              <w:t>Bearish</w:t>
            </w:r>
          </w:p>
        </w:tc>
        <w:tc>
          <w:tcPr>
            <w:tcBorders>
              <w:top w:val="single" w:sz="4" w:color="BFBFBF"/>
              <w:left w:val="single" w:sz="4" w:color="BFBFBF"/>
              <w:bottom w:val="single" w:sz="4" w:color="BFBFBF"/>
              <w:right w:val="single" w:sz="4" w:color="BFBFBF"/>
            </w:tcBorders>
            <w:tcW w:w="2060" w:type="dxa"/>
          </w:tcPr>
          <w:p>
            <w:pPr>
              <w:spacing w:before="20" w:after="20"/>
            </w:pPr>
            <w:r>
              <w:rPr>
                <w:rFonts w:ascii="Calibri" w:hAnsi="Calibri"/>
                <w:sz w:val="19"/>
              </w:rPr>
              <w:t>rising inflation dimmed expectations for interest rate cuts</w:t>
            </w:r>
          </w:p>
        </w:tc>
      </w:tr>
      <w:tr>
        <w:tc>
          <w:tcPr>
            <w:tcBorders>
              <w:top w:val="single" w:sz="4" w:color="BFBFBF"/>
              <w:left w:val="single" w:sz="4" w:color="BFBFBF"/>
              <w:bottom w:val="single" w:sz="4" w:color="BFBFBF"/>
              <w:right w:val="single" w:sz="4" w:color="BFBFBF"/>
            </w:tcBorders>
            <w:shd w:val="clear" w:color="auto" w:fill="F7F7F7"/>
            <w:tcW w:w="600" w:type="dxa"/>
          </w:tcPr>
          <w:p>
            <w:pPr>
              <w:spacing w:before="20" w:after="20"/>
            </w:pPr>
            <w:r>
              <w:rPr>
                <w:rFonts w:ascii="Calibri" w:hAnsi="Calibri"/>
                <w:sz w:val="19"/>
              </w:rPr>
              <w:t>2</w:t>
            </w:r>
          </w:p>
        </w:tc>
        <w:tc>
          <w:tcPr>
            <w:tcBorders>
              <w:top w:val="single" w:sz="4" w:color="BFBFBF"/>
              <w:left w:val="single" w:sz="4" w:color="BFBFBF"/>
              <w:bottom w:val="single" w:sz="4" w:color="BFBFBF"/>
              <w:right w:val="single" w:sz="4" w:color="BFBFBF"/>
            </w:tcBorders>
            <w:shd w:val="clear" w:color="auto" w:fill="F7F7F7"/>
            <w:tcW w:w="2400" w:type="dxa"/>
          </w:tcPr>
          <w:p>
            <w:pPr>
              <w:spacing w:before="20" w:after="20"/>
            </w:pPr>
            <w:r>
              <w:rPr>
                <w:rFonts w:ascii="Calibri" w:hAnsi="Calibri"/>
                <w:sz w:val="19"/>
              </w:rPr>
              <w:t>Trading Economics (tradingeconomics.com)</w:t>
            </w:r>
          </w:p>
        </w:tc>
        <w:tc>
          <w:tcPr>
            <w:tcBorders>
              <w:top w:val="single" w:sz="4" w:color="BFBFBF"/>
              <w:left w:val="single" w:sz="4" w:color="BFBFBF"/>
              <w:bottom w:val="single" w:sz="4" w:color="BFBFBF"/>
              <w:right w:val="single" w:sz="4" w:color="BFBFBF"/>
            </w:tcBorders>
            <w:shd w:val="clear" w:color="auto" w:fill="F7F7F7"/>
            <w:tcW w:w="1200" w:type="dxa"/>
          </w:tcPr>
          <w:p>
            <w:pPr>
              <w:spacing w:before="20" w:after="20"/>
            </w:pPr>
            <w:r>
              <w:rPr>
                <w:rFonts w:ascii="Calibri" w:hAnsi="Calibri"/>
                <w:sz w:val="19"/>
              </w:rPr>
              <w:t>12 May 2026</w:t>
            </w:r>
          </w:p>
        </w:tc>
        <w:tc>
          <w:tcPr>
            <w:tcBorders>
              <w:top w:val="single" w:sz="4" w:color="BFBFBF"/>
              <w:left w:val="single" w:sz="4" w:color="BFBFBF"/>
              <w:bottom w:val="single" w:sz="4" w:color="BFBFBF"/>
              <w:right w:val="single" w:sz="4" w:color="BFBFBF"/>
            </w:tcBorders>
            <w:shd w:val="clear" w:color="auto" w:fill="F7F7F7"/>
            <w:tcW w:w="2800" w:type="dxa"/>
          </w:tcPr>
          <w:p>
            <w:pPr>
              <w:spacing w:before="20" w:after="20"/>
            </w:pPr>
            <w:r>
              <w:rPr>
                <w:rFonts w:ascii="Calibri" w:hAnsi="Calibri"/>
                <w:sz w:val="19"/>
              </w:rPr>
              <w:t>Gold falls toward $4,700 after April CPI surprise</w:t>
            </w:r>
          </w:p>
        </w:tc>
        <w:tc>
          <w:tcPr>
            <w:tcBorders>
              <w:top w:val="single" w:sz="4" w:color="BFBFBF"/>
              <w:left w:val="single" w:sz="4" w:color="BFBFBF"/>
              <w:bottom w:val="single" w:sz="4" w:color="BFBFBF"/>
              <w:right w:val="single" w:sz="4" w:color="BFBFBF"/>
            </w:tcBorders>
            <w:shd w:val="clear" w:color="auto" w:fill="F7F7F7"/>
            <w:tcW w:w="1300" w:type="dxa"/>
          </w:tcPr>
          <w:p>
            <w:pPr>
              <w:spacing w:before="20" w:after="20"/>
            </w:pPr>
            <w:r>
              <w:rPr>
                <w:rFonts w:ascii="Calibri" w:hAnsi="Calibri"/>
                <w:sz w:val="19"/>
              </w:rPr>
              <w:t>Bearish</w:t>
            </w:r>
          </w:p>
        </w:tc>
        <w:tc>
          <w:tcPr>
            <w:tcBorders>
              <w:top w:val="single" w:sz="4" w:color="BFBFBF"/>
              <w:left w:val="single" w:sz="4" w:color="BFBFBF"/>
              <w:bottom w:val="single" w:sz="4" w:color="BFBFBF"/>
              <w:right w:val="single" w:sz="4" w:color="BFBFBF"/>
            </w:tcBorders>
            <w:shd w:val="clear" w:color="auto" w:fill="F7F7F7"/>
            <w:tcW w:w="2060" w:type="dxa"/>
          </w:tcPr>
          <w:p>
            <w:pPr>
              <w:spacing w:before="20" w:after="20"/>
            </w:pPr>
            <w:r>
              <w:rPr>
                <w:rFonts w:ascii="Calibri" w:hAnsi="Calibri"/>
                <w:sz w:val="19"/>
              </w:rPr>
              <w:t>stronger-than-expected US inflation figures reduced expectations for Fed rate cuts</w:t>
            </w:r>
          </w:p>
        </w:tc>
      </w:tr>
      <w:tr>
        <w:tc>
          <w:tcPr>
            <w:tcBorders>
              <w:top w:val="single" w:sz="4" w:color="BFBFBF"/>
              <w:left w:val="single" w:sz="4" w:color="BFBFBF"/>
              <w:bottom w:val="single" w:sz="4" w:color="BFBFBF"/>
              <w:right w:val="single" w:sz="4" w:color="BFBFBF"/>
            </w:tcBorders>
            <w:tcW w:w="600" w:type="dxa"/>
          </w:tcPr>
          <w:p>
            <w:pPr>
              <w:spacing w:before="20" w:after="20"/>
            </w:pPr>
            <w:r>
              <w:rPr>
                <w:rFonts w:ascii="Calibri" w:hAnsi="Calibri"/>
                <w:sz w:val="19"/>
              </w:rPr>
              <w:t>3</w:t>
            </w:r>
          </w:p>
        </w:tc>
        <w:tc>
          <w:tcPr>
            <w:tcBorders>
              <w:top w:val="single" w:sz="4" w:color="BFBFBF"/>
              <w:left w:val="single" w:sz="4" w:color="BFBFBF"/>
              <w:bottom w:val="single" w:sz="4" w:color="BFBFBF"/>
              <w:right w:val="single" w:sz="4" w:color="BFBFBF"/>
            </w:tcBorders>
            <w:tcW w:w="2400" w:type="dxa"/>
          </w:tcPr>
          <w:p>
            <w:pPr>
              <w:spacing w:before="20" w:after="20"/>
            </w:pPr>
            <w:r>
              <w:rPr>
                <w:rFonts w:ascii="Calibri" w:hAnsi="Calibri"/>
                <w:sz w:val="19"/>
              </w:rPr>
              <w:t>USAGOLD daily report (usagold.com)</w:t>
            </w:r>
          </w:p>
        </w:tc>
        <w:tc>
          <w:tcPr>
            <w:tcBorders>
              <w:top w:val="single" w:sz="4" w:color="BFBFBF"/>
              <w:left w:val="single" w:sz="4" w:color="BFBFBF"/>
              <w:bottom w:val="single" w:sz="4" w:color="BFBFBF"/>
              <w:right w:val="single" w:sz="4" w:color="BFBFBF"/>
            </w:tcBorders>
            <w:tcW w:w="1200" w:type="dxa"/>
          </w:tcPr>
          <w:p>
            <w:pPr>
              <w:spacing w:before="20" w:after="20"/>
            </w:pPr>
            <w:r>
              <w:rPr>
                <w:rFonts w:ascii="Calibri" w:hAnsi="Calibri"/>
                <w:sz w:val="19"/>
              </w:rPr>
              <w:t>12 May 2026</w:t>
            </w:r>
          </w:p>
        </w:tc>
        <w:tc>
          <w:tcPr>
            <w:tcBorders>
              <w:top w:val="single" w:sz="4" w:color="BFBFBF"/>
              <w:left w:val="single" w:sz="4" w:color="BFBFBF"/>
              <w:bottom w:val="single" w:sz="4" w:color="BFBFBF"/>
              <w:right w:val="single" w:sz="4" w:color="BFBFBF"/>
            </w:tcBorders>
            <w:tcW w:w="2800" w:type="dxa"/>
          </w:tcPr>
          <w:p>
            <w:pPr>
              <w:spacing w:before="20" w:after="20"/>
            </w:pPr>
            <w:r>
              <w:rPr>
                <w:rFonts w:ascii="Calibri" w:hAnsi="Calibri"/>
                <w:sz w:val="19"/>
              </w:rPr>
              <w:t>Pullback contained; physical bid intact below $4,750</w:t>
            </w:r>
          </w:p>
        </w:tc>
        <w:tc>
          <w:tcPr>
            <w:tcBorders>
              <w:top w:val="single" w:sz="4" w:color="BFBFBF"/>
              <w:left w:val="single" w:sz="4" w:color="BFBFBF"/>
              <w:bottom w:val="single" w:sz="4" w:color="BFBFBF"/>
              <w:right w:val="single" w:sz="4" w:color="BFBFBF"/>
            </w:tcBorders>
            <w:tcW w:w="1300" w:type="dxa"/>
          </w:tcPr>
          <w:p>
            <w:pPr>
              <w:spacing w:before="20" w:after="20"/>
            </w:pPr>
            <w:r>
              <w:rPr>
                <w:rFonts w:ascii="Calibri" w:hAnsi="Calibri"/>
                <w:sz w:val="19"/>
              </w:rPr>
              <w:t>Bullish</w:t>
            </w:r>
          </w:p>
        </w:tc>
        <w:tc>
          <w:tcPr>
            <w:tcBorders>
              <w:top w:val="single" w:sz="4" w:color="BFBFBF"/>
              <w:left w:val="single" w:sz="4" w:color="BFBFBF"/>
              <w:bottom w:val="single" w:sz="4" w:color="BFBFBF"/>
              <w:right w:val="single" w:sz="4" w:color="BFBFBF"/>
            </w:tcBorders>
            <w:tcW w:w="2060" w:type="dxa"/>
          </w:tcPr>
          <w:p>
            <w:pPr>
              <w:spacing w:before="20" w:after="20"/>
            </w:pPr>
            <w:r>
              <w:rPr>
                <w:rFonts w:ascii="Calibri" w:hAnsi="Calibri"/>
                <w:sz w:val="19"/>
              </w:rPr>
              <w:t>central bank demand … continues to provide a durable structural floor</w:t>
            </w:r>
          </w:p>
        </w:tc>
      </w:tr>
      <w:tr>
        <w:tc>
          <w:tcPr>
            <w:tcBorders>
              <w:top w:val="single" w:sz="4" w:color="BFBFBF"/>
              <w:left w:val="single" w:sz="4" w:color="BFBFBF"/>
              <w:bottom w:val="single" w:sz="4" w:color="BFBFBF"/>
              <w:right w:val="single" w:sz="4" w:color="BFBFBF"/>
            </w:tcBorders>
            <w:shd w:val="clear" w:color="auto" w:fill="F7F7F7"/>
            <w:tcW w:w="600" w:type="dxa"/>
          </w:tcPr>
          <w:p>
            <w:pPr>
              <w:spacing w:before="20" w:after="20"/>
            </w:pPr>
            <w:r>
              <w:rPr>
                <w:rFonts w:ascii="Calibri" w:hAnsi="Calibri"/>
                <w:sz w:val="19"/>
              </w:rPr>
              <w:t>4</w:t>
            </w:r>
          </w:p>
        </w:tc>
        <w:tc>
          <w:tcPr>
            <w:tcBorders>
              <w:top w:val="single" w:sz="4" w:color="BFBFBF"/>
              <w:left w:val="single" w:sz="4" w:color="BFBFBF"/>
              <w:bottom w:val="single" w:sz="4" w:color="BFBFBF"/>
              <w:right w:val="single" w:sz="4" w:color="BFBFBF"/>
            </w:tcBorders>
            <w:shd w:val="clear" w:color="auto" w:fill="F7F7F7"/>
            <w:tcW w:w="2400" w:type="dxa"/>
          </w:tcPr>
          <w:p>
            <w:pPr>
              <w:spacing w:before="20" w:after="20"/>
            </w:pPr>
            <w:r>
              <w:rPr>
                <w:rFonts w:ascii="Calibri" w:hAnsi="Calibri"/>
                <w:sz w:val="19"/>
              </w:rPr>
              <w:t>World Gold Council weekly monitor (gold.org)</w:t>
            </w:r>
          </w:p>
        </w:tc>
        <w:tc>
          <w:tcPr>
            <w:tcBorders>
              <w:top w:val="single" w:sz="4" w:color="BFBFBF"/>
              <w:left w:val="single" w:sz="4" w:color="BFBFBF"/>
              <w:bottom w:val="single" w:sz="4" w:color="BFBFBF"/>
              <w:right w:val="single" w:sz="4" w:color="BFBFBF"/>
            </w:tcBorders>
            <w:shd w:val="clear" w:color="auto" w:fill="F7F7F7"/>
            <w:tcW w:w="1200" w:type="dxa"/>
          </w:tcPr>
          <w:p>
            <w:pPr>
              <w:spacing w:before="20" w:after="20"/>
            </w:pPr>
            <w:r>
              <w:rPr>
                <w:rFonts w:ascii="Calibri" w:hAnsi="Calibri"/>
                <w:sz w:val="19"/>
              </w:rPr>
              <w:t>11 May 2026</w:t>
            </w:r>
          </w:p>
        </w:tc>
        <w:tc>
          <w:tcPr>
            <w:tcBorders>
              <w:top w:val="single" w:sz="4" w:color="BFBFBF"/>
              <w:left w:val="single" w:sz="4" w:color="BFBFBF"/>
              <w:bottom w:val="single" w:sz="4" w:color="BFBFBF"/>
              <w:right w:val="single" w:sz="4" w:color="BFBFBF"/>
            </w:tcBorders>
            <w:shd w:val="clear" w:color="auto" w:fill="F7F7F7"/>
            <w:tcW w:w="2800" w:type="dxa"/>
          </w:tcPr>
          <w:p>
            <w:pPr>
              <w:spacing w:before="20" w:after="20"/>
            </w:pPr>
            <w:r>
              <w:rPr>
                <w:rFonts w:ascii="Calibri" w:hAnsi="Calibri"/>
                <w:sz w:val="19"/>
              </w:rPr>
              <w:t>A Seminal Moment — semiconductor concentration risk</w:t>
            </w:r>
          </w:p>
        </w:tc>
        <w:tc>
          <w:tcPr>
            <w:tcBorders>
              <w:top w:val="single" w:sz="4" w:color="BFBFBF"/>
              <w:left w:val="single" w:sz="4" w:color="BFBFBF"/>
              <w:bottom w:val="single" w:sz="4" w:color="BFBFBF"/>
              <w:right w:val="single" w:sz="4" w:color="BFBFBF"/>
            </w:tcBorders>
            <w:shd w:val="clear" w:color="auto" w:fill="F7F7F7"/>
            <w:tcW w:w="1300" w:type="dxa"/>
          </w:tcPr>
          <w:p>
            <w:pPr>
              <w:spacing w:before="20" w:after="20"/>
            </w:pPr>
            <w:r>
              <w:rPr>
                <w:rFonts w:ascii="Calibri" w:hAnsi="Calibri"/>
                <w:sz w:val="19"/>
              </w:rPr>
              <w:t>Bullish</w:t>
            </w:r>
          </w:p>
        </w:tc>
        <w:tc>
          <w:tcPr>
            <w:tcBorders>
              <w:top w:val="single" w:sz="4" w:color="BFBFBF"/>
              <w:left w:val="single" w:sz="4" w:color="BFBFBF"/>
              <w:bottom w:val="single" w:sz="4" w:color="BFBFBF"/>
              <w:right w:val="single" w:sz="4" w:color="BFBFBF"/>
            </w:tcBorders>
            <w:shd w:val="clear" w:color="auto" w:fill="F7F7F7"/>
            <w:tcW w:w="2060" w:type="dxa"/>
          </w:tcPr>
          <w:p>
            <w:pPr>
              <w:spacing w:before="20" w:after="20"/>
            </w:pPr>
            <w:r>
              <w:rPr>
                <w:rFonts w:ascii="Calibri" w:hAnsi="Calibri"/>
                <w:sz w:val="19"/>
              </w:rPr>
              <w:t>structural bid for physical bullion … unaffected by intraday weakness</w:t>
            </w:r>
          </w:p>
        </w:tc>
      </w:tr>
      <w:tr>
        <w:tc>
          <w:tcPr>
            <w:tcBorders>
              <w:top w:val="single" w:sz="4" w:color="BFBFBF"/>
              <w:left w:val="single" w:sz="4" w:color="BFBFBF"/>
              <w:bottom w:val="single" w:sz="4" w:color="BFBFBF"/>
              <w:right w:val="single" w:sz="4" w:color="BFBFBF"/>
            </w:tcBorders>
            <w:tcW w:w="600" w:type="dxa"/>
          </w:tcPr>
          <w:p>
            <w:pPr>
              <w:spacing w:before="20" w:after="20"/>
            </w:pPr>
            <w:r>
              <w:rPr>
                <w:rFonts w:ascii="Calibri" w:hAnsi="Calibri"/>
                <w:sz w:val="19"/>
              </w:rPr>
              <w:t>5</w:t>
            </w:r>
          </w:p>
        </w:tc>
        <w:tc>
          <w:tcPr>
            <w:tcBorders>
              <w:top w:val="single" w:sz="4" w:color="BFBFBF"/>
              <w:left w:val="single" w:sz="4" w:color="BFBFBF"/>
              <w:bottom w:val="single" w:sz="4" w:color="BFBFBF"/>
              <w:right w:val="single" w:sz="4" w:color="BFBFBF"/>
            </w:tcBorders>
            <w:tcW w:w="2400" w:type="dxa"/>
          </w:tcPr>
          <w:p>
            <w:pPr>
              <w:spacing w:before="20" w:after="20"/>
            </w:pPr>
            <w:r>
              <w:rPr>
                <w:rFonts w:ascii="Calibri" w:hAnsi="Calibri"/>
                <w:sz w:val="19"/>
              </w:rPr>
              <w:t>Reuters via Investing.com</w:t>
            </w:r>
          </w:p>
        </w:tc>
        <w:tc>
          <w:tcPr>
            <w:tcBorders>
              <w:top w:val="single" w:sz="4" w:color="BFBFBF"/>
              <w:left w:val="single" w:sz="4" w:color="BFBFBF"/>
              <w:bottom w:val="single" w:sz="4" w:color="BFBFBF"/>
              <w:right w:val="single" w:sz="4" w:color="BFBFBF"/>
            </w:tcBorders>
            <w:tcW w:w="1200" w:type="dxa"/>
          </w:tcPr>
          <w:p>
            <w:pPr>
              <w:spacing w:before="20" w:after="20"/>
            </w:pPr>
            <w:r>
              <w:rPr>
                <w:rFonts w:ascii="Calibri" w:hAnsi="Calibri"/>
                <w:sz w:val="19"/>
              </w:rPr>
              <w:t>13 May 2026</w:t>
            </w:r>
          </w:p>
        </w:tc>
        <w:tc>
          <w:tcPr>
            <w:tcBorders>
              <w:top w:val="single" w:sz="4" w:color="BFBFBF"/>
              <w:left w:val="single" w:sz="4" w:color="BFBFBF"/>
              <w:bottom w:val="single" w:sz="4" w:color="BFBFBF"/>
              <w:right w:val="single" w:sz="4" w:color="BFBFBF"/>
            </w:tcBorders>
            <w:tcW w:w="2800" w:type="dxa"/>
          </w:tcPr>
          <w:p>
            <w:pPr>
              <w:spacing w:before="20" w:after="20"/>
            </w:pPr>
            <w:r>
              <w:rPr>
                <w:rFonts w:ascii="Calibri" w:hAnsi="Calibri"/>
                <w:sz w:val="19"/>
              </w:rPr>
              <w:t>Dollar holds near one-week high on strong US inflation</w:t>
            </w:r>
          </w:p>
        </w:tc>
        <w:tc>
          <w:tcPr>
            <w:tcBorders>
              <w:top w:val="single" w:sz="4" w:color="BFBFBF"/>
              <w:left w:val="single" w:sz="4" w:color="BFBFBF"/>
              <w:bottom w:val="single" w:sz="4" w:color="BFBFBF"/>
              <w:right w:val="single" w:sz="4" w:color="BFBFBF"/>
            </w:tcBorders>
            <w:tcW w:w="1300" w:type="dxa"/>
          </w:tcPr>
          <w:p>
            <w:pPr>
              <w:spacing w:before="20" w:after="20"/>
            </w:pPr>
            <w:r>
              <w:rPr>
                <w:rFonts w:ascii="Calibri" w:hAnsi="Calibri"/>
                <w:sz w:val="19"/>
              </w:rPr>
              <w:t>Bearish</w:t>
            </w:r>
          </w:p>
        </w:tc>
        <w:tc>
          <w:tcPr>
            <w:tcBorders>
              <w:top w:val="single" w:sz="4" w:color="BFBFBF"/>
              <w:left w:val="single" w:sz="4" w:color="BFBFBF"/>
              <w:bottom w:val="single" w:sz="4" w:color="BFBFBF"/>
              <w:right w:val="single" w:sz="4" w:color="BFBFBF"/>
            </w:tcBorders>
            <w:tcW w:w="2060" w:type="dxa"/>
          </w:tcPr>
          <w:p>
            <w:pPr>
              <w:spacing w:before="20" w:after="20"/>
            </w:pPr>
            <w:r>
              <w:rPr>
                <w:rFonts w:ascii="Calibri" w:hAnsi="Calibri"/>
                <w:sz w:val="19"/>
              </w:rPr>
              <w:t>Hotter-than-expected CPI bolsters Fed rate hike bets</w:t>
            </w:r>
          </w:p>
        </w:tc>
      </w:tr>
      <w:tr>
        <w:tc>
          <w:tcPr>
            <w:tcBorders>
              <w:top w:val="single" w:sz="4" w:color="BFBFBF"/>
              <w:left w:val="single" w:sz="4" w:color="BFBFBF"/>
              <w:bottom w:val="single" w:sz="4" w:color="BFBFBF"/>
              <w:right w:val="single" w:sz="4" w:color="BFBFBF"/>
            </w:tcBorders>
            <w:shd w:val="clear" w:color="auto" w:fill="F7F7F7"/>
            <w:tcW w:w="600" w:type="dxa"/>
          </w:tcPr>
          <w:p>
            <w:pPr>
              <w:spacing w:before="20" w:after="20"/>
            </w:pPr>
            <w:r>
              <w:rPr>
                <w:rFonts w:ascii="Calibri" w:hAnsi="Calibri"/>
                <w:sz w:val="19"/>
              </w:rPr>
              <w:t>6</w:t>
            </w:r>
          </w:p>
        </w:tc>
        <w:tc>
          <w:tcPr>
            <w:tcBorders>
              <w:top w:val="single" w:sz="4" w:color="BFBFBF"/>
              <w:left w:val="single" w:sz="4" w:color="BFBFBF"/>
              <w:bottom w:val="single" w:sz="4" w:color="BFBFBF"/>
              <w:right w:val="single" w:sz="4" w:color="BFBFBF"/>
            </w:tcBorders>
            <w:shd w:val="clear" w:color="auto" w:fill="F7F7F7"/>
            <w:tcW w:w="2400" w:type="dxa"/>
          </w:tcPr>
          <w:p>
            <w:pPr>
              <w:spacing w:before="20" w:after="20"/>
            </w:pPr>
            <w:r>
              <w:rPr>
                <w:rFonts w:ascii="Calibri" w:hAnsi="Calibri"/>
                <w:sz w:val="19"/>
              </w:rPr>
              <w:t>Kitco precious-metals commentary (kitco.com)</w:t>
            </w:r>
          </w:p>
        </w:tc>
        <w:tc>
          <w:tcPr>
            <w:tcBorders>
              <w:top w:val="single" w:sz="4" w:color="BFBFBF"/>
              <w:left w:val="single" w:sz="4" w:color="BFBFBF"/>
              <w:bottom w:val="single" w:sz="4" w:color="BFBFBF"/>
              <w:right w:val="single" w:sz="4" w:color="BFBFBF"/>
            </w:tcBorders>
            <w:shd w:val="clear" w:color="auto" w:fill="F7F7F7"/>
            <w:tcW w:w="1200" w:type="dxa"/>
          </w:tcPr>
          <w:p>
            <w:pPr>
              <w:spacing w:before="20" w:after="20"/>
            </w:pPr>
            <w:r>
              <w:rPr>
                <w:rFonts w:ascii="Calibri" w:hAnsi="Calibri"/>
                <w:sz w:val="19"/>
              </w:rPr>
              <w:t>13 May 2026</w:t>
            </w:r>
          </w:p>
        </w:tc>
        <w:tc>
          <w:tcPr>
            <w:tcBorders>
              <w:top w:val="single" w:sz="4" w:color="BFBFBF"/>
              <w:left w:val="single" w:sz="4" w:color="BFBFBF"/>
              <w:bottom w:val="single" w:sz="4" w:color="BFBFBF"/>
              <w:right w:val="single" w:sz="4" w:color="BFBFBF"/>
            </w:tcBorders>
            <w:shd w:val="clear" w:color="auto" w:fill="F7F7F7"/>
            <w:tcW w:w="2800" w:type="dxa"/>
          </w:tcPr>
          <w:p>
            <w:pPr>
              <w:spacing w:before="20" w:after="20"/>
            </w:pPr>
            <w:r>
              <w:rPr>
                <w:rFonts w:ascii="Calibri" w:hAnsi="Calibri"/>
                <w:sz w:val="19"/>
              </w:rPr>
              <w:t>Gold consolidates above $4,680; technicals oversold</w:t>
            </w:r>
          </w:p>
        </w:tc>
        <w:tc>
          <w:tcPr>
            <w:tcBorders>
              <w:top w:val="single" w:sz="4" w:color="BFBFBF"/>
              <w:left w:val="single" w:sz="4" w:color="BFBFBF"/>
              <w:bottom w:val="single" w:sz="4" w:color="BFBFBF"/>
              <w:right w:val="single" w:sz="4" w:color="BFBFBF"/>
            </w:tcBorders>
            <w:shd w:val="clear" w:color="auto" w:fill="F7F7F7"/>
            <w:tcW w:w="1300" w:type="dxa"/>
          </w:tcPr>
          <w:p>
            <w:pPr>
              <w:spacing w:before="20" w:after="20"/>
            </w:pPr>
            <w:r>
              <w:rPr>
                <w:rFonts w:ascii="Calibri" w:hAnsi="Calibri"/>
                <w:sz w:val="19"/>
              </w:rPr>
              <w:t>Neutral</w:t>
            </w:r>
          </w:p>
        </w:tc>
        <w:tc>
          <w:tcPr>
            <w:tcBorders>
              <w:top w:val="single" w:sz="4" w:color="BFBFBF"/>
              <w:left w:val="single" w:sz="4" w:color="BFBFBF"/>
              <w:bottom w:val="single" w:sz="4" w:color="BFBFBF"/>
              <w:right w:val="single" w:sz="4" w:color="BFBFBF"/>
            </w:tcBorders>
            <w:shd w:val="clear" w:color="auto" w:fill="F7F7F7"/>
            <w:tcW w:w="2060" w:type="dxa"/>
          </w:tcPr>
          <w:p>
            <w:pPr>
              <w:spacing w:before="20" w:after="20"/>
            </w:pPr>
            <w:r>
              <w:rPr>
                <w:rFonts w:ascii="Calibri" w:hAnsi="Calibri"/>
                <w:sz w:val="19"/>
              </w:rPr>
              <w:t>navigating a corrective phase following its recent surge</w:t>
            </w:r>
          </w:p>
        </w:tc>
      </w:tr>
      <w:tr>
        <w:tc>
          <w:tcPr>
            <w:tcBorders>
              <w:top w:val="single" w:sz="4" w:color="BFBFBF"/>
              <w:left w:val="single" w:sz="4" w:color="BFBFBF"/>
              <w:bottom w:val="single" w:sz="4" w:color="BFBFBF"/>
              <w:right w:val="single" w:sz="4" w:color="BFBFBF"/>
            </w:tcBorders>
            <w:tcW w:w="600" w:type="dxa"/>
          </w:tcPr>
          <w:p>
            <w:pPr>
              <w:spacing w:before="20" w:after="20"/>
            </w:pPr>
            <w:r>
              <w:rPr>
                <w:rFonts w:ascii="Calibri" w:hAnsi="Calibri"/>
                <w:sz w:val="19"/>
              </w:rPr>
              <w:t>7</w:t>
            </w:r>
          </w:p>
        </w:tc>
        <w:tc>
          <w:tcPr>
            <w:tcBorders>
              <w:top w:val="single" w:sz="4" w:color="BFBFBF"/>
              <w:left w:val="single" w:sz="4" w:color="BFBFBF"/>
              <w:bottom w:val="single" w:sz="4" w:color="BFBFBF"/>
              <w:right w:val="single" w:sz="4" w:color="BFBFBF"/>
            </w:tcBorders>
            <w:tcW w:w="2400" w:type="dxa"/>
          </w:tcPr>
          <w:p>
            <w:pPr>
              <w:spacing w:before="20" w:after="20"/>
            </w:pPr>
            <w:r>
              <w:rPr>
                <w:rFonts w:ascii="Calibri" w:hAnsi="Calibri"/>
                <w:sz w:val="19"/>
              </w:rPr>
              <w:t>CNBC (cnbc.com) — Wells Fargo recap</w:t>
            </w:r>
          </w:p>
        </w:tc>
        <w:tc>
          <w:tcPr>
            <w:tcBorders>
              <w:top w:val="single" w:sz="4" w:color="BFBFBF"/>
              <w:left w:val="single" w:sz="4" w:color="BFBFBF"/>
              <w:bottom w:val="single" w:sz="4" w:color="BFBFBF"/>
              <w:right w:val="single" w:sz="4" w:color="BFBFBF"/>
            </w:tcBorders>
            <w:tcW w:w="1200" w:type="dxa"/>
          </w:tcPr>
          <w:p>
            <w:pPr>
              <w:spacing w:before="20" w:after="20"/>
            </w:pPr>
            <w:r>
              <w:rPr>
                <w:rFonts w:ascii="Calibri" w:hAnsi="Calibri"/>
                <w:sz w:val="19"/>
              </w:rPr>
              <w:t>12 May 2026 (cited Apr 16 note)</w:t>
            </w:r>
          </w:p>
        </w:tc>
        <w:tc>
          <w:tcPr>
            <w:tcBorders>
              <w:top w:val="single" w:sz="4" w:color="BFBFBF"/>
              <w:left w:val="single" w:sz="4" w:color="BFBFBF"/>
              <w:bottom w:val="single" w:sz="4" w:color="BFBFBF"/>
              <w:right w:val="single" w:sz="4" w:color="BFBFBF"/>
            </w:tcBorders>
            <w:tcW w:w="2800" w:type="dxa"/>
          </w:tcPr>
          <w:p>
            <w:pPr>
              <w:spacing w:before="20" w:after="20"/>
            </w:pPr>
            <w:r>
              <w:rPr>
                <w:rFonts w:ascii="Calibri" w:hAnsi="Calibri"/>
                <w:sz w:val="19"/>
              </w:rPr>
              <w:t>Wells Fargo bull case sees gold reaching $8,000/oz</w:t>
            </w:r>
          </w:p>
        </w:tc>
        <w:tc>
          <w:tcPr>
            <w:tcBorders>
              <w:top w:val="single" w:sz="4" w:color="BFBFBF"/>
              <w:left w:val="single" w:sz="4" w:color="BFBFBF"/>
              <w:bottom w:val="single" w:sz="4" w:color="BFBFBF"/>
              <w:right w:val="single" w:sz="4" w:color="BFBFBF"/>
            </w:tcBorders>
            <w:tcW w:w="1300" w:type="dxa"/>
          </w:tcPr>
          <w:p>
            <w:pPr>
              <w:spacing w:before="20" w:after="20"/>
            </w:pPr>
            <w:r>
              <w:rPr>
                <w:rFonts w:ascii="Calibri" w:hAnsi="Calibri"/>
                <w:sz w:val="19"/>
              </w:rPr>
              <w:t>Bullish</w:t>
            </w:r>
          </w:p>
        </w:tc>
        <w:tc>
          <w:tcPr>
            <w:tcBorders>
              <w:top w:val="single" w:sz="4" w:color="BFBFBF"/>
              <w:left w:val="single" w:sz="4" w:color="BFBFBF"/>
              <w:bottom w:val="single" w:sz="4" w:color="BFBFBF"/>
              <w:right w:val="single" w:sz="4" w:color="BFBFBF"/>
            </w:tcBorders>
            <w:tcW w:w="2060" w:type="dxa"/>
          </w:tcPr>
          <w:p>
            <w:pPr>
              <w:spacing w:before="20" w:after="20"/>
            </w:pPr>
            <w:r>
              <w:rPr>
                <w:rFonts w:ascii="Calibri" w:hAnsi="Calibri"/>
                <w:sz w:val="19"/>
              </w:rPr>
              <w:t>bull case for gold sees the metal reaching $8,000 an ounce</w:t>
            </w:r>
          </w:p>
        </w:tc>
      </w:tr>
      <w:tr>
        <w:tc>
          <w:tcPr>
            <w:tcBorders>
              <w:top w:val="single" w:sz="4" w:color="BFBFBF"/>
              <w:left w:val="single" w:sz="4" w:color="BFBFBF"/>
              <w:bottom w:val="single" w:sz="4" w:color="BFBFBF"/>
              <w:right w:val="single" w:sz="4" w:color="BFBFBF"/>
            </w:tcBorders>
            <w:shd w:val="clear" w:color="auto" w:fill="F7F7F7"/>
            <w:tcW w:w="600" w:type="dxa"/>
          </w:tcPr>
          <w:p>
            <w:pPr>
              <w:spacing w:before="20" w:after="20"/>
            </w:pPr>
            <w:r>
              <w:rPr>
                <w:rFonts w:ascii="Calibri" w:hAnsi="Calibri"/>
                <w:sz w:val="19"/>
              </w:rPr>
              <w:t>8 (Silver)</w:t>
            </w:r>
          </w:p>
        </w:tc>
        <w:tc>
          <w:tcPr>
            <w:tcBorders>
              <w:top w:val="single" w:sz="4" w:color="BFBFBF"/>
              <w:left w:val="single" w:sz="4" w:color="BFBFBF"/>
              <w:bottom w:val="single" w:sz="4" w:color="BFBFBF"/>
              <w:right w:val="single" w:sz="4" w:color="BFBFBF"/>
            </w:tcBorders>
            <w:shd w:val="clear" w:color="auto" w:fill="F7F7F7"/>
            <w:tcW w:w="2400" w:type="dxa"/>
          </w:tcPr>
          <w:p>
            <w:pPr>
              <w:spacing w:before="20" w:after="20"/>
            </w:pPr>
            <w:r>
              <w:rPr>
                <w:rFonts w:ascii="Calibri" w:hAnsi="Calibri"/>
                <w:sz w:val="19"/>
              </w:rPr>
              <w:t>Investing.com (XAG/USD)</w:t>
            </w:r>
          </w:p>
        </w:tc>
        <w:tc>
          <w:tcPr>
            <w:tcBorders>
              <w:top w:val="single" w:sz="4" w:color="BFBFBF"/>
              <w:left w:val="single" w:sz="4" w:color="BFBFBF"/>
              <w:bottom w:val="single" w:sz="4" w:color="BFBFBF"/>
              <w:right w:val="single" w:sz="4" w:color="BFBFBF"/>
            </w:tcBorders>
            <w:shd w:val="clear" w:color="auto" w:fill="F7F7F7"/>
            <w:tcW w:w="1200" w:type="dxa"/>
          </w:tcPr>
          <w:p>
            <w:pPr>
              <w:spacing w:before="20" w:after="20"/>
            </w:pPr>
            <w:r>
              <w:rPr>
                <w:rFonts w:ascii="Calibri" w:hAnsi="Calibri"/>
                <w:sz w:val="19"/>
              </w:rPr>
              <w:t>13 May 2026</w:t>
            </w:r>
          </w:p>
        </w:tc>
        <w:tc>
          <w:tcPr>
            <w:tcBorders>
              <w:top w:val="single" w:sz="4" w:color="BFBFBF"/>
              <w:left w:val="single" w:sz="4" w:color="BFBFBF"/>
              <w:bottom w:val="single" w:sz="4" w:color="BFBFBF"/>
              <w:right w:val="single" w:sz="4" w:color="BFBFBF"/>
            </w:tcBorders>
            <w:shd w:val="clear" w:color="auto" w:fill="F7F7F7"/>
            <w:tcW w:w="2800" w:type="dxa"/>
          </w:tcPr>
          <w:p>
            <w:pPr>
              <w:spacing w:before="20" w:after="20"/>
            </w:pPr>
            <w:r>
              <w:rPr>
                <w:rFonts w:ascii="Calibri" w:hAnsi="Calibri"/>
                <w:sz w:val="19"/>
              </w:rPr>
              <w:t>Silver corrective phase; technicals reset</w:t>
            </w:r>
          </w:p>
        </w:tc>
        <w:tc>
          <w:tcPr>
            <w:tcBorders>
              <w:top w:val="single" w:sz="4" w:color="BFBFBF"/>
              <w:left w:val="single" w:sz="4" w:color="BFBFBF"/>
              <w:bottom w:val="single" w:sz="4" w:color="BFBFBF"/>
              <w:right w:val="single" w:sz="4" w:color="BFBFBF"/>
            </w:tcBorders>
            <w:shd w:val="clear" w:color="auto" w:fill="F7F7F7"/>
            <w:tcW w:w="1300" w:type="dxa"/>
          </w:tcPr>
          <w:p>
            <w:pPr>
              <w:spacing w:before="20" w:after="20"/>
            </w:pPr>
            <w:r>
              <w:rPr>
                <w:rFonts w:ascii="Calibri" w:hAnsi="Calibri"/>
                <w:sz w:val="19"/>
              </w:rPr>
              <w:t>Neutral</w:t>
            </w:r>
          </w:p>
        </w:tc>
        <w:tc>
          <w:tcPr>
            <w:tcBorders>
              <w:top w:val="single" w:sz="4" w:color="BFBFBF"/>
              <w:left w:val="single" w:sz="4" w:color="BFBFBF"/>
              <w:bottom w:val="single" w:sz="4" w:color="BFBFBF"/>
              <w:right w:val="single" w:sz="4" w:color="BFBFBF"/>
            </w:tcBorders>
            <w:shd w:val="clear" w:color="auto" w:fill="F7F7F7"/>
            <w:tcW w:w="2060" w:type="dxa"/>
          </w:tcPr>
          <w:p>
            <w:pPr>
              <w:spacing w:before="20" w:after="20"/>
            </w:pPr>
            <w:r>
              <w:rPr>
                <w:rFonts w:ascii="Calibri" w:hAnsi="Calibri"/>
                <w:sz w:val="19"/>
              </w:rPr>
              <w:t>currently navigating a corrective phase following its recent surge</w:t>
            </w:r>
          </w:p>
        </w:tc>
      </w:tr>
      <w:tr>
        <w:tc>
          <w:tcPr>
            <w:tcBorders>
              <w:top w:val="single" w:sz="4" w:color="BFBFBF"/>
              <w:left w:val="single" w:sz="4" w:color="BFBFBF"/>
              <w:bottom w:val="single" w:sz="4" w:color="BFBFBF"/>
              <w:right w:val="single" w:sz="4" w:color="BFBFBF"/>
            </w:tcBorders>
            <w:tcW w:w="600" w:type="dxa"/>
          </w:tcPr>
          <w:p>
            <w:pPr>
              <w:spacing w:before="20" w:after="20"/>
            </w:pPr>
            <w:r>
              <w:rPr>
                <w:rFonts w:ascii="Calibri" w:hAnsi="Calibri"/>
                <w:sz w:val="19"/>
              </w:rPr>
              <w:t>9 (Silver)</w:t>
            </w:r>
          </w:p>
        </w:tc>
        <w:tc>
          <w:tcPr>
            <w:tcBorders>
              <w:top w:val="single" w:sz="4" w:color="BFBFBF"/>
              <w:left w:val="single" w:sz="4" w:color="BFBFBF"/>
              <w:bottom w:val="single" w:sz="4" w:color="BFBFBF"/>
              <w:right w:val="single" w:sz="4" w:color="BFBFBF"/>
            </w:tcBorders>
            <w:tcW w:w="2400" w:type="dxa"/>
          </w:tcPr>
          <w:p>
            <w:pPr>
              <w:spacing w:before="20" w:after="20"/>
            </w:pPr>
            <w:r>
              <w:rPr>
                <w:rFonts w:ascii="Calibri" w:hAnsi="Calibri"/>
                <w:sz w:val="19"/>
              </w:rPr>
              <w:t>TradingView XAGUSD commentary</w:t>
            </w:r>
          </w:p>
        </w:tc>
        <w:tc>
          <w:tcPr>
            <w:tcBorders>
              <w:top w:val="single" w:sz="4" w:color="BFBFBF"/>
              <w:left w:val="single" w:sz="4" w:color="BFBFBF"/>
              <w:bottom w:val="single" w:sz="4" w:color="BFBFBF"/>
              <w:right w:val="single" w:sz="4" w:color="BFBFBF"/>
            </w:tcBorders>
            <w:tcW w:w="1200" w:type="dxa"/>
          </w:tcPr>
          <w:p>
            <w:pPr>
              <w:spacing w:before="20" w:after="20"/>
            </w:pPr>
            <w:r>
              <w:rPr>
                <w:rFonts w:ascii="Calibri" w:hAnsi="Calibri"/>
                <w:sz w:val="19"/>
              </w:rPr>
              <w:t>13 May 2026</w:t>
            </w:r>
          </w:p>
        </w:tc>
        <w:tc>
          <w:tcPr>
            <w:tcBorders>
              <w:top w:val="single" w:sz="4" w:color="BFBFBF"/>
              <w:left w:val="single" w:sz="4" w:color="BFBFBF"/>
              <w:bottom w:val="single" w:sz="4" w:color="BFBFBF"/>
              <w:right w:val="single" w:sz="4" w:color="BFBFBF"/>
            </w:tcBorders>
            <w:tcW w:w="2800" w:type="dxa"/>
          </w:tcPr>
          <w:p>
            <w:pPr>
              <w:spacing w:before="20" w:after="20"/>
            </w:pPr>
            <w:r>
              <w:rPr>
                <w:rFonts w:ascii="Calibri" w:hAnsi="Calibri"/>
                <w:sz w:val="19"/>
              </w:rPr>
              <w:t>Silver bullish structure intact on H4</w:t>
            </w:r>
          </w:p>
        </w:tc>
        <w:tc>
          <w:tcPr>
            <w:tcBorders>
              <w:top w:val="single" w:sz="4" w:color="BFBFBF"/>
              <w:left w:val="single" w:sz="4" w:color="BFBFBF"/>
              <w:bottom w:val="single" w:sz="4" w:color="BFBFBF"/>
              <w:right w:val="single" w:sz="4" w:color="BFBFBF"/>
            </w:tcBorders>
            <w:tcW w:w="1300" w:type="dxa"/>
          </w:tcPr>
          <w:p>
            <w:pPr>
              <w:spacing w:before="20" w:after="20"/>
            </w:pPr>
            <w:r>
              <w:rPr>
                <w:rFonts w:ascii="Calibri" w:hAnsi="Calibri"/>
                <w:sz w:val="19"/>
              </w:rPr>
              <w:t>Bullish</w:t>
            </w:r>
          </w:p>
        </w:tc>
        <w:tc>
          <w:tcPr>
            <w:tcBorders>
              <w:top w:val="single" w:sz="4" w:color="BFBFBF"/>
              <w:left w:val="single" w:sz="4" w:color="BFBFBF"/>
              <w:bottom w:val="single" w:sz="4" w:color="BFBFBF"/>
              <w:right w:val="single" w:sz="4" w:color="BFBFBF"/>
            </w:tcBorders>
            <w:tcW w:w="2060" w:type="dxa"/>
          </w:tcPr>
          <w:p>
            <w:pPr>
              <w:spacing w:before="20" w:after="20"/>
            </w:pPr>
            <w:r>
              <w:rPr>
                <w:rFonts w:ascii="Calibri" w:hAnsi="Calibri"/>
                <w:sz w:val="19"/>
              </w:rPr>
              <w:t>maintaining a very clear bullish structure on the H4 timeframe</w:t>
            </w:r>
          </w:p>
        </w:tc>
      </w:tr>
    </w:tbl>
    <w:p>
      <w:pPr>
        <w:spacing w:after="40" w:before="0"/>
      </w:pPr>
      <w:r>
        <w:rPr>
          <w:rFonts w:ascii="Calibri" w:hAnsi="Calibri"/>
          <w:b/>
          <w:i w:val="0"/>
          <w:sz w:val="22"/>
        </w:rPr>
        <w:t>§13b  Aggregate sentiment summary:</w:t>
      </w:r>
    </w:p>
    <w:p>
      <w:pPr>
        <w:spacing w:after="80" w:before="0"/>
      </w:pPr>
      <w:r>
        <w:rPr>
          <w:rFonts w:ascii="Calibri" w:hAnsi="Calibri"/>
          <w:b w:val="0"/>
          <w:i w:val="0"/>
          <w:sz w:val="21"/>
        </w:rPr>
        <w:t>Gold: Mixed (tilt = −0.07). Three Bearish articles (two media, one institutional inference), three Bullish articles (two institutional/desk, one bank research), one Neutral. Institutional weighting (USAGOLD desk + WGC + Wells Fargo) partially offsets the bearish media flow; the numeric tilt is mildly negative because the bearish articles are the most recent and the institutional bullish flag is structural rather than tactical.</w:t>
      </w:r>
    </w:p>
    <w:p>
      <w:pPr>
        <w:spacing w:after="80" w:before="0"/>
      </w:pPr>
      <w:r>
        <w:rPr>
          <w:rFonts w:ascii="Calibri" w:hAnsi="Calibri"/>
          <w:b w:val="0"/>
          <w:i w:val="0"/>
          <w:sz w:val="21"/>
        </w:rPr>
        <w:t>Silver: Predominantly Bullish (tilt = +0.25), based on two articles. Low-confidence reading (&lt; 3 articles) — flagged.</w:t>
      </w:r>
    </w:p>
    <w:p>
      <w:pPr>
        <w:spacing w:after="120" w:before="0"/>
      </w:pPr>
      <w:r>
        <w:rPr>
          <w:rFonts w:ascii="Calibri" w:hAnsi="Calibri"/>
          <w:b w:val="0"/>
          <w:i w:val="0"/>
          <w:sz w:val="21"/>
        </w:rPr>
        <w:t>§13c  Sentiment / price divergence flag: aggregate sentiment for Gold is mildly Bearish; price action over the last two sessions is also Bearish. No divergence — sentiment and price are aligned at the tactical horizon. The structural bullish narrative (central-bank demand, WGC) is not contradicted but is being out-weighed by near-term inflation/dollar mechanics.</w:t>
      </w:r>
    </w:p>
    <w:p>
      <w:pPr>
        <w:spacing w:after="40" w:before="0"/>
      </w:pPr>
      <w:r>
        <w:rPr>
          <w:rFonts w:ascii="Calibri" w:hAnsi="Calibri"/>
          <w:b/>
          <w:i w:val="0"/>
          <w:sz w:val="22"/>
        </w:rPr>
        <w:t>§13d  News calendar (previous 5 sessions):</w:t>
      </w:r>
    </w:p>
    <w:tbl>
      <w:tblPr>
        <w:jc w:val="left"/>
        <w:tblLayout w:type="fixed"/>
        <w:tblLook w:firstColumn="1" w:firstRow="1" w:lastColumn="0" w:lastRow="0" w:noHBand="0" w:noVBand="1" w:val="04A0"/>
        <w:tblW w:w="9360" w:type="dxa"/>
      </w:tblPr>
      <w:tblGrid>
        <w:gridCol w:w="2016"/>
        <w:gridCol w:w="2016"/>
        <w:gridCol w:w="2016"/>
        <w:gridCol w:w="2016"/>
        <w:gridCol w:w="2016"/>
      </w:tblGrid>
      <w:tr>
        <w:tc>
          <w:tcPr>
            <w:shd w:val="clear" w:color="auto" w:fill="1F3A5F"/>
            <w:tcBorders>
              <w:top w:val="single" w:sz="4" w:color="BFBFBF"/>
              <w:left w:val="single" w:sz="4" w:color="BFBFBF"/>
              <w:bottom w:val="single" w:sz="4" w:color="BFBFBF"/>
              <w:right w:val="single" w:sz="4" w:color="BFBFBF"/>
            </w:tcBorders>
            <w:tcW w:w="1500" w:type="dxa"/>
          </w:tcPr>
          <w:p>
            <w:pPr>
              <w:spacing w:before="40" w:after="40"/>
            </w:pPr>
            <w:r>
              <w:rPr>
                <w:rFonts w:ascii="Calibri" w:hAnsi="Calibri"/>
                <w:b/>
                <w:color w:val="FFFFFF"/>
                <w:sz w:val="20"/>
              </w:rPr>
              <w:t>Date</w:t>
            </w:r>
          </w:p>
        </w:tc>
        <w:tc>
          <w:tcPr>
            <w:shd w:val="clear" w:color="auto" w:fill="1F3A5F"/>
            <w:tcBorders>
              <w:top w:val="single" w:sz="4" w:color="BFBFBF"/>
              <w:left w:val="single" w:sz="4" w:color="BFBFBF"/>
              <w:bottom w:val="single" w:sz="4" w:color="BFBFBF"/>
              <w:right w:val="single" w:sz="4" w:color="BFBFBF"/>
            </w:tcBorders>
            <w:tcW w:w="2500" w:type="dxa"/>
          </w:tcPr>
          <w:p>
            <w:pPr>
              <w:spacing w:before="40" w:after="40"/>
            </w:pPr>
            <w:r>
              <w:rPr>
                <w:rFonts w:ascii="Calibri" w:hAnsi="Calibri"/>
                <w:b/>
                <w:color w:val="FFFFFF"/>
                <w:sz w:val="20"/>
              </w:rPr>
              <w:t>Event</w:t>
            </w:r>
          </w:p>
        </w:tc>
        <w:tc>
          <w:tcPr>
            <w:shd w:val="clear" w:color="auto" w:fill="1F3A5F"/>
            <w:tcBorders>
              <w:top w:val="single" w:sz="4" w:color="BFBFBF"/>
              <w:left w:val="single" w:sz="4" w:color="BFBFBF"/>
              <w:bottom w:val="single" w:sz="4" w:color="BFBFBF"/>
              <w:right w:val="single" w:sz="4" w:color="BFBFBF"/>
            </w:tcBorders>
            <w:tcW w:w="1700" w:type="dxa"/>
          </w:tcPr>
          <w:p>
            <w:pPr>
              <w:spacing w:before="40" w:after="40"/>
            </w:pPr>
            <w:r>
              <w:rPr>
                <w:rFonts w:ascii="Calibri" w:hAnsi="Calibri"/>
                <w:b/>
                <w:color w:val="FFFFFF"/>
                <w:sz w:val="20"/>
              </w:rPr>
              <w:t>Prior / Context</w:t>
            </w:r>
          </w:p>
        </w:tc>
        <w:tc>
          <w:tcPr>
            <w:shd w:val="clear" w:color="auto" w:fill="1F3A5F"/>
            <w:tcBorders>
              <w:top w:val="single" w:sz="4" w:color="BFBFBF"/>
              <w:left w:val="single" w:sz="4" w:color="BFBFBF"/>
              <w:bottom w:val="single" w:sz="4" w:color="BFBFBF"/>
              <w:right w:val="single" w:sz="4" w:color="BFBFBF"/>
            </w:tcBorders>
            <w:tcW w:w="900" w:type="dxa"/>
          </w:tcPr>
          <w:p>
            <w:pPr>
              <w:spacing w:before="40" w:after="40"/>
            </w:pPr>
            <w:r>
              <w:rPr>
                <w:rFonts w:ascii="Calibri" w:hAnsi="Calibri"/>
                <w:b/>
                <w:color w:val="FFFFFF"/>
                <w:sz w:val="20"/>
              </w:rPr>
              <w:t>Impact</w:t>
            </w:r>
          </w:p>
        </w:tc>
        <w:tc>
          <w:tcPr>
            <w:shd w:val="clear" w:color="auto" w:fill="1F3A5F"/>
            <w:tcBorders>
              <w:top w:val="single" w:sz="4" w:color="BFBFBF"/>
              <w:left w:val="single" w:sz="4" w:color="BFBFBF"/>
              <w:bottom w:val="single" w:sz="4" w:color="BFBFBF"/>
              <w:right w:val="single" w:sz="4" w:color="BFBFBF"/>
            </w:tcBorders>
            <w:tcW w:w="2760" w:type="dxa"/>
          </w:tcPr>
          <w:p>
            <w:pPr>
              <w:spacing w:before="40" w:after="40"/>
            </w:pPr>
            <w:r>
              <w:rPr>
                <w:rFonts w:ascii="Calibri" w:hAnsi="Calibri"/>
                <w:b/>
                <w:color w:val="FFFFFF"/>
                <w:sz w:val="20"/>
              </w:rPr>
              <w:t>Market implication</w:t>
            </w:r>
          </w:p>
        </w:tc>
      </w:tr>
      <w:tr>
        <w:tc>
          <w:tcPr>
            <w:tcBorders>
              <w:top w:val="single" w:sz="4" w:color="BFBFBF"/>
              <w:left w:val="single" w:sz="4" w:color="BFBFBF"/>
              <w:bottom w:val="single" w:sz="4" w:color="BFBFBF"/>
              <w:right w:val="single" w:sz="4" w:color="BFBFBF"/>
            </w:tcBorders>
            <w:tcW w:w="1500" w:type="dxa"/>
          </w:tcPr>
          <w:p>
            <w:pPr>
              <w:spacing w:before="20" w:after="20"/>
            </w:pPr>
            <w:r>
              <w:rPr>
                <w:rFonts w:ascii="Calibri" w:hAnsi="Calibri"/>
                <w:sz w:val="19"/>
              </w:rPr>
              <w:t>Thu 08 May 2026</w:t>
            </w:r>
          </w:p>
        </w:tc>
        <w:tc>
          <w:tcPr>
            <w:tcBorders>
              <w:top w:val="single" w:sz="4" w:color="BFBFBF"/>
              <w:left w:val="single" w:sz="4" w:color="BFBFBF"/>
              <w:bottom w:val="single" w:sz="4" w:color="BFBFBF"/>
              <w:right w:val="single" w:sz="4" w:color="BFBFBF"/>
            </w:tcBorders>
            <w:tcW w:w="2500" w:type="dxa"/>
          </w:tcPr>
          <w:p>
            <w:pPr>
              <w:spacing w:before="20" w:after="20"/>
            </w:pPr>
            <w:r>
              <w:rPr>
                <w:rFonts w:ascii="Calibri" w:hAnsi="Calibri"/>
                <w:sz w:val="19"/>
              </w:rPr>
              <w:t>US weekly jobless claims</w:t>
            </w:r>
          </w:p>
        </w:tc>
        <w:tc>
          <w:tcPr>
            <w:tcBorders>
              <w:top w:val="single" w:sz="4" w:color="BFBFBF"/>
              <w:left w:val="single" w:sz="4" w:color="BFBFBF"/>
              <w:bottom w:val="single" w:sz="4" w:color="BFBFBF"/>
              <w:right w:val="single" w:sz="4" w:color="BFBFBF"/>
            </w:tcBorders>
            <w:tcW w:w="1700" w:type="dxa"/>
          </w:tcPr>
          <w:p>
            <w:pPr>
              <w:spacing w:before="20" w:after="20"/>
            </w:pPr>
            <w:r>
              <w:rPr>
                <w:rFonts w:ascii="Calibri" w:hAnsi="Calibri"/>
                <w:sz w:val="19"/>
              </w:rPr>
              <w:t>Consensus 230k; prior 228k</w:t>
            </w:r>
          </w:p>
        </w:tc>
        <w:tc>
          <w:tcPr>
            <w:tcBorders>
              <w:top w:val="single" w:sz="4" w:color="BFBFBF"/>
              <w:left w:val="single" w:sz="4" w:color="BFBFBF"/>
              <w:bottom w:val="single" w:sz="4" w:color="BFBFBF"/>
              <w:right w:val="single" w:sz="4" w:color="BFBFBF"/>
            </w:tcBorders>
            <w:tcW w:w="900" w:type="dxa"/>
          </w:tcPr>
          <w:p>
            <w:pPr>
              <w:spacing w:before="20" w:after="20"/>
            </w:pPr>
            <w:r>
              <w:rPr>
                <w:rFonts w:ascii="Calibri" w:hAnsi="Calibri"/>
                <w:sz w:val="19"/>
              </w:rPr>
              <w:t>Low</w:t>
            </w:r>
          </w:p>
        </w:tc>
        <w:tc>
          <w:tcPr>
            <w:tcBorders>
              <w:top w:val="single" w:sz="4" w:color="BFBFBF"/>
              <w:left w:val="single" w:sz="4" w:color="BFBFBF"/>
              <w:bottom w:val="single" w:sz="4" w:color="BFBFBF"/>
              <w:right w:val="single" w:sz="4" w:color="BFBFBF"/>
            </w:tcBorders>
            <w:tcW w:w="2760" w:type="dxa"/>
          </w:tcPr>
          <w:p>
            <w:pPr>
              <w:spacing w:before="20" w:after="20"/>
            </w:pPr>
            <w:r>
              <w:rPr>
                <w:rFonts w:ascii="Calibri" w:hAnsi="Calibri"/>
                <w:sz w:val="19"/>
              </w:rPr>
              <w:t>In-line; gold drifted higher into European fix.</w:t>
            </w:r>
          </w:p>
        </w:tc>
      </w:tr>
      <w:tr>
        <w:tc>
          <w:tcPr>
            <w:tcBorders>
              <w:top w:val="single" w:sz="4" w:color="BFBFBF"/>
              <w:left w:val="single" w:sz="4" w:color="BFBFBF"/>
              <w:bottom w:val="single" w:sz="4" w:color="BFBFBF"/>
              <w:right w:val="single" w:sz="4" w:color="BFBFBF"/>
            </w:tcBorders>
            <w:shd w:val="clear" w:color="auto" w:fill="F7F7F7"/>
            <w:tcW w:w="1500" w:type="dxa"/>
          </w:tcPr>
          <w:p>
            <w:pPr>
              <w:spacing w:before="20" w:after="20"/>
            </w:pPr>
            <w:r>
              <w:rPr>
                <w:rFonts w:ascii="Calibri" w:hAnsi="Calibri"/>
                <w:sz w:val="19"/>
              </w:rPr>
              <w:t>Fri 09 May 2026</w:t>
            </w:r>
          </w:p>
        </w:tc>
        <w:tc>
          <w:tcPr>
            <w:tcBorders>
              <w:top w:val="single" w:sz="4" w:color="BFBFBF"/>
              <w:left w:val="single" w:sz="4" w:color="BFBFBF"/>
              <w:bottom w:val="single" w:sz="4" w:color="BFBFBF"/>
              <w:right w:val="single" w:sz="4" w:color="BFBFBF"/>
            </w:tcBorders>
            <w:shd w:val="clear" w:color="auto" w:fill="F7F7F7"/>
            <w:tcW w:w="2500" w:type="dxa"/>
          </w:tcPr>
          <w:p>
            <w:pPr>
              <w:spacing w:before="20" w:after="20"/>
            </w:pPr>
            <w:r>
              <w:rPr>
                <w:rFonts w:ascii="Calibri" w:hAnsi="Calibri"/>
                <w:sz w:val="19"/>
              </w:rPr>
              <w:t>Trump–Xi meeting headlines / soft-USD session</w:t>
            </w:r>
          </w:p>
        </w:tc>
        <w:tc>
          <w:tcPr>
            <w:tcBorders>
              <w:top w:val="single" w:sz="4" w:color="BFBFBF"/>
              <w:left w:val="single" w:sz="4" w:color="BFBFBF"/>
              <w:bottom w:val="single" w:sz="4" w:color="BFBFBF"/>
              <w:right w:val="single" w:sz="4" w:color="BFBFBF"/>
            </w:tcBorders>
            <w:shd w:val="clear" w:color="auto" w:fill="F7F7F7"/>
            <w:tcW w:w="1700" w:type="dxa"/>
          </w:tcPr>
          <w:p>
            <w:pPr>
              <w:spacing w:before="20" w:after="20"/>
            </w:pPr>
            <w:r>
              <w:rPr>
                <w:rFonts w:ascii="Calibri" w:hAnsi="Calibri"/>
                <w:sz w:val="19"/>
              </w:rPr>
              <w:t>Trade-truce optimism rhetoric</w:t>
            </w:r>
          </w:p>
        </w:tc>
        <w:tc>
          <w:tcPr>
            <w:tcBorders>
              <w:top w:val="single" w:sz="4" w:color="BFBFBF"/>
              <w:left w:val="single" w:sz="4" w:color="BFBFBF"/>
              <w:bottom w:val="single" w:sz="4" w:color="BFBFBF"/>
              <w:right w:val="single" w:sz="4" w:color="BFBFBF"/>
            </w:tcBorders>
            <w:shd w:val="clear" w:color="auto" w:fill="F7F7F7"/>
            <w:tcW w:w="900" w:type="dxa"/>
          </w:tcPr>
          <w:p>
            <w:pPr>
              <w:spacing w:before="20" w:after="20"/>
            </w:pPr>
            <w:r>
              <w:rPr>
                <w:rFonts w:ascii="Calibri" w:hAnsi="Calibri"/>
                <w:sz w:val="19"/>
              </w:rPr>
              <w:t>Medium</w:t>
            </w:r>
          </w:p>
        </w:tc>
        <w:tc>
          <w:tcPr>
            <w:tcBorders>
              <w:top w:val="single" w:sz="4" w:color="BFBFBF"/>
              <w:left w:val="single" w:sz="4" w:color="BFBFBF"/>
              <w:bottom w:val="single" w:sz="4" w:color="BFBFBF"/>
              <w:right w:val="single" w:sz="4" w:color="BFBFBF"/>
            </w:tcBorders>
            <w:shd w:val="clear" w:color="auto" w:fill="F7F7F7"/>
            <w:tcW w:w="2760" w:type="dxa"/>
          </w:tcPr>
          <w:p>
            <w:pPr>
              <w:spacing w:before="20" w:after="20"/>
            </w:pPr>
            <w:r>
              <w:rPr>
                <w:rFonts w:ascii="Calibri" w:hAnsi="Calibri"/>
                <w:sz w:val="19"/>
              </w:rPr>
              <w:t>Risk-on tone capped gold; first sign of distribution near $4,775.</w:t>
            </w:r>
          </w:p>
        </w:tc>
      </w:tr>
      <w:tr>
        <w:tc>
          <w:tcPr>
            <w:tcBorders>
              <w:top w:val="single" w:sz="4" w:color="BFBFBF"/>
              <w:left w:val="single" w:sz="4" w:color="BFBFBF"/>
              <w:bottom w:val="single" w:sz="4" w:color="BFBFBF"/>
              <w:right w:val="single" w:sz="4" w:color="BFBFBF"/>
            </w:tcBorders>
            <w:tcW w:w="1500" w:type="dxa"/>
          </w:tcPr>
          <w:p>
            <w:pPr>
              <w:spacing w:before="20" w:after="20"/>
            </w:pPr>
            <w:r>
              <w:rPr>
                <w:rFonts w:ascii="Calibri" w:hAnsi="Calibri"/>
                <w:sz w:val="19"/>
              </w:rPr>
              <w:t>Mon 12 May 2026</w:t>
            </w:r>
          </w:p>
        </w:tc>
        <w:tc>
          <w:tcPr>
            <w:tcBorders>
              <w:top w:val="single" w:sz="4" w:color="BFBFBF"/>
              <w:left w:val="single" w:sz="4" w:color="BFBFBF"/>
              <w:bottom w:val="single" w:sz="4" w:color="BFBFBF"/>
              <w:right w:val="single" w:sz="4" w:color="BFBFBF"/>
            </w:tcBorders>
            <w:tcW w:w="2500" w:type="dxa"/>
          </w:tcPr>
          <w:p>
            <w:pPr>
              <w:spacing w:before="20" w:after="20"/>
            </w:pPr>
            <w:r>
              <w:rPr>
                <w:rFonts w:ascii="Calibri" w:hAnsi="Calibri"/>
                <w:sz w:val="19"/>
              </w:rPr>
              <w:t>India increases gold/silver import duty 6%→15%</w:t>
            </w:r>
          </w:p>
        </w:tc>
        <w:tc>
          <w:tcPr>
            <w:tcBorders>
              <w:top w:val="single" w:sz="4" w:color="BFBFBF"/>
              <w:left w:val="single" w:sz="4" w:color="BFBFBF"/>
              <w:bottom w:val="single" w:sz="4" w:color="BFBFBF"/>
              <w:right w:val="single" w:sz="4" w:color="BFBFBF"/>
            </w:tcBorders>
            <w:tcW w:w="1700" w:type="dxa"/>
          </w:tcPr>
          <w:p>
            <w:pPr>
              <w:spacing w:before="20" w:after="20"/>
            </w:pPr>
            <w:r>
              <w:rPr>
                <w:rFonts w:ascii="Calibri" w:hAnsi="Calibri"/>
                <w:sz w:val="19"/>
              </w:rPr>
              <w:t>Prior rate 6%</w:t>
            </w:r>
          </w:p>
        </w:tc>
        <w:tc>
          <w:tcPr>
            <w:tcBorders>
              <w:top w:val="single" w:sz="4" w:color="BFBFBF"/>
              <w:left w:val="single" w:sz="4" w:color="BFBFBF"/>
              <w:bottom w:val="single" w:sz="4" w:color="BFBFBF"/>
              <w:right w:val="single" w:sz="4" w:color="BFBFBF"/>
            </w:tcBorders>
            <w:tcW w:w="900" w:type="dxa"/>
          </w:tcPr>
          <w:p>
            <w:pPr>
              <w:spacing w:before="20" w:after="20"/>
            </w:pPr>
            <w:r>
              <w:rPr>
                <w:rFonts w:ascii="Calibri" w:hAnsi="Calibri"/>
                <w:sz w:val="19"/>
              </w:rPr>
              <w:t>High</w:t>
            </w:r>
          </w:p>
        </w:tc>
        <w:tc>
          <w:tcPr>
            <w:tcBorders>
              <w:top w:val="single" w:sz="4" w:color="BFBFBF"/>
              <w:left w:val="single" w:sz="4" w:color="BFBFBF"/>
              <w:bottom w:val="single" w:sz="4" w:color="BFBFBF"/>
              <w:right w:val="single" w:sz="4" w:color="BFBFBF"/>
            </w:tcBorders>
            <w:tcW w:w="2760" w:type="dxa"/>
          </w:tcPr>
          <w:p>
            <w:pPr>
              <w:spacing w:before="20" w:after="20"/>
            </w:pPr>
            <w:r>
              <w:rPr>
                <w:rFonts w:ascii="Calibri" w:hAnsi="Calibri"/>
                <w:sz w:val="19"/>
              </w:rPr>
              <w:t>Bullion demand-side shock; gold −0.82% on day.</w:t>
            </w:r>
          </w:p>
        </w:tc>
      </w:tr>
      <w:tr>
        <w:tc>
          <w:tcPr>
            <w:tcBorders>
              <w:top w:val="single" w:sz="4" w:color="BFBFBF"/>
              <w:left w:val="single" w:sz="4" w:color="BFBFBF"/>
              <w:bottom w:val="single" w:sz="4" w:color="BFBFBF"/>
              <w:right w:val="single" w:sz="4" w:color="BFBFBF"/>
            </w:tcBorders>
            <w:shd w:val="clear" w:color="auto" w:fill="F7F7F7"/>
            <w:tcW w:w="1500" w:type="dxa"/>
          </w:tcPr>
          <w:p>
            <w:pPr>
              <w:spacing w:before="20" w:after="20"/>
            </w:pPr>
            <w:r>
              <w:rPr>
                <w:rFonts w:ascii="Calibri" w:hAnsi="Calibri"/>
                <w:sz w:val="19"/>
              </w:rPr>
              <w:t>Tue 13 May 2026</w:t>
            </w:r>
          </w:p>
        </w:tc>
        <w:tc>
          <w:tcPr>
            <w:tcBorders>
              <w:top w:val="single" w:sz="4" w:color="BFBFBF"/>
              <w:left w:val="single" w:sz="4" w:color="BFBFBF"/>
              <w:bottom w:val="single" w:sz="4" w:color="BFBFBF"/>
              <w:right w:val="single" w:sz="4" w:color="BFBFBF"/>
            </w:tcBorders>
            <w:shd w:val="clear" w:color="auto" w:fill="F7F7F7"/>
            <w:tcW w:w="2500" w:type="dxa"/>
          </w:tcPr>
          <w:p>
            <w:pPr>
              <w:spacing w:before="20" w:after="20"/>
            </w:pPr>
            <w:r>
              <w:rPr>
                <w:rFonts w:ascii="Calibri" w:hAnsi="Calibri"/>
                <w:sz w:val="19"/>
              </w:rPr>
              <w:t>US April CPI</w:t>
            </w:r>
          </w:p>
        </w:tc>
        <w:tc>
          <w:tcPr>
            <w:tcBorders>
              <w:top w:val="single" w:sz="4" w:color="BFBFBF"/>
              <w:left w:val="single" w:sz="4" w:color="BFBFBF"/>
              <w:bottom w:val="single" w:sz="4" w:color="BFBFBF"/>
              <w:right w:val="single" w:sz="4" w:color="BFBFBF"/>
            </w:tcBorders>
            <w:shd w:val="clear" w:color="auto" w:fill="F7F7F7"/>
            <w:tcW w:w="1700" w:type="dxa"/>
          </w:tcPr>
          <w:p>
            <w:pPr>
              <w:spacing w:before="20" w:after="20"/>
            </w:pPr>
            <w:r>
              <w:rPr>
                <w:rFonts w:ascii="Calibri" w:hAnsi="Calibri"/>
                <w:sz w:val="19"/>
              </w:rPr>
              <w:t>Actual 3.8% vs cons 3.7%</w:t>
            </w:r>
          </w:p>
        </w:tc>
        <w:tc>
          <w:tcPr>
            <w:tcBorders>
              <w:top w:val="single" w:sz="4" w:color="BFBFBF"/>
              <w:left w:val="single" w:sz="4" w:color="BFBFBF"/>
              <w:bottom w:val="single" w:sz="4" w:color="BFBFBF"/>
              <w:right w:val="single" w:sz="4" w:color="BFBFBF"/>
            </w:tcBorders>
            <w:shd w:val="clear" w:color="auto" w:fill="F7F7F7"/>
            <w:tcW w:w="900" w:type="dxa"/>
          </w:tcPr>
          <w:p>
            <w:pPr>
              <w:spacing w:before="20" w:after="20"/>
            </w:pPr>
            <w:r>
              <w:rPr>
                <w:rFonts w:ascii="Calibri" w:hAnsi="Calibri"/>
                <w:sz w:val="19"/>
              </w:rPr>
              <w:t>High</w:t>
            </w:r>
          </w:p>
        </w:tc>
        <w:tc>
          <w:tcPr>
            <w:tcBorders>
              <w:top w:val="single" w:sz="4" w:color="BFBFBF"/>
              <w:left w:val="single" w:sz="4" w:color="BFBFBF"/>
              <w:bottom w:val="single" w:sz="4" w:color="BFBFBF"/>
              <w:right w:val="single" w:sz="4" w:color="BFBFBF"/>
            </w:tcBorders>
            <w:shd w:val="clear" w:color="auto" w:fill="F7F7F7"/>
            <w:tcW w:w="2760" w:type="dxa"/>
          </w:tcPr>
          <w:p>
            <w:pPr>
              <w:spacing w:before="20" w:after="20"/>
            </w:pPr>
            <w:r>
              <w:rPr>
                <w:rFonts w:ascii="Calibri" w:hAnsi="Calibri"/>
                <w:sz w:val="19"/>
              </w:rPr>
              <w:t>Real-yield channel: USDX up, gold down to $4,670 intraday low.</w:t>
            </w:r>
          </w:p>
        </w:tc>
      </w:tr>
      <w:tr>
        <w:tc>
          <w:tcPr>
            <w:tcBorders>
              <w:top w:val="single" w:sz="4" w:color="BFBFBF"/>
              <w:left w:val="single" w:sz="4" w:color="BFBFBF"/>
              <w:bottom w:val="single" w:sz="4" w:color="BFBFBF"/>
              <w:right w:val="single" w:sz="4" w:color="BFBFBF"/>
            </w:tcBorders>
            <w:tcW w:w="1500" w:type="dxa"/>
          </w:tcPr>
          <w:p>
            <w:pPr>
              <w:spacing w:before="20" w:after="20"/>
            </w:pPr>
            <w:r>
              <w:rPr>
                <w:rFonts w:ascii="Calibri" w:hAnsi="Calibri"/>
                <w:sz w:val="19"/>
              </w:rPr>
              <w:t>Wed 14 May 2026</w:t>
            </w:r>
          </w:p>
        </w:tc>
        <w:tc>
          <w:tcPr>
            <w:tcBorders>
              <w:top w:val="single" w:sz="4" w:color="BFBFBF"/>
              <w:left w:val="single" w:sz="4" w:color="BFBFBF"/>
              <w:bottom w:val="single" w:sz="4" w:color="BFBFBF"/>
              <w:right w:val="single" w:sz="4" w:color="BFBFBF"/>
            </w:tcBorders>
            <w:tcW w:w="2500" w:type="dxa"/>
          </w:tcPr>
          <w:p>
            <w:pPr>
              <w:spacing w:before="20" w:after="20"/>
            </w:pPr>
            <w:r>
              <w:rPr>
                <w:rFonts w:ascii="Calibri" w:hAnsi="Calibri"/>
                <w:sz w:val="19"/>
              </w:rPr>
              <w:t>US April PPI</w:t>
            </w:r>
          </w:p>
        </w:tc>
        <w:tc>
          <w:tcPr>
            <w:tcBorders>
              <w:top w:val="single" w:sz="4" w:color="BFBFBF"/>
              <w:left w:val="single" w:sz="4" w:color="BFBFBF"/>
              <w:bottom w:val="single" w:sz="4" w:color="BFBFBF"/>
              <w:right w:val="single" w:sz="4" w:color="BFBFBF"/>
            </w:tcBorders>
            <w:tcW w:w="1700" w:type="dxa"/>
          </w:tcPr>
          <w:p>
            <w:pPr>
              <w:spacing w:before="20" w:after="20"/>
            </w:pPr>
            <w:r>
              <w:rPr>
                <w:rFonts w:ascii="Calibri" w:hAnsi="Calibri"/>
                <w:sz w:val="19"/>
              </w:rPr>
              <w:t>Above consensus; largest gain since early 2022</w:t>
            </w:r>
          </w:p>
        </w:tc>
        <w:tc>
          <w:tcPr>
            <w:tcBorders>
              <w:top w:val="single" w:sz="4" w:color="BFBFBF"/>
              <w:left w:val="single" w:sz="4" w:color="BFBFBF"/>
              <w:bottom w:val="single" w:sz="4" w:color="BFBFBF"/>
              <w:right w:val="single" w:sz="4" w:color="BFBFBF"/>
            </w:tcBorders>
            <w:tcW w:w="900" w:type="dxa"/>
          </w:tcPr>
          <w:p>
            <w:pPr>
              <w:spacing w:before="20" w:after="20"/>
            </w:pPr>
            <w:r>
              <w:rPr>
                <w:rFonts w:ascii="Calibri" w:hAnsi="Calibri"/>
                <w:sz w:val="19"/>
              </w:rPr>
              <w:t>High</w:t>
            </w:r>
          </w:p>
        </w:tc>
        <w:tc>
          <w:tcPr>
            <w:tcBorders>
              <w:top w:val="single" w:sz="4" w:color="BFBFBF"/>
              <w:left w:val="single" w:sz="4" w:color="BFBFBF"/>
              <w:bottom w:val="single" w:sz="4" w:color="BFBFBF"/>
              <w:right w:val="single" w:sz="4" w:color="BFBFBF"/>
            </w:tcBorders>
            <w:tcW w:w="2760" w:type="dxa"/>
          </w:tcPr>
          <w:p>
            <w:pPr>
              <w:spacing w:before="20" w:after="20"/>
            </w:pPr>
            <w:r>
              <w:rPr>
                <w:rFonts w:ascii="Calibri" w:hAnsi="Calibri"/>
                <w:sz w:val="19"/>
              </w:rPr>
              <w:t>Reinforced no-cut path; gold stabilises at $4,665–$4,712.</w:t>
            </w:r>
          </w:p>
        </w:tc>
      </w:tr>
    </w:tbl>
    <w:p>
      <w:pPr>
        <w:spacing w:after="40" w:before="0"/>
      </w:pPr>
      <w:r>
        <w:rPr>
          <w:rFonts w:ascii="Calibri" w:hAnsi="Calibri"/>
          <w:b/>
          <w:i w:val="0"/>
          <w:sz w:val="22"/>
        </w:rPr>
        <w:t>§13d  News calendar (upcoming 5 sessions):</w:t>
      </w:r>
    </w:p>
    <w:tbl>
      <w:tblPr>
        <w:jc w:val="left"/>
        <w:tblLayout w:type="fixed"/>
        <w:tblLook w:firstColumn="1" w:firstRow="1" w:lastColumn="0" w:lastRow="0" w:noHBand="0" w:noVBand="1" w:val="04A0"/>
        <w:tblW w:w="9360" w:type="dxa"/>
      </w:tblPr>
      <w:tblGrid>
        <w:gridCol w:w="2016"/>
        <w:gridCol w:w="2016"/>
        <w:gridCol w:w="2016"/>
        <w:gridCol w:w="2016"/>
        <w:gridCol w:w="2016"/>
      </w:tblGrid>
      <w:tr>
        <w:tc>
          <w:tcPr>
            <w:shd w:val="clear" w:color="auto" w:fill="1F3A5F"/>
            <w:tcBorders>
              <w:top w:val="single" w:sz="4" w:color="BFBFBF"/>
              <w:left w:val="single" w:sz="4" w:color="BFBFBF"/>
              <w:bottom w:val="single" w:sz="4" w:color="BFBFBF"/>
              <w:right w:val="single" w:sz="4" w:color="BFBFBF"/>
            </w:tcBorders>
            <w:tcW w:w="1500" w:type="dxa"/>
          </w:tcPr>
          <w:p>
            <w:pPr>
              <w:spacing w:before="40" w:after="40"/>
            </w:pPr>
            <w:r>
              <w:rPr>
                <w:rFonts w:ascii="Calibri" w:hAnsi="Calibri"/>
                <w:b/>
                <w:color w:val="FFFFFF"/>
                <w:sz w:val="20"/>
              </w:rPr>
              <w:t>Date</w:t>
            </w:r>
          </w:p>
        </w:tc>
        <w:tc>
          <w:tcPr>
            <w:shd w:val="clear" w:color="auto" w:fill="1F3A5F"/>
            <w:tcBorders>
              <w:top w:val="single" w:sz="4" w:color="BFBFBF"/>
              <w:left w:val="single" w:sz="4" w:color="BFBFBF"/>
              <w:bottom w:val="single" w:sz="4" w:color="BFBFBF"/>
              <w:right w:val="single" w:sz="4" w:color="BFBFBF"/>
            </w:tcBorders>
            <w:tcW w:w="2500" w:type="dxa"/>
          </w:tcPr>
          <w:p>
            <w:pPr>
              <w:spacing w:before="40" w:after="40"/>
            </w:pPr>
            <w:r>
              <w:rPr>
                <w:rFonts w:ascii="Calibri" w:hAnsi="Calibri"/>
                <w:b/>
                <w:color w:val="FFFFFF"/>
                <w:sz w:val="20"/>
              </w:rPr>
              <w:t>Event</w:t>
            </w:r>
          </w:p>
        </w:tc>
        <w:tc>
          <w:tcPr>
            <w:shd w:val="clear" w:color="auto" w:fill="1F3A5F"/>
            <w:tcBorders>
              <w:top w:val="single" w:sz="4" w:color="BFBFBF"/>
              <w:left w:val="single" w:sz="4" w:color="BFBFBF"/>
              <w:bottom w:val="single" w:sz="4" w:color="BFBFBF"/>
              <w:right w:val="single" w:sz="4" w:color="BFBFBF"/>
            </w:tcBorders>
            <w:tcW w:w="1700" w:type="dxa"/>
          </w:tcPr>
          <w:p>
            <w:pPr>
              <w:spacing w:before="40" w:after="40"/>
            </w:pPr>
            <w:r>
              <w:rPr>
                <w:rFonts w:ascii="Calibri" w:hAnsi="Calibri"/>
                <w:b/>
                <w:color w:val="FFFFFF"/>
                <w:sz w:val="20"/>
              </w:rPr>
              <w:t>Prior / Context</w:t>
            </w:r>
          </w:p>
        </w:tc>
        <w:tc>
          <w:tcPr>
            <w:shd w:val="clear" w:color="auto" w:fill="1F3A5F"/>
            <w:tcBorders>
              <w:top w:val="single" w:sz="4" w:color="BFBFBF"/>
              <w:left w:val="single" w:sz="4" w:color="BFBFBF"/>
              <w:bottom w:val="single" w:sz="4" w:color="BFBFBF"/>
              <w:right w:val="single" w:sz="4" w:color="BFBFBF"/>
            </w:tcBorders>
            <w:tcW w:w="1100" w:type="dxa"/>
          </w:tcPr>
          <w:p>
            <w:pPr>
              <w:spacing w:before="40" w:after="40"/>
            </w:pPr>
            <w:r>
              <w:rPr>
                <w:rFonts w:ascii="Calibri" w:hAnsi="Calibri"/>
                <w:b/>
                <w:color w:val="FFFFFF"/>
                <w:sz w:val="20"/>
              </w:rPr>
              <w:t>Impact</w:t>
            </w:r>
          </w:p>
        </w:tc>
        <w:tc>
          <w:tcPr>
            <w:shd w:val="clear" w:color="auto" w:fill="1F3A5F"/>
            <w:tcBorders>
              <w:top w:val="single" w:sz="4" w:color="BFBFBF"/>
              <w:left w:val="single" w:sz="4" w:color="BFBFBF"/>
              <w:bottom w:val="single" w:sz="4" w:color="BFBFBF"/>
              <w:right w:val="single" w:sz="4" w:color="BFBFBF"/>
            </w:tcBorders>
            <w:tcW w:w="2560" w:type="dxa"/>
          </w:tcPr>
          <w:p>
            <w:pPr>
              <w:spacing w:before="40" w:after="40"/>
            </w:pPr>
            <w:r>
              <w:rPr>
                <w:rFonts w:ascii="Calibri" w:hAnsi="Calibri"/>
                <w:b/>
                <w:color w:val="FFFFFF"/>
                <w:sz w:val="20"/>
              </w:rPr>
              <w:t>Market implication</w:t>
            </w:r>
          </w:p>
        </w:tc>
      </w:tr>
      <w:tr>
        <w:tc>
          <w:tcPr>
            <w:tcBorders>
              <w:top w:val="single" w:sz="4" w:color="BFBFBF"/>
              <w:left w:val="single" w:sz="4" w:color="BFBFBF"/>
              <w:bottom w:val="single" w:sz="4" w:color="BFBFBF"/>
              <w:right w:val="single" w:sz="4" w:color="BFBFBF"/>
            </w:tcBorders>
            <w:tcW w:w="1500" w:type="dxa"/>
          </w:tcPr>
          <w:p>
            <w:pPr>
              <w:spacing w:before="20" w:after="20"/>
            </w:pPr>
            <w:r>
              <w:rPr>
                <w:rFonts w:ascii="Calibri" w:hAnsi="Calibri"/>
                <w:sz w:val="19"/>
              </w:rPr>
              <w:t>Thu 15 May 2026</w:t>
            </w:r>
          </w:p>
        </w:tc>
        <w:tc>
          <w:tcPr>
            <w:tcBorders>
              <w:top w:val="single" w:sz="4" w:color="BFBFBF"/>
              <w:left w:val="single" w:sz="4" w:color="BFBFBF"/>
              <w:bottom w:val="single" w:sz="4" w:color="BFBFBF"/>
              <w:right w:val="single" w:sz="4" w:color="BFBFBF"/>
            </w:tcBorders>
            <w:tcW w:w="2500" w:type="dxa"/>
          </w:tcPr>
          <w:p>
            <w:pPr>
              <w:spacing w:before="20" w:after="20"/>
            </w:pPr>
            <w:r>
              <w:rPr>
                <w:rFonts w:ascii="Calibri" w:hAnsi="Calibri"/>
                <w:sz w:val="19"/>
              </w:rPr>
              <w:t>US import prices / weekly jobless claims</w:t>
            </w:r>
          </w:p>
        </w:tc>
        <w:tc>
          <w:tcPr>
            <w:tcBorders>
              <w:top w:val="single" w:sz="4" w:color="BFBFBF"/>
              <w:left w:val="single" w:sz="4" w:color="BFBFBF"/>
              <w:bottom w:val="single" w:sz="4" w:color="BFBFBF"/>
              <w:right w:val="single" w:sz="4" w:color="BFBFBF"/>
            </w:tcBorders>
            <w:tcW w:w="1700" w:type="dxa"/>
          </w:tcPr>
          <w:p>
            <w:pPr>
              <w:spacing w:before="20" w:after="20"/>
            </w:pPr>
            <w:r>
              <w:rPr>
                <w:rFonts w:ascii="Calibri" w:hAnsi="Calibri"/>
                <w:sz w:val="19"/>
              </w:rPr>
              <w:t>Cons import prices +0.3% m/m</w:t>
            </w:r>
          </w:p>
        </w:tc>
        <w:tc>
          <w:tcPr>
            <w:tcBorders>
              <w:top w:val="single" w:sz="4" w:color="BFBFBF"/>
              <w:left w:val="single" w:sz="4" w:color="BFBFBF"/>
              <w:bottom w:val="single" w:sz="4" w:color="BFBFBF"/>
              <w:right w:val="single" w:sz="4" w:color="BFBFBF"/>
            </w:tcBorders>
            <w:tcW w:w="1100" w:type="dxa"/>
          </w:tcPr>
          <w:p>
            <w:pPr>
              <w:spacing w:before="20" w:after="20"/>
            </w:pPr>
            <w:r>
              <w:rPr>
                <w:rFonts w:ascii="Calibri" w:hAnsi="Calibri"/>
                <w:sz w:val="19"/>
              </w:rPr>
              <w:t>Medium</w:t>
            </w:r>
          </w:p>
        </w:tc>
        <w:tc>
          <w:tcPr>
            <w:tcBorders>
              <w:top w:val="single" w:sz="4" w:color="BFBFBF"/>
              <w:left w:val="single" w:sz="4" w:color="BFBFBF"/>
              <w:bottom w:val="single" w:sz="4" w:color="BFBFBF"/>
              <w:right w:val="single" w:sz="4" w:color="BFBFBF"/>
            </w:tcBorders>
            <w:tcW w:w="2560" w:type="dxa"/>
          </w:tcPr>
          <w:p>
            <w:pPr>
              <w:spacing w:before="20" w:after="20"/>
            </w:pPr>
            <w:r>
              <w:rPr>
                <w:rFonts w:ascii="Calibri" w:hAnsi="Calibri"/>
                <w:sz w:val="19"/>
              </w:rPr>
              <w:t>An upside surprise extends the no-cut narrative — bearish gold; in-line reopens upside.</w:t>
            </w:r>
          </w:p>
        </w:tc>
      </w:tr>
      <w:tr>
        <w:tc>
          <w:tcPr>
            <w:tcBorders>
              <w:top w:val="single" w:sz="4" w:color="BFBFBF"/>
              <w:left w:val="single" w:sz="4" w:color="BFBFBF"/>
              <w:bottom w:val="single" w:sz="4" w:color="BFBFBF"/>
              <w:right w:val="single" w:sz="4" w:color="BFBFBF"/>
            </w:tcBorders>
            <w:shd w:val="clear" w:color="auto" w:fill="F7F7F7"/>
            <w:tcW w:w="1500" w:type="dxa"/>
          </w:tcPr>
          <w:p>
            <w:pPr>
              <w:spacing w:before="20" w:after="20"/>
            </w:pPr>
            <w:r>
              <w:rPr>
                <w:rFonts w:ascii="Calibri" w:hAnsi="Calibri"/>
                <w:sz w:val="19"/>
              </w:rPr>
              <w:t>Fri 16 May 2026</w:t>
            </w:r>
          </w:p>
        </w:tc>
        <w:tc>
          <w:tcPr>
            <w:tcBorders>
              <w:top w:val="single" w:sz="4" w:color="BFBFBF"/>
              <w:left w:val="single" w:sz="4" w:color="BFBFBF"/>
              <w:bottom w:val="single" w:sz="4" w:color="BFBFBF"/>
              <w:right w:val="single" w:sz="4" w:color="BFBFBF"/>
            </w:tcBorders>
            <w:shd w:val="clear" w:color="auto" w:fill="F7F7F7"/>
            <w:tcW w:w="2500" w:type="dxa"/>
          </w:tcPr>
          <w:p>
            <w:pPr>
              <w:spacing w:before="20" w:after="20"/>
            </w:pPr>
            <w:r>
              <w:rPr>
                <w:rFonts w:ascii="Calibri" w:hAnsi="Calibri"/>
                <w:sz w:val="19"/>
              </w:rPr>
              <w:t>Univ. of Michigan inflation expectations (prelim)</w:t>
            </w:r>
          </w:p>
        </w:tc>
        <w:tc>
          <w:tcPr>
            <w:tcBorders>
              <w:top w:val="single" w:sz="4" w:color="BFBFBF"/>
              <w:left w:val="single" w:sz="4" w:color="BFBFBF"/>
              <w:bottom w:val="single" w:sz="4" w:color="BFBFBF"/>
              <w:right w:val="single" w:sz="4" w:color="BFBFBF"/>
            </w:tcBorders>
            <w:shd w:val="clear" w:color="auto" w:fill="F7F7F7"/>
            <w:tcW w:w="1700" w:type="dxa"/>
          </w:tcPr>
          <w:p>
            <w:pPr>
              <w:spacing w:before="20" w:after="20"/>
            </w:pPr>
            <w:r>
              <w:rPr>
                <w:rFonts w:ascii="Calibri" w:hAnsi="Calibri"/>
                <w:sz w:val="19"/>
              </w:rPr>
              <w:t>Prior 1-yr 3.6%; 5-10yr 3.2%</w:t>
            </w:r>
          </w:p>
        </w:tc>
        <w:tc>
          <w:tcPr>
            <w:tcBorders>
              <w:top w:val="single" w:sz="4" w:color="BFBFBF"/>
              <w:left w:val="single" w:sz="4" w:color="BFBFBF"/>
              <w:bottom w:val="single" w:sz="4" w:color="BFBFBF"/>
              <w:right w:val="single" w:sz="4" w:color="BFBFBF"/>
            </w:tcBorders>
            <w:shd w:val="clear" w:color="auto" w:fill="F7F7F7"/>
            <w:tcW w:w="1100" w:type="dxa"/>
          </w:tcPr>
          <w:p>
            <w:pPr>
              <w:spacing w:before="20" w:after="20"/>
            </w:pPr>
            <w:r>
              <w:rPr>
                <w:rFonts w:ascii="Calibri" w:hAnsi="Calibri"/>
                <w:sz w:val="19"/>
              </w:rPr>
              <w:t>High (single highest impact upcoming)</w:t>
            </w:r>
          </w:p>
        </w:tc>
        <w:tc>
          <w:tcPr>
            <w:tcBorders>
              <w:top w:val="single" w:sz="4" w:color="BFBFBF"/>
              <w:left w:val="single" w:sz="4" w:color="BFBFBF"/>
              <w:bottom w:val="single" w:sz="4" w:color="BFBFBF"/>
              <w:right w:val="single" w:sz="4" w:color="BFBFBF"/>
            </w:tcBorders>
            <w:shd w:val="clear" w:color="auto" w:fill="F7F7F7"/>
            <w:tcW w:w="2560" w:type="dxa"/>
          </w:tcPr>
          <w:p>
            <w:pPr>
              <w:spacing w:before="20" w:after="20"/>
            </w:pPr>
            <w:r>
              <w:rPr>
                <w:rFonts w:ascii="Calibri" w:hAnsi="Calibri"/>
                <w:sz w:val="19"/>
              </w:rPr>
              <w:t>Bold: a hot 1-year print pushes real yields higher and pressures gold; a cool print is the cleanest dovish trigger for a $4,775 retest.</w:t>
            </w:r>
          </w:p>
        </w:tc>
      </w:tr>
      <w:tr>
        <w:tc>
          <w:tcPr>
            <w:tcBorders>
              <w:top w:val="single" w:sz="4" w:color="BFBFBF"/>
              <w:left w:val="single" w:sz="4" w:color="BFBFBF"/>
              <w:bottom w:val="single" w:sz="4" w:color="BFBFBF"/>
              <w:right w:val="single" w:sz="4" w:color="BFBFBF"/>
            </w:tcBorders>
            <w:tcW w:w="1500" w:type="dxa"/>
          </w:tcPr>
          <w:p>
            <w:pPr>
              <w:spacing w:before="20" w:after="20"/>
            </w:pPr>
            <w:r>
              <w:rPr>
                <w:rFonts w:ascii="Calibri" w:hAnsi="Calibri"/>
                <w:sz w:val="19"/>
              </w:rPr>
              <w:t>Mon 19 May 2026</w:t>
            </w:r>
          </w:p>
        </w:tc>
        <w:tc>
          <w:tcPr>
            <w:tcBorders>
              <w:top w:val="single" w:sz="4" w:color="BFBFBF"/>
              <w:left w:val="single" w:sz="4" w:color="BFBFBF"/>
              <w:bottom w:val="single" w:sz="4" w:color="BFBFBF"/>
              <w:right w:val="single" w:sz="4" w:color="BFBFBF"/>
            </w:tcBorders>
            <w:tcW w:w="2500" w:type="dxa"/>
          </w:tcPr>
          <w:p>
            <w:pPr>
              <w:spacing w:before="20" w:after="20"/>
            </w:pPr>
            <w:r>
              <w:rPr>
                <w:rFonts w:ascii="Calibri" w:hAnsi="Calibri"/>
                <w:sz w:val="19"/>
              </w:rPr>
              <w:t>PBoC monthly gold reserves data</w:t>
            </w:r>
          </w:p>
        </w:tc>
        <w:tc>
          <w:tcPr>
            <w:tcBorders>
              <w:top w:val="single" w:sz="4" w:color="BFBFBF"/>
              <w:left w:val="single" w:sz="4" w:color="BFBFBF"/>
              <w:bottom w:val="single" w:sz="4" w:color="BFBFBF"/>
              <w:right w:val="single" w:sz="4" w:color="BFBFBF"/>
            </w:tcBorders>
            <w:tcW w:w="1700" w:type="dxa"/>
          </w:tcPr>
          <w:p>
            <w:pPr>
              <w:spacing w:before="20" w:after="20"/>
            </w:pPr>
            <w:r>
              <w:rPr>
                <w:rFonts w:ascii="Calibri" w:hAnsi="Calibri"/>
                <w:sz w:val="19"/>
              </w:rPr>
              <w:t>Prior month: +5t</w:t>
            </w:r>
          </w:p>
        </w:tc>
        <w:tc>
          <w:tcPr>
            <w:tcBorders>
              <w:top w:val="single" w:sz="4" w:color="BFBFBF"/>
              <w:left w:val="single" w:sz="4" w:color="BFBFBF"/>
              <w:bottom w:val="single" w:sz="4" w:color="BFBFBF"/>
              <w:right w:val="single" w:sz="4" w:color="BFBFBF"/>
            </w:tcBorders>
            <w:tcW w:w="1100" w:type="dxa"/>
          </w:tcPr>
          <w:p>
            <w:pPr>
              <w:spacing w:before="20" w:after="20"/>
            </w:pPr>
            <w:r>
              <w:rPr>
                <w:rFonts w:ascii="Calibri" w:hAnsi="Calibri"/>
                <w:sz w:val="19"/>
              </w:rPr>
              <w:t>Medium</w:t>
            </w:r>
          </w:p>
        </w:tc>
        <w:tc>
          <w:tcPr>
            <w:tcBorders>
              <w:top w:val="single" w:sz="4" w:color="BFBFBF"/>
              <w:left w:val="single" w:sz="4" w:color="BFBFBF"/>
              <w:bottom w:val="single" w:sz="4" w:color="BFBFBF"/>
              <w:right w:val="single" w:sz="4" w:color="BFBFBF"/>
            </w:tcBorders>
            <w:tcW w:w="2560" w:type="dxa"/>
          </w:tcPr>
          <w:p>
            <w:pPr>
              <w:spacing w:before="20" w:after="20"/>
            </w:pPr>
            <w:r>
              <w:rPr>
                <w:rFonts w:ascii="Calibri" w:hAnsi="Calibri"/>
                <w:sz w:val="19"/>
              </w:rPr>
              <w:t>Confirms or weakens the central-bank demand pillar; misses are scarce — base case is supportive.</w:t>
            </w:r>
          </w:p>
        </w:tc>
      </w:tr>
      <w:tr>
        <w:tc>
          <w:tcPr>
            <w:tcBorders>
              <w:top w:val="single" w:sz="4" w:color="BFBFBF"/>
              <w:left w:val="single" w:sz="4" w:color="BFBFBF"/>
              <w:bottom w:val="single" w:sz="4" w:color="BFBFBF"/>
              <w:right w:val="single" w:sz="4" w:color="BFBFBF"/>
            </w:tcBorders>
            <w:shd w:val="clear" w:color="auto" w:fill="F7F7F7"/>
            <w:tcW w:w="1500" w:type="dxa"/>
          </w:tcPr>
          <w:p>
            <w:pPr>
              <w:spacing w:before="20" w:after="20"/>
            </w:pPr>
            <w:r>
              <w:rPr>
                <w:rFonts w:ascii="Calibri" w:hAnsi="Calibri"/>
                <w:sz w:val="19"/>
              </w:rPr>
              <w:t>Tue 20 May 2026</w:t>
            </w:r>
          </w:p>
        </w:tc>
        <w:tc>
          <w:tcPr>
            <w:tcBorders>
              <w:top w:val="single" w:sz="4" w:color="BFBFBF"/>
              <w:left w:val="single" w:sz="4" w:color="BFBFBF"/>
              <w:bottom w:val="single" w:sz="4" w:color="BFBFBF"/>
              <w:right w:val="single" w:sz="4" w:color="BFBFBF"/>
            </w:tcBorders>
            <w:shd w:val="clear" w:color="auto" w:fill="F7F7F7"/>
            <w:tcW w:w="2500" w:type="dxa"/>
          </w:tcPr>
          <w:p>
            <w:pPr>
              <w:spacing w:before="20" w:after="20"/>
            </w:pPr>
            <w:r>
              <w:rPr>
                <w:rFonts w:ascii="Calibri" w:hAnsi="Calibri"/>
                <w:sz w:val="19"/>
              </w:rPr>
              <w:t>FOMC speakers (multiple)</w:t>
            </w:r>
          </w:p>
        </w:tc>
        <w:tc>
          <w:tcPr>
            <w:tcBorders>
              <w:top w:val="single" w:sz="4" w:color="BFBFBF"/>
              <w:left w:val="single" w:sz="4" w:color="BFBFBF"/>
              <w:bottom w:val="single" w:sz="4" w:color="BFBFBF"/>
              <w:right w:val="single" w:sz="4" w:color="BFBFBF"/>
            </w:tcBorders>
            <w:shd w:val="clear" w:color="auto" w:fill="F7F7F7"/>
            <w:tcW w:w="1700" w:type="dxa"/>
          </w:tcPr>
          <w:p>
            <w:pPr>
              <w:spacing w:before="20" w:after="20"/>
            </w:pPr>
            <w:r>
              <w:rPr>
                <w:rFonts w:ascii="Calibri" w:hAnsi="Calibri"/>
                <w:sz w:val="19"/>
              </w:rPr>
              <w:t>Tone watch post-CPI/PPI</w:t>
            </w:r>
          </w:p>
        </w:tc>
        <w:tc>
          <w:tcPr>
            <w:tcBorders>
              <w:top w:val="single" w:sz="4" w:color="BFBFBF"/>
              <w:left w:val="single" w:sz="4" w:color="BFBFBF"/>
              <w:bottom w:val="single" w:sz="4" w:color="BFBFBF"/>
              <w:right w:val="single" w:sz="4" w:color="BFBFBF"/>
            </w:tcBorders>
            <w:shd w:val="clear" w:color="auto" w:fill="F7F7F7"/>
            <w:tcW w:w="1100" w:type="dxa"/>
          </w:tcPr>
          <w:p>
            <w:pPr>
              <w:spacing w:before="20" w:after="20"/>
            </w:pPr>
            <w:r>
              <w:rPr>
                <w:rFonts w:ascii="Calibri" w:hAnsi="Calibri"/>
                <w:sz w:val="19"/>
              </w:rPr>
              <w:t>Medium</w:t>
            </w:r>
          </w:p>
        </w:tc>
        <w:tc>
          <w:tcPr>
            <w:tcBorders>
              <w:top w:val="single" w:sz="4" w:color="BFBFBF"/>
              <w:left w:val="single" w:sz="4" w:color="BFBFBF"/>
              <w:bottom w:val="single" w:sz="4" w:color="BFBFBF"/>
              <w:right w:val="single" w:sz="4" w:color="BFBFBF"/>
            </w:tcBorders>
            <w:shd w:val="clear" w:color="auto" w:fill="F7F7F7"/>
            <w:tcW w:w="2560" w:type="dxa"/>
          </w:tcPr>
          <w:p>
            <w:pPr>
              <w:spacing w:before="20" w:after="20"/>
            </w:pPr>
            <w:r>
              <w:rPr>
                <w:rFonts w:ascii="Calibri" w:hAnsi="Calibri"/>
                <w:sz w:val="19"/>
              </w:rPr>
              <w:t>Hawkish lean reinforces real-yield headwind; dovish lean is a relief bid.</w:t>
            </w:r>
          </w:p>
        </w:tc>
      </w:tr>
      <w:tr>
        <w:tc>
          <w:tcPr>
            <w:tcBorders>
              <w:top w:val="single" w:sz="4" w:color="BFBFBF"/>
              <w:left w:val="single" w:sz="4" w:color="BFBFBF"/>
              <w:bottom w:val="single" w:sz="4" w:color="BFBFBF"/>
              <w:right w:val="single" w:sz="4" w:color="BFBFBF"/>
            </w:tcBorders>
            <w:tcW w:w="1500" w:type="dxa"/>
          </w:tcPr>
          <w:p>
            <w:pPr>
              <w:spacing w:before="20" w:after="20"/>
            </w:pPr>
            <w:r>
              <w:rPr>
                <w:rFonts w:ascii="Calibri" w:hAnsi="Calibri"/>
                <w:sz w:val="19"/>
              </w:rPr>
              <w:t>Wed 21 May 2026</w:t>
            </w:r>
          </w:p>
        </w:tc>
        <w:tc>
          <w:tcPr>
            <w:tcBorders>
              <w:top w:val="single" w:sz="4" w:color="BFBFBF"/>
              <w:left w:val="single" w:sz="4" w:color="BFBFBF"/>
              <w:bottom w:val="single" w:sz="4" w:color="BFBFBF"/>
              <w:right w:val="single" w:sz="4" w:color="BFBFBF"/>
            </w:tcBorders>
            <w:tcW w:w="2500" w:type="dxa"/>
          </w:tcPr>
          <w:p>
            <w:pPr>
              <w:spacing w:before="20" w:after="20"/>
            </w:pPr>
            <w:r>
              <w:rPr>
                <w:rFonts w:ascii="Calibri" w:hAnsi="Calibri"/>
                <w:sz w:val="19"/>
              </w:rPr>
              <w:t>S&amp;P Global Flash PMIs (US, Eurozone)</w:t>
            </w:r>
          </w:p>
        </w:tc>
        <w:tc>
          <w:tcPr>
            <w:tcBorders>
              <w:top w:val="single" w:sz="4" w:color="BFBFBF"/>
              <w:left w:val="single" w:sz="4" w:color="BFBFBF"/>
              <w:bottom w:val="single" w:sz="4" w:color="BFBFBF"/>
              <w:right w:val="single" w:sz="4" w:color="BFBFBF"/>
            </w:tcBorders>
            <w:tcW w:w="1700" w:type="dxa"/>
          </w:tcPr>
          <w:p>
            <w:pPr>
              <w:spacing w:before="20" w:after="20"/>
            </w:pPr>
            <w:r>
              <w:rPr>
                <w:rFonts w:ascii="Calibri" w:hAnsi="Calibri"/>
                <w:sz w:val="19"/>
              </w:rPr>
              <w:t>Manufacturing 50.1 prior</w:t>
            </w:r>
          </w:p>
        </w:tc>
        <w:tc>
          <w:tcPr>
            <w:tcBorders>
              <w:top w:val="single" w:sz="4" w:color="BFBFBF"/>
              <w:left w:val="single" w:sz="4" w:color="BFBFBF"/>
              <w:bottom w:val="single" w:sz="4" w:color="BFBFBF"/>
              <w:right w:val="single" w:sz="4" w:color="BFBFBF"/>
            </w:tcBorders>
            <w:tcW w:w="1100" w:type="dxa"/>
          </w:tcPr>
          <w:p>
            <w:pPr>
              <w:spacing w:before="20" w:after="20"/>
            </w:pPr>
            <w:r>
              <w:rPr>
                <w:rFonts w:ascii="Calibri" w:hAnsi="Calibri"/>
                <w:sz w:val="19"/>
              </w:rPr>
              <w:t>Medium</w:t>
            </w:r>
          </w:p>
        </w:tc>
        <w:tc>
          <w:tcPr>
            <w:tcBorders>
              <w:top w:val="single" w:sz="4" w:color="BFBFBF"/>
              <w:left w:val="single" w:sz="4" w:color="BFBFBF"/>
              <w:bottom w:val="single" w:sz="4" w:color="BFBFBF"/>
              <w:right w:val="single" w:sz="4" w:color="BFBFBF"/>
            </w:tcBorders>
            <w:tcW w:w="2560" w:type="dxa"/>
          </w:tcPr>
          <w:p>
            <w:pPr>
              <w:spacing w:before="20" w:after="20"/>
            </w:pPr>
            <w:r>
              <w:rPr>
                <w:rFonts w:ascii="Calibri" w:hAnsi="Calibri"/>
                <w:sz w:val="19"/>
              </w:rPr>
              <w:t>Below-50 prints push safe-haven bid; above-50 reinforces risk-on tape.</w:t>
            </w:r>
          </w:p>
        </w:tc>
      </w:tr>
    </w:tbl>
    <w:tbl>
      <w:tblPr>
        <w:jc w:val="left"/>
        <w:tblLook w:firstColumn="1" w:firstRow="1" w:lastColumn="0" w:lastRow="0" w:noHBand="0" w:noVBand="1" w:val="04A0"/>
        <w:tblW w:w="16400" w:type="dxa"/>
      </w:tblPr>
      <w:tblGrid>
        <w:gridCol w:w="10080"/>
      </w:tblGrid>
      <w:tr>
        <w:tc>
          <w:tcPr>
            <w:tcW w:type="dxa" w:w="10080"/>
            <w:shd w:val="clear" w:color="auto" w:fill="1F3A5F"/>
          </w:tcPr>
          <w:p>
            <w:pPr>
              <w:spacing w:before="40" w:after="40"/>
            </w:pPr>
            <w:r>
              <w:rPr>
                <w:rFonts w:ascii="Calibri" w:hAnsi="Calibri"/>
                <w:b/>
                <w:color w:val="FFFFFF"/>
                <w:sz w:val="24"/>
              </w:rPr>
              <w:t>§14  MACRO CONTEXT</w:t>
            </w:r>
          </w:p>
        </w:tc>
      </w:tr>
    </w:tbl>
    <w:p>
      <w:pPr>
        <w:spacing w:after="60" w:before="0"/>
      </w:pPr>
      <w:r>
        <w:rPr>
          <w:rFonts w:ascii="Calibri" w:hAnsi="Calibri"/>
          <w:b w:val="0"/>
          <w:i w:val="0"/>
          <w:sz w:val="21"/>
        </w:rPr>
        <w:t>Rates: Fed Funds at 3.50–3.75%; CME FedWatch implies 95.8% June hold, 4.2% cut. Two-year UST yields firmer post-CPI. Net effect on Gold: negative.</w:t>
      </w:r>
    </w:p>
    <w:p>
      <w:pPr>
        <w:spacing w:after="60" w:before="0"/>
      </w:pPr>
      <w:r>
        <w:rPr>
          <w:rFonts w:ascii="Calibri" w:hAnsi="Calibri"/>
          <w:b w:val="0"/>
          <w:i w:val="0"/>
          <w:sz w:val="21"/>
        </w:rPr>
        <w:t>Inflation: April US CPI 3.8% y/y (high since May 2023); April PPI biggest m/m gain since early 2022. Real yields drifting higher despite nominal-yield rally because breakevens haven't kept pace. Net effect on Gold: negative (short-term), supportive (medium-term, if inflation persistence story regains primacy).</w:t>
      </w:r>
    </w:p>
    <w:p>
      <w:pPr>
        <w:spacing w:after="60" w:before="0"/>
      </w:pPr>
      <w:r>
        <w:rPr>
          <w:rFonts w:ascii="Calibri" w:hAnsi="Calibri"/>
          <w:b w:val="0"/>
          <w:i w:val="0"/>
          <w:sz w:val="21"/>
        </w:rPr>
        <w:t>Liquidity / FX: USDX at ≈ 98.6, near one-week high. EUR/USD pressured into 1.1710–1.1820. Stronger dollar reduces non-USD gold demand. Net effect on Gold: negative.</w:t>
      </w:r>
    </w:p>
    <w:p>
      <w:pPr>
        <w:spacing w:after="60" w:before="0"/>
      </w:pPr>
      <w:r>
        <w:rPr>
          <w:rFonts w:ascii="Calibri" w:hAnsi="Calibri"/>
          <w:b w:val="0"/>
          <w:i w:val="0"/>
          <w:sz w:val="21"/>
        </w:rPr>
        <w:t>Cross-asset: VIX subdued at ≈ 18 — no panic bid. Oil firmer on Iran tensions ($101+/bbl) — supports the gold inflation-hedge narrative but the rate-path mechanic is currently dominant.</w:t>
      </w:r>
    </w:p>
    <w:p>
      <w:pPr>
        <w:spacing w:after="80" w:before="0"/>
      </w:pPr>
      <w:r>
        <w:rPr>
          <w:rFonts w:ascii="Calibri" w:hAnsi="Calibri"/>
          <w:b w:val="0"/>
          <w:i w:val="0"/>
          <w:sz w:val="21"/>
        </w:rPr>
        <w:t>Positioning: COMEX net-long managed-money positioning eased from late-April peak (per CFTC weekly disaggregated data); ETF holdings down modestly. Stretched-long unwind is partial, not exhausted.</w:t>
      </w:r>
    </w:p>
    <w:p>
      <w:pPr>
        <w:spacing w:after="160" w:before="0"/>
      </w:pPr>
      <w:r>
        <w:rPr>
          <w:rFonts w:ascii="Calibri" w:hAnsi="Calibri"/>
          <w:b w:val="0"/>
          <w:i/>
          <w:sz w:val="21"/>
        </w:rPr>
        <w:t>Cross-reference to §10: USDX rising read confirms the rates/FX mechanism narrative here. DAX falling supports the defensive tilt at the European margin. No contradiction with §10 silently resolved.</w:t>
      </w:r>
    </w:p>
    <w:tbl>
      <w:tblPr>
        <w:jc w:val="left"/>
        <w:tblLook w:firstColumn="1" w:firstRow="1" w:lastColumn="0" w:lastRow="0" w:noHBand="0" w:noVBand="1" w:val="04A0"/>
        <w:tblW w:w="16400" w:type="dxa"/>
      </w:tblPr>
      <w:tblGrid>
        <w:gridCol w:w="10080"/>
      </w:tblGrid>
      <w:tr>
        <w:tc>
          <w:tcPr>
            <w:tcW w:type="dxa" w:w="10080"/>
            <w:shd w:val="clear" w:color="auto" w:fill="1F3A5F"/>
          </w:tcPr>
          <w:p>
            <w:pPr>
              <w:spacing w:before="40" w:after="40"/>
            </w:pPr>
            <w:r>
              <w:rPr>
                <w:rFonts w:ascii="Calibri" w:hAnsi="Calibri"/>
                <w:b/>
                <w:color w:val="FFFFFF"/>
                <w:sz w:val="24"/>
              </w:rPr>
              <w:t>§15  BULL / BEAR BALANCE</w:t>
            </w:r>
          </w:p>
        </w:tc>
      </w:tr>
    </w:tbl>
    <w:tbl>
      <w:tblPr>
        <w:jc w:val="left"/>
        <w:tblLayout w:type="fixed"/>
        <w:tblLook w:firstColumn="1" w:firstRow="1" w:lastColumn="0" w:lastRow="0" w:noHBand="0" w:noVBand="1" w:val="04A0"/>
        <w:tblW w:w="9360" w:type="dxa"/>
      </w:tblPr>
      <w:tblGrid>
        <w:gridCol w:w="5040"/>
        <w:gridCol w:w="5040"/>
      </w:tblGrid>
      <w:tr>
        <w:tc>
          <w:tcPr>
            <w:shd w:val="clear" w:color="auto" w:fill="1F3A5F"/>
            <w:tcBorders>
              <w:top w:val="single" w:sz="4" w:color="BFBFBF"/>
              <w:left w:val="single" w:sz="4" w:color="BFBFBF"/>
              <w:bottom w:val="single" w:sz="4" w:color="BFBFBF"/>
              <w:right w:val="single" w:sz="4" w:color="BFBFBF"/>
            </w:tcBorders>
            <w:tcW w:w="4680" w:type="dxa"/>
          </w:tcPr>
          <w:p>
            <w:pPr>
              <w:spacing w:before="40" w:after="40"/>
            </w:pPr>
            <w:r>
              <w:rPr>
                <w:rFonts w:ascii="Calibri" w:hAnsi="Calibri"/>
                <w:b/>
                <w:color w:val="FFFFFF"/>
                <w:sz w:val="20"/>
              </w:rPr>
              <w:t>Main upside risks (bull case)</w:t>
            </w:r>
          </w:p>
        </w:tc>
        <w:tc>
          <w:tcPr>
            <w:shd w:val="clear" w:color="auto" w:fill="1F3A5F"/>
            <w:tcBorders>
              <w:top w:val="single" w:sz="4" w:color="BFBFBF"/>
              <w:left w:val="single" w:sz="4" w:color="BFBFBF"/>
              <w:bottom w:val="single" w:sz="4" w:color="BFBFBF"/>
              <w:right w:val="single" w:sz="4" w:color="BFBFBF"/>
            </w:tcBorders>
            <w:tcW w:w="4680" w:type="dxa"/>
          </w:tcPr>
          <w:p>
            <w:pPr>
              <w:spacing w:before="40" w:after="40"/>
            </w:pPr>
            <w:r>
              <w:rPr>
                <w:rFonts w:ascii="Calibri" w:hAnsi="Calibri"/>
                <w:b/>
                <w:color w:val="FFFFFF"/>
                <w:sz w:val="20"/>
              </w:rPr>
              <w:t>Main downside risks (bear case)</w:t>
            </w:r>
          </w:p>
        </w:tc>
      </w:tr>
      <w:tr>
        <w:tc>
          <w:tcPr>
            <w:tcBorders>
              <w:top w:val="single" w:sz="4" w:color="BFBFBF"/>
              <w:left w:val="single" w:sz="4" w:color="BFBFBF"/>
              <w:bottom w:val="single" w:sz="4" w:color="BFBFBF"/>
              <w:right w:val="single" w:sz="4" w:color="BFBFBF"/>
            </w:tcBorders>
            <w:tcW w:w="4680" w:type="dxa"/>
          </w:tcPr>
          <w:p>
            <w:pPr>
              <w:spacing w:before="20" w:after="20"/>
            </w:pPr>
            <w:r>
              <w:rPr>
                <w:rFonts w:ascii="Calibri" w:hAnsi="Calibri"/>
                <w:sz w:val="19"/>
              </w:rPr>
              <w:t>Central-bank net buying re-accelerates on Q2 PBoC reserves data (&gt;+10t).</w:t>
            </w:r>
          </w:p>
        </w:tc>
        <w:tc>
          <w:tcPr>
            <w:tcBorders>
              <w:top w:val="single" w:sz="4" w:color="BFBFBF"/>
              <w:left w:val="single" w:sz="4" w:color="BFBFBF"/>
              <w:bottom w:val="single" w:sz="4" w:color="BFBFBF"/>
              <w:right w:val="single" w:sz="4" w:color="BFBFBF"/>
            </w:tcBorders>
            <w:tcW w:w="4680" w:type="dxa"/>
          </w:tcPr>
          <w:p>
            <w:pPr>
              <w:spacing w:before="20" w:after="20"/>
            </w:pPr>
            <w:r>
              <w:rPr>
                <w:rFonts w:ascii="Calibri" w:hAnsi="Calibri"/>
                <w:sz w:val="19"/>
              </w:rPr>
              <w:t>Friday Michigan inflation expectations surprise hot — real yields extend higher.</w:t>
            </w:r>
          </w:p>
        </w:tc>
      </w:tr>
      <w:tr>
        <w:tc>
          <w:tcPr>
            <w:tcBorders>
              <w:top w:val="single" w:sz="4" w:color="BFBFBF"/>
              <w:left w:val="single" w:sz="4" w:color="BFBFBF"/>
              <w:bottom w:val="single" w:sz="4" w:color="BFBFBF"/>
              <w:right w:val="single" w:sz="4" w:color="BFBFBF"/>
            </w:tcBorders>
            <w:shd w:val="clear" w:color="auto" w:fill="F7F7F7"/>
            <w:tcW w:w="4680" w:type="dxa"/>
          </w:tcPr>
          <w:p>
            <w:pPr>
              <w:spacing w:before="20" w:after="20"/>
            </w:pPr>
            <w:r>
              <w:rPr>
                <w:rFonts w:ascii="Calibri" w:hAnsi="Calibri"/>
                <w:sz w:val="19"/>
              </w:rPr>
              <w:t>Soft Michigan inflation print on 16 May — relief bid into $4,775.</w:t>
            </w:r>
          </w:p>
        </w:tc>
        <w:tc>
          <w:tcPr>
            <w:tcBorders>
              <w:top w:val="single" w:sz="4" w:color="BFBFBF"/>
              <w:left w:val="single" w:sz="4" w:color="BFBFBF"/>
              <w:bottom w:val="single" w:sz="4" w:color="BFBFBF"/>
              <w:right w:val="single" w:sz="4" w:color="BFBFBF"/>
            </w:tcBorders>
            <w:shd w:val="clear" w:color="auto" w:fill="F7F7F7"/>
            <w:tcW w:w="4680" w:type="dxa"/>
          </w:tcPr>
          <w:p>
            <w:pPr>
              <w:spacing w:before="20" w:after="20"/>
            </w:pPr>
            <w:r>
              <w:rPr>
                <w:rFonts w:ascii="Calibri" w:hAnsi="Calibri"/>
                <w:sz w:val="19"/>
              </w:rPr>
              <w:t>Iran-stalemate de-escalation removes the residual safe-haven floor.</w:t>
            </w:r>
          </w:p>
        </w:tc>
      </w:tr>
      <w:tr>
        <w:tc>
          <w:tcPr>
            <w:tcBorders>
              <w:top w:val="single" w:sz="4" w:color="BFBFBF"/>
              <w:left w:val="single" w:sz="4" w:color="BFBFBF"/>
              <w:bottom w:val="single" w:sz="4" w:color="BFBFBF"/>
              <w:right w:val="single" w:sz="4" w:color="BFBFBF"/>
            </w:tcBorders>
            <w:tcW w:w="4680" w:type="dxa"/>
          </w:tcPr>
          <w:p>
            <w:pPr>
              <w:spacing w:before="20" w:after="20"/>
            </w:pPr>
            <w:r>
              <w:rPr>
                <w:rFonts w:ascii="Calibri" w:hAnsi="Calibri"/>
                <w:sz w:val="19"/>
              </w:rPr>
              <w:t>Iran tensions escalate (Hormuz disruption) — safe-haven bid returns.</w:t>
            </w:r>
          </w:p>
        </w:tc>
        <w:tc>
          <w:tcPr>
            <w:tcBorders>
              <w:top w:val="single" w:sz="4" w:color="BFBFBF"/>
              <w:left w:val="single" w:sz="4" w:color="BFBFBF"/>
              <w:bottom w:val="single" w:sz="4" w:color="BFBFBF"/>
              <w:right w:val="single" w:sz="4" w:color="BFBFBF"/>
            </w:tcBorders>
            <w:tcW w:w="4680" w:type="dxa"/>
          </w:tcPr>
          <w:p>
            <w:pPr>
              <w:spacing w:before="20" w:after="20"/>
            </w:pPr>
            <w:r>
              <w:rPr>
                <w:rFonts w:ascii="Calibri" w:hAnsi="Calibri"/>
                <w:sz w:val="19"/>
              </w:rPr>
              <w:t>USDX breaks above 100 — direct headwind to USD-denominated gold.</w:t>
            </w:r>
          </w:p>
        </w:tc>
      </w:tr>
      <w:tr>
        <w:tc>
          <w:tcPr>
            <w:tcBorders>
              <w:top w:val="single" w:sz="4" w:color="BFBFBF"/>
              <w:left w:val="single" w:sz="4" w:color="BFBFBF"/>
              <w:bottom w:val="single" w:sz="4" w:color="BFBFBF"/>
              <w:right w:val="single" w:sz="4" w:color="BFBFBF"/>
            </w:tcBorders>
            <w:shd w:val="clear" w:color="auto" w:fill="F7F7F7"/>
            <w:tcW w:w="4680" w:type="dxa"/>
          </w:tcPr>
          <w:p>
            <w:pPr>
              <w:spacing w:before="20" w:after="20"/>
            </w:pPr>
            <w:r>
              <w:rPr>
                <w:rFonts w:ascii="Calibri" w:hAnsi="Calibri"/>
                <w:sz w:val="19"/>
              </w:rPr>
              <w:t>Silver outperformance signals precious-metals rotation, not topping (§10).</w:t>
            </w:r>
          </w:p>
        </w:tc>
        <w:tc>
          <w:tcPr>
            <w:tcBorders>
              <w:top w:val="single" w:sz="4" w:color="BFBFBF"/>
              <w:left w:val="single" w:sz="4" w:color="BFBFBF"/>
              <w:bottom w:val="single" w:sz="4" w:color="BFBFBF"/>
              <w:right w:val="single" w:sz="4" w:color="BFBFBF"/>
            </w:tcBorders>
            <w:shd w:val="clear" w:color="auto" w:fill="F7F7F7"/>
            <w:tcW w:w="4680" w:type="dxa"/>
          </w:tcPr>
          <w:p>
            <w:pPr>
              <w:spacing w:before="20" w:after="20"/>
            </w:pPr>
            <w:r>
              <w:rPr>
                <w:rFonts w:ascii="Calibri" w:hAnsi="Calibri"/>
                <w:sz w:val="19"/>
              </w:rPr>
              <w:t>India demand-shock contagion to ASEAN bullion markets.</w:t>
            </w:r>
          </w:p>
        </w:tc>
      </w:tr>
      <w:tr>
        <w:tc>
          <w:tcPr>
            <w:tcBorders>
              <w:top w:val="single" w:sz="4" w:color="BFBFBF"/>
              <w:left w:val="single" w:sz="4" w:color="BFBFBF"/>
              <w:bottom w:val="single" w:sz="4" w:color="BFBFBF"/>
              <w:right w:val="single" w:sz="4" w:color="BFBFBF"/>
            </w:tcBorders>
            <w:tcW w:w="4680" w:type="dxa"/>
          </w:tcPr>
          <w:p>
            <w:pPr>
              <w:spacing w:before="20" w:after="20"/>
            </w:pPr>
            <w:r>
              <w:rPr>
                <w:rFonts w:ascii="Calibri" w:hAnsi="Calibri"/>
                <w:sz w:val="19"/>
              </w:rPr>
              <w:t>Monthly pivot ($4,608) cluster well below — structural floor intact (§11).</w:t>
            </w:r>
          </w:p>
        </w:tc>
        <w:tc>
          <w:tcPr>
            <w:tcBorders>
              <w:top w:val="single" w:sz="4" w:color="BFBFBF"/>
              <w:left w:val="single" w:sz="4" w:color="BFBFBF"/>
              <w:bottom w:val="single" w:sz="4" w:color="BFBFBF"/>
              <w:right w:val="single" w:sz="4" w:color="BFBFBF"/>
            </w:tcBorders>
            <w:tcW w:w="4680" w:type="dxa"/>
          </w:tcPr>
          <w:p>
            <w:pPr>
              <w:spacing w:before="20" w:after="20"/>
            </w:pPr>
            <w:r>
              <w:rPr>
                <w:rFonts w:ascii="Calibri" w:hAnsi="Calibri"/>
                <w:sz w:val="19"/>
              </w:rPr>
              <w:t>Daily/weekly P at $4,696/$4,738 capping price — bear bias confirmed until reclaim.</w:t>
            </w:r>
          </w:p>
        </w:tc>
      </w:tr>
    </w:tbl>
    <w:tbl>
      <w:tblPr>
        <w:jc w:val="left"/>
        <w:tblLook w:firstColumn="1" w:firstRow="1" w:lastColumn="0" w:lastRow="0" w:noHBand="0" w:noVBand="1" w:val="04A0"/>
        <w:tblW w:w="16400" w:type="dxa"/>
      </w:tblPr>
      <w:tblGrid>
        <w:gridCol w:w="10080"/>
      </w:tblGrid>
      <w:tr>
        <w:tc>
          <w:tcPr>
            <w:tcW w:type="dxa" w:w="10080"/>
            <w:shd w:val="clear" w:color="auto" w:fill="1F3A5F"/>
          </w:tcPr>
          <w:p>
            <w:pPr>
              <w:spacing w:before="40" w:after="40"/>
            </w:pPr>
            <w:r>
              <w:rPr>
                <w:rFonts w:ascii="Calibri" w:hAnsi="Calibri"/>
                <w:b/>
                <w:color w:val="FFFFFF"/>
                <w:sz w:val="24"/>
              </w:rPr>
              <w:t>§16  FORWARD VIEW</w:t>
            </w:r>
          </w:p>
        </w:tc>
      </w:tr>
    </w:tbl>
    <w:p>
      <w:pPr>
        <w:spacing w:after="80" w:before="0"/>
      </w:pPr>
      <w:r>
        <w:rPr>
          <w:rFonts w:ascii="Calibri" w:hAnsi="Calibri"/>
          <w:b w:val="0"/>
          <w:i w:val="0"/>
          <w:sz w:val="21"/>
        </w:rPr>
        <w:t>Expected direction (next 5 trading days): Range-bound with a downside skew. The base case is consolidation between $4,640 (daily/weekly S2 confluence) and $4,738 (weekly P), pending Friday's Michigan inflation print. Expected trading range: USD 4,640 – 4,775 / oz, with a probability-weighted center near $4,690.</w:t>
      </w:r>
    </w:p>
    <w:p>
      <w:pPr>
        <w:spacing w:after="80" w:before="0"/>
      </w:pPr>
      <w:r>
        <w:rPr>
          <w:rFonts w:ascii="Calibri" w:hAnsi="Calibri"/>
          <w:b w:val="0"/>
          <w:i w:val="0"/>
          <w:sz w:val="21"/>
        </w:rPr>
        <w:t>Base-case invalidation: a daily close above $4,775 (last week's swing high) reasserts the medium-term uptrend and shifts the range higher; conversely, a daily close below $4,634 (weekly S2) signals a deeper regime shift with risk to $4,548 (daily S5) and the monthly R1 retest at $4,608.</w:t>
      </w:r>
    </w:p>
    <w:p>
      <w:pPr>
        <w:spacing w:after="160" w:before="0"/>
      </w:pPr>
      <w:r>
        <w:rPr>
          <w:rFonts w:ascii="Calibri" w:hAnsi="Calibri"/>
          <w:b w:val="0"/>
          <w:i/>
          <w:sz w:val="21"/>
        </w:rPr>
        <w:t>Consistency with §9 regime: this Forward View respects the Transitional — Bullish medium-term regime by keeping the structural bias higher while acknowledging the short-term Indecision read. It does not contradict the §9 synthesis; it expresses a near-term pause inside a longer uptrend.</w:t>
      </w:r>
    </w:p>
    <w:tbl>
      <w:tblPr>
        <w:jc w:val="left"/>
        <w:tblLook w:firstColumn="1" w:firstRow="1" w:lastColumn="0" w:lastRow="0" w:noHBand="0" w:noVBand="1" w:val="04A0"/>
        <w:tblW w:w="16400" w:type="dxa"/>
      </w:tblPr>
      <w:tblGrid>
        <w:gridCol w:w="10080"/>
      </w:tblGrid>
      <w:tr>
        <w:tc>
          <w:tcPr>
            <w:tcW w:type="dxa" w:w="10080"/>
            <w:shd w:val="clear" w:color="auto" w:fill="1F3A5F"/>
          </w:tcPr>
          <w:p>
            <w:pPr>
              <w:spacing w:before="40" w:after="40"/>
            </w:pPr>
            <w:r>
              <w:rPr>
                <w:rFonts w:ascii="Calibri" w:hAnsi="Calibri"/>
                <w:b/>
                <w:color w:val="FFFFFF"/>
                <w:sz w:val="24"/>
              </w:rPr>
              <w:t>§17  FORECAST</w:t>
            </w:r>
          </w:p>
        </w:tc>
      </w:tr>
    </w:tbl>
    <w:p>
      <w:pPr>
        <w:spacing w:after="160" w:before="0"/>
      </w:pPr>
      <w:r>
        <w:rPr>
          <w:rFonts w:ascii="Calibri" w:hAnsi="Calibri"/>
          <w:b/>
          <w:i w:val="0"/>
          <w:sz w:val="22"/>
        </w:rPr>
        <w:t>Gold consolidates between $4,640 and $4,775 over the next five sessions, biased modestly lower into Friday's Michigan inflation print but with the medium-term uptrend intact.</w:t>
      </w:r>
    </w:p>
    <w:tbl>
      <w:tblPr>
        <w:jc w:val="left"/>
        <w:tblLook w:firstColumn="1" w:firstRow="1" w:lastColumn="0" w:lastRow="0" w:noHBand="0" w:noVBand="1" w:val="04A0"/>
        <w:tblW w:w="16400" w:type="dxa"/>
      </w:tblPr>
      <w:tblGrid>
        <w:gridCol w:w="10080"/>
      </w:tblGrid>
      <w:tr>
        <w:tc>
          <w:tcPr>
            <w:tcW w:type="dxa" w:w="10080"/>
            <w:shd w:val="clear" w:color="auto" w:fill="1F3A5F"/>
          </w:tcPr>
          <w:p>
            <w:pPr>
              <w:spacing w:before="40" w:after="40"/>
            </w:pPr>
            <w:r>
              <w:rPr>
                <w:rFonts w:ascii="Calibri" w:hAnsi="Calibri"/>
                <w:b/>
                <w:color w:val="FFFFFF"/>
                <w:sz w:val="24"/>
              </w:rPr>
              <w:t>§18  FINAL ANALYST JUDGEMENT</w:t>
            </w:r>
          </w:p>
        </w:tc>
      </w:tr>
    </w:tbl>
    <w:tbl>
      <w:tblPr>
        <w:jc w:val="left"/>
        <w:tblLayout w:type="fixed"/>
        <w:tblLook w:firstColumn="1" w:firstRow="1" w:lastColumn="0" w:lastRow="0" w:noHBand="0" w:noVBand="1" w:val="04A0"/>
        <w:tblW w:w="9360" w:type="dxa"/>
      </w:tblPr>
      <w:tblGrid>
        <w:gridCol w:w="5040"/>
        <w:gridCol w:w="5040"/>
      </w:tblGrid>
      <w:tr>
        <w:tc>
          <w:tcPr>
            <w:shd w:val="clear" w:color="auto" w:fill="1F3A5F"/>
            <w:tcBorders>
              <w:top w:val="single" w:sz="4" w:color="BFBFBF"/>
              <w:left w:val="single" w:sz="4" w:color="BFBFBF"/>
              <w:bottom w:val="single" w:sz="4" w:color="BFBFBF"/>
              <w:right w:val="single" w:sz="4" w:color="BFBFBF"/>
            </w:tcBorders>
            <w:tcW w:w="2200" w:type="dxa"/>
          </w:tcPr>
          <w:p>
            <w:pPr>
              <w:spacing w:before="40" w:after="40"/>
            </w:pPr>
            <w:r>
              <w:rPr>
                <w:rFonts w:ascii="Calibri" w:hAnsi="Calibri"/>
                <w:b/>
                <w:color w:val="FFFFFF"/>
                <w:sz w:val="20"/>
              </w:rPr>
              <w:t>Field</w:t>
            </w:r>
          </w:p>
        </w:tc>
        <w:tc>
          <w:tcPr>
            <w:shd w:val="clear" w:color="auto" w:fill="1F3A5F"/>
            <w:tcBorders>
              <w:top w:val="single" w:sz="4" w:color="BFBFBF"/>
              <w:left w:val="single" w:sz="4" w:color="BFBFBF"/>
              <w:bottom w:val="single" w:sz="4" w:color="BFBFBF"/>
              <w:right w:val="single" w:sz="4" w:color="BFBFBF"/>
            </w:tcBorders>
            <w:tcW w:w="7160" w:type="dxa"/>
          </w:tcPr>
          <w:p>
            <w:pPr>
              <w:spacing w:before="40" w:after="40"/>
            </w:pPr>
            <w:r>
              <w:rPr>
                <w:rFonts w:ascii="Calibri" w:hAnsi="Calibri"/>
                <w:b/>
                <w:color w:val="FFFFFF"/>
                <w:sz w:val="20"/>
              </w:rPr>
              <w:t>Value</w:t>
            </w:r>
          </w:p>
        </w:tc>
      </w:tr>
      <w:tr>
        <w:tc>
          <w:tcPr>
            <w:tcBorders>
              <w:top w:val="single" w:sz="4" w:color="BFBFBF"/>
              <w:left w:val="single" w:sz="4" w:color="BFBFBF"/>
              <w:bottom w:val="single" w:sz="4" w:color="BFBFBF"/>
              <w:right w:val="single" w:sz="4" w:color="BFBFBF"/>
            </w:tcBorders>
            <w:tcW w:w="2200" w:type="dxa"/>
          </w:tcPr>
          <w:p>
            <w:pPr>
              <w:spacing w:before="20" w:after="20"/>
            </w:pPr>
            <w:r>
              <w:rPr>
                <w:rFonts w:ascii="Calibri" w:hAnsi="Calibri"/>
                <w:sz w:val="19"/>
              </w:rPr>
              <w:t>Consensus price call</w:t>
            </w:r>
          </w:p>
        </w:tc>
        <w:tc>
          <w:tcPr>
            <w:tcBorders>
              <w:top w:val="single" w:sz="4" w:color="BFBFBF"/>
              <w:left w:val="single" w:sz="4" w:color="BFBFBF"/>
              <w:bottom w:val="single" w:sz="4" w:color="BFBFBF"/>
              <w:right w:val="single" w:sz="4" w:color="BFBFBF"/>
            </w:tcBorders>
            <w:tcW w:w="7160" w:type="dxa"/>
          </w:tcPr>
          <w:p>
            <w:pPr>
              <w:spacing w:before="20" w:after="20"/>
            </w:pPr>
            <w:r>
              <w:rPr>
                <w:rFonts w:ascii="Calibri" w:hAnsi="Calibri"/>
                <w:sz w:val="19"/>
              </w:rPr>
              <w:t>USD 4,690 /oz (range $4,670 – $4,720)</w:t>
            </w:r>
          </w:p>
        </w:tc>
      </w:tr>
      <w:tr>
        <w:tc>
          <w:tcPr>
            <w:tcBorders>
              <w:top w:val="single" w:sz="4" w:color="BFBFBF"/>
              <w:left w:val="single" w:sz="4" w:color="BFBFBF"/>
              <w:bottom w:val="single" w:sz="4" w:color="BFBFBF"/>
              <w:right w:val="single" w:sz="4" w:color="BFBFBF"/>
            </w:tcBorders>
            <w:shd w:val="clear" w:color="auto" w:fill="F7F7F7"/>
            <w:tcW w:w="2200" w:type="dxa"/>
          </w:tcPr>
          <w:p>
            <w:pPr>
              <w:spacing w:before="20" w:after="20"/>
            </w:pPr>
            <w:r>
              <w:rPr>
                <w:rFonts w:ascii="Calibri" w:hAnsi="Calibri"/>
                <w:sz w:val="19"/>
              </w:rPr>
              <w:t>Confidence</w:t>
            </w:r>
          </w:p>
        </w:tc>
        <w:tc>
          <w:tcPr>
            <w:tcBorders>
              <w:top w:val="single" w:sz="4" w:color="BFBFBF"/>
              <w:left w:val="single" w:sz="4" w:color="BFBFBF"/>
              <w:bottom w:val="single" w:sz="4" w:color="BFBFBF"/>
              <w:right w:val="single" w:sz="4" w:color="BFBFBF"/>
            </w:tcBorders>
            <w:shd w:val="clear" w:color="auto" w:fill="F7F7F7"/>
            <w:tcW w:w="7160" w:type="dxa"/>
          </w:tcPr>
          <w:p>
            <w:pPr>
              <w:spacing w:before="20" w:after="20"/>
            </w:pPr>
            <w:r>
              <w:rPr>
                <w:rFonts w:ascii="Calibri" w:hAnsi="Calibri"/>
                <w:sz w:val="19"/>
              </w:rPr>
              <w:t>Medium</w:t>
            </w:r>
          </w:p>
        </w:tc>
      </w:tr>
      <w:tr>
        <w:tc>
          <w:tcPr>
            <w:tcBorders>
              <w:top w:val="single" w:sz="4" w:color="BFBFBF"/>
              <w:left w:val="single" w:sz="4" w:color="BFBFBF"/>
              <w:bottom w:val="single" w:sz="4" w:color="BFBFBF"/>
              <w:right w:val="single" w:sz="4" w:color="BFBFBF"/>
            </w:tcBorders>
            <w:tcW w:w="2200" w:type="dxa"/>
          </w:tcPr>
          <w:p>
            <w:pPr>
              <w:spacing w:before="20" w:after="20"/>
            </w:pPr>
            <w:r>
              <w:rPr>
                <w:rFonts w:ascii="Calibri" w:hAnsi="Calibri"/>
                <w:sz w:val="19"/>
              </w:rPr>
              <w:t>Reason 1</w:t>
            </w:r>
          </w:p>
        </w:tc>
        <w:tc>
          <w:tcPr>
            <w:tcBorders>
              <w:top w:val="single" w:sz="4" w:color="BFBFBF"/>
              <w:left w:val="single" w:sz="4" w:color="BFBFBF"/>
              <w:bottom w:val="single" w:sz="4" w:color="BFBFBF"/>
              <w:right w:val="single" w:sz="4" w:color="BFBFBF"/>
            </w:tcBorders>
            <w:tcW w:w="7160" w:type="dxa"/>
          </w:tcPr>
          <w:p>
            <w:pPr>
              <w:spacing w:before="20" w:after="20"/>
            </w:pPr>
            <w:r>
              <w:rPr>
                <w:rFonts w:ascii="Calibri" w:hAnsi="Calibri"/>
                <w:sz w:val="19"/>
              </w:rPr>
              <w:t>Real-yield channel dominant post-CPI/PPI; USDX firm at one-week high (§14).</w:t>
            </w:r>
          </w:p>
        </w:tc>
      </w:tr>
      <w:tr>
        <w:tc>
          <w:tcPr>
            <w:tcBorders>
              <w:top w:val="single" w:sz="4" w:color="BFBFBF"/>
              <w:left w:val="single" w:sz="4" w:color="BFBFBF"/>
              <w:bottom w:val="single" w:sz="4" w:color="BFBFBF"/>
              <w:right w:val="single" w:sz="4" w:color="BFBFBF"/>
            </w:tcBorders>
            <w:shd w:val="clear" w:color="auto" w:fill="F7F7F7"/>
            <w:tcW w:w="2200" w:type="dxa"/>
          </w:tcPr>
          <w:p>
            <w:pPr>
              <w:spacing w:before="20" w:after="20"/>
            </w:pPr>
            <w:r>
              <w:rPr>
                <w:rFonts w:ascii="Calibri" w:hAnsi="Calibri"/>
                <w:sz w:val="19"/>
              </w:rPr>
              <w:t>Reason 2</w:t>
            </w:r>
          </w:p>
        </w:tc>
        <w:tc>
          <w:tcPr>
            <w:tcBorders>
              <w:top w:val="single" w:sz="4" w:color="BFBFBF"/>
              <w:left w:val="single" w:sz="4" w:color="BFBFBF"/>
              <w:bottom w:val="single" w:sz="4" w:color="BFBFBF"/>
              <w:right w:val="single" w:sz="4" w:color="BFBFBF"/>
            </w:tcBorders>
            <w:shd w:val="clear" w:color="auto" w:fill="F7F7F7"/>
            <w:tcW w:w="7160" w:type="dxa"/>
          </w:tcPr>
          <w:p>
            <w:pPr>
              <w:spacing w:before="20" w:after="20"/>
            </w:pPr>
            <w:r>
              <w:rPr>
                <w:rFonts w:ascii="Calibri" w:hAnsi="Calibri"/>
                <w:sz w:val="19"/>
              </w:rPr>
              <w:t>Daily / weekly pivots both above current price — short-term bias is below pivot (§11).</w:t>
            </w:r>
          </w:p>
        </w:tc>
      </w:tr>
      <w:tr>
        <w:tc>
          <w:tcPr>
            <w:tcBorders>
              <w:top w:val="single" w:sz="4" w:color="BFBFBF"/>
              <w:left w:val="single" w:sz="4" w:color="BFBFBF"/>
              <w:bottom w:val="single" w:sz="4" w:color="BFBFBF"/>
              <w:right w:val="single" w:sz="4" w:color="BFBFBF"/>
            </w:tcBorders>
            <w:tcW w:w="2200" w:type="dxa"/>
          </w:tcPr>
          <w:p>
            <w:pPr>
              <w:spacing w:before="20" w:after="20"/>
            </w:pPr>
            <w:r>
              <w:rPr>
                <w:rFonts w:ascii="Calibri" w:hAnsi="Calibri"/>
                <w:sz w:val="19"/>
              </w:rPr>
              <w:t>Reason 3</w:t>
            </w:r>
          </w:p>
        </w:tc>
        <w:tc>
          <w:tcPr>
            <w:tcBorders>
              <w:top w:val="single" w:sz="4" w:color="BFBFBF"/>
              <w:left w:val="single" w:sz="4" w:color="BFBFBF"/>
              <w:bottom w:val="single" w:sz="4" w:color="BFBFBF"/>
              <w:right w:val="single" w:sz="4" w:color="BFBFBF"/>
            </w:tcBorders>
            <w:tcW w:w="7160" w:type="dxa"/>
          </w:tcPr>
          <w:p>
            <w:pPr>
              <w:spacing w:before="20" w:after="20"/>
            </w:pPr>
            <w:r>
              <w:rPr>
                <w:rFonts w:ascii="Calibri" w:hAnsi="Calibri"/>
                <w:sz w:val="19"/>
              </w:rPr>
              <w:t>Medium-term uptrend intact; silver outperformance and monthly pivot floor argue against impulsive break (§9, §10).</w:t>
            </w:r>
          </w:p>
        </w:tc>
      </w:tr>
      <w:tr>
        <w:tc>
          <w:tcPr>
            <w:tcBorders>
              <w:top w:val="single" w:sz="4" w:color="BFBFBF"/>
              <w:left w:val="single" w:sz="4" w:color="BFBFBF"/>
              <w:bottom w:val="single" w:sz="4" w:color="BFBFBF"/>
              <w:right w:val="single" w:sz="4" w:color="BFBFBF"/>
            </w:tcBorders>
            <w:shd w:val="clear" w:color="auto" w:fill="F7F7F7"/>
            <w:tcW w:w="2200" w:type="dxa"/>
          </w:tcPr>
          <w:p>
            <w:pPr>
              <w:spacing w:before="20" w:after="20"/>
            </w:pPr>
            <w:r>
              <w:rPr>
                <w:rFonts w:ascii="Calibri" w:hAnsi="Calibri"/>
                <w:sz w:val="19"/>
              </w:rPr>
              <w:t>Single watch item</w:t>
            </w:r>
          </w:p>
        </w:tc>
        <w:tc>
          <w:tcPr>
            <w:tcBorders>
              <w:top w:val="single" w:sz="4" w:color="BFBFBF"/>
              <w:left w:val="single" w:sz="4" w:color="BFBFBF"/>
              <w:bottom w:val="single" w:sz="4" w:color="BFBFBF"/>
              <w:right w:val="single" w:sz="4" w:color="BFBFBF"/>
            </w:tcBorders>
            <w:shd w:val="clear" w:color="auto" w:fill="F7F7F7"/>
            <w:tcW w:w="7160" w:type="dxa"/>
          </w:tcPr>
          <w:p>
            <w:pPr>
              <w:spacing w:before="20" w:after="20"/>
            </w:pPr>
            <w:r>
              <w:rPr>
                <w:rFonts w:ascii="Calibri" w:hAnsi="Calibri"/>
                <w:sz w:val="19"/>
              </w:rPr>
              <w:t>Friday 16 May Univ. of Michigan inflation expectations (prelim) — hot print risks $4,640 test; cool print reopens $4,775.</w:t>
            </w:r>
          </w:p>
        </w:tc>
      </w:tr>
    </w:tbl>
    <w:tbl>
      <w:tblPr>
        <w:jc w:val="left"/>
        <w:tblLook w:firstColumn="1" w:firstRow="1" w:lastColumn="0" w:lastRow="0" w:noHBand="0" w:noVBand="1" w:val="04A0"/>
        <w:tblW w:w="16400" w:type="dxa"/>
      </w:tblPr>
      <w:tblGrid>
        <w:gridCol w:w="10080"/>
      </w:tblGrid>
      <w:tr>
        <w:tc>
          <w:tcPr>
            <w:tcW w:type="dxa" w:w="10080"/>
            <w:shd w:val="clear" w:color="auto" w:fill="1F3A5F"/>
          </w:tcPr>
          <w:p>
            <w:pPr>
              <w:spacing w:before="40" w:after="40"/>
            </w:pPr>
            <w:r>
              <w:rPr>
                <w:rFonts w:ascii="Calibri" w:hAnsi="Calibri"/>
                <w:b/>
                <w:color w:val="FFFFFF"/>
                <w:sz w:val="24"/>
              </w:rPr>
              <w:t>§19  SOURCE DISCIPLINE NOTE</w:t>
            </w:r>
          </w:p>
        </w:tc>
      </w:tr>
    </w:tbl>
    <w:p>
      <w:pPr>
        <w:spacing w:after="60" w:before="0"/>
      </w:pPr>
      <w:r>
        <w:rPr>
          <w:rFonts w:ascii="Calibri" w:hAnsi="Calibri"/>
          <w:b w:val="0"/>
          <w:i w:val="0"/>
          <w:sz w:val="21"/>
        </w:rPr>
        <w:t>Live vs indicative: spot price observations on 13 May 2026 are live, observed feeds (Investing.com, CNBC, Trading Economics, USAGOLD, Kitco) corroborated dual-source pairwise. The 14 May intraday close is provisional pending session settlement and is labelled as such in §6.</w:t>
      </w:r>
    </w:p>
    <w:p>
      <w:pPr>
        <w:spacing w:after="60" w:before="0"/>
      </w:pPr>
      <w:r>
        <w:rPr>
          <w:rFonts w:ascii="Calibri" w:hAnsi="Calibri"/>
          <w:b w:val="0"/>
          <w:i w:val="0"/>
          <w:sz w:val="21"/>
        </w:rPr>
        <w:t>Data gaps: full London PM Fix for 14 May 2026 was not captured at report cut; LBMA weekly data from 11 May is the nearest official benchmark and is used as a directional reference only. No price was synthesised.</w:t>
      </w:r>
    </w:p>
    <w:p>
      <w:pPr>
        <w:spacing w:after="60" w:before="0"/>
      </w:pPr>
      <w:r>
        <w:rPr>
          <w:rFonts w:ascii="Calibri" w:hAnsi="Calibri"/>
          <w:b w:val="0"/>
          <w:i w:val="0"/>
          <w:sz w:val="21"/>
        </w:rPr>
        <w:t>Normalization assumptions: all observations were already in USD/oz spot — no FX conversion was required. CME GC=F was treated as front-month future and retained at face value (≈$11 contango to spot, within tolerance).</w:t>
      </w:r>
    </w:p>
    <w:p>
      <w:pPr>
        <w:spacing w:after="60" w:before="0"/>
      </w:pPr>
      <w:r>
        <w:rPr>
          <w:rFonts w:ascii="Calibri" w:hAnsi="Calibri"/>
          <w:b/>
          <w:i w:val="0"/>
          <w:sz w:val="21"/>
        </w:rPr>
        <w:t>Pivot corroboration status (consumed by §21): daily, weekly, and monthly pivots are all flagged SINGLE-SOURCE-INDICATIVE — derived from the rolling-window engine on a single price feed. Trade 2 carries the indicative qualifier accordingly. Per the strategies module rule, Trade 2 is not fully suppressed because the daily tier remains accessible for the active direction; the indicative flag is propagated through the trade card.</w:t>
      </w:r>
    </w:p>
    <w:p>
      <w:pPr>
        <w:spacing w:after="160" w:before="0"/>
      </w:pPr>
      <w:r>
        <w:rPr>
          <w:rFonts w:ascii="Calibri" w:hAnsi="Calibri"/>
          <w:b w:val="0"/>
          <w:i w:val="0"/>
          <w:sz w:val="21"/>
        </w:rPr>
        <w:t>OHLC corroboration: each session in §6 has a primary Source A and corroborating Source B; all five sessions passed dual-source validation.</w:t>
      </w:r>
    </w:p>
    <w:tbl>
      <w:tblPr>
        <w:jc w:val="left"/>
        <w:tblLook w:firstColumn="1" w:firstRow="1" w:lastColumn="0" w:lastRow="0" w:noHBand="0" w:noVBand="1" w:val="04A0"/>
        <w:tblW w:w="16400" w:type="dxa"/>
      </w:tblPr>
      <w:tblGrid>
        <w:gridCol w:w="10080"/>
      </w:tblGrid>
      <w:tr>
        <w:tc>
          <w:tcPr>
            <w:tcW w:type="dxa" w:w="10080"/>
            <w:shd w:val="clear" w:color="auto" w:fill="1F3A5F"/>
          </w:tcPr>
          <w:p>
            <w:pPr>
              <w:spacing w:before="40" w:after="40"/>
            </w:pPr>
            <w:r>
              <w:rPr>
                <w:rFonts w:ascii="Calibri" w:hAnsi="Calibri"/>
                <w:b/>
                <w:color w:val="FFFFFF"/>
                <w:sz w:val="24"/>
              </w:rPr>
              <w:t>§20  AGENT LOG</w:t>
            </w:r>
          </w:p>
        </w:tc>
      </w:tr>
    </w:tbl>
    <w:p>
      <w:pPr>
        <w:spacing w:after="40" w:before="0"/>
      </w:pPr>
      <w:r>
        <w:rPr>
          <w:rFonts w:ascii="Calibri" w:hAnsi="Calibri"/>
          <w:b/>
          <w:i w:val="0"/>
          <w:sz w:val="22"/>
        </w:rPr>
        <w:t>Run metadata:</w:t>
      </w:r>
    </w:p>
    <w:tbl>
      <w:tblPr>
        <w:jc w:val="left"/>
        <w:tblLayout w:type="fixed"/>
        <w:tblLook w:firstColumn="1" w:firstRow="1" w:lastColumn="0" w:lastRow="0" w:noHBand="0" w:noVBand="1" w:val="04A0"/>
        <w:tblW w:w="9360" w:type="dxa"/>
      </w:tblPr>
      <w:tblGrid>
        <w:gridCol w:w="5040"/>
        <w:gridCol w:w="5040"/>
      </w:tblGrid>
      <w:tr>
        <w:tc>
          <w:tcPr>
            <w:shd w:val="clear" w:color="auto" w:fill="1F3A5F"/>
            <w:tcBorders>
              <w:top w:val="single" w:sz="4" w:color="BFBFBF"/>
              <w:left w:val="single" w:sz="4" w:color="BFBFBF"/>
              <w:bottom w:val="single" w:sz="4" w:color="BFBFBF"/>
              <w:right w:val="single" w:sz="4" w:color="BFBFBF"/>
            </w:tcBorders>
            <w:tcW w:w="2800" w:type="dxa"/>
          </w:tcPr>
          <w:p>
            <w:pPr>
              <w:spacing w:before="40" w:after="40"/>
            </w:pPr>
            <w:r>
              <w:rPr>
                <w:rFonts w:ascii="Calibri" w:hAnsi="Calibri"/>
                <w:b/>
                <w:color w:val="FFFFFF"/>
                <w:sz w:val="20"/>
              </w:rPr>
              <w:t>Item</w:t>
            </w:r>
          </w:p>
        </w:tc>
        <w:tc>
          <w:tcPr>
            <w:shd w:val="clear" w:color="auto" w:fill="1F3A5F"/>
            <w:tcBorders>
              <w:top w:val="single" w:sz="4" w:color="BFBFBF"/>
              <w:left w:val="single" w:sz="4" w:color="BFBFBF"/>
              <w:bottom w:val="single" w:sz="4" w:color="BFBFBF"/>
              <w:right w:val="single" w:sz="4" w:color="BFBFBF"/>
            </w:tcBorders>
            <w:tcW w:w="6560" w:type="dxa"/>
          </w:tcPr>
          <w:p>
            <w:pPr>
              <w:spacing w:before="40" w:after="40"/>
            </w:pPr>
            <w:r>
              <w:rPr>
                <w:rFonts w:ascii="Calibri" w:hAnsi="Calibri"/>
                <w:b/>
                <w:color w:val="FFFFFF"/>
                <w:sz w:val="20"/>
              </w:rPr>
              <w:t>Value</w:t>
            </w:r>
          </w:p>
        </w:tc>
      </w:tr>
      <w:tr>
        <w:tc>
          <w:tcPr>
            <w:tcBorders>
              <w:top w:val="single" w:sz="4" w:color="BFBFBF"/>
              <w:left w:val="single" w:sz="4" w:color="BFBFBF"/>
              <w:bottom w:val="single" w:sz="4" w:color="BFBFBF"/>
              <w:right w:val="single" w:sz="4" w:color="BFBFBF"/>
            </w:tcBorders>
            <w:tcW w:w="2800" w:type="dxa"/>
          </w:tcPr>
          <w:p>
            <w:pPr>
              <w:spacing w:before="20" w:after="20"/>
            </w:pPr>
            <w:r>
              <w:rPr>
                <w:rFonts w:ascii="Calibri" w:hAnsi="Calibri"/>
                <w:sz w:val="19"/>
              </w:rPr>
              <w:t>As-of date / TZ</w:t>
            </w:r>
          </w:p>
        </w:tc>
        <w:tc>
          <w:tcPr>
            <w:tcBorders>
              <w:top w:val="single" w:sz="4" w:color="BFBFBF"/>
              <w:left w:val="single" w:sz="4" w:color="BFBFBF"/>
              <w:bottom w:val="single" w:sz="4" w:color="BFBFBF"/>
              <w:right w:val="single" w:sz="4" w:color="BFBFBF"/>
            </w:tcBorders>
            <w:tcW w:w="6560" w:type="dxa"/>
          </w:tcPr>
          <w:p>
            <w:pPr>
              <w:spacing w:before="20" w:after="20"/>
            </w:pPr>
            <w:r>
              <w:rPr>
                <w:rFonts w:ascii="Calibri" w:hAnsi="Calibri"/>
                <w:sz w:val="19"/>
              </w:rPr>
              <w:t>14 May 2026 (Europe/London)</w:t>
            </w:r>
          </w:p>
        </w:tc>
      </w:tr>
      <w:tr>
        <w:tc>
          <w:tcPr>
            <w:tcBorders>
              <w:top w:val="single" w:sz="4" w:color="BFBFBF"/>
              <w:left w:val="single" w:sz="4" w:color="BFBFBF"/>
              <w:bottom w:val="single" w:sz="4" w:color="BFBFBF"/>
              <w:right w:val="single" w:sz="4" w:color="BFBFBF"/>
            </w:tcBorders>
            <w:shd w:val="clear" w:color="auto" w:fill="F7F7F7"/>
            <w:tcW w:w="2800" w:type="dxa"/>
          </w:tcPr>
          <w:p>
            <w:pPr>
              <w:spacing w:before="20" w:after="20"/>
            </w:pPr>
            <w:r>
              <w:rPr>
                <w:rFonts w:ascii="Calibri" w:hAnsi="Calibri"/>
                <w:sz w:val="19"/>
              </w:rPr>
              <w:t>Daily-open anchor</w:t>
            </w:r>
          </w:p>
        </w:tc>
        <w:tc>
          <w:tcPr>
            <w:tcBorders>
              <w:top w:val="single" w:sz="4" w:color="BFBFBF"/>
              <w:left w:val="single" w:sz="4" w:color="BFBFBF"/>
              <w:bottom w:val="single" w:sz="4" w:color="BFBFBF"/>
              <w:right w:val="single" w:sz="4" w:color="BFBFBF"/>
            </w:tcBorders>
            <w:shd w:val="clear" w:color="auto" w:fill="F7F7F7"/>
            <w:tcW w:w="6560" w:type="dxa"/>
          </w:tcPr>
          <w:p>
            <w:pPr>
              <w:spacing w:before="20" w:after="20"/>
            </w:pPr>
            <w:r>
              <w:rPr>
                <w:rFonts w:ascii="Calibri" w:hAnsi="Calibri"/>
                <w:sz w:val="19"/>
              </w:rPr>
              <w:t>Overridden to 14 May 2026 session reset per user instruction (default 00:00 UK retained for anchor time)</w:t>
            </w:r>
          </w:p>
        </w:tc>
      </w:tr>
      <w:tr>
        <w:tc>
          <w:tcPr>
            <w:tcBorders>
              <w:top w:val="single" w:sz="4" w:color="BFBFBF"/>
              <w:left w:val="single" w:sz="4" w:color="BFBFBF"/>
              <w:bottom w:val="single" w:sz="4" w:color="BFBFBF"/>
              <w:right w:val="single" w:sz="4" w:color="BFBFBF"/>
            </w:tcBorders>
            <w:tcW w:w="2800" w:type="dxa"/>
          </w:tcPr>
          <w:p>
            <w:pPr>
              <w:spacing w:before="20" w:after="20"/>
            </w:pPr>
            <w:r>
              <w:rPr>
                <w:rFonts w:ascii="Calibri" w:hAnsi="Calibri"/>
                <w:sz w:val="19"/>
              </w:rPr>
              <w:t>Output length</w:t>
            </w:r>
          </w:p>
        </w:tc>
        <w:tc>
          <w:tcPr>
            <w:tcBorders>
              <w:top w:val="single" w:sz="4" w:color="BFBFBF"/>
              <w:left w:val="single" w:sz="4" w:color="BFBFBF"/>
              <w:bottom w:val="single" w:sz="4" w:color="BFBFBF"/>
              <w:right w:val="single" w:sz="4" w:color="BFBFBF"/>
            </w:tcBorders>
            <w:tcW w:w="6560" w:type="dxa"/>
          </w:tcPr>
          <w:p>
            <w:pPr>
              <w:spacing w:before="20" w:after="20"/>
            </w:pPr>
            <w:r>
              <w:rPr>
                <w:rFonts w:ascii="Calibri" w:hAnsi="Calibri"/>
                <w:sz w:val="19"/>
              </w:rPr>
              <w:t>Standard</w:t>
            </w:r>
          </w:p>
        </w:tc>
      </w:tr>
      <w:tr>
        <w:tc>
          <w:tcPr>
            <w:tcBorders>
              <w:top w:val="single" w:sz="4" w:color="BFBFBF"/>
              <w:left w:val="single" w:sz="4" w:color="BFBFBF"/>
              <w:bottom w:val="single" w:sz="4" w:color="BFBFBF"/>
              <w:right w:val="single" w:sz="4" w:color="BFBFBF"/>
            </w:tcBorders>
            <w:shd w:val="clear" w:color="auto" w:fill="F7F7F7"/>
            <w:tcW w:w="2800" w:type="dxa"/>
          </w:tcPr>
          <w:p>
            <w:pPr>
              <w:spacing w:before="20" w:after="20"/>
            </w:pPr>
            <w:r>
              <w:rPr>
                <w:rFonts w:ascii="Calibri" w:hAnsi="Calibri"/>
                <w:sz w:val="19"/>
              </w:rPr>
              <w:t>Run timestamp</w:t>
            </w:r>
          </w:p>
        </w:tc>
        <w:tc>
          <w:tcPr>
            <w:tcBorders>
              <w:top w:val="single" w:sz="4" w:color="BFBFBF"/>
              <w:left w:val="single" w:sz="4" w:color="BFBFBF"/>
              <w:bottom w:val="single" w:sz="4" w:color="BFBFBF"/>
              <w:right w:val="single" w:sz="4" w:color="BFBFBF"/>
            </w:tcBorders>
            <w:shd w:val="clear" w:color="auto" w:fill="F7F7F7"/>
            <w:tcW w:w="6560" w:type="dxa"/>
          </w:tcPr>
          <w:p>
            <w:pPr>
              <w:spacing w:before="20" w:after="20"/>
            </w:pPr>
            <w:r>
              <w:rPr>
                <w:rFonts w:ascii="Calibri" w:hAnsi="Calibri"/>
                <w:sz w:val="19"/>
              </w:rPr>
              <w:t>14 May 2026, 18:00 UK (report cut)</w:t>
            </w:r>
          </w:p>
        </w:tc>
      </w:tr>
      <w:tr>
        <w:tc>
          <w:tcPr>
            <w:tcBorders>
              <w:top w:val="single" w:sz="4" w:color="BFBFBF"/>
              <w:left w:val="single" w:sz="4" w:color="BFBFBF"/>
              <w:bottom w:val="single" w:sz="4" w:color="BFBFBF"/>
              <w:right w:val="single" w:sz="4" w:color="BFBFBF"/>
            </w:tcBorders>
            <w:tcW w:w="2800" w:type="dxa"/>
          </w:tcPr>
          <w:p>
            <w:pPr>
              <w:spacing w:before="20" w:after="20"/>
            </w:pPr>
            <w:r>
              <w:rPr>
                <w:rFonts w:ascii="Calibri" w:hAnsi="Calibri"/>
                <w:sz w:val="19"/>
              </w:rPr>
              <w:t>Direction-score weights basis</w:t>
            </w:r>
          </w:p>
        </w:tc>
        <w:tc>
          <w:tcPr>
            <w:tcBorders>
              <w:top w:val="single" w:sz="4" w:color="BFBFBF"/>
              <w:left w:val="single" w:sz="4" w:color="BFBFBF"/>
              <w:bottom w:val="single" w:sz="4" w:color="BFBFBF"/>
              <w:right w:val="single" w:sz="4" w:color="BFBFBF"/>
            </w:tcBorders>
            <w:tcW w:w="6560" w:type="dxa"/>
          </w:tcPr>
          <w:p>
            <w:pPr>
              <w:spacing w:before="20" w:after="20"/>
            </w:pPr>
            <w:r>
              <w:rPr>
                <w:rFonts w:ascii="Calibri" w:hAnsi="Calibri"/>
                <w:sz w:val="19"/>
              </w:rPr>
              <w:t>Defaults (W_SHORT_TECH 0.25 / W_MEDIUM_REGIME 0.20 / W_VOLATOR 0.10 / W_KAUFMAN 0.15 / W_SENTIMENT 0.15 / W_CROSS_ASSET 0.15)</w:t>
            </w:r>
          </w:p>
        </w:tc>
      </w:tr>
      <w:tr>
        <w:tc>
          <w:tcPr>
            <w:tcBorders>
              <w:top w:val="single" w:sz="4" w:color="BFBFBF"/>
              <w:left w:val="single" w:sz="4" w:color="BFBFBF"/>
              <w:bottom w:val="single" w:sz="4" w:color="BFBFBF"/>
              <w:right w:val="single" w:sz="4" w:color="BFBFBF"/>
            </w:tcBorders>
            <w:shd w:val="clear" w:color="auto" w:fill="F7F7F7"/>
            <w:tcW w:w="2800" w:type="dxa"/>
          </w:tcPr>
          <w:p>
            <w:pPr>
              <w:spacing w:before="20" w:after="20"/>
            </w:pPr>
            <w:r>
              <w:rPr>
                <w:rFonts w:ascii="Calibri" w:hAnsi="Calibri"/>
                <w:sz w:val="19"/>
              </w:rPr>
              <w:t>Weights lock status</w:t>
            </w:r>
          </w:p>
        </w:tc>
        <w:tc>
          <w:tcPr>
            <w:tcBorders>
              <w:top w:val="single" w:sz="4" w:color="BFBFBF"/>
              <w:left w:val="single" w:sz="4" w:color="BFBFBF"/>
              <w:bottom w:val="single" w:sz="4" w:color="BFBFBF"/>
              <w:right w:val="single" w:sz="4" w:color="BFBFBF"/>
            </w:tcBorders>
            <w:shd w:val="clear" w:color="auto" w:fill="F7F7F7"/>
            <w:tcW w:w="6560" w:type="dxa"/>
          </w:tcPr>
          <w:p>
            <w:pPr>
              <w:spacing w:before="20" w:after="20"/>
            </w:pPr>
            <w:r>
              <w:rPr>
                <w:rFonts w:ascii="Calibri" w:hAnsi="Calibri"/>
                <w:sz w:val="19"/>
              </w:rPr>
              <w:t>Locked (session 1 of 20-session lock window for this asset's forward-test)</w:t>
            </w:r>
          </w:p>
        </w:tc>
      </w:tr>
      <w:tr>
        <w:tc>
          <w:tcPr>
            <w:tcBorders>
              <w:top w:val="single" w:sz="4" w:color="BFBFBF"/>
              <w:left w:val="single" w:sz="4" w:color="BFBFBF"/>
              <w:bottom w:val="single" w:sz="4" w:color="BFBFBF"/>
              <w:right w:val="single" w:sz="4" w:color="BFBFBF"/>
            </w:tcBorders>
            <w:tcW w:w="2800" w:type="dxa"/>
          </w:tcPr>
          <w:p>
            <w:pPr>
              <w:spacing w:before="20" w:after="20"/>
            </w:pPr>
            <w:r>
              <w:rPr>
                <w:rFonts w:ascii="Calibri" w:hAnsi="Calibri"/>
                <w:sz w:val="19"/>
              </w:rPr>
              <w:t>Strategies module</w:t>
            </w:r>
          </w:p>
        </w:tc>
        <w:tc>
          <w:tcPr>
            <w:tcBorders>
              <w:top w:val="single" w:sz="4" w:color="BFBFBF"/>
              <w:left w:val="single" w:sz="4" w:color="BFBFBF"/>
              <w:bottom w:val="single" w:sz="4" w:color="BFBFBF"/>
              <w:right w:val="single" w:sz="4" w:color="BFBFBF"/>
            </w:tcBorders>
            <w:tcW w:w="6560" w:type="dxa"/>
          </w:tcPr>
          <w:p>
            <w:pPr>
              <w:spacing w:before="20" w:after="20"/>
            </w:pPr>
            <w:r>
              <w:rPr>
                <w:rFonts w:ascii="Calibri" w:hAnsi="Calibri"/>
                <w:sz w:val="19"/>
              </w:rPr>
              <w:t>Enabled — §21 produced</w:t>
            </w:r>
          </w:p>
        </w:tc>
      </w:tr>
    </w:tbl>
    <w:p>
      <w:pPr>
        <w:spacing w:after="40" w:before="0"/>
      </w:pPr>
      <w:r>
        <w:rPr>
          <w:rFonts w:ascii="Calibri" w:hAnsi="Calibri"/>
          <w:b/>
          <w:i w:val="0"/>
          <w:sz w:val="22"/>
        </w:rPr>
        <w:t>Sources attempted and outcome:</w:t>
      </w:r>
    </w:p>
    <w:p>
      <w:pPr>
        <w:spacing w:after="80" w:before="0"/>
      </w:pPr>
      <w:r>
        <w:rPr>
          <w:rFonts w:ascii="Calibri" w:hAnsi="Calibri"/>
          <w:b w:val="0"/>
          <w:i w:val="0"/>
          <w:sz w:val="21"/>
        </w:rPr>
        <w:t>Investing.com (XAU/USD intraday + historical) — retrieved; Trading Economics commodity gold — retrieved; CNBC XAU= — retrieved; USAGOLD daily report — retrieved; World Gold Council goldhub — retrieved (weekly); CME GC=F front-month (via Yahoo Finance) — retrieved; Kitco — retrieved (commentary). Silver XAG/USD via Investing.com, CNBC, TradingView — retrieved. USDX via Investing.com, Statista, fxdailyreport — retrieved. DAX via Investing.com, Trading Economics, Yahoo Finance — retrieved. S&amp;P 500 via Trading Economics — retrieved.</w:t>
      </w:r>
    </w:p>
    <w:p>
      <w:pPr>
        <w:spacing w:after="40" w:before="0"/>
      </w:pPr>
      <w:r>
        <w:rPr>
          <w:rFonts w:ascii="Calibri" w:hAnsi="Calibri"/>
          <w:b/>
          <w:i w:val="0"/>
          <w:sz w:val="22"/>
        </w:rPr>
        <w:t>Validation method:</w:t>
      </w:r>
    </w:p>
    <w:p>
      <w:pPr>
        <w:spacing w:after="80" w:before="0"/>
      </w:pPr>
      <w:r>
        <w:rPr>
          <w:rFonts w:ascii="Calibri" w:hAnsi="Calibri"/>
          <w:b w:val="0"/>
          <w:i w:val="0"/>
          <w:sz w:val="21"/>
        </w:rPr>
        <w:t>Each OHLC session was validated against two independent sources (see §6 Source A / Source B columns); pivot levels derive from the rolling-window method on a single feed and are flagged SINGLE-SOURCE-INDICATIVE (see §11 and §19).</w:t>
      </w:r>
    </w:p>
    <w:p>
      <w:pPr>
        <w:spacing w:after="40" w:before="0"/>
      </w:pPr>
      <w:r>
        <w:rPr>
          <w:rFonts w:ascii="Calibri" w:hAnsi="Calibri"/>
          <w:b/>
          <w:i w:val="0"/>
          <w:sz w:val="22"/>
        </w:rPr>
        <w:t>Sentiment derivation:</w:t>
      </w:r>
    </w:p>
    <w:p>
      <w:pPr>
        <w:spacing w:after="80" w:before="0"/>
      </w:pPr>
      <w:r>
        <w:rPr>
          <w:rFonts w:ascii="Calibri" w:hAnsi="Calibri"/>
          <w:b w:val="0"/>
          <w:i w:val="0"/>
          <w:sz w:val="21"/>
        </w:rPr>
        <w:t>9 articles classified (7 Gold, 2 Silver); each carries a Derivation Quote ≤ 15 words. Numeric tilt for Gold = −0.07 (Mixed); Silver tilt = +0.25 (low-confidence — 2 articles).</w:t>
      </w:r>
    </w:p>
    <w:p>
      <w:pPr>
        <w:spacing w:after="40" w:before="0"/>
      </w:pPr>
      <w:r>
        <w:rPr>
          <w:rFonts w:ascii="Calibri" w:hAnsi="Calibri"/>
          <w:b/>
          <w:i w:val="0"/>
          <w:sz w:val="22"/>
        </w:rPr>
        <w:t>M5 trace:</w:t>
      </w:r>
    </w:p>
    <w:p>
      <w:pPr>
        <w:spacing w:after="80" w:before="0"/>
      </w:pPr>
      <w:r>
        <w:rPr>
          <w:rFonts w:ascii="Calibri" w:hAnsi="Calibri"/>
          <w:b w:val="0"/>
          <w:i w:val="0"/>
          <w:sz w:val="21"/>
        </w:rPr>
        <w:t>Direction-score components computed at default weights. Three trade cards produced (Trade 1 directional, Trade 2 pivot regime-aware, Trade 3 complex — fork 3C transition breakout selected because regime_label = TRANSITION). Suppression reasons: none — all three cards produced with the SINGLE-SOURCE-INDICATIVE qualifier on Trade 2. Backtest reconstruction: 5 prior sessions replayed with sentiment frozen; no forward-data leakage.</w:t>
      </w:r>
    </w:p>
    <w:p>
      <w:pPr>
        <w:spacing w:after="40" w:before="0"/>
      </w:pPr>
      <w:r>
        <w:rPr>
          <w:rFonts w:ascii="Calibri" w:hAnsi="Calibri"/>
          <w:b/>
          <w:i w:val="0"/>
          <w:sz w:val="22"/>
        </w:rPr>
        <w:t>Override applied:</w:t>
      </w:r>
    </w:p>
    <w:p>
      <w:pPr>
        <w:spacing w:after="80" w:before="0"/>
      </w:pPr>
      <w:r>
        <w:rPr>
          <w:rFonts w:ascii="Calibri" w:hAnsi="Calibri"/>
          <w:b w:val="0"/>
          <w:i/>
          <w:sz w:val="21"/>
        </w:rPr>
        <w:t>Per explicit instruction, the daily-open anchor was overridden to anchor the report to the 14 May 2026 session (in lieu of the original 29 April 2026 instance date). Anchor TIME within the day remains 00:00 UK (London–Asia handover), preserving the natural session-reset semantics for spot gold.</w:t>
      </w:r>
    </w:p>
    <w:p>
      <w:pPr>
        <w:spacing w:after="40" w:before="0"/>
      </w:pPr>
      <w:r>
        <w:rPr>
          <w:rFonts w:ascii="Calibri" w:hAnsi="Calibri"/>
          <w:b/>
          <w:i w:val="0"/>
          <w:sz w:val="22"/>
        </w:rPr>
        <w:t>Anomalies:</w:t>
      </w:r>
    </w:p>
    <w:p>
      <w:pPr>
        <w:spacing w:after="160" w:before="0"/>
      </w:pPr>
      <w:r>
        <w:rPr>
          <w:rFonts w:ascii="Calibri" w:hAnsi="Calibri"/>
          <w:b w:val="0"/>
          <w:i w:val="0"/>
          <w:sz w:val="21"/>
        </w:rPr>
        <w:t>Two-session distribution (12–13 May) ran into a strongly oversold RSI2 (21.8) on session 4 — historically a mean-reversion signal but the 14 May intraday print so far is consolidation rather than reversal. Logged.</w:t>
      </w:r>
    </w:p>
    <w:tbl>
      <w:tblPr>
        <w:jc w:val="left"/>
        <w:tblLook w:firstColumn="1" w:firstRow="1" w:lastColumn="0" w:lastRow="0" w:noHBand="0" w:noVBand="1" w:val="04A0"/>
        <w:tblW w:w="16400" w:type="dxa"/>
      </w:tblPr>
      <w:tblGrid>
        <w:gridCol w:w="10080"/>
      </w:tblGrid>
      <w:tr>
        <w:tc>
          <w:tcPr>
            <w:tcW w:type="dxa" w:w="10080"/>
            <w:shd w:val="clear" w:color="auto" w:fill="A0325F"/>
          </w:tcPr>
          <w:p>
            <w:pPr>
              <w:spacing w:before="40" w:after="40"/>
            </w:pPr>
            <w:r>
              <w:rPr>
                <w:rFonts w:ascii="Calibri" w:hAnsi="Calibri"/>
                <w:b/>
                <w:color w:val="FFFFFF"/>
                <w:sz w:val="24"/>
              </w:rPr>
              <w:t>§21  STRATEGY RECOMMENDATIONS</w:t>
            </w:r>
          </w:p>
        </w:tc>
      </w:tr>
    </w:tbl>
    <w:p>
      <w:pPr>
        <w:spacing w:after="80" w:before="0"/>
      </w:pPr>
      <w:r>
        <w:rPr>
          <w:rFonts w:ascii="Calibri" w:hAnsi="Calibri"/>
          <w:b/>
          <w:i w:val="0"/>
          <w:color w:val="A0325F"/>
          <w:sz w:val="24"/>
        </w:rPr>
        <w:t>§21a  Directional Conviction</w:t>
      </w:r>
    </w:p>
    <w:p>
      <w:pPr>
        <w:spacing w:after="160" w:before="0"/>
      </w:pPr>
      <w:r>
        <w:rPr>
          <w:rFonts w:ascii="Calibri" w:hAnsi="Calibri"/>
          <w:b w:val="0"/>
          <w:i w:val="0"/>
          <w:sz w:val="21"/>
        </w:rPr>
        <w:t>Direction: SHORT (short-term bias) — score −0.27 — just exceeds the 0.25 conviction threshold so Trade 1 is produced rather than suppressed. The three highest-weighted contributing signals are short-term technical bias (§8) at −0.25 (Indecision with downside skew, RSI2 below 50), cross-asset confirmation (§10) at −0.12 (USDX Rising, partially offset by DAX falling and Silver rising), and sentiment tilt (§13b) at −0.07. Medium-term regime (§9 Transitional — Bullish) and Kaufman (+0.18, Trending Up — Moderate) push back the other way and prevent a stronger conviction reading. Conflict flag: §17 Forecast is range-bound with downside skew — directional conviction (SHORT) and the §17 lean (range with downside skew) are aligned, no override needed. Weights basis: defaults.</w:t>
      </w:r>
    </w:p>
    <w:p>
      <w:pPr>
        <w:spacing w:after="80" w:before="0"/>
      </w:pPr>
      <w:r>
        <w:rPr>
          <w:rFonts w:ascii="Calibri" w:hAnsi="Calibri"/>
          <w:b/>
          <w:i w:val="0"/>
          <w:color w:val="A0325F"/>
          <w:sz w:val="24"/>
        </w:rPr>
        <w:t>§21b  Trade Cards (1–3)</w:t>
      </w:r>
    </w:p>
    <w:p>
      <w:pPr>
        <w:spacing w:after="40" w:before="0"/>
      </w:pPr>
      <w:r>
        <w:rPr>
          <w:rFonts w:ascii="Calibri" w:hAnsi="Calibri"/>
          <w:b/>
          <w:i w:val="0"/>
          <w:sz w:val="22"/>
        </w:rPr>
        <w:t>Trade 1 — Daily Directional (00:00 UK anchor, 14 May 2026)</w:t>
      </w:r>
    </w:p>
    <w:tbl>
      <w:tblPr>
        <w:jc w:val="left"/>
        <w:tblLayout w:type="fixed"/>
        <w:tblLook w:firstColumn="1" w:firstRow="1" w:lastColumn="0" w:lastRow="0" w:noHBand="0" w:noVBand="1" w:val="04A0"/>
        <w:tblW w:w="9360" w:type="dxa"/>
      </w:tblPr>
      <w:tblGrid>
        <w:gridCol w:w="3360"/>
        <w:gridCol w:w="3360"/>
        <w:gridCol w:w="3360"/>
      </w:tblGrid>
      <w:tr>
        <w:tc>
          <w:tcPr>
            <w:shd w:val="clear" w:color="auto" w:fill="1F3A5F"/>
            <w:tcBorders>
              <w:top w:val="single" w:sz="4" w:color="BFBFBF"/>
              <w:left w:val="single" w:sz="4" w:color="BFBFBF"/>
              <w:bottom w:val="single" w:sz="4" w:color="BFBFBF"/>
              <w:right w:val="single" w:sz="4" w:color="BFBFBF"/>
            </w:tcBorders>
            <w:tcW w:w="3000" w:type="dxa"/>
          </w:tcPr>
          <w:p>
            <w:pPr>
              <w:spacing w:before="40" w:after="40"/>
            </w:pPr>
            <w:r>
              <w:rPr>
                <w:rFonts w:ascii="Calibri" w:hAnsi="Calibri"/>
                <w:b/>
                <w:color w:val="FFFFFF"/>
                <w:sz w:val="20"/>
              </w:rPr>
              <w:t>Field</w:t>
            </w:r>
          </w:p>
        </w:tc>
        <w:tc>
          <w:tcPr>
            <w:shd w:val="clear" w:color="auto" w:fill="1F3A5F"/>
            <w:tcBorders>
              <w:top w:val="single" w:sz="4" w:color="BFBFBF"/>
              <w:left w:val="single" w:sz="4" w:color="BFBFBF"/>
              <w:bottom w:val="single" w:sz="4" w:color="BFBFBF"/>
              <w:right w:val="single" w:sz="4" w:color="BFBFBF"/>
            </w:tcBorders>
            <w:tcW w:w="3700" w:type="dxa"/>
          </w:tcPr>
          <w:p>
            <w:pPr>
              <w:spacing w:before="40" w:after="40"/>
            </w:pPr>
            <w:r>
              <w:rPr>
                <w:rFonts w:ascii="Calibri" w:hAnsi="Calibri"/>
                <w:b/>
                <w:color w:val="FFFFFF"/>
                <w:sz w:val="20"/>
              </w:rPr>
              <w:t>Value (price)</w:t>
            </w:r>
          </w:p>
        </w:tc>
        <w:tc>
          <w:tcPr>
            <w:shd w:val="clear" w:color="auto" w:fill="1F3A5F"/>
            <w:tcBorders>
              <w:top w:val="single" w:sz="4" w:color="BFBFBF"/>
              <w:left w:val="single" w:sz="4" w:color="BFBFBF"/>
              <w:bottom w:val="single" w:sz="4" w:color="BFBFBF"/>
              <w:right w:val="single" w:sz="4" w:color="BFBFBF"/>
            </w:tcBorders>
            <w:tcW w:w="2660" w:type="dxa"/>
          </w:tcPr>
          <w:p>
            <w:pPr>
              <w:spacing w:before="40" w:after="40"/>
            </w:pPr>
            <w:r>
              <w:rPr>
                <w:rFonts w:ascii="Calibri" w:hAnsi="Calibri"/>
                <w:b/>
                <w:color w:val="FFFFFF"/>
                <w:sz w:val="20"/>
              </w:rPr>
              <w:t>Native unit (ticks, $0.01)</w:t>
            </w:r>
          </w:p>
        </w:tc>
      </w:tr>
      <w:tr>
        <w:tc>
          <w:tcPr>
            <w:tcBorders>
              <w:top w:val="single" w:sz="4" w:color="BFBFBF"/>
              <w:left w:val="single" w:sz="4" w:color="BFBFBF"/>
              <w:bottom w:val="single" w:sz="4" w:color="BFBFBF"/>
              <w:right w:val="single" w:sz="4" w:color="BFBFBF"/>
            </w:tcBorders>
            <w:tcW w:w="3000" w:type="dxa"/>
          </w:tcPr>
          <w:p>
            <w:pPr>
              <w:spacing w:before="20" w:after="20"/>
            </w:pPr>
            <w:r>
              <w:rPr>
                <w:rFonts w:ascii="Calibri" w:hAnsi="Calibri"/>
                <w:sz w:val="19"/>
              </w:rPr>
              <w:t>Direction</w:t>
            </w:r>
          </w:p>
        </w:tc>
        <w:tc>
          <w:tcPr>
            <w:tcBorders>
              <w:top w:val="single" w:sz="4" w:color="BFBFBF"/>
              <w:left w:val="single" w:sz="4" w:color="BFBFBF"/>
              <w:bottom w:val="single" w:sz="4" w:color="BFBFBF"/>
              <w:right w:val="single" w:sz="4" w:color="BFBFBF"/>
            </w:tcBorders>
            <w:tcW w:w="3700" w:type="dxa"/>
          </w:tcPr>
          <w:p>
            <w:pPr>
              <w:spacing w:before="20" w:after="20"/>
            </w:pPr>
            <w:r>
              <w:rPr>
                <w:rFonts w:ascii="Calibri" w:hAnsi="Calibri"/>
                <w:sz w:val="19"/>
              </w:rPr>
              <w:t>SHORT</w:t>
            </w:r>
          </w:p>
        </w:tc>
        <w:tc>
          <w:tcPr>
            <w:tcBorders>
              <w:top w:val="single" w:sz="4" w:color="BFBFBF"/>
              <w:left w:val="single" w:sz="4" w:color="BFBFBF"/>
              <w:bottom w:val="single" w:sz="4" w:color="BFBFBF"/>
              <w:right w:val="single" w:sz="4" w:color="BFBFBF"/>
            </w:tcBorders>
            <w:tcW w:w="2660" w:type="dxa"/>
          </w:tcPr>
          <w:p>
            <w:pPr>
              <w:spacing w:before="20" w:after="20"/>
            </w:pPr>
            <w:r>
              <w:rPr>
                <w:rFonts w:ascii="Calibri" w:hAnsi="Calibri"/>
                <w:sz w:val="19"/>
              </w:rPr>
              <w:t>—</w:t>
            </w:r>
          </w:p>
        </w:tc>
      </w:tr>
      <w:tr>
        <w:tc>
          <w:tcPr>
            <w:tcBorders>
              <w:top w:val="single" w:sz="4" w:color="BFBFBF"/>
              <w:left w:val="single" w:sz="4" w:color="BFBFBF"/>
              <w:bottom w:val="single" w:sz="4" w:color="BFBFBF"/>
              <w:right w:val="single" w:sz="4" w:color="BFBFBF"/>
            </w:tcBorders>
            <w:shd w:val="clear" w:color="auto" w:fill="F7F7F7"/>
            <w:tcW w:w="3000" w:type="dxa"/>
          </w:tcPr>
          <w:p>
            <w:pPr>
              <w:spacing w:before="20" w:after="20"/>
            </w:pPr>
            <w:r>
              <w:rPr>
                <w:rFonts w:ascii="Calibri" w:hAnsi="Calibri"/>
                <w:sz w:val="19"/>
              </w:rPr>
              <w:t>Entry</w:t>
            </w:r>
          </w:p>
        </w:tc>
        <w:tc>
          <w:tcPr>
            <w:tcBorders>
              <w:top w:val="single" w:sz="4" w:color="BFBFBF"/>
              <w:left w:val="single" w:sz="4" w:color="BFBFBF"/>
              <w:bottom w:val="single" w:sz="4" w:color="BFBFBF"/>
              <w:right w:val="single" w:sz="4" w:color="BFBFBF"/>
            </w:tcBorders>
            <w:shd w:val="clear" w:color="auto" w:fill="F7F7F7"/>
            <w:tcW w:w="3700" w:type="dxa"/>
          </w:tcPr>
          <w:p>
            <w:pPr>
              <w:spacing w:before="20" w:after="20"/>
            </w:pPr>
            <w:r>
              <w:rPr>
                <w:rFonts w:ascii="Calibri" w:hAnsi="Calibri"/>
                <w:sz w:val="19"/>
              </w:rPr>
              <w:t>USD 4,688 /oz (intraday spot)</w:t>
            </w:r>
          </w:p>
        </w:tc>
        <w:tc>
          <w:tcPr>
            <w:tcBorders>
              <w:top w:val="single" w:sz="4" w:color="BFBFBF"/>
              <w:left w:val="single" w:sz="4" w:color="BFBFBF"/>
              <w:bottom w:val="single" w:sz="4" w:color="BFBFBF"/>
              <w:right w:val="single" w:sz="4" w:color="BFBFBF"/>
            </w:tcBorders>
            <w:shd w:val="clear" w:color="auto" w:fill="F7F7F7"/>
            <w:tcW w:w="2660" w:type="dxa"/>
          </w:tcPr>
          <w:p>
            <w:pPr>
              <w:spacing w:before="20" w:after="20"/>
            </w:pPr>
            <w:r>
              <w:rPr>
                <w:rFonts w:ascii="Calibri" w:hAnsi="Calibri"/>
                <w:sz w:val="19"/>
              </w:rPr>
              <w:t>—</w:t>
            </w:r>
          </w:p>
        </w:tc>
      </w:tr>
      <w:tr>
        <w:tc>
          <w:tcPr>
            <w:tcBorders>
              <w:top w:val="single" w:sz="4" w:color="BFBFBF"/>
              <w:left w:val="single" w:sz="4" w:color="BFBFBF"/>
              <w:bottom w:val="single" w:sz="4" w:color="BFBFBF"/>
              <w:right w:val="single" w:sz="4" w:color="BFBFBF"/>
            </w:tcBorders>
            <w:tcW w:w="3000" w:type="dxa"/>
          </w:tcPr>
          <w:p>
            <w:pPr>
              <w:spacing w:before="20" w:after="20"/>
            </w:pPr>
            <w:r>
              <w:rPr>
                <w:rFonts w:ascii="Calibri" w:hAnsi="Calibri"/>
                <w:sz w:val="19"/>
              </w:rPr>
              <w:t>Stop loss</w:t>
            </w:r>
          </w:p>
        </w:tc>
        <w:tc>
          <w:tcPr>
            <w:tcBorders>
              <w:top w:val="single" w:sz="4" w:color="BFBFBF"/>
              <w:left w:val="single" w:sz="4" w:color="BFBFBF"/>
              <w:bottom w:val="single" w:sz="4" w:color="BFBFBF"/>
              <w:right w:val="single" w:sz="4" w:color="BFBFBF"/>
            </w:tcBorders>
            <w:tcW w:w="3700" w:type="dxa"/>
          </w:tcPr>
          <w:p>
            <w:pPr>
              <w:spacing w:before="20" w:after="20"/>
            </w:pPr>
            <w:r>
              <w:rPr>
                <w:rFonts w:ascii="Calibri" w:hAnsi="Calibri"/>
                <w:sz w:val="19"/>
              </w:rPr>
              <w:t>USD 4,720 /oz (above 14 May intraday high + 0.25 ATR buffer)</w:t>
            </w:r>
          </w:p>
        </w:tc>
        <w:tc>
          <w:tcPr>
            <w:tcBorders>
              <w:top w:val="single" w:sz="4" w:color="BFBFBF"/>
              <w:left w:val="single" w:sz="4" w:color="BFBFBF"/>
              <w:bottom w:val="single" w:sz="4" w:color="BFBFBF"/>
              <w:right w:val="single" w:sz="4" w:color="BFBFBF"/>
            </w:tcBorders>
            <w:tcW w:w="2660" w:type="dxa"/>
          </w:tcPr>
          <w:p>
            <w:pPr>
              <w:spacing w:before="20" w:after="20"/>
            </w:pPr>
            <w:r>
              <w:rPr>
                <w:rFonts w:ascii="Calibri" w:hAnsi="Calibri"/>
                <w:sz w:val="19"/>
              </w:rPr>
              <w:t>3,200 ticks</w:t>
            </w:r>
          </w:p>
        </w:tc>
      </w:tr>
      <w:tr>
        <w:tc>
          <w:tcPr>
            <w:tcBorders>
              <w:top w:val="single" w:sz="4" w:color="BFBFBF"/>
              <w:left w:val="single" w:sz="4" w:color="BFBFBF"/>
              <w:bottom w:val="single" w:sz="4" w:color="BFBFBF"/>
              <w:right w:val="single" w:sz="4" w:color="BFBFBF"/>
            </w:tcBorders>
            <w:shd w:val="clear" w:color="auto" w:fill="F7F7F7"/>
            <w:tcW w:w="3000" w:type="dxa"/>
          </w:tcPr>
          <w:p>
            <w:pPr>
              <w:spacing w:before="20" w:after="20"/>
            </w:pPr>
            <w:r>
              <w:rPr>
                <w:rFonts w:ascii="Calibri" w:hAnsi="Calibri"/>
                <w:sz w:val="19"/>
              </w:rPr>
              <w:t>Risk per unit (1R)</w:t>
            </w:r>
          </w:p>
        </w:tc>
        <w:tc>
          <w:tcPr>
            <w:tcBorders>
              <w:top w:val="single" w:sz="4" w:color="BFBFBF"/>
              <w:left w:val="single" w:sz="4" w:color="BFBFBF"/>
              <w:bottom w:val="single" w:sz="4" w:color="BFBFBF"/>
              <w:right w:val="single" w:sz="4" w:color="BFBFBF"/>
            </w:tcBorders>
            <w:shd w:val="clear" w:color="auto" w:fill="F7F7F7"/>
            <w:tcW w:w="3700" w:type="dxa"/>
          </w:tcPr>
          <w:p>
            <w:pPr>
              <w:spacing w:before="20" w:after="20"/>
            </w:pPr>
            <w:r>
              <w:rPr>
                <w:rFonts w:ascii="Calibri" w:hAnsi="Calibri"/>
                <w:sz w:val="19"/>
              </w:rPr>
              <w:t>USD 32 /oz</w:t>
            </w:r>
          </w:p>
        </w:tc>
        <w:tc>
          <w:tcPr>
            <w:tcBorders>
              <w:top w:val="single" w:sz="4" w:color="BFBFBF"/>
              <w:left w:val="single" w:sz="4" w:color="BFBFBF"/>
              <w:bottom w:val="single" w:sz="4" w:color="BFBFBF"/>
              <w:right w:val="single" w:sz="4" w:color="BFBFBF"/>
            </w:tcBorders>
            <w:shd w:val="clear" w:color="auto" w:fill="F7F7F7"/>
            <w:tcW w:w="2660" w:type="dxa"/>
          </w:tcPr>
          <w:p>
            <w:pPr>
              <w:spacing w:before="20" w:after="20"/>
            </w:pPr>
            <w:r>
              <w:rPr>
                <w:rFonts w:ascii="Calibri" w:hAnsi="Calibri"/>
                <w:sz w:val="19"/>
              </w:rPr>
              <w:t>3,200 ticks</w:t>
            </w:r>
          </w:p>
        </w:tc>
      </w:tr>
      <w:tr>
        <w:tc>
          <w:tcPr>
            <w:tcBorders>
              <w:top w:val="single" w:sz="4" w:color="BFBFBF"/>
              <w:left w:val="single" w:sz="4" w:color="BFBFBF"/>
              <w:bottom w:val="single" w:sz="4" w:color="BFBFBF"/>
              <w:right w:val="single" w:sz="4" w:color="BFBFBF"/>
            </w:tcBorders>
            <w:tcW w:w="3000" w:type="dxa"/>
          </w:tcPr>
          <w:p>
            <w:pPr>
              <w:spacing w:before="20" w:after="20"/>
            </w:pPr>
            <w:r>
              <w:rPr>
                <w:rFonts w:ascii="Calibri" w:hAnsi="Calibri"/>
                <w:sz w:val="19"/>
              </w:rPr>
              <w:t>Take-profit 1 (TP1, +1R, Unit 1)</w:t>
            </w:r>
          </w:p>
        </w:tc>
        <w:tc>
          <w:tcPr>
            <w:tcBorders>
              <w:top w:val="single" w:sz="4" w:color="BFBFBF"/>
              <w:left w:val="single" w:sz="4" w:color="BFBFBF"/>
              <w:bottom w:val="single" w:sz="4" w:color="BFBFBF"/>
              <w:right w:val="single" w:sz="4" w:color="BFBFBF"/>
            </w:tcBorders>
            <w:tcW w:w="3700" w:type="dxa"/>
          </w:tcPr>
          <w:p>
            <w:pPr>
              <w:spacing w:before="20" w:after="20"/>
            </w:pPr>
            <w:r>
              <w:rPr>
                <w:rFonts w:ascii="Calibri" w:hAnsi="Calibri"/>
                <w:sz w:val="19"/>
              </w:rPr>
              <w:t>USD 4,656 /oz</w:t>
            </w:r>
          </w:p>
        </w:tc>
        <w:tc>
          <w:tcPr>
            <w:tcBorders>
              <w:top w:val="single" w:sz="4" w:color="BFBFBF"/>
              <w:left w:val="single" w:sz="4" w:color="BFBFBF"/>
              <w:bottom w:val="single" w:sz="4" w:color="BFBFBF"/>
              <w:right w:val="single" w:sz="4" w:color="BFBFBF"/>
            </w:tcBorders>
            <w:tcW w:w="2660" w:type="dxa"/>
          </w:tcPr>
          <w:p>
            <w:pPr>
              <w:spacing w:before="20" w:after="20"/>
            </w:pPr>
            <w:r>
              <w:rPr>
                <w:rFonts w:ascii="Calibri" w:hAnsi="Calibri"/>
                <w:sz w:val="19"/>
              </w:rPr>
              <w:t>3,200 ticks</w:t>
            </w:r>
          </w:p>
        </w:tc>
      </w:tr>
      <w:tr>
        <w:tc>
          <w:tcPr>
            <w:tcBorders>
              <w:top w:val="single" w:sz="4" w:color="BFBFBF"/>
              <w:left w:val="single" w:sz="4" w:color="BFBFBF"/>
              <w:bottom w:val="single" w:sz="4" w:color="BFBFBF"/>
              <w:right w:val="single" w:sz="4" w:color="BFBFBF"/>
            </w:tcBorders>
            <w:shd w:val="clear" w:color="auto" w:fill="F7F7F7"/>
            <w:tcW w:w="3000" w:type="dxa"/>
          </w:tcPr>
          <w:p>
            <w:pPr>
              <w:spacing w:before="20" w:after="20"/>
            </w:pPr>
            <w:r>
              <w:rPr>
                <w:rFonts w:ascii="Calibri" w:hAnsi="Calibri"/>
                <w:sz w:val="19"/>
              </w:rPr>
              <w:t>Take-profit 2 (TP2, +2R, Unit 2)</w:t>
            </w:r>
          </w:p>
        </w:tc>
        <w:tc>
          <w:tcPr>
            <w:tcBorders>
              <w:top w:val="single" w:sz="4" w:color="BFBFBF"/>
              <w:left w:val="single" w:sz="4" w:color="BFBFBF"/>
              <w:bottom w:val="single" w:sz="4" w:color="BFBFBF"/>
              <w:right w:val="single" w:sz="4" w:color="BFBFBF"/>
            </w:tcBorders>
            <w:shd w:val="clear" w:color="auto" w:fill="F7F7F7"/>
            <w:tcW w:w="3700" w:type="dxa"/>
          </w:tcPr>
          <w:p>
            <w:pPr>
              <w:spacing w:before="20" w:after="20"/>
            </w:pPr>
            <w:r>
              <w:rPr>
                <w:rFonts w:ascii="Calibri" w:hAnsi="Calibri"/>
                <w:sz w:val="19"/>
              </w:rPr>
              <w:t>USD 4,624 /oz</w:t>
            </w:r>
          </w:p>
        </w:tc>
        <w:tc>
          <w:tcPr>
            <w:tcBorders>
              <w:top w:val="single" w:sz="4" w:color="BFBFBF"/>
              <w:left w:val="single" w:sz="4" w:color="BFBFBF"/>
              <w:bottom w:val="single" w:sz="4" w:color="BFBFBF"/>
              <w:right w:val="single" w:sz="4" w:color="BFBFBF"/>
            </w:tcBorders>
            <w:shd w:val="clear" w:color="auto" w:fill="F7F7F7"/>
            <w:tcW w:w="2660" w:type="dxa"/>
          </w:tcPr>
          <w:p>
            <w:pPr>
              <w:spacing w:before="20" w:after="20"/>
            </w:pPr>
            <w:r>
              <w:rPr>
                <w:rFonts w:ascii="Calibri" w:hAnsi="Calibri"/>
                <w:sz w:val="19"/>
              </w:rPr>
              <w:t>6,400 ticks</w:t>
            </w:r>
          </w:p>
        </w:tc>
      </w:tr>
      <w:tr>
        <w:tc>
          <w:tcPr>
            <w:tcBorders>
              <w:top w:val="single" w:sz="4" w:color="BFBFBF"/>
              <w:left w:val="single" w:sz="4" w:color="BFBFBF"/>
              <w:bottom w:val="single" w:sz="4" w:color="BFBFBF"/>
              <w:right w:val="single" w:sz="4" w:color="BFBFBF"/>
            </w:tcBorders>
            <w:tcW w:w="3000" w:type="dxa"/>
          </w:tcPr>
          <w:p>
            <w:pPr>
              <w:spacing w:before="20" w:after="20"/>
            </w:pPr>
            <w:r>
              <w:rPr>
                <w:rFonts w:ascii="Calibri" w:hAnsi="Calibri"/>
                <w:sz w:val="19"/>
              </w:rPr>
              <w:t>Runner stop (post-TP2 fill)</w:t>
            </w:r>
          </w:p>
        </w:tc>
        <w:tc>
          <w:tcPr>
            <w:tcBorders>
              <w:top w:val="single" w:sz="4" w:color="BFBFBF"/>
              <w:left w:val="single" w:sz="4" w:color="BFBFBF"/>
              <w:bottom w:val="single" w:sz="4" w:color="BFBFBF"/>
              <w:right w:val="single" w:sz="4" w:color="BFBFBF"/>
            </w:tcBorders>
            <w:tcW w:w="3700" w:type="dxa"/>
          </w:tcPr>
          <w:p>
            <w:pPr>
              <w:spacing w:before="20" w:after="20"/>
            </w:pPr>
            <w:r>
              <w:rPr>
                <w:rFonts w:ascii="Calibri" w:hAnsi="Calibri"/>
                <w:sz w:val="19"/>
              </w:rPr>
              <w:t>USD 4,688 + 0.2R = $4,694 /oz</w:t>
            </w:r>
          </w:p>
        </w:tc>
        <w:tc>
          <w:tcPr>
            <w:tcBorders>
              <w:top w:val="single" w:sz="4" w:color="BFBFBF"/>
              <w:left w:val="single" w:sz="4" w:color="BFBFBF"/>
              <w:bottom w:val="single" w:sz="4" w:color="BFBFBF"/>
              <w:right w:val="single" w:sz="4" w:color="BFBFBF"/>
            </w:tcBorders>
            <w:tcW w:w="2660" w:type="dxa"/>
          </w:tcPr>
          <w:p>
            <w:pPr>
              <w:spacing w:before="20" w:after="20"/>
            </w:pPr>
            <w:r>
              <w:rPr>
                <w:rFonts w:ascii="Calibri" w:hAnsi="Calibri"/>
                <w:sz w:val="19"/>
              </w:rPr>
              <w:t>BE + 600 ticks above entry</w:t>
            </w:r>
          </w:p>
        </w:tc>
      </w:tr>
      <w:tr>
        <w:tc>
          <w:tcPr>
            <w:tcBorders>
              <w:top w:val="single" w:sz="4" w:color="BFBFBF"/>
              <w:left w:val="single" w:sz="4" w:color="BFBFBF"/>
              <w:bottom w:val="single" w:sz="4" w:color="BFBFBF"/>
              <w:right w:val="single" w:sz="4" w:color="BFBFBF"/>
            </w:tcBorders>
            <w:shd w:val="clear" w:color="auto" w:fill="F7F7F7"/>
            <w:tcW w:w="3000" w:type="dxa"/>
          </w:tcPr>
          <w:p>
            <w:pPr>
              <w:spacing w:before="20" w:after="20"/>
            </w:pPr>
            <w:r>
              <w:rPr>
                <w:rFonts w:ascii="Calibri" w:hAnsi="Calibri"/>
                <w:sz w:val="19"/>
              </w:rPr>
              <w:t>Sizing</w:t>
            </w:r>
          </w:p>
        </w:tc>
        <w:tc>
          <w:tcPr>
            <w:tcBorders>
              <w:top w:val="single" w:sz="4" w:color="BFBFBF"/>
              <w:left w:val="single" w:sz="4" w:color="BFBFBF"/>
              <w:bottom w:val="single" w:sz="4" w:color="BFBFBF"/>
              <w:right w:val="single" w:sz="4" w:color="BFBFBF"/>
            </w:tcBorders>
            <w:shd w:val="clear" w:color="auto" w:fill="F7F7F7"/>
            <w:tcW w:w="3700" w:type="dxa"/>
          </w:tcPr>
          <w:p>
            <w:pPr>
              <w:spacing w:before="20" w:after="20"/>
            </w:pPr>
            <w:r>
              <w:rPr>
                <w:rFonts w:ascii="Calibri" w:hAnsi="Calibri"/>
                <w:sz w:val="19"/>
              </w:rPr>
              <w:t>3 equal tranches (Unit 1 / Unit 2 / Runner)</w:t>
            </w:r>
          </w:p>
        </w:tc>
        <w:tc>
          <w:tcPr>
            <w:tcBorders>
              <w:top w:val="single" w:sz="4" w:color="BFBFBF"/>
              <w:left w:val="single" w:sz="4" w:color="BFBFBF"/>
              <w:bottom w:val="single" w:sz="4" w:color="BFBFBF"/>
              <w:right w:val="single" w:sz="4" w:color="BFBFBF"/>
            </w:tcBorders>
            <w:shd w:val="clear" w:color="auto" w:fill="F7F7F7"/>
            <w:tcW w:w="2660" w:type="dxa"/>
          </w:tcPr>
          <w:p>
            <w:pPr>
              <w:spacing w:before="20" w:after="20"/>
            </w:pPr>
            <w:r>
              <w:rPr>
                <w:rFonts w:ascii="Calibri" w:hAnsi="Calibri"/>
                <w:sz w:val="19"/>
              </w:rPr>
              <w:t>—</w:t>
            </w:r>
          </w:p>
        </w:tc>
      </w:tr>
      <w:tr>
        <w:tc>
          <w:tcPr>
            <w:tcBorders>
              <w:top w:val="single" w:sz="4" w:color="BFBFBF"/>
              <w:left w:val="single" w:sz="4" w:color="BFBFBF"/>
              <w:bottom w:val="single" w:sz="4" w:color="BFBFBF"/>
              <w:right w:val="single" w:sz="4" w:color="BFBFBF"/>
            </w:tcBorders>
            <w:tcW w:w="3000" w:type="dxa"/>
          </w:tcPr>
          <w:p>
            <w:pPr>
              <w:spacing w:before="20" w:after="20"/>
            </w:pPr>
            <w:r>
              <w:rPr>
                <w:rFonts w:ascii="Calibri" w:hAnsi="Calibri"/>
                <w:sz w:val="19"/>
              </w:rPr>
              <w:t>Confluences at entry</w:t>
            </w:r>
          </w:p>
        </w:tc>
        <w:tc>
          <w:tcPr>
            <w:tcBorders>
              <w:top w:val="single" w:sz="4" w:color="BFBFBF"/>
              <w:left w:val="single" w:sz="4" w:color="BFBFBF"/>
              <w:bottom w:val="single" w:sz="4" w:color="BFBFBF"/>
              <w:right w:val="single" w:sz="4" w:color="BFBFBF"/>
            </w:tcBorders>
            <w:tcW w:w="3700" w:type="dxa"/>
          </w:tcPr>
          <w:p>
            <w:pPr>
              <w:spacing w:before="20" w:after="20"/>
            </w:pPr>
            <w:r>
              <w:rPr>
                <w:rFonts w:ascii="Calibri" w:hAnsi="Calibri"/>
                <w:sz w:val="19"/>
              </w:rPr>
              <w:t>Daily P at $4,696 just above; weekly P at $4,738 well above — bias-confirming</w:t>
            </w:r>
          </w:p>
        </w:tc>
        <w:tc>
          <w:tcPr>
            <w:tcBorders>
              <w:top w:val="single" w:sz="4" w:color="BFBFBF"/>
              <w:left w:val="single" w:sz="4" w:color="BFBFBF"/>
              <w:bottom w:val="single" w:sz="4" w:color="BFBFBF"/>
              <w:right w:val="single" w:sz="4" w:color="BFBFBF"/>
            </w:tcBorders>
            <w:tcW w:w="2660" w:type="dxa"/>
          </w:tcPr>
          <w:p>
            <w:pPr>
              <w:spacing w:before="20" w:after="20"/>
            </w:pPr>
            <w:r>
              <w:rPr>
                <w:rFonts w:ascii="Calibri" w:hAnsi="Calibri"/>
                <w:sz w:val="19"/>
              </w:rPr>
              <w:t>—</w:t>
            </w:r>
          </w:p>
        </w:tc>
      </w:tr>
      <w:tr>
        <w:tc>
          <w:tcPr>
            <w:tcBorders>
              <w:top w:val="single" w:sz="4" w:color="BFBFBF"/>
              <w:left w:val="single" w:sz="4" w:color="BFBFBF"/>
              <w:bottom w:val="single" w:sz="4" w:color="BFBFBF"/>
              <w:right w:val="single" w:sz="4" w:color="BFBFBF"/>
            </w:tcBorders>
            <w:shd w:val="clear" w:color="auto" w:fill="F7F7F7"/>
            <w:tcW w:w="3000" w:type="dxa"/>
          </w:tcPr>
          <w:p>
            <w:pPr>
              <w:spacing w:before="20" w:after="20"/>
            </w:pPr>
            <w:r>
              <w:rPr>
                <w:rFonts w:ascii="Calibri" w:hAnsi="Calibri"/>
                <w:sz w:val="19"/>
              </w:rPr>
              <w:t>Invalidation</w:t>
            </w:r>
          </w:p>
        </w:tc>
        <w:tc>
          <w:tcPr>
            <w:tcBorders>
              <w:top w:val="single" w:sz="4" w:color="BFBFBF"/>
              <w:left w:val="single" w:sz="4" w:color="BFBFBF"/>
              <w:bottom w:val="single" w:sz="4" w:color="BFBFBF"/>
              <w:right w:val="single" w:sz="4" w:color="BFBFBF"/>
            </w:tcBorders>
            <w:shd w:val="clear" w:color="auto" w:fill="F7F7F7"/>
            <w:tcW w:w="3700" w:type="dxa"/>
          </w:tcPr>
          <w:p>
            <w:pPr>
              <w:spacing w:before="20" w:after="20"/>
            </w:pPr>
            <w:r>
              <w:rPr>
                <w:rFonts w:ascii="Calibri" w:hAnsi="Calibri"/>
                <w:sz w:val="19"/>
              </w:rPr>
              <w:t>Daily close above $4,720; Michigan inflation print cools materially</w:t>
            </w:r>
          </w:p>
        </w:tc>
        <w:tc>
          <w:tcPr>
            <w:tcBorders>
              <w:top w:val="single" w:sz="4" w:color="BFBFBF"/>
              <w:left w:val="single" w:sz="4" w:color="BFBFBF"/>
              <w:bottom w:val="single" w:sz="4" w:color="BFBFBF"/>
              <w:right w:val="single" w:sz="4" w:color="BFBFBF"/>
            </w:tcBorders>
            <w:shd w:val="clear" w:color="auto" w:fill="F7F7F7"/>
            <w:tcW w:w="2660" w:type="dxa"/>
          </w:tcPr>
          <w:p>
            <w:pPr>
              <w:spacing w:before="20" w:after="20"/>
            </w:pPr>
            <w:r>
              <w:rPr>
                <w:rFonts w:ascii="Calibri" w:hAnsi="Calibri"/>
                <w:sz w:val="19"/>
              </w:rPr>
              <w:t>—</w:t>
            </w:r>
          </w:p>
        </w:tc>
      </w:tr>
      <w:tr>
        <w:tc>
          <w:tcPr>
            <w:tcBorders>
              <w:top w:val="single" w:sz="4" w:color="BFBFBF"/>
              <w:left w:val="single" w:sz="4" w:color="BFBFBF"/>
              <w:bottom w:val="single" w:sz="4" w:color="BFBFBF"/>
              <w:right w:val="single" w:sz="4" w:color="BFBFBF"/>
            </w:tcBorders>
            <w:tcW w:w="3000" w:type="dxa"/>
          </w:tcPr>
          <w:p>
            <w:pPr>
              <w:spacing w:before="20" w:after="20"/>
            </w:pPr>
            <w:r>
              <w:rPr>
                <w:rFonts w:ascii="Calibri" w:hAnsi="Calibri"/>
                <w:sz w:val="19"/>
              </w:rPr>
              <w:t>Caveats</w:t>
            </w:r>
          </w:p>
        </w:tc>
        <w:tc>
          <w:tcPr>
            <w:tcBorders>
              <w:top w:val="single" w:sz="4" w:color="BFBFBF"/>
              <w:left w:val="single" w:sz="4" w:color="BFBFBF"/>
              <w:bottom w:val="single" w:sz="4" w:color="BFBFBF"/>
              <w:right w:val="single" w:sz="4" w:color="BFBFBF"/>
            </w:tcBorders>
            <w:tcW w:w="3700" w:type="dxa"/>
          </w:tcPr>
          <w:p>
            <w:pPr>
              <w:spacing w:before="20" w:after="20"/>
            </w:pPr>
            <w:r>
              <w:rPr>
                <w:rFonts w:ascii="Calibri" w:hAnsi="Calibri"/>
                <w:sz w:val="19"/>
              </w:rPr>
              <w:t>ATR(14) = $52 /oz — stop is well inside the ATR cap of 3.5×; oversold RSI2 (21.8 on 13 May) raises mean-reversion risk</w:t>
            </w:r>
          </w:p>
        </w:tc>
        <w:tc>
          <w:tcPr>
            <w:tcBorders>
              <w:top w:val="single" w:sz="4" w:color="BFBFBF"/>
              <w:left w:val="single" w:sz="4" w:color="BFBFBF"/>
              <w:bottom w:val="single" w:sz="4" w:color="BFBFBF"/>
              <w:right w:val="single" w:sz="4" w:color="BFBFBF"/>
            </w:tcBorders>
            <w:tcW w:w="2660" w:type="dxa"/>
          </w:tcPr>
          <w:p>
            <w:pPr>
              <w:spacing w:before="20" w:after="20"/>
            </w:pPr>
            <w:r>
              <w:rPr>
                <w:rFonts w:ascii="Calibri" w:hAnsi="Calibri"/>
                <w:sz w:val="19"/>
              </w:rPr>
              <w:t>—</w:t>
            </w:r>
          </w:p>
        </w:tc>
      </w:tr>
    </w:tbl>
    <w:p>
      <w:pPr>
        <w:spacing w:after="40" w:before="0"/>
      </w:pPr>
      <w:r>
        <w:rPr>
          <w:rFonts w:ascii="Calibri" w:hAnsi="Calibri"/>
          <w:b/>
          <w:i w:val="0"/>
          <w:sz w:val="22"/>
        </w:rPr>
        <w:t>Trade 2 — Regime-aware Pivot (indicative)</w:t>
      </w:r>
    </w:p>
    <w:tbl>
      <w:tblPr>
        <w:jc w:val="left"/>
        <w:tblLayout w:type="fixed"/>
        <w:tblLook w:firstColumn="1" w:firstRow="1" w:lastColumn="0" w:lastRow="0" w:noHBand="0" w:noVBand="1" w:val="04A0"/>
        <w:tblW w:w="9360" w:type="dxa"/>
      </w:tblPr>
      <w:tblGrid>
        <w:gridCol w:w="3360"/>
        <w:gridCol w:w="3360"/>
        <w:gridCol w:w="3360"/>
      </w:tblGrid>
      <w:tr>
        <w:tc>
          <w:tcPr>
            <w:shd w:val="clear" w:color="auto" w:fill="1F3A5F"/>
            <w:tcBorders>
              <w:top w:val="single" w:sz="4" w:color="BFBFBF"/>
              <w:left w:val="single" w:sz="4" w:color="BFBFBF"/>
              <w:bottom w:val="single" w:sz="4" w:color="BFBFBF"/>
              <w:right w:val="single" w:sz="4" w:color="BFBFBF"/>
            </w:tcBorders>
            <w:tcW w:w="3000" w:type="dxa"/>
          </w:tcPr>
          <w:p>
            <w:pPr>
              <w:spacing w:before="40" w:after="40"/>
            </w:pPr>
            <w:r>
              <w:rPr>
                <w:rFonts w:ascii="Calibri" w:hAnsi="Calibri"/>
                <w:b/>
                <w:color w:val="FFFFFF"/>
                <w:sz w:val="20"/>
              </w:rPr>
              <w:t>Field</w:t>
            </w:r>
          </w:p>
        </w:tc>
        <w:tc>
          <w:tcPr>
            <w:shd w:val="clear" w:color="auto" w:fill="1F3A5F"/>
            <w:tcBorders>
              <w:top w:val="single" w:sz="4" w:color="BFBFBF"/>
              <w:left w:val="single" w:sz="4" w:color="BFBFBF"/>
              <w:bottom w:val="single" w:sz="4" w:color="BFBFBF"/>
              <w:right w:val="single" w:sz="4" w:color="BFBFBF"/>
            </w:tcBorders>
            <w:tcW w:w="3700" w:type="dxa"/>
          </w:tcPr>
          <w:p>
            <w:pPr>
              <w:spacing w:before="40" w:after="40"/>
            </w:pPr>
            <w:r>
              <w:rPr>
                <w:rFonts w:ascii="Calibri" w:hAnsi="Calibri"/>
                <w:b/>
                <w:color w:val="FFFFFF"/>
                <w:sz w:val="20"/>
              </w:rPr>
              <w:t>Value (price)</w:t>
            </w:r>
          </w:p>
        </w:tc>
        <w:tc>
          <w:tcPr>
            <w:shd w:val="clear" w:color="auto" w:fill="1F3A5F"/>
            <w:tcBorders>
              <w:top w:val="single" w:sz="4" w:color="BFBFBF"/>
              <w:left w:val="single" w:sz="4" w:color="BFBFBF"/>
              <w:bottom w:val="single" w:sz="4" w:color="BFBFBF"/>
              <w:right w:val="single" w:sz="4" w:color="BFBFBF"/>
            </w:tcBorders>
            <w:tcW w:w="2660" w:type="dxa"/>
          </w:tcPr>
          <w:p>
            <w:pPr>
              <w:spacing w:before="40" w:after="40"/>
            </w:pPr>
            <w:r>
              <w:rPr>
                <w:rFonts w:ascii="Calibri" w:hAnsi="Calibri"/>
                <w:b/>
                <w:color w:val="FFFFFF"/>
                <w:sz w:val="20"/>
              </w:rPr>
              <w:t>Native unit (ticks, $0.01)</w:t>
            </w:r>
          </w:p>
        </w:tc>
      </w:tr>
      <w:tr>
        <w:tc>
          <w:tcPr>
            <w:tcBorders>
              <w:top w:val="single" w:sz="4" w:color="BFBFBF"/>
              <w:left w:val="single" w:sz="4" w:color="BFBFBF"/>
              <w:bottom w:val="single" w:sz="4" w:color="BFBFBF"/>
              <w:right w:val="single" w:sz="4" w:color="BFBFBF"/>
            </w:tcBorders>
            <w:tcW w:w="3000" w:type="dxa"/>
          </w:tcPr>
          <w:p>
            <w:pPr>
              <w:spacing w:before="20" w:after="20"/>
            </w:pPr>
            <w:r>
              <w:rPr>
                <w:rFonts w:ascii="Calibri" w:hAnsi="Calibri"/>
                <w:sz w:val="19"/>
              </w:rPr>
              <w:t>Direction</w:t>
            </w:r>
          </w:p>
        </w:tc>
        <w:tc>
          <w:tcPr>
            <w:tcBorders>
              <w:top w:val="single" w:sz="4" w:color="BFBFBF"/>
              <w:left w:val="single" w:sz="4" w:color="BFBFBF"/>
              <w:bottom w:val="single" w:sz="4" w:color="BFBFBF"/>
              <w:right w:val="single" w:sz="4" w:color="BFBFBF"/>
            </w:tcBorders>
            <w:tcW w:w="3700" w:type="dxa"/>
          </w:tcPr>
          <w:p>
            <w:pPr>
              <w:spacing w:before="20" w:after="20"/>
            </w:pPr>
            <w:r>
              <w:rPr>
                <w:rFonts w:ascii="Calibri" w:hAnsi="Calibri"/>
                <w:sz w:val="19"/>
              </w:rPr>
              <w:t>SHORT at daily R1</w:t>
            </w:r>
          </w:p>
        </w:tc>
        <w:tc>
          <w:tcPr>
            <w:tcBorders>
              <w:top w:val="single" w:sz="4" w:color="BFBFBF"/>
              <w:left w:val="single" w:sz="4" w:color="BFBFBF"/>
              <w:bottom w:val="single" w:sz="4" w:color="BFBFBF"/>
              <w:right w:val="single" w:sz="4" w:color="BFBFBF"/>
            </w:tcBorders>
            <w:tcW w:w="2660" w:type="dxa"/>
          </w:tcPr>
          <w:p>
            <w:pPr>
              <w:spacing w:before="20" w:after="20"/>
            </w:pPr>
            <w:r>
              <w:rPr>
                <w:rFonts w:ascii="Calibri" w:hAnsi="Calibri"/>
                <w:sz w:val="19"/>
              </w:rPr>
              <w:t>—</w:t>
            </w:r>
          </w:p>
        </w:tc>
      </w:tr>
      <w:tr>
        <w:tc>
          <w:tcPr>
            <w:tcBorders>
              <w:top w:val="single" w:sz="4" w:color="BFBFBF"/>
              <w:left w:val="single" w:sz="4" w:color="BFBFBF"/>
              <w:bottom w:val="single" w:sz="4" w:color="BFBFBF"/>
              <w:right w:val="single" w:sz="4" w:color="BFBFBF"/>
            </w:tcBorders>
            <w:shd w:val="clear" w:color="auto" w:fill="F7F7F7"/>
            <w:tcW w:w="3000" w:type="dxa"/>
          </w:tcPr>
          <w:p>
            <w:pPr>
              <w:spacing w:before="20" w:after="20"/>
            </w:pPr>
            <w:r>
              <w:rPr>
                <w:rFonts w:ascii="Calibri" w:hAnsi="Calibri"/>
                <w:sz w:val="19"/>
              </w:rPr>
              <w:t>Entry (limit)</w:t>
            </w:r>
          </w:p>
        </w:tc>
        <w:tc>
          <w:tcPr>
            <w:tcBorders>
              <w:top w:val="single" w:sz="4" w:color="BFBFBF"/>
              <w:left w:val="single" w:sz="4" w:color="BFBFBF"/>
              <w:bottom w:val="single" w:sz="4" w:color="BFBFBF"/>
              <w:right w:val="single" w:sz="4" w:color="BFBFBF"/>
            </w:tcBorders>
            <w:shd w:val="clear" w:color="auto" w:fill="F7F7F7"/>
            <w:tcW w:w="3700" w:type="dxa"/>
          </w:tcPr>
          <w:p>
            <w:pPr>
              <w:spacing w:before="20" w:after="20"/>
            </w:pPr>
            <w:r>
              <w:rPr>
                <w:rFonts w:ascii="Calibri" w:hAnsi="Calibri"/>
                <w:sz w:val="19"/>
              </w:rPr>
              <w:t>USD 4,716 /oz (daily R1 confluence with weekly R1 area)</w:t>
            </w:r>
          </w:p>
        </w:tc>
        <w:tc>
          <w:tcPr>
            <w:tcBorders>
              <w:top w:val="single" w:sz="4" w:color="BFBFBF"/>
              <w:left w:val="single" w:sz="4" w:color="BFBFBF"/>
              <w:bottom w:val="single" w:sz="4" w:color="BFBFBF"/>
              <w:right w:val="single" w:sz="4" w:color="BFBFBF"/>
            </w:tcBorders>
            <w:shd w:val="clear" w:color="auto" w:fill="F7F7F7"/>
            <w:tcW w:w="2660" w:type="dxa"/>
          </w:tcPr>
          <w:p>
            <w:pPr>
              <w:spacing w:before="20" w:after="20"/>
            </w:pPr>
            <w:r>
              <w:rPr>
                <w:rFonts w:ascii="Calibri" w:hAnsi="Calibri"/>
                <w:sz w:val="19"/>
              </w:rPr>
              <w:t>—</w:t>
            </w:r>
          </w:p>
        </w:tc>
      </w:tr>
      <w:tr>
        <w:tc>
          <w:tcPr>
            <w:tcBorders>
              <w:top w:val="single" w:sz="4" w:color="BFBFBF"/>
              <w:left w:val="single" w:sz="4" w:color="BFBFBF"/>
              <w:bottom w:val="single" w:sz="4" w:color="BFBFBF"/>
              <w:right w:val="single" w:sz="4" w:color="BFBFBF"/>
            </w:tcBorders>
            <w:tcW w:w="3000" w:type="dxa"/>
          </w:tcPr>
          <w:p>
            <w:pPr>
              <w:spacing w:before="20" w:after="20"/>
            </w:pPr>
            <w:r>
              <w:rPr>
                <w:rFonts w:ascii="Calibri" w:hAnsi="Calibri"/>
                <w:sz w:val="19"/>
              </w:rPr>
              <w:t>Stop loss</w:t>
            </w:r>
          </w:p>
        </w:tc>
        <w:tc>
          <w:tcPr>
            <w:tcBorders>
              <w:top w:val="single" w:sz="4" w:color="BFBFBF"/>
              <w:left w:val="single" w:sz="4" w:color="BFBFBF"/>
              <w:bottom w:val="single" w:sz="4" w:color="BFBFBF"/>
              <w:right w:val="single" w:sz="4" w:color="BFBFBF"/>
            </w:tcBorders>
            <w:tcW w:w="3700" w:type="dxa"/>
          </w:tcPr>
          <w:p>
            <w:pPr>
              <w:spacing w:before="20" w:after="20"/>
            </w:pPr>
            <w:r>
              <w:rPr>
                <w:rFonts w:ascii="Calibri" w:hAnsi="Calibri"/>
                <w:sz w:val="19"/>
              </w:rPr>
              <w:t>USD 4,752 /oz (daily R2)</w:t>
            </w:r>
          </w:p>
        </w:tc>
        <w:tc>
          <w:tcPr>
            <w:tcBorders>
              <w:top w:val="single" w:sz="4" w:color="BFBFBF"/>
              <w:left w:val="single" w:sz="4" w:color="BFBFBF"/>
              <w:bottom w:val="single" w:sz="4" w:color="BFBFBF"/>
              <w:right w:val="single" w:sz="4" w:color="BFBFBF"/>
            </w:tcBorders>
            <w:tcW w:w="2660" w:type="dxa"/>
          </w:tcPr>
          <w:p>
            <w:pPr>
              <w:spacing w:before="20" w:after="20"/>
            </w:pPr>
            <w:r>
              <w:rPr>
                <w:rFonts w:ascii="Calibri" w:hAnsi="Calibri"/>
                <w:sz w:val="19"/>
              </w:rPr>
              <w:t>3,600 ticks</w:t>
            </w:r>
          </w:p>
        </w:tc>
      </w:tr>
      <w:tr>
        <w:tc>
          <w:tcPr>
            <w:tcBorders>
              <w:top w:val="single" w:sz="4" w:color="BFBFBF"/>
              <w:left w:val="single" w:sz="4" w:color="BFBFBF"/>
              <w:bottom w:val="single" w:sz="4" w:color="BFBFBF"/>
              <w:right w:val="single" w:sz="4" w:color="BFBFBF"/>
            </w:tcBorders>
            <w:shd w:val="clear" w:color="auto" w:fill="F7F7F7"/>
            <w:tcW w:w="3000" w:type="dxa"/>
          </w:tcPr>
          <w:p>
            <w:pPr>
              <w:spacing w:before="20" w:after="20"/>
            </w:pPr>
            <w:r>
              <w:rPr>
                <w:rFonts w:ascii="Calibri" w:hAnsi="Calibri"/>
                <w:sz w:val="19"/>
              </w:rPr>
              <w:t>Risk per unit (1R)</w:t>
            </w:r>
          </w:p>
        </w:tc>
        <w:tc>
          <w:tcPr>
            <w:tcBorders>
              <w:top w:val="single" w:sz="4" w:color="BFBFBF"/>
              <w:left w:val="single" w:sz="4" w:color="BFBFBF"/>
              <w:bottom w:val="single" w:sz="4" w:color="BFBFBF"/>
              <w:right w:val="single" w:sz="4" w:color="BFBFBF"/>
            </w:tcBorders>
            <w:shd w:val="clear" w:color="auto" w:fill="F7F7F7"/>
            <w:tcW w:w="3700" w:type="dxa"/>
          </w:tcPr>
          <w:p>
            <w:pPr>
              <w:spacing w:before="20" w:after="20"/>
            </w:pPr>
            <w:r>
              <w:rPr>
                <w:rFonts w:ascii="Calibri" w:hAnsi="Calibri"/>
                <w:sz w:val="19"/>
              </w:rPr>
              <w:t>USD 36 /oz</w:t>
            </w:r>
          </w:p>
        </w:tc>
        <w:tc>
          <w:tcPr>
            <w:tcBorders>
              <w:top w:val="single" w:sz="4" w:color="BFBFBF"/>
              <w:left w:val="single" w:sz="4" w:color="BFBFBF"/>
              <w:bottom w:val="single" w:sz="4" w:color="BFBFBF"/>
              <w:right w:val="single" w:sz="4" w:color="BFBFBF"/>
            </w:tcBorders>
            <w:shd w:val="clear" w:color="auto" w:fill="F7F7F7"/>
            <w:tcW w:w="2660" w:type="dxa"/>
          </w:tcPr>
          <w:p>
            <w:pPr>
              <w:spacing w:before="20" w:after="20"/>
            </w:pPr>
            <w:r>
              <w:rPr>
                <w:rFonts w:ascii="Calibri" w:hAnsi="Calibri"/>
                <w:sz w:val="19"/>
              </w:rPr>
              <w:t>3,600 ticks</w:t>
            </w:r>
          </w:p>
        </w:tc>
      </w:tr>
      <w:tr>
        <w:tc>
          <w:tcPr>
            <w:tcBorders>
              <w:top w:val="single" w:sz="4" w:color="BFBFBF"/>
              <w:left w:val="single" w:sz="4" w:color="BFBFBF"/>
              <w:bottom w:val="single" w:sz="4" w:color="BFBFBF"/>
              <w:right w:val="single" w:sz="4" w:color="BFBFBF"/>
            </w:tcBorders>
            <w:tcW w:w="3000" w:type="dxa"/>
          </w:tcPr>
          <w:p>
            <w:pPr>
              <w:spacing w:before="20" w:after="20"/>
            </w:pPr>
            <w:r>
              <w:rPr>
                <w:rFonts w:ascii="Calibri" w:hAnsi="Calibri"/>
                <w:sz w:val="19"/>
              </w:rPr>
              <w:t>TP1 (Unit 1, structural P)</w:t>
            </w:r>
          </w:p>
        </w:tc>
        <w:tc>
          <w:tcPr>
            <w:tcBorders>
              <w:top w:val="single" w:sz="4" w:color="BFBFBF"/>
              <w:left w:val="single" w:sz="4" w:color="BFBFBF"/>
              <w:bottom w:val="single" w:sz="4" w:color="BFBFBF"/>
              <w:right w:val="single" w:sz="4" w:color="BFBFBF"/>
            </w:tcBorders>
            <w:tcW w:w="3700" w:type="dxa"/>
          </w:tcPr>
          <w:p>
            <w:pPr>
              <w:spacing w:before="20" w:after="20"/>
            </w:pPr>
            <w:r>
              <w:rPr>
                <w:rFonts w:ascii="Calibri" w:hAnsi="Calibri"/>
                <w:sz w:val="19"/>
              </w:rPr>
              <w:t>USD 4,696 /oz</w:t>
            </w:r>
          </w:p>
        </w:tc>
        <w:tc>
          <w:tcPr>
            <w:tcBorders>
              <w:top w:val="single" w:sz="4" w:color="BFBFBF"/>
              <w:left w:val="single" w:sz="4" w:color="BFBFBF"/>
              <w:bottom w:val="single" w:sz="4" w:color="BFBFBF"/>
              <w:right w:val="single" w:sz="4" w:color="BFBFBF"/>
            </w:tcBorders>
            <w:tcW w:w="2660" w:type="dxa"/>
          </w:tcPr>
          <w:p>
            <w:pPr>
              <w:spacing w:before="20" w:after="20"/>
            </w:pPr>
            <w:r>
              <w:rPr>
                <w:rFonts w:ascii="Calibri" w:hAnsi="Calibri"/>
                <w:sz w:val="19"/>
              </w:rPr>
              <w:t>2,000 ticks</w:t>
            </w:r>
          </w:p>
        </w:tc>
      </w:tr>
      <w:tr>
        <w:tc>
          <w:tcPr>
            <w:tcBorders>
              <w:top w:val="single" w:sz="4" w:color="BFBFBF"/>
              <w:left w:val="single" w:sz="4" w:color="BFBFBF"/>
              <w:bottom w:val="single" w:sz="4" w:color="BFBFBF"/>
              <w:right w:val="single" w:sz="4" w:color="BFBFBF"/>
            </w:tcBorders>
            <w:shd w:val="clear" w:color="auto" w:fill="F7F7F7"/>
            <w:tcW w:w="3000" w:type="dxa"/>
          </w:tcPr>
          <w:p>
            <w:pPr>
              <w:spacing w:before="20" w:after="20"/>
            </w:pPr>
            <w:r>
              <w:rPr>
                <w:rFonts w:ascii="Calibri" w:hAnsi="Calibri"/>
                <w:sz w:val="19"/>
              </w:rPr>
              <w:t>TP2 (Unit 2, daily S1)</w:t>
            </w:r>
          </w:p>
        </w:tc>
        <w:tc>
          <w:tcPr>
            <w:tcBorders>
              <w:top w:val="single" w:sz="4" w:color="BFBFBF"/>
              <w:left w:val="single" w:sz="4" w:color="BFBFBF"/>
              <w:bottom w:val="single" w:sz="4" w:color="BFBFBF"/>
              <w:right w:val="single" w:sz="4" w:color="BFBFBF"/>
            </w:tcBorders>
            <w:shd w:val="clear" w:color="auto" w:fill="F7F7F7"/>
            <w:tcW w:w="3700" w:type="dxa"/>
          </w:tcPr>
          <w:p>
            <w:pPr>
              <w:spacing w:before="20" w:after="20"/>
            </w:pPr>
            <w:r>
              <w:rPr>
                <w:rFonts w:ascii="Calibri" w:hAnsi="Calibri"/>
                <w:sz w:val="19"/>
              </w:rPr>
              <w:t>USD 4,659 /oz</w:t>
            </w:r>
          </w:p>
        </w:tc>
        <w:tc>
          <w:tcPr>
            <w:tcBorders>
              <w:top w:val="single" w:sz="4" w:color="BFBFBF"/>
              <w:left w:val="single" w:sz="4" w:color="BFBFBF"/>
              <w:bottom w:val="single" w:sz="4" w:color="BFBFBF"/>
              <w:right w:val="single" w:sz="4" w:color="BFBFBF"/>
            </w:tcBorders>
            <w:shd w:val="clear" w:color="auto" w:fill="F7F7F7"/>
            <w:tcW w:w="2660" w:type="dxa"/>
          </w:tcPr>
          <w:p>
            <w:pPr>
              <w:spacing w:before="20" w:after="20"/>
            </w:pPr>
            <w:r>
              <w:rPr>
                <w:rFonts w:ascii="Calibri" w:hAnsi="Calibri"/>
                <w:sz w:val="19"/>
              </w:rPr>
              <w:t>5,700 ticks</w:t>
            </w:r>
          </w:p>
        </w:tc>
      </w:tr>
      <w:tr>
        <w:tc>
          <w:tcPr>
            <w:tcBorders>
              <w:top w:val="single" w:sz="4" w:color="BFBFBF"/>
              <w:left w:val="single" w:sz="4" w:color="BFBFBF"/>
              <w:bottom w:val="single" w:sz="4" w:color="BFBFBF"/>
              <w:right w:val="single" w:sz="4" w:color="BFBFBF"/>
            </w:tcBorders>
            <w:tcW w:w="3000" w:type="dxa"/>
          </w:tcPr>
          <w:p>
            <w:pPr>
              <w:spacing w:before="20" w:after="20"/>
            </w:pPr>
            <w:r>
              <w:rPr>
                <w:rFonts w:ascii="Calibri" w:hAnsi="Calibri"/>
                <w:sz w:val="19"/>
              </w:rPr>
              <w:t>Runner stop (post-TP2)</w:t>
            </w:r>
          </w:p>
        </w:tc>
        <w:tc>
          <w:tcPr>
            <w:tcBorders>
              <w:top w:val="single" w:sz="4" w:color="BFBFBF"/>
              <w:left w:val="single" w:sz="4" w:color="BFBFBF"/>
              <w:bottom w:val="single" w:sz="4" w:color="BFBFBF"/>
              <w:right w:val="single" w:sz="4" w:color="BFBFBF"/>
            </w:tcBorders>
            <w:tcW w:w="3700" w:type="dxa"/>
          </w:tcPr>
          <w:p>
            <w:pPr>
              <w:spacing w:before="20" w:after="20"/>
            </w:pPr>
            <w:r>
              <w:rPr>
                <w:rFonts w:ascii="Calibri" w:hAnsi="Calibri"/>
                <w:sz w:val="19"/>
              </w:rPr>
              <w:t>$4,716 + 0.2R = $4,723 /oz</w:t>
            </w:r>
          </w:p>
        </w:tc>
        <w:tc>
          <w:tcPr>
            <w:tcBorders>
              <w:top w:val="single" w:sz="4" w:color="BFBFBF"/>
              <w:left w:val="single" w:sz="4" w:color="BFBFBF"/>
              <w:bottom w:val="single" w:sz="4" w:color="BFBFBF"/>
              <w:right w:val="single" w:sz="4" w:color="BFBFBF"/>
            </w:tcBorders>
            <w:tcW w:w="2660" w:type="dxa"/>
          </w:tcPr>
          <w:p>
            <w:pPr>
              <w:spacing w:before="20" w:after="20"/>
            </w:pPr>
            <w:r>
              <w:rPr>
                <w:rFonts w:ascii="Calibri" w:hAnsi="Calibri"/>
                <w:sz w:val="19"/>
              </w:rPr>
              <w:t>BE + 700 ticks</w:t>
            </w:r>
          </w:p>
        </w:tc>
      </w:tr>
      <w:tr>
        <w:tc>
          <w:tcPr>
            <w:tcBorders>
              <w:top w:val="single" w:sz="4" w:color="BFBFBF"/>
              <w:left w:val="single" w:sz="4" w:color="BFBFBF"/>
              <w:bottom w:val="single" w:sz="4" w:color="BFBFBF"/>
              <w:right w:val="single" w:sz="4" w:color="BFBFBF"/>
            </w:tcBorders>
            <w:shd w:val="clear" w:color="auto" w:fill="F7F7F7"/>
            <w:tcW w:w="3000" w:type="dxa"/>
          </w:tcPr>
          <w:p>
            <w:pPr>
              <w:spacing w:before="20" w:after="20"/>
            </w:pPr>
            <w:r>
              <w:rPr>
                <w:rFonts w:ascii="Calibri" w:hAnsi="Calibri"/>
                <w:sz w:val="19"/>
              </w:rPr>
              <w:t>Sizing</w:t>
            </w:r>
          </w:p>
        </w:tc>
        <w:tc>
          <w:tcPr>
            <w:tcBorders>
              <w:top w:val="single" w:sz="4" w:color="BFBFBF"/>
              <w:left w:val="single" w:sz="4" w:color="BFBFBF"/>
              <w:bottom w:val="single" w:sz="4" w:color="BFBFBF"/>
              <w:right w:val="single" w:sz="4" w:color="BFBFBF"/>
            </w:tcBorders>
            <w:shd w:val="clear" w:color="auto" w:fill="F7F7F7"/>
            <w:tcW w:w="3700" w:type="dxa"/>
          </w:tcPr>
          <w:p>
            <w:pPr>
              <w:spacing w:before="20" w:after="20"/>
            </w:pPr>
            <w:r>
              <w:rPr>
                <w:rFonts w:ascii="Calibri" w:hAnsi="Calibri"/>
                <w:sz w:val="19"/>
              </w:rPr>
              <w:t>3 equal tranches</w:t>
            </w:r>
          </w:p>
        </w:tc>
        <w:tc>
          <w:tcPr>
            <w:tcBorders>
              <w:top w:val="single" w:sz="4" w:color="BFBFBF"/>
              <w:left w:val="single" w:sz="4" w:color="BFBFBF"/>
              <w:bottom w:val="single" w:sz="4" w:color="BFBFBF"/>
              <w:right w:val="single" w:sz="4" w:color="BFBFBF"/>
            </w:tcBorders>
            <w:shd w:val="clear" w:color="auto" w:fill="F7F7F7"/>
            <w:tcW w:w="2660" w:type="dxa"/>
          </w:tcPr>
          <w:p>
            <w:pPr>
              <w:spacing w:before="20" w:after="20"/>
            </w:pPr>
            <w:r>
              <w:rPr>
                <w:rFonts w:ascii="Calibri" w:hAnsi="Calibri"/>
                <w:sz w:val="19"/>
              </w:rPr>
              <w:t>—</w:t>
            </w:r>
          </w:p>
        </w:tc>
      </w:tr>
      <w:tr>
        <w:tc>
          <w:tcPr>
            <w:tcBorders>
              <w:top w:val="single" w:sz="4" w:color="BFBFBF"/>
              <w:left w:val="single" w:sz="4" w:color="BFBFBF"/>
              <w:bottom w:val="single" w:sz="4" w:color="BFBFBF"/>
              <w:right w:val="single" w:sz="4" w:color="BFBFBF"/>
            </w:tcBorders>
            <w:tcW w:w="3000" w:type="dxa"/>
          </w:tcPr>
          <w:p>
            <w:pPr>
              <w:spacing w:before="20" w:after="20"/>
            </w:pPr>
            <w:r>
              <w:rPr>
                <w:rFonts w:ascii="Calibri" w:hAnsi="Calibri"/>
                <w:sz w:val="19"/>
              </w:rPr>
              <w:t>Source flag</w:t>
            </w:r>
          </w:p>
        </w:tc>
        <w:tc>
          <w:tcPr>
            <w:tcBorders>
              <w:top w:val="single" w:sz="4" w:color="BFBFBF"/>
              <w:left w:val="single" w:sz="4" w:color="BFBFBF"/>
              <w:bottom w:val="single" w:sz="4" w:color="BFBFBF"/>
              <w:right w:val="single" w:sz="4" w:color="BFBFBF"/>
            </w:tcBorders>
            <w:tcW w:w="3700" w:type="dxa"/>
          </w:tcPr>
          <w:p>
            <w:pPr>
              <w:spacing w:before="20" w:after="20"/>
            </w:pPr>
            <w:r>
              <w:rPr>
                <w:rFonts w:ascii="Calibri" w:hAnsi="Calibri"/>
                <w:sz w:val="19"/>
              </w:rPr>
              <w:t>SINGLE-SOURCE-INDICATIVE — pivots derived from rolling-window engine on a single feed (§19)</w:t>
            </w:r>
          </w:p>
        </w:tc>
        <w:tc>
          <w:tcPr>
            <w:tcBorders>
              <w:top w:val="single" w:sz="4" w:color="BFBFBF"/>
              <w:left w:val="single" w:sz="4" w:color="BFBFBF"/>
              <w:bottom w:val="single" w:sz="4" w:color="BFBFBF"/>
              <w:right w:val="single" w:sz="4" w:color="BFBFBF"/>
            </w:tcBorders>
            <w:tcW w:w="2660" w:type="dxa"/>
          </w:tcPr>
          <w:p>
            <w:pPr>
              <w:spacing w:before="20" w:after="20"/>
            </w:pPr>
            <w:r>
              <w:rPr>
                <w:rFonts w:ascii="Calibri" w:hAnsi="Calibri"/>
                <w:sz w:val="19"/>
              </w:rPr>
              <w:t>—</w:t>
            </w:r>
          </w:p>
        </w:tc>
      </w:tr>
      <w:tr>
        <w:tc>
          <w:tcPr>
            <w:tcBorders>
              <w:top w:val="single" w:sz="4" w:color="BFBFBF"/>
              <w:left w:val="single" w:sz="4" w:color="BFBFBF"/>
              <w:bottom w:val="single" w:sz="4" w:color="BFBFBF"/>
              <w:right w:val="single" w:sz="4" w:color="BFBFBF"/>
            </w:tcBorders>
            <w:shd w:val="clear" w:color="auto" w:fill="F7F7F7"/>
            <w:tcW w:w="3000" w:type="dxa"/>
          </w:tcPr>
          <w:p>
            <w:pPr>
              <w:spacing w:before="20" w:after="20"/>
            </w:pPr>
            <w:r>
              <w:rPr>
                <w:rFonts w:ascii="Calibri" w:hAnsi="Calibri"/>
                <w:sz w:val="19"/>
              </w:rPr>
              <w:t>Invalidation</w:t>
            </w:r>
          </w:p>
        </w:tc>
        <w:tc>
          <w:tcPr>
            <w:tcBorders>
              <w:top w:val="single" w:sz="4" w:color="BFBFBF"/>
              <w:left w:val="single" w:sz="4" w:color="BFBFBF"/>
              <w:bottom w:val="single" w:sz="4" w:color="BFBFBF"/>
              <w:right w:val="single" w:sz="4" w:color="BFBFBF"/>
            </w:tcBorders>
            <w:shd w:val="clear" w:color="auto" w:fill="F7F7F7"/>
            <w:tcW w:w="3700" w:type="dxa"/>
          </w:tcPr>
          <w:p>
            <w:pPr>
              <w:spacing w:before="20" w:after="20"/>
            </w:pPr>
            <w:r>
              <w:rPr>
                <w:rFonts w:ascii="Calibri" w:hAnsi="Calibri"/>
                <w:sz w:val="19"/>
              </w:rPr>
              <w:t>Daily close above $4,752 (daily R2)</w:t>
            </w:r>
          </w:p>
        </w:tc>
        <w:tc>
          <w:tcPr>
            <w:tcBorders>
              <w:top w:val="single" w:sz="4" w:color="BFBFBF"/>
              <w:left w:val="single" w:sz="4" w:color="BFBFBF"/>
              <w:bottom w:val="single" w:sz="4" w:color="BFBFBF"/>
              <w:right w:val="single" w:sz="4" w:color="BFBFBF"/>
            </w:tcBorders>
            <w:shd w:val="clear" w:color="auto" w:fill="F7F7F7"/>
            <w:tcW w:w="2660" w:type="dxa"/>
          </w:tcPr>
          <w:p>
            <w:pPr>
              <w:spacing w:before="20" w:after="20"/>
            </w:pPr>
            <w:r>
              <w:rPr>
                <w:rFonts w:ascii="Calibri" w:hAnsi="Calibri"/>
                <w:sz w:val="19"/>
              </w:rPr>
              <w:t>—</w:t>
            </w:r>
          </w:p>
        </w:tc>
      </w:tr>
      <w:tr>
        <w:tc>
          <w:tcPr>
            <w:tcBorders>
              <w:top w:val="single" w:sz="4" w:color="BFBFBF"/>
              <w:left w:val="single" w:sz="4" w:color="BFBFBF"/>
              <w:bottom w:val="single" w:sz="4" w:color="BFBFBF"/>
              <w:right w:val="single" w:sz="4" w:color="BFBFBF"/>
            </w:tcBorders>
            <w:tcW w:w="3000" w:type="dxa"/>
          </w:tcPr>
          <w:p>
            <w:pPr>
              <w:spacing w:before="20" w:after="20"/>
            </w:pPr>
            <w:r>
              <w:rPr>
                <w:rFonts w:ascii="Calibri" w:hAnsi="Calibri"/>
                <w:sz w:val="19"/>
              </w:rPr>
              <w:t>Caveats</w:t>
            </w:r>
          </w:p>
        </w:tc>
        <w:tc>
          <w:tcPr>
            <w:tcBorders>
              <w:top w:val="single" w:sz="4" w:color="BFBFBF"/>
              <w:left w:val="single" w:sz="4" w:color="BFBFBF"/>
              <w:bottom w:val="single" w:sz="4" w:color="BFBFBF"/>
              <w:right w:val="single" w:sz="4" w:color="BFBFBF"/>
            </w:tcBorders>
            <w:tcW w:w="3700" w:type="dxa"/>
          </w:tcPr>
          <w:p>
            <w:pPr>
              <w:spacing w:before="20" w:after="20"/>
            </w:pPr>
            <w:r>
              <w:rPr>
                <w:rFonts w:ascii="Calibri" w:hAnsi="Calibri"/>
                <w:sz w:val="19"/>
              </w:rPr>
              <w:t>Indicative levels — execution should pause if a corroborating feed disagrees by &gt; 0.10%</w:t>
            </w:r>
          </w:p>
        </w:tc>
        <w:tc>
          <w:tcPr>
            <w:tcBorders>
              <w:top w:val="single" w:sz="4" w:color="BFBFBF"/>
              <w:left w:val="single" w:sz="4" w:color="BFBFBF"/>
              <w:bottom w:val="single" w:sz="4" w:color="BFBFBF"/>
              <w:right w:val="single" w:sz="4" w:color="BFBFBF"/>
            </w:tcBorders>
            <w:tcW w:w="2660" w:type="dxa"/>
          </w:tcPr>
          <w:p>
            <w:pPr>
              <w:spacing w:before="20" w:after="20"/>
            </w:pPr>
            <w:r>
              <w:rPr>
                <w:rFonts w:ascii="Calibri" w:hAnsi="Calibri"/>
                <w:sz w:val="19"/>
              </w:rPr>
              <w:t>—</w:t>
            </w:r>
          </w:p>
        </w:tc>
      </w:tr>
    </w:tbl>
    <w:p>
      <w:pPr>
        <w:spacing w:after="40" w:before="0"/>
      </w:pPr>
      <w:r>
        <w:rPr>
          <w:rFonts w:ascii="Calibri" w:hAnsi="Calibri"/>
          <w:b/>
          <w:i w:val="0"/>
          <w:sz w:val="22"/>
        </w:rPr>
        <w:t>Trade 3 — Complex (3C transition breakout)</w:t>
      </w:r>
    </w:p>
    <w:tbl>
      <w:tblPr>
        <w:jc w:val="left"/>
        <w:tblLayout w:type="fixed"/>
        <w:tblLook w:firstColumn="1" w:firstRow="1" w:lastColumn="0" w:lastRow="0" w:noHBand="0" w:noVBand="1" w:val="04A0"/>
        <w:tblW w:w="9360" w:type="dxa"/>
      </w:tblPr>
      <w:tblGrid>
        <w:gridCol w:w="3360"/>
        <w:gridCol w:w="3360"/>
        <w:gridCol w:w="3360"/>
      </w:tblGrid>
      <w:tr>
        <w:tc>
          <w:tcPr>
            <w:shd w:val="clear" w:color="auto" w:fill="1F3A5F"/>
            <w:tcBorders>
              <w:top w:val="single" w:sz="4" w:color="BFBFBF"/>
              <w:left w:val="single" w:sz="4" w:color="BFBFBF"/>
              <w:bottom w:val="single" w:sz="4" w:color="BFBFBF"/>
              <w:right w:val="single" w:sz="4" w:color="BFBFBF"/>
            </w:tcBorders>
            <w:tcW w:w="3000" w:type="dxa"/>
          </w:tcPr>
          <w:p>
            <w:pPr>
              <w:spacing w:before="40" w:after="40"/>
            </w:pPr>
            <w:r>
              <w:rPr>
                <w:rFonts w:ascii="Calibri" w:hAnsi="Calibri"/>
                <w:b/>
                <w:color w:val="FFFFFF"/>
                <w:sz w:val="20"/>
              </w:rPr>
              <w:t>Field</w:t>
            </w:r>
          </w:p>
        </w:tc>
        <w:tc>
          <w:tcPr>
            <w:shd w:val="clear" w:color="auto" w:fill="1F3A5F"/>
            <w:tcBorders>
              <w:top w:val="single" w:sz="4" w:color="BFBFBF"/>
              <w:left w:val="single" w:sz="4" w:color="BFBFBF"/>
              <w:bottom w:val="single" w:sz="4" w:color="BFBFBF"/>
              <w:right w:val="single" w:sz="4" w:color="BFBFBF"/>
            </w:tcBorders>
            <w:tcW w:w="3700" w:type="dxa"/>
          </w:tcPr>
          <w:p>
            <w:pPr>
              <w:spacing w:before="40" w:after="40"/>
            </w:pPr>
            <w:r>
              <w:rPr>
                <w:rFonts w:ascii="Calibri" w:hAnsi="Calibri"/>
                <w:b/>
                <w:color w:val="FFFFFF"/>
                <w:sz w:val="20"/>
              </w:rPr>
              <w:t>Value (price)</w:t>
            </w:r>
          </w:p>
        </w:tc>
        <w:tc>
          <w:tcPr>
            <w:shd w:val="clear" w:color="auto" w:fill="1F3A5F"/>
            <w:tcBorders>
              <w:top w:val="single" w:sz="4" w:color="BFBFBF"/>
              <w:left w:val="single" w:sz="4" w:color="BFBFBF"/>
              <w:bottom w:val="single" w:sz="4" w:color="BFBFBF"/>
              <w:right w:val="single" w:sz="4" w:color="BFBFBF"/>
            </w:tcBorders>
            <w:tcW w:w="2660" w:type="dxa"/>
          </w:tcPr>
          <w:p>
            <w:pPr>
              <w:spacing w:before="40" w:after="40"/>
            </w:pPr>
            <w:r>
              <w:rPr>
                <w:rFonts w:ascii="Calibri" w:hAnsi="Calibri"/>
                <w:b/>
                <w:color w:val="FFFFFF"/>
                <w:sz w:val="20"/>
              </w:rPr>
              <w:t>Native unit (ticks, $0.01)</w:t>
            </w:r>
          </w:p>
        </w:tc>
      </w:tr>
      <w:tr>
        <w:tc>
          <w:tcPr>
            <w:tcBorders>
              <w:top w:val="single" w:sz="4" w:color="BFBFBF"/>
              <w:left w:val="single" w:sz="4" w:color="BFBFBF"/>
              <w:bottom w:val="single" w:sz="4" w:color="BFBFBF"/>
              <w:right w:val="single" w:sz="4" w:color="BFBFBF"/>
            </w:tcBorders>
            <w:tcW w:w="3000" w:type="dxa"/>
          </w:tcPr>
          <w:p>
            <w:pPr>
              <w:spacing w:before="20" w:after="20"/>
            </w:pPr>
            <w:r>
              <w:rPr>
                <w:rFonts w:ascii="Calibri" w:hAnsi="Calibri"/>
                <w:sz w:val="19"/>
              </w:rPr>
              <w:t>Regime fork</w:t>
            </w:r>
          </w:p>
        </w:tc>
        <w:tc>
          <w:tcPr>
            <w:tcBorders>
              <w:top w:val="single" w:sz="4" w:color="BFBFBF"/>
              <w:left w:val="single" w:sz="4" w:color="BFBFBF"/>
              <w:bottom w:val="single" w:sz="4" w:color="BFBFBF"/>
              <w:right w:val="single" w:sz="4" w:color="BFBFBF"/>
            </w:tcBorders>
            <w:tcW w:w="3700" w:type="dxa"/>
          </w:tcPr>
          <w:p>
            <w:pPr>
              <w:spacing w:before="20" w:after="20"/>
            </w:pPr>
            <w:r>
              <w:rPr>
                <w:rFonts w:ascii="Calibri" w:hAnsi="Calibri"/>
                <w:sz w:val="19"/>
              </w:rPr>
              <w:t>3C (TRANSITION) — bracket the range</w:t>
            </w:r>
          </w:p>
        </w:tc>
        <w:tc>
          <w:tcPr>
            <w:tcBorders>
              <w:top w:val="single" w:sz="4" w:color="BFBFBF"/>
              <w:left w:val="single" w:sz="4" w:color="BFBFBF"/>
              <w:bottom w:val="single" w:sz="4" w:color="BFBFBF"/>
              <w:right w:val="single" w:sz="4" w:color="BFBFBF"/>
            </w:tcBorders>
            <w:tcW w:w="2660" w:type="dxa"/>
          </w:tcPr>
          <w:p>
            <w:pPr>
              <w:spacing w:before="20" w:after="20"/>
            </w:pPr>
            <w:r>
              <w:rPr>
                <w:rFonts w:ascii="Calibri" w:hAnsi="Calibri"/>
                <w:sz w:val="19"/>
              </w:rPr>
              <w:t>—</w:t>
            </w:r>
          </w:p>
        </w:tc>
      </w:tr>
      <w:tr>
        <w:tc>
          <w:tcPr>
            <w:tcBorders>
              <w:top w:val="single" w:sz="4" w:color="BFBFBF"/>
              <w:left w:val="single" w:sz="4" w:color="BFBFBF"/>
              <w:bottom w:val="single" w:sz="4" w:color="BFBFBF"/>
              <w:right w:val="single" w:sz="4" w:color="BFBFBF"/>
            </w:tcBorders>
            <w:shd w:val="clear" w:color="auto" w:fill="F7F7F7"/>
            <w:tcW w:w="3000" w:type="dxa"/>
          </w:tcPr>
          <w:p>
            <w:pPr>
              <w:spacing w:before="20" w:after="20"/>
            </w:pPr>
            <w:r>
              <w:rPr>
                <w:rFonts w:ascii="Calibri" w:hAnsi="Calibri"/>
                <w:sz w:val="19"/>
              </w:rPr>
              <w:t>Bracket high (long trigger)</w:t>
            </w:r>
          </w:p>
        </w:tc>
        <w:tc>
          <w:tcPr>
            <w:tcBorders>
              <w:top w:val="single" w:sz="4" w:color="BFBFBF"/>
              <w:left w:val="single" w:sz="4" w:color="BFBFBF"/>
              <w:bottom w:val="single" w:sz="4" w:color="BFBFBF"/>
              <w:right w:val="single" w:sz="4" w:color="BFBFBF"/>
            </w:tcBorders>
            <w:shd w:val="clear" w:color="auto" w:fill="F7F7F7"/>
            <w:tcW w:w="3700" w:type="dxa"/>
          </w:tcPr>
          <w:p>
            <w:pPr>
              <w:spacing w:before="20" w:after="20"/>
            </w:pPr>
            <w:r>
              <w:rPr>
                <w:rFonts w:ascii="Calibri" w:hAnsi="Calibri"/>
                <w:sz w:val="19"/>
              </w:rPr>
              <w:t>USD 4,775 /oz daily close — last week's swing high</w:t>
            </w:r>
          </w:p>
        </w:tc>
        <w:tc>
          <w:tcPr>
            <w:tcBorders>
              <w:top w:val="single" w:sz="4" w:color="BFBFBF"/>
              <w:left w:val="single" w:sz="4" w:color="BFBFBF"/>
              <w:bottom w:val="single" w:sz="4" w:color="BFBFBF"/>
              <w:right w:val="single" w:sz="4" w:color="BFBFBF"/>
            </w:tcBorders>
            <w:shd w:val="clear" w:color="auto" w:fill="F7F7F7"/>
            <w:tcW w:w="2660" w:type="dxa"/>
          </w:tcPr>
          <w:p>
            <w:pPr>
              <w:spacing w:before="20" w:after="20"/>
            </w:pPr>
            <w:r>
              <w:rPr>
                <w:rFonts w:ascii="Calibri" w:hAnsi="Calibri"/>
                <w:sz w:val="19"/>
              </w:rPr>
              <w:t>—</w:t>
            </w:r>
          </w:p>
        </w:tc>
      </w:tr>
      <w:tr>
        <w:tc>
          <w:tcPr>
            <w:tcBorders>
              <w:top w:val="single" w:sz="4" w:color="BFBFBF"/>
              <w:left w:val="single" w:sz="4" w:color="BFBFBF"/>
              <w:bottom w:val="single" w:sz="4" w:color="BFBFBF"/>
              <w:right w:val="single" w:sz="4" w:color="BFBFBF"/>
            </w:tcBorders>
            <w:tcW w:w="3000" w:type="dxa"/>
          </w:tcPr>
          <w:p>
            <w:pPr>
              <w:spacing w:before="20" w:after="20"/>
            </w:pPr>
            <w:r>
              <w:rPr>
                <w:rFonts w:ascii="Calibri" w:hAnsi="Calibri"/>
                <w:sz w:val="19"/>
              </w:rPr>
              <w:t>Bracket low (short trigger)</w:t>
            </w:r>
          </w:p>
        </w:tc>
        <w:tc>
          <w:tcPr>
            <w:tcBorders>
              <w:top w:val="single" w:sz="4" w:color="BFBFBF"/>
              <w:left w:val="single" w:sz="4" w:color="BFBFBF"/>
              <w:bottom w:val="single" w:sz="4" w:color="BFBFBF"/>
              <w:right w:val="single" w:sz="4" w:color="BFBFBF"/>
            </w:tcBorders>
            <w:tcW w:w="3700" w:type="dxa"/>
          </w:tcPr>
          <w:p>
            <w:pPr>
              <w:spacing w:before="20" w:after="20"/>
            </w:pPr>
            <w:r>
              <w:rPr>
                <w:rFonts w:ascii="Calibri" w:hAnsi="Calibri"/>
                <w:sz w:val="19"/>
              </w:rPr>
              <w:t>USD 4,634 /oz daily close — weekly S2 confluence</w:t>
            </w:r>
          </w:p>
        </w:tc>
        <w:tc>
          <w:tcPr>
            <w:tcBorders>
              <w:top w:val="single" w:sz="4" w:color="BFBFBF"/>
              <w:left w:val="single" w:sz="4" w:color="BFBFBF"/>
              <w:bottom w:val="single" w:sz="4" w:color="BFBFBF"/>
              <w:right w:val="single" w:sz="4" w:color="BFBFBF"/>
            </w:tcBorders>
            <w:tcW w:w="2660" w:type="dxa"/>
          </w:tcPr>
          <w:p>
            <w:pPr>
              <w:spacing w:before="20" w:after="20"/>
            </w:pPr>
            <w:r>
              <w:rPr>
                <w:rFonts w:ascii="Calibri" w:hAnsi="Calibri"/>
                <w:sz w:val="19"/>
              </w:rPr>
              <w:t>—</w:t>
            </w:r>
          </w:p>
        </w:tc>
      </w:tr>
      <w:tr>
        <w:tc>
          <w:tcPr>
            <w:tcBorders>
              <w:top w:val="single" w:sz="4" w:color="BFBFBF"/>
              <w:left w:val="single" w:sz="4" w:color="BFBFBF"/>
              <w:bottom w:val="single" w:sz="4" w:color="BFBFBF"/>
              <w:right w:val="single" w:sz="4" w:color="BFBFBF"/>
            </w:tcBorders>
            <w:shd w:val="clear" w:color="auto" w:fill="F7F7F7"/>
            <w:tcW w:w="3000" w:type="dxa"/>
          </w:tcPr>
          <w:p>
            <w:pPr>
              <w:spacing w:before="20" w:after="20"/>
            </w:pPr>
            <w:r>
              <w:rPr>
                <w:rFonts w:ascii="Calibri" w:hAnsi="Calibri"/>
                <w:sz w:val="19"/>
              </w:rPr>
              <w:t>Long target (post-trigger 1)</w:t>
            </w:r>
          </w:p>
        </w:tc>
        <w:tc>
          <w:tcPr>
            <w:tcBorders>
              <w:top w:val="single" w:sz="4" w:color="BFBFBF"/>
              <w:left w:val="single" w:sz="4" w:color="BFBFBF"/>
              <w:bottom w:val="single" w:sz="4" w:color="BFBFBF"/>
              <w:right w:val="single" w:sz="4" w:color="BFBFBF"/>
            </w:tcBorders>
            <w:shd w:val="clear" w:color="auto" w:fill="F7F7F7"/>
            <w:tcW w:w="3700" w:type="dxa"/>
          </w:tcPr>
          <w:p>
            <w:pPr>
              <w:spacing w:before="20" w:after="20"/>
            </w:pPr>
            <w:r>
              <w:rPr>
                <w:rFonts w:ascii="Calibri" w:hAnsi="Calibri"/>
                <w:sz w:val="19"/>
              </w:rPr>
              <w:t>USD 4,838 /oz (weekly R2)</w:t>
            </w:r>
          </w:p>
        </w:tc>
        <w:tc>
          <w:tcPr>
            <w:tcBorders>
              <w:top w:val="single" w:sz="4" w:color="BFBFBF"/>
              <w:left w:val="single" w:sz="4" w:color="BFBFBF"/>
              <w:bottom w:val="single" w:sz="4" w:color="BFBFBF"/>
              <w:right w:val="single" w:sz="4" w:color="BFBFBF"/>
            </w:tcBorders>
            <w:shd w:val="clear" w:color="auto" w:fill="F7F7F7"/>
            <w:tcW w:w="2660" w:type="dxa"/>
          </w:tcPr>
          <w:p>
            <w:pPr>
              <w:spacing w:before="20" w:after="20"/>
            </w:pPr>
            <w:r>
              <w:rPr>
                <w:rFonts w:ascii="Calibri" w:hAnsi="Calibri"/>
                <w:sz w:val="19"/>
              </w:rPr>
              <w:t>6,300 ticks above trigger</w:t>
            </w:r>
          </w:p>
        </w:tc>
      </w:tr>
      <w:tr>
        <w:tc>
          <w:tcPr>
            <w:tcBorders>
              <w:top w:val="single" w:sz="4" w:color="BFBFBF"/>
              <w:left w:val="single" w:sz="4" w:color="BFBFBF"/>
              <w:bottom w:val="single" w:sz="4" w:color="BFBFBF"/>
              <w:right w:val="single" w:sz="4" w:color="BFBFBF"/>
            </w:tcBorders>
            <w:tcW w:w="3000" w:type="dxa"/>
          </w:tcPr>
          <w:p>
            <w:pPr>
              <w:spacing w:before="20" w:after="20"/>
            </w:pPr>
            <w:r>
              <w:rPr>
                <w:rFonts w:ascii="Calibri" w:hAnsi="Calibri"/>
                <w:sz w:val="19"/>
              </w:rPr>
              <w:t>Long stop</w:t>
            </w:r>
          </w:p>
        </w:tc>
        <w:tc>
          <w:tcPr>
            <w:tcBorders>
              <w:top w:val="single" w:sz="4" w:color="BFBFBF"/>
              <w:left w:val="single" w:sz="4" w:color="BFBFBF"/>
              <w:bottom w:val="single" w:sz="4" w:color="BFBFBF"/>
              <w:right w:val="single" w:sz="4" w:color="BFBFBF"/>
            </w:tcBorders>
            <w:tcW w:w="3700" w:type="dxa"/>
          </w:tcPr>
          <w:p>
            <w:pPr>
              <w:spacing w:before="20" w:after="20"/>
            </w:pPr>
            <w:r>
              <w:rPr>
                <w:rFonts w:ascii="Calibri" w:hAnsi="Calibri"/>
                <w:sz w:val="19"/>
              </w:rPr>
              <w:t>USD 4,738 /oz (weekly P)</w:t>
            </w:r>
          </w:p>
        </w:tc>
        <w:tc>
          <w:tcPr>
            <w:tcBorders>
              <w:top w:val="single" w:sz="4" w:color="BFBFBF"/>
              <w:left w:val="single" w:sz="4" w:color="BFBFBF"/>
              <w:bottom w:val="single" w:sz="4" w:color="BFBFBF"/>
              <w:right w:val="single" w:sz="4" w:color="BFBFBF"/>
            </w:tcBorders>
            <w:tcW w:w="2660" w:type="dxa"/>
          </w:tcPr>
          <w:p>
            <w:pPr>
              <w:spacing w:before="20" w:after="20"/>
            </w:pPr>
            <w:r>
              <w:rPr>
                <w:rFonts w:ascii="Calibri" w:hAnsi="Calibri"/>
                <w:sz w:val="19"/>
              </w:rPr>
              <w:t>3,700 ticks below trigger</w:t>
            </w:r>
          </w:p>
        </w:tc>
      </w:tr>
      <w:tr>
        <w:tc>
          <w:tcPr>
            <w:tcBorders>
              <w:top w:val="single" w:sz="4" w:color="BFBFBF"/>
              <w:left w:val="single" w:sz="4" w:color="BFBFBF"/>
              <w:bottom w:val="single" w:sz="4" w:color="BFBFBF"/>
              <w:right w:val="single" w:sz="4" w:color="BFBFBF"/>
            </w:tcBorders>
            <w:shd w:val="clear" w:color="auto" w:fill="F7F7F7"/>
            <w:tcW w:w="3000" w:type="dxa"/>
          </w:tcPr>
          <w:p>
            <w:pPr>
              <w:spacing w:before="20" w:after="20"/>
            </w:pPr>
            <w:r>
              <w:rPr>
                <w:rFonts w:ascii="Calibri" w:hAnsi="Calibri"/>
                <w:sz w:val="19"/>
              </w:rPr>
              <w:t>Short target (post-trigger 2)</w:t>
            </w:r>
          </w:p>
        </w:tc>
        <w:tc>
          <w:tcPr>
            <w:tcBorders>
              <w:top w:val="single" w:sz="4" w:color="BFBFBF"/>
              <w:left w:val="single" w:sz="4" w:color="BFBFBF"/>
              <w:bottom w:val="single" w:sz="4" w:color="BFBFBF"/>
              <w:right w:val="single" w:sz="4" w:color="BFBFBF"/>
            </w:tcBorders>
            <w:shd w:val="clear" w:color="auto" w:fill="F7F7F7"/>
            <w:tcW w:w="3700" w:type="dxa"/>
          </w:tcPr>
          <w:p>
            <w:pPr>
              <w:spacing w:before="20" w:after="20"/>
            </w:pPr>
            <w:r>
              <w:rPr>
                <w:rFonts w:ascii="Calibri" w:hAnsi="Calibri"/>
                <w:sz w:val="19"/>
              </w:rPr>
              <w:t>USD 4,548 /oz (daily S5)</w:t>
            </w:r>
          </w:p>
        </w:tc>
        <w:tc>
          <w:tcPr>
            <w:tcBorders>
              <w:top w:val="single" w:sz="4" w:color="BFBFBF"/>
              <w:left w:val="single" w:sz="4" w:color="BFBFBF"/>
              <w:bottom w:val="single" w:sz="4" w:color="BFBFBF"/>
              <w:right w:val="single" w:sz="4" w:color="BFBFBF"/>
            </w:tcBorders>
            <w:shd w:val="clear" w:color="auto" w:fill="F7F7F7"/>
            <w:tcW w:w="2660" w:type="dxa"/>
          </w:tcPr>
          <w:p>
            <w:pPr>
              <w:spacing w:before="20" w:after="20"/>
            </w:pPr>
            <w:r>
              <w:rPr>
                <w:rFonts w:ascii="Calibri" w:hAnsi="Calibri"/>
                <w:sz w:val="19"/>
              </w:rPr>
              <w:t>8,600 ticks below trigger</w:t>
            </w:r>
          </w:p>
        </w:tc>
      </w:tr>
      <w:tr>
        <w:tc>
          <w:tcPr>
            <w:tcBorders>
              <w:top w:val="single" w:sz="4" w:color="BFBFBF"/>
              <w:left w:val="single" w:sz="4" w:color="BFBFBF"/>
              <w:bottom w:val="single" w:sz="4" w:color="BFBFBF"/>
              <w:right w:val="single" w:sz="4" w:color="BFBFBF"/>
            </w:tcBorders>
            <w:tcW w:w="3000" w:type="dxa"/>
          </w:tcPr>
          <w:p>
            <w:pPr>
              <w:spacing w:before="20" w:after="20"/>
            </w:pPr>
            <w:r>
              <w:rPr>
                <w:rFonts w:ascii="Calibri" w:hAnsi="Calibri"/>
                <w:sz w:val="19"/>
              </w:rPr>
              <w:t>Short stop</w:t>
            </w:r>
          </w:p>
        </w:tc>
        <w:tc>
          <w:tcPr>
            <w:tcBorders>
              <w:top w:val="single" w:sz="4" w:color="BFBFBF"/>
              <w:left w:val="single" w:sz="4" w:color="BFBFBF"/>
              <w:bottom w:val="single" w:sz="4" w:color="BFBFBF"/>
              <w:right w:val="single" w:sz="4" w:color="BFBFBF"/>
            </w:tcBorders>
            <w:tcW w:w="3700" w:type="dxa"/>
          </w:tcPr>
          <w:p>
            <w:pPr>
              <w:spacing w:before="20" w:after="20"/>
            </w:pPr>
            <w:r>
              <w:rPr>
                <w:rFonts w:ascii="Calibri" w:hAnsi="Calibri"/>
                <w:sz w:val="19"/>
              </w:rPr>
              <w:t>USD 4,696 /oz (daily P reclaim)</w:t>
            </w:r>
          </w:p>
        </w:tc>
        <w:tc>
          <w:tcPr>
            <w:tcBorders>
              <w:top w:val="single" w:sz="4" w:color="BFBFBF"/>
              <w:left w:val="single" w:sz="4" w:color="BFBFBF"/>
              <w:bottom w:val="single" w:sz="4" w:color="BFBFBF"/>
              <w:right w:val="single" w:sz="4" w:color="BFBFBF"/>
            </w:tcBorders>
            <w:tcW w:w="2660" w:type="dxa"/>
          </w:tcPr>
          <w:p>
            <w:pPr>
              <w:spacing w:before="20" w:after="20"/>
            </w:pPr>
            <w:r>
              <w:rPr>
                <w:rFonts w:ascii="Calibri" w:hAnsi="Calibri"/>
                <w:sz w:val="19"/>
              </w:rPr>
              <w:t>6,200 ticks above trigger</w:t>
            </w:r>
          </w:p>
        </w:tc>
      </w:tr>
      <w:tr>
        <w:tc>
          <w:tcPr>
            <w:tcBorders>
              <w:top w:val="single" w:sz="4" w:color="BFBFBF"/>
              <w:left w:val="single" w:sz="4" w:color="BFBFBF"/>
              <w:bottom w:val="single" w:sz="4" w:color="BFBFBF"/>
              <w:right w:val="single" w:sz="4" w:color="BFBFBF"/>
            </w:tcBorders>
            <w:shd w:val="clear" w:color="auto" w:fill="F7F7F7"/>
            <w:tcW w:w="3000" w:type="dxa"/>
          </w:tcPr>
          <w:p>
            <w:pPr>
              <w:spacing w:before="20" w:after="20"/>
            </w:pPr>
            <w:r>
              <w:rPr>
                <w:rFonts w:ascii="Calibri" w:hAnsi="Calibri"/>
                <w:sz w:val="19"/>
              </w:rPr>
              <w:t>Sizing</w:t>
            </w:r>
          </w:p>
        </w:tc>
        <w:tc>
          <w:tcPr>
            <w:tcBorders>
              <w:top w:val="single" w:sz="4" w:color="BFBFBF"/>
              <w:left w:val="single" w:sz="4" w:color="BFBFBF"/>
              <w:bottom w:val="single" w:sz="4" w:color="BFBFBF"/>
              <w:right w:val="single" w:sz="4" w:color="BFBFBF"/>
            </w:tcBorders>
            <w:shd w:val="clear" w:color="auto" w:fill="F7F7F7"/>
            <w:tcW w:w="3700" w:type="dxa"/>
          </w:tcPr>
          <w:p>
            <w:pPr>
              <w:spacing w:before="20" w:after="20"/>
            </w:pPr>
            <w:r>
              <w:rPr>
                <w:rFonts w:ascii="Calibri" w:hAnsi="Calibri"/>
                <w:sz w:val="19"/>
              </w:rPr>
              <w:t>3 equal tranches per side; only one bracket arms at a time</w:t>
            </w:r>
          </w:p>
        </w:tc>
        <w:tc>
          <w:tcPr>
            <w:tcBorders>
              <w:top w:val="single" w:sz="4" w:color="BFBFBF"/>
              <w:left w:val="single" w:sz="4" w:color="BFBFBF"/>
              <w:bottom w:val="single" w:sz="4" w:color="BFBFBF"/>
              <w:right w:val="single" w:sz="4" w:color="BFBFBF"/>
            </w:tcBorders>
            <w:shd w:val="clear" w:color="auto" w:fill="F7F7F7"/>
            <w:tcW w:w="2660" w:type="dxa"/>
          </w:tcPr>
          <w:p>
            <w:pPr>
              <w:spacing w:before="20" w:after="20"/>
            </w:pPr>
            <w:r>
              <w:rPr>
                <w:rFonts w:ascii="Calibri" w:hAnsi="Calibri"/>
                <w:sz w:val="19"/>
              </w:rPr>
              <w:t>—</w:t>
            </w:r>
          </w:p>
        </w:tc>
      </w:tr>
      <w:tr>
        <w:tc>
          <w:tcPr>
            <w:tcBorders>
              <w:top w:val="single" w:sz="4" w:color="BFBFBF"/>
              <w:left w:val="single" w:sz="4" w:color="BFBFBF"/>
              <w:bottom w:val="single" w:sz="4" w:color="BFBFBF"/>
              <w:right w:val="single" w:sz="4" w:color="BFBFBF"/>
            </w:tcBorders>
            <w:tcW w:w="3000" w:type="dxa"/>
          </w:tcPr>
          <w:p>
            <w:pPr>
              <w:spacing w:before="20" w:after="20"/>
            </w:pPr>
            <w:r>
              <w:rPr>
                <w:rFonts w:ascii="Calibri" w:hAnsi="Calibri"/>
                <w:sz w:val="19"/>
              </w:rPr>
              <w:t>Confluences</w:t>
            </w:r>
          </w:p>
        </w:tc>
        <w:tc>
          <w:tcPr>
            <w:tcBorders>
              <w:top w:val="single" w:sz="4" w:color="BFBFBF"/>
              <w:left w:val="single" w:sz="4" w:color="BFBFBF"/>
              <w:bottom w:val="single" w:sz="4" w:color="BFBFBF"/>
              <w:right w:val="single" w:sz="4" w:color="BFBFBF"/>
            </w:tcBorders>
            <w:tcW w:w="3700" w:type="dxa"/>
          </w:tcPr>
          <w:p>
            <w:pPr>
              <w:spacing w:before="20" w:after="20"/>
            </w:pPr>
            <w:r>
              <w:rPr>
                <w:rFonts w:ascii="Calibri" w:hAnsi="Calibri"/>
                <w:sz w:val="19"/>
              </w:rPr>
              <w:t>Long arm: weekly R1 ($4,790) acts as first checkpoint; short arm: monthly R1 ($4,718) overhead reinforces failed-breakdown risk</w:t>
            </w:r>
          </w:p>
        </w:tc>
        <w:tc>
          <w:tcPr>
            <w:tcBorders>
              <w:top w:val="single" w:sz="4" w:color="BFBFBF"/>
              <w:left w:val="single" w:sz="4" w:color="BFBFBF"/>
              <w:bottom w:val="single" w:sz="4" w:color="BFBFBF"/>
              <w:right w:val="single" w:sz="4" w:color="BFBFBF"/>
            </w:tcBorders>
            <w:tcW w:w="2660" w:type="dxa"/>
          </w:tcPr>
          <w:p>
            <w:pPr>
              <w:spacing w:before="20" w:after="20"/>
            </w:pPr>
            <w:r>
              <w:rPr>
                <w:rFonts w:ascii="Calibri" w:hAnsi="Calibri"/>
                <w:sz w:val="19"/>
              </w:rPr>
              <w:t>—</w:t>
            </w:r>
          </w:p>
        </w:tc>
      </w:tr>
      <w:tr>
        <w:tc>
          <w:tcPr>
            <w:tcBorders>
              <w:top w:val="single" w:sz="4" w:color="BFBFBF"/>
              <w:left w:val="single" w:sz="4" w:color="BFBFBF"/>
              <w:bottom w:val="single" w:sz="4" w:color="BFBFBF"/>
              <w:right w:val="single" w:sz="4" w:color="BFBFBF"/>
            </w:tcBorders>
            <w:shd w:val="clear" w:color="auto" w:fill="F7F7F7"/>
            <w:tcW w:w="3000" w:type="dxa"/>
          </w:tcPr>
          <w:p>
            <w:pPr>
              <w:spacing w:before="20" w:after="20"/>
            </w:pPr>
            <w:r>
              <w:rPr>
                <w:rFonts w:ascii="Calibri" w:hAnsi="Calibri"/>
                <w:sz w:val="19"/>
              </w:rPr>
              <w:t>Invalidation</w:t>
            </w:r>
          </w:p>
        </w:tc>
        <w:tc>
          <w:tcPr>
            <w:tcBorders>
              <w:top w:val="single" w:sz="4" w:color="BFBFBF"/>
              <w:left w:val="single" w:sz="4" w:color="BFBFBF"/>
              <w:bottom w:val="single" w:sz="4" w:color="BFBFBF"/>
              <w:right w:val="single" w:sz="4" w:color="BFBFBF"/>
            </w:tcBorders>
            <w:shd w:val="clear" w:color="auto" w:fill="F7F7F7"/>
            <w:tcW w:w="3700" w:type="dxa"/>
          </w:tcPr>
          <w:p>
            <w:pPr>
              <w:spacing w:before="20" w:after="20"/>
            </w:pPr>
            <w:r>
              <w:rPr>
                <w:rFonts w:ascii="Calibri" w:hAnsi="Calibri"/>
                <w:sz w:val="19"/>
              </w:rPr>
              <w:t>Range holds — wait; no trade if neither close is achieved within 5 sessions</w:t>
            </w:r>
          </w:p>
        </w:tc>
        <w:tc>
          <w:tcPr>
            <w:tcBorders>
              <w:top w:val="single" w:sz="4" w:color="BFBFBF"/>
              <w:left w:val="single" w:sz="4" w:color="BFBFBF"/>
              <w:bottom w:val="single" w:sz="4" w:color="BFBFBF"/>
              <w:right w:val="single" w:sz="4" w:color="BFBFBF"/>
            </w:tcBorders>
            <w:shd w:val="clear" w:color="auto" w:fill="F7F7F7"/>
            <w:tcW w:w="2660" w:type="dxa"/>
          </w:tcPr>
          <w:p>
            <w:pPr>
              <w:spacing w:before="20" w:after="20"/>
            </w:pPr>
            <w:r>
              <w:rPr>
                <w:rFonts w:ascii="Calibri" w:hAnsi="Calibri"/>
                <w:sz w:val="19"/>
              </w:rPr>
              <w:t>—</w:t>
            </w:r>
          </w:p>
        </w:tc>
      </w:tr>
    </w:tbl>
    <w:p>
      <w:pPr>
        <w:spacing w:after="80" w:before="0"/>
      </w:pPr>
      <w:r>
        <w:rPr>
          <w:rFonts w:ascii="Calibri" w:hAnsi="Calibri"/>
          <w:b/>
          <w:i w:val="0"/>
          <w:color w:val="A0325F"/>
          <w:sz w:val="24"/>
        </w:rPr>
        <w:t>§21c  5-Session Backtest (no leakage)</w:t>
      </w:r>
    </w:p>
    <w:p>
      <w:pPr>
        <w:spacing w:after="80" w:before="0"/>
      </w:pPr>
      <w:r>
        <w:rPr>
          <w:rFonts w:ascii="Calibri" w:hAnsi="Calibri"/>
          <w:b w:val="0"/>
          <w:i/>
          <w:sz w:val="20"/>
        </w:rPr>
        <w:t>Sessions 8 May – 14 May 2026 replayed with sentiment frozen at the pre-session timestamp and all other surface values recomputed at t−1. Conservative tick-priority simulation.</w:t>
      </w:r>
    </w:p>
    <w:tbl>
      <w:tblPr>
        <w:jc w:val="left"/>
        <w:tblLayout w:type="fixed"/>
        <w:tblLook w:firstColumn="1" w:firstRow="1" w:lastColumn="0" w:lastRow="0" w:noHBand="0" w:noVBand="1" w:val="04A0"/>
        <w:tblW w:w="9360" w:type="dxa"/>
      </w:tblPr>
      <w:tblGrid>
        <w:gridCol w:w="2520"/>
        <w:gridCol w:w="2520"/>
        <w:gridCol w:w="2520"/>
        <w:gridCol w:w="2520"/>
      </w:tblGrid>
      <w:tr>
        <w:tc>
          <w:tcPr>
            <w:shd w:val="clear" w:color="auto" w:fill="1F3A5F"/>
            <w:tcBorders>
              <w:top w:val="single" w:sz="4" w:color="BFBFBF"/>
              <w:left w:val="single" w:sz="4" w:color="BFBFBF"/>
              <w:bottom w:val="single" w:sz="4" w:color="BFBFBF"/>
              <w:right w:val="single" w:sz="4" w:color="BFBFBF"/>
            </w:tcBorders>
            <w:tcW w:w="1800" w:type="dxa"/>
          </w:tcPr>
          <w:p>
            <w:pPr>
              <w:spacing w:before="40" w:after="40"/>
            </w:pPr>
            <w:r>
              <w:rPr>
                <w:rFonts w:ascii="Calibri" w:hAnsi="Calibri"/>
                <w:b/>
                <w:color w:val="FFFFFF"/>
                <w:sz w:val="20"/>
              </w:rPr>
              <w:t>Session</w:t>
            </w:r>
          </w:p>
        </w:tc>
        <w:tc>
          <w:tcPr>
            <w:shd w:val="clear" w:color="auto" w:fill="1F3A5F"/>
            <w:tcBorders>
              <w:top w:val="single" w:sz="4" w:color="BFBFBF"/>
              <w:left w:val="single" w:sz="4" w:color="BFBFBF"/>
              <w:bottom w:val="single" w:sz="4" w:color="BFBFBF"/>
              <w:right w:val="single" w:sz="4" w:color="BFBFBF"/>
            </w:tcBorders>
            <w:tcW w:w="2500" w:type="dxa"/>
          </w:tcPr>
          <w:p>
            <w:pPr>
              <w:spacing w:before="40" w:after="40"/>
            </w:pPr>
            <w:r>
              <w:rPr>
                <w:rFonts w:ascii="Calibri" w:hAnsi="Calibri"/>
                <w:b/>
                <w:color w:val="FFFFFF"/>
                <w:sz w:val="20"/>
              </w:rPr>
              <w:t>Trade 1 (directional)</w:t>
            </w:r>
          </w:p>
        </w:tc>
        <w:tc>
          <w:tcPr>
            <w:shd w:val="clear" w:color="auto" w:fill="1F3A5F"/>
            <w:tcBorders>
              <w:top w:val="single" w:sz="4" w:color="BFBFBF"/>
              <w:left w:val="single" w:sz="4" w:color="BFBFBF"/>
              <w:bottom w:val="single" w:sz="4" w:color="BFBFBF"/>
              <w:right w:val="single" w:sz="4" w:color="BFBFBF"/>
            </w:tcBorders>
            <w:tcW w:w="2500" w:type="dxa"/>
          </w:tcPr>
          <w:p>
            <w:pPr>
              <w:spacing w:before="40" w:after="40"/>
            </w:pPr>
            <w:r>
              <w:rPr>
                <w:rFonts w:ascii="Calibri" w:hAnsi="Calibri"/>
                <w:b/>
                <w:color w:val="FFFFFF"/>
                <w:sz w:val="20"/>
              </w:rPr>
              <w:t>Trade 2 (pivot)</w:t>
            </w:r>
          </w:p>
        </w:tc>
        <w:tc>
          <w:tcPr>
            <w:shd w:val="clear" w:color="auto" w:fill="1F3A5F"/>
            <w:tcBorders>
              <w:top w:val="single" w:sz="4" w:color="BFBFBF"/>
              <w:left w:val="single" w:sz="4" w:color="BFBFBF"/>
              <w:bottom w:val="single" w:sz="4" w:color="BFBFBF"/>
              <w:right w:val="single" w:sz="4" w:color="BFBFBF"/>
            </w:tcBorders>
            <w:tcW w:w="2560" w:type="dxa"/>
          </w:tcPr>
          <w:p>
            <w:pPr>
              <w:spacing w:before="40" w:after="40"/>
            </w:pPr>
            <w:r>
              <w:rPr>
                <w:rFonts w:ascii="Calibri" w:hAnsi="Calibri"/>
                <w:b/>
                <w:color w:val="FFFFFF"/>
                <w:sz w:val="20"/>
              </w:rPr>
              <w:t>Trade 3 (complex)</w:t>
            </w:r>
          </w:p>
        </w:tc>
      </w:tr>
      <w:tr>
        <w:tc>
          <w:tcPr>
            <w:tcBorders>
              <w:top w:val="single" w:sz="4" w:color="BFBFBF"/>
              <w:left w:val="single" w:sz="4" w:color="BFBFBF"/>
              <w:bottom w:val="single" w:sz="4" w:color="BFBFBF"/>
              <w:right w:val="single" w:sz="4" w:color="BFBFBF"/>
            </w:tcBorders>
            <w:tcW w:w="1800" w:type="dxa"/>
          </w:tcPr>
          <w:p>
            <w:pPr>
              <w:spacing w:before="20" w:after="20"/>
            </w:pPr>
            <w:r>
              <w:rPr>
                <w:rFonts w:ascii="Calibri" w:hAnsi="Calibri"/>
                <w:sz w:val="19"/>
              </w:rPr>
              <w:t>Thu 08 May</w:t>
            </w:r>
          </w:p>
        </w:tc>
        <w:tc>
          <w:tcPr>
            <w:tcBorders>
              <w:top w:val="single" w:sz="4" w:color="BFBFBF"/>
              <w:left w:val="single" w:sz="4" w:color="BFBFBF"/>
              <w:bottom w:val="single" w:sz="4" w:color="BFBFBF"/>
              <w:right w:val="single" w:sz="4" w:color="BFBFBF"/>
            </w:tcBorders>
            <w:tcW w:w="2500" w:type="dxa"/>
          </w:tcPr>
          <w:p>
            <w:pPr>
              <w:spacing w:before="20" w:after="20"/>
            </w:pPr>
            <w:r>
              <w:rPr>
                <w:rFonts w:ascii="Calibri" w:hAnsi="Calibri"/>
                <w:sz w:val="19"/>
              </w:rPr>
              <w:t>LONG +0.8R (RSI2 momentum)</w:t>
            </w:r>
          </w:p>
        </w:tc>
        <w:tc>
          <w:tcPr>
            <w:tcBorders>
              <w:top w:val="single" w:sz="4" w:color="BFBFBF"/>
              <w:left w:val="single" w:sz="4" w:color="BFBFBF"/>
              <w:bottom w:val="single" w:sz="4" w:color="BFBFBF"/>
              <w:right w:val="single" w:sz="4" w:color="BFBFBF"/>
            </w:tcBorders>
            <w:tcW w:w="2500" w:type="dxa"/>
          </w:tcPr>
          <w:p>
            <w:pPr>
              <w:spacing w:before="20" w:after="20"/>
            </w:pPr>
            <w:r>
              <w:rPr>
                <w:rFonts w:ascii="Calibri" w:hAnsi="Calibri"/>
                <w:sz w:val="19"/>
              </w:rPr>
              <w:t>No-trigger</w:t>
            </w:r>
          </w:p>
        </w:tc>
        <w:tc>
          <w:tcPr>
            <w:tcBorders>
              <w:top w:val="single" w:sz="4" w:color="BFBFBF"/>
              <w:left w:val="single" w:sz="4" w:color="BFBFBF"/>
              <w:bottom w:val="single" w:sz="4" w:color="BFBFBF"/>
              <w:right w:val="single" w:sz="4" w:color="BFBFBF"/>
            </w:tcBorders>
            <w:tcW w:w="2560" w:type="dxa"/>
          </w:tcPr>
          <w:p>
            <w:pPr>
              <w:spacing w:before="20" w:after="20"/>
            </w:pPr>
            <w:r>
              <w:rPr>
                <w:rFonts w:ascii="Calibri" w:hAnsi="Calibri"/>
                <w:sz w:val="19"/>
              </w:rPr>
              <w:t>No-trigger (range)</w:t>
            </w:r>
          </w:p>
        </w:tc>
      </w:tr>
      <w:tr>
        <w:tc>
          <w:tcPr>
            <w:tcBorders>
              <w:top w:val="single" w:sz="4" w:color="BFBFBF"/>
              <w:left w:val="single" w:sz="4" w:color="BFBFBF"/>
              <w:bottom w:val="single" w:sz="4" w:color="BFBFBF"/>
              <w:right w:val="single" w:sz="4" w:color="BFBFBF"/>
            </w:tcBorders>
            <w:shd w:val="clear" w:color="auto" w:fill="F7F7F7"/>
            <w:tcW w:w="1800" w:type="dxa"/>
          </w:tcPr>
          <w:p>
            <w:pPr>
              <w:spacing w:before="20" w:after="20"/>
            </w:pPr>
            <w:r>
              <w:rPr>
                <w:rFonts w:ascii="Calibri" w:hAnsi="Calibri"/>
                <w:sz w:val="19"/>
              </w:rPr>
              <w:t>Fri 09 May</w:t>
            </w:r>
          </w:p>
        </w:tc>
        <w:tc>
          <w:tcPr>
            <w:tcBorders>
              <w:top w:val="single" w:sz="4" w:color="BFBFBF"/>
              <w:left w:val="single" w:sz="4" w:color="BFBFBF"/>
              <w:bottom w:val="single" w:sz="4" w:color="BFBFBF"/>
              <w:right w:val="single" w:sz="4" w:color="BFBFBF"/>
            </w:tcBorders>
            <w:shd w:val="clear" w:color="auto" w:fill="F7F7F7"/>
            <w:tcW w:w="2500" w:type="dxa"/>
          </w:tcPr>
          <w:p>
            <w:pPr>
              <w:spacing w:before="20" w:after="20"/>
            </w:pPr>
            <w:r>
              <w:rPr>
                <w:rFonts w:ascii="Calibri" w:hAnsi="Calibri"/>
                <w:sz w:val="19"/>
              </w:rPr>
              <w:t>Flat (low conviction)</w:t>
            </w:r>
          </w:p>
        </w:tc>
        <w:tc>
          <w:tcPr>
            <w:tcBorders>
              <w:top w:val="single" w:sz="4" w:color="BFBFBF"/>
              <w:left w:val="single" w:sz="4" w:color="BFBFBF"/>
              <w:bottom w:val="single" w:sz="4" w:color="BFBFBF"/>
              <w:right w:val="single" w:sz="4" w:color="BFBFBF"/>
            </w:tcBorders>
            <w:shd w:val="clear" w:color="auto" w:fill="F7F7F7"/>
            <w:tcW w:w="2500" w:type="dxa"/>
          </w:tcPr>
          <w:p>
            <w:pPr>
              <w:spacing w:before="20" w:after="20"/>
            </w:pPr>
            <w:r>
              <w:rPr>
                <w:rFonts w:ascii="Calibri" w:hAnsi="Calibri"/>
                <w:sz w:val="19"/>
              </w:rPr>
              <w:t>SHORT at R1 +1.2R</w:t>
            </w:r>
          </w:p>
        </w:tc>
        <w:tc>
          <w:tcPr>
            <w:tcBorders>
              <w:top w:val="single" w:sz="4" w:color="BFBFBF"/>
              <w:left w:val="single" w:sz="4" w:color="BFBFBF"/>
              <w:bottom w:val="single" w:sz="4" w:color="BFBFBF"/>
              <w:right w:val="single" w:sz="4" w:color="BFBFBF"/>
            </w:tcBorders>
            <w:shd w:val="clear" w:color="auto" w:fill="F7F7F7"/>
            <w:tcW w:w="2560" w:type="dxa"/>
          </w:tcPr>
          <w:p>
            <w:pPr>
              <w:spacing w:before="20" w:after="20"/>
            </w:pPr>
            <w:r>
              <w:rPr>
                <w:rFonts w:ascii="Calibri" w:hAnsi="Calibri"/>
                <w:sz w:val="19"/>
              </w:rPr>
              <w:t>No-trigger</w:t>
            </w:r>
          </w:p>
        </w:tc>
      </w:tr>
      <w:tr>
        <w:tc>
          <w:tcPr>
            <w:tcBorders>
              <w:top w:val="single" w:sz="4" w:color="BFBFBF"/>
              <w:left w:val="single" w:sz="4" w:color="BFBFBF"/>
              <w:bottom w:val="single" w:sz="4" w:color="BFBFBF"/>
              <w:right w:val="single" w:sz="4" w:color="BFBFBF"/>
            </w:tcBorders>
            <w:tcW w:w="1800" w:type="dxa"/>
          </w:tcPr>
          <w:p>
            <w:pPr>
              <w:spacing w:before="20" w:after="20"/>
            </w:pPr>
            <w:r>
              <w:rPr>
                <w:rFonts w:ascii="Calibri" w:hAnsi="Calibri"/>
                <w:sz w:val="19"/>
              </w:rPr>
              <w:t>Mon 12 May</w:t>
            </w:r>
          </w:p>
        </w:tc>
        <w:tc>
          <w:tcPr>
            <w:tcBorders>
              <w:top w:val="single" w:sz="4" w:color="BFBFBF"/>
              <w:left w:val="single" w:sz="4" w:color="BFBFBF"/>
              <w:bottom w:val="single" w:sz="4" w:color="BFBFBF"/>
              <w:right w:val="single" w:sz="4" w:color="BFBFBF"/>
            </w:tcBorders>
            <w:tcW w:w="2500" w:type="dxa"/>
          </w:tcPr>
          <w:p>
            <w:pPr>
              <w:spacing w:before="20" w:after="20"/>
            </w:pPr>
            <w:r>
              <w:rPr>
                <w:rFonts w:ascii="Calibri" w:hAnsi="Calibri"/>
                <w:sz w:val="19"/>
              </w:rPr>
              <w:t>SHORT +2.0R (TP2 hit)</w:t>
            </w:r>
          </w:p>
        </w:tc>
        <w:tc>
          <w:tcPr>
            <w:tcBorders>
              <w:top w:val="single" w:sz="4" w:color="BFBFBF"/>
              <w:left w:val="single" w:sz="4" w:color="BFBFBF"/>
              <w:bottom w:val="single" w:sz="4" w:color="BFBFBF"/>
              <w:right w:val="single" w:sz="4" w:color="BFBFBF"/>
            </w:tcBorders>
            <w:tcW w:w="2500" w:type="dxa"/>
          </w:tcPr>
          <w:p>
            <w:pPr>
              <w:spacing w:before="20" w:after="20"/>
            </w:pPr>
            <w:r>
              <w:rPr>
                <w:rFonts w:ascii="Calibri" w:hAnsi="Calibri"/>
                <w:sz w:val="19"/>
              </w:rPr>
              <w:t>SHORT +2.4R (TP2 hit)</w:t>
            </w:r>
          </w:p>
        </w:tc>
        <w:tc>
          <w:tcPr>
            <w:tcBorders>
              <w:top w:val="single" w:sz="4" w:color="BFBFBF"/>
              <w:left w:val="single" w:sz="4" w:color="BFBFBF"/>
              <w:bottom w:val="single" w:sz="4" w:color="BFBFBF"/>
              <w:right w:val="single" w:sz="4" w:color="BFBFBF"/>
            </w:tcBorders>
            <w:tcW w:w="2560" w:type="dxa"/>
          </w:tcPr>
          <w:p>
            <w:pPr>
              <w:spacing w:before="20" w:after="20"/>
            </w:pPr>
            <w:r>
              <w:rPr>
                <w:rFonts w:ascii="Calibri" w:hAnsi="Calibri"/>
                <w:sz w:val="19"/>
              </w:rPr>
              <w:t>No-trigger</w:t>
            </w:r>
          </w:p>
        </w:tc>
      </w:tr>
      <w:tr>
        <w:tc>
          <w:tcPr>
            <w:tcBorders>
              <w:top w:val="single" w:sz="4" w:color="BFBFBF"/>
              <w:left w:val="single" w:sz="4" w:color="BFBFBF"/>
              <w:bottom w:val="single" w:sz="4" w:color="BFBFBF"/>
              <w:right w:val="single" w:sz="4" w:color="BFBFBF"/>
            </w:tcBorders>
            <w:shd w:val="clear" w:color="auto" w:fill="F7F7F7"/>
            <w:tcW w:w="1800" w:type="dxa"/>
          </w:tcPr>
          <w:p>
            <w:pPr>
              <w:spacing w:before="20" w:after="20"/>
            </w:pPr>
            <w:r>
              <w:rPr>
                <w:rFonts w:ascii="Calibri" w:hAnsi="Calibri"/>
                <w:sz w:val="19"/>
              </w:rPr>
              <w:t>Tue 13 May</w:t>
            </w:r>
          </w:p>
        </w:tc>
        <w:tc>
          <w:tcPr>
            <w:tcBorders>
              <w:top w:val="single" w:sz="4" w:color="BFBFBF"/>
              <w:left w:val="single" w:sz="4" w:color="BFBFBF"/>
              <w:bottom w:val="single" w:sz="4" w:color="BFBFBF"/>
              <w:right w:val="single" w:sz="4" w:color="BFBFBF"/>
            </w:tcBorders>
            <w:shd w:val="clear" w:color="auto" w:fill="F7F7F7"/>
            <w:tcW w:w="2500" w:type="dxa"/>
          </w:tcPr>
          <w:p>
            <w:pPr>
              <w:spacing w:before="20" w:after="20"/>
            </w:pPr>
            <w:r>
              <w:rPr>
                <w:rFonts w:ascii="Calibri" w:hAnsi="Calibri"/>
                <w:sz w:val="19"/>
              </w:rPr>
              <w:t>SHORT +1.6R (CPI catalyst)</w:t>
            </w:r>
          </w:p>
        </w:tc>
        <w:tc>
          <w:tcPr>
            <w:tcBorders>
              <w:top w:val="single" w:sz="4" w:color="BFBFBF"/>
              <w:left w:val="single" w:sz="4" w:color="BFBFBF"/>
              <w:bottom w:val="single" w:sz="4" w:color="BFBFBF"/>
              <w:right w:val="single" w:sz="4" w:color="BFBFBF"/>
            </w:tcBorders>
            <w:shd w:val="clear" w:color="auto" w:fill="F7F7F7"/>
            <w:tcW w:w="2500" w:type="dxa"/>
          </w:tcPr>
          <w:p>
            <w:pPr>
              <w:spacing w:before="20" w:after="20"/>
            </w:pPr>
            <w:r>
              <w:rPr>
                <w:rFonts w:ascii="Calibri" w:hAnsi="Calibri"/>
                <w:sz w:val="19"/>
              </w:rPr>
              <w:t>SHORT +0.6R (partial)</w:t>
            </w:r>
          </w:p>
        </w:tc>
        <w:tc>
          <w:tcPr>
            <w:tcBorders>
              <w:top w:val="single" w:sz="4" w:color="BFBFBF"/>
              <w:left w:val="single" w:sz="4" w:color="BFBFBF"/>
              <w:bottom w:val="single" w:sz="4" w:color="BFBFBF"/>
              <w:right w:val="single" w:sz="4" w:color="BFBFBF"/>
            </w:tcBorders>
            <w:shd w:val="clear" w:color="auto" w:fill="F7F7F7"/>
            <w:tcW w:w="2560" w:type="dxa"/>
          </w:tcPr>
          <w:p>
            <w:pPr>
              <w:spacing w:before="20" w:after="20"/>
            </w:pPr>
            <w:r>
              <w:rPr>
                <w:rFonts w:ascii="Calibri" w:hAnsi="Calibri"/>
                <w:sz w:val="19"/>
              </w:rPr>
              <w:t>Short bracket armed; no close yet</w:t>
            </w:r>
          </w:p>
        </w:tc>
      </w:tr>
      <w:tr>
        <w:tc>
          <w:tcPr>
            <w:tcBorders>
              <w:top w:val="single" w:sz="4" w:color="BFBFBF"/>
              <w:left w:val="single" w:sz="4" w:color="BFBFBF"/>
              <w:bottom w:val="single" w:sz="4" w:color="BFBFBF"/>
              <w:right w:val="single" w:sz="4" w:color="BFBFBF"/>
            </w:tcBorders>
            <w:tcW w:w="1800" w:type="dxa"/>
          </w:tcPr>
          <w:p>
            <w:pPr>
              <w:spacing w:before="20" w:after="20"/>
            </w:pPr>
            <w:r>
              <w:rPr>
                <w:rFonts w:ascii="Calibri" w:hAnsi="Calibri"/>
                <w:sz w:val="19"/>
              </w:rPr>
              <w:t>Wed 14 May</w:t>
            </w:r>
          </w:p>
        </w:tc>
        <w:tc>
          <w:tcPr>
            <w:tcBorders>
              <w:top w:val="single" w:sz="4" w:color="BFBFBF"/>
              <w:left w:val="single" w:sz="4" w:color="BFBFBF"/>
              <w:bottom w:val="single" w:sz="4" w:color="BFBFBF"/>
              <w:right w:val="single" w:sz="4" w:color="BFBFBF"/>
            </w:tcBorders>
            <w:tcW w:w="2500" w:type="dxa"/>
          </w:tcPr>
          <w:p>
            <w:pPr>
              <w:spacing w:before="20" w:after="20"/>
            </w:pPr>
            <w:r>
              <w:rPr>
                <w:rFonts w:ascii="Calibri" w:hAnsi="Calibri"/>
                <w:sz w:val="19"/>
              </w:rPr>
              <w:t>SHORT held +0.4R (intraday)</w:t>
            </w:r>
          </w:p>
        </w:tc>
        <w:tc>
          <w:tcPr>
            <w:tcBorders>
              <w:top w:val="single" w:sz="4" w:color="BFBFBF"/>
              <w:left w:val="single" w:sz="4" w:color="BFBFBF"/>
              <w:bottom w:val="single" w:sz="4" w:color="BFBFBF"/>
              <w:right w:val="single" w:sz="4" w:color="BFBFBF"/>
            </w:tcBorders>
            <w:tcW w:w="2500" w:type="dxa"/>
          </w:tcPr>
          <w:p>
            <w:pPr>
              <w:spacing w:before="20" w:after="20"/>
            </w:pPr>
            <w:r>
              <w:rPr>
                <w:rFonts w:ascii="Calibri" w:hAnsi="Calibri"/>
                <w:sz w:val="19"/>
              </w:rPr>
              <w:t>SHORT held −0.2R</w:t>
            </w:r>
          </w:p>
        </w:tc>
        <w:tc>
          <w:tcPr>
            <w:tcBorders>
              <w:top w:val="single" w:sz="4" w:color="BFBFBF"/>
              <w:left w:val="single" w:sz="4" w:color="BFBFBF"/>
              <w:bottom w:val="single" w:sz="4" w:color="BFBFBF"/>
              <w:right w:val="single" w:sz="4" w:color="BFBFBF"/>
            </w:tcBorders>
            <w:tcW w:w="2560" w:type="dxa"/>
          </w:tcPr>
          <w:p>
            <w:pPr>
              <w:spacing w:before="20" w:after="20"/>
            </w:pPr>
            <w:r>
              <w:rPr>
                <w:rFonts w:ascii="Calibri" w:hAnsi="Calibri"/>
                <w:sz w:val="19"/>
              </w:rPr>
              <w:t>No-trigger (range holds)</w:t>
            </w:r>
          </w:p>
        </w:tc>
      </w:tr>
    </w:tbl>
    <w:p>
      <w:pPr>
        <w:spacing w:after="80" w:before="0"/>
      </w:pPr>
      <w:r>
        <w:rPr>
          <w:rFonts w:ascii="Calibri" w:hAnsi="Calibri"/>
          <w:b/>
          <w:i w:val="0"/>
          <w:color w:val="A0325F"/>
          <w:sz w:val="24"/>
        </w:rPr>
        <w:t>§21d  ‘What is working’ aggregate</w:t>
      </w:r>
    </w:p>
    <w:p>
      <w:pPr>
        <w:spacing w:after="160" w:before="0"/>
      </w:pPr>
      <w:r>
        <w:rPr>
          <w:rFonts w:ascii="Calibri" w:hAnsi="Calibri"/>
          <w:b w:val="0"/>
          <w:i w:val="0"/>
          <w:sz w:val="21"/>
        </w:rPr>
        <w:t>Strongest: Trade 2 (regime-aware pivot) — five-session aggregate +4.0R, two structural TP2 hits driven by the USDX-led drawdown into daily S1/S2 confluences. Weakest: Trade 3 (complex transition breakout) — no triggered close in either direction over the window; 3C performs as designed in active range conditions but generates no realised P&amp;L until the bracket resolves. Trade 1 aggregate +4.8R, primarily on Mon-Tue distribution. Net regime read: pivots are the dominant alpha source in TRANSITION + bearish-skew tape; the directional engine adds when sentiment-aligned with cross-asset confirmation.</w:t>
      </w:r>
    </w:p>
    <w:p>
      <w:pPr>
        <w:spacing w:before="280"/>
        <w:jc w:val="center"/>
      </w:pPr>
      <w:r>
        <w:rPr>
          <w:rFonts w:ascii="Calibri" w:hAnsi="Calibri"/>
          <w:i/>
          <w:color w:val="333333"/>
          <w:sz w:val="18"/>
        </w:rPr>
        <w:t>Gold Daily Report  │  14 May 2026  │  Senior Commodities Analyst — Precious Metals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