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Gold Report — Daily: 15 June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With reference to: Silver · USDX / Dollar Index · S&amp;P 500 · DAX</w:t>
      </w:r>
    </w:p>
    <w:p>
      <w:pPr>
        <w:pBdr>
          <w:bottom w:val="single" w:color="2E75B6" w:sz="8" w:space="2"/>
        </w:pBdr>
        <w:spacing w:after="1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Senior Commodities Analyst — Precious Metals  ·  Spot XAU/USD (loco London), USD/oz  ·  As of 15 Jun 2026 (Europe/London)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§1  Executive Snapshot</w:t>
      </w:r>
    </w:p>
    <w:p>
      <w:pPr>
        <w:spacing w:after="160" w:before="0"/>
      </w:pPr>
      <w:r>
        <w:rPr>
          <w:rFonts w:ascii="Arial" w:cs="Arial" w:eastAsia="Arial" w:hAnsi="Arial"/>
          <w:sz w:val="21"/>
          <w:szCs w:val="21"/>
        </w:rPr>
        <w:t xml:space="preserve">Consensus spot gold sits at approximately US$4,180/oz (range US$4,170–4,220/oz, confidence Medium), with market tone bearish-to-balanced after a brutal week. The price is dominated by three drivers: (1) re-accelerating US inflation (May CPI at a three-year high, PPI +6.5% y/y) that has pushed Fed rate-hike odds to ~70%, lifting real yields and the dollar; (2) a firm USDX and a sharp risk-on equity bounce (S&amp;P 500 +1.75% Friday), both gold-negative through the real-yield and opportunity-cost channels; and (3) offsetting structural safe-haven and official-sector demand, with the PBoC extending its gold-buying streak to a 19th consecutive month. The short-term technical state is bearish/transitional — a violent two-way week (a −4.4% Jun-10 collapse, a +3.6% Jun-11 snapback, then a Jun-12/15 fade) that nets lower. The medium-term 25-session regime is Trending Down with a range-bottom bias, and the Kaufman Efficiency Ratio (−0.39) confirms a strong down-trend. The directional conviction model reads SHORT (score −0.73). The single most important watch item is the FOMC decision on 17 June — the dominant near-term inflection for the entire complex.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§2 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Gold — spot XAU/USD (GC=F front-month for corroboration)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London Good Delivery bar (99.99% pure), 400-oz spot quote (LBMA standard)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Scope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Global — 24-hour OTC market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Delivery / Price basis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OTC London spot, T+2 settlement · immediate (loco London)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/ Currency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USD per troy ounce (USD/oz) · USD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As-of date / timezone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June 2026 · Europe/London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Lookback window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trading sessions (9, 10, 11, 12, 15 Jun 2026)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Note: gold did not trade over the 13–14 June weekend. The 15-June session is in progress at the snapshot; the prior completed session (12 June) anchors the daily pivot set. Daily-open anchor for trade entries has been set to 07:00 UK for this run at the analyst's instruction (overriding the instance default).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§3 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Consensus price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Consensus range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Confidence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Market tone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US$4,180/oz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US$4,170 – 4,220/oz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Bearish / Balanced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1"/>
          <w:szCs w:val="21"/>
        </w:rPr>
        <w:t xml:space="preserve">Rationale: The weighted-median of corroborated reads clusters around the 12-June close (US$4,182) and the in-progress 15-June print (~US$4,176), with intraday quotes spanning roughly US$4,170–4,220. Precision is limited by a live, in-progress session and by a wide intraday range; a range-first call is therefore most defensible.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§4 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50"/>
        <w:gridCol w:w="1450"/>
        <w:gridCol w:w="1450"/>
        <w:gridCol w:w="1500"/>
        <w:gridCol w:w="211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Date/Time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Raw quote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Normalized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Basis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Class. / Notes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Investing.com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Jun close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4,182.43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4,182.43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Spot loco London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 — primary OHLC source 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Bullion.com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Jun 16:59 ET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bid 4,182.40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4,182.40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Spot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 — corroborates close (Δ 0.03)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TradingEconomics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Jun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below 4,200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~4,180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Spot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Directional — corroborates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USAGOLD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Jun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4,216.44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4,216.44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Physical spot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Directional — timestamp/venue diff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CNBC (XAU=)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Jun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4,218.77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4,218.77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Spot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Directional — late tick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Investing.com (live)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Jun intraday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~4,176 (O 4,210.89)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~4,176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Spot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Single-source — in-progress, indicative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Minimum six independent reads obtained. The 12-June close is CORROBORATED (Investing.com × Bullion.com, Δ ≈ US$0.03, within the ±US$0.50 gold tolerance). The 15-June session is in progress and is treated as single-source indicative for its High/Low until the session closes.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§5  Consensus Build Explanation</w:t>
      </w:r>
    </w:p>
    <w:p>
      <w:pPr>
        <w:spacing w:after="160" w:before="0"/>
      </w:pPr>
      <w:r>
        <w:rPr>
          <w:rFonts w:ascii="Arial" w:cs="Arial" w:eastAsia="Arial" w:hAnsi="Arial"/>
          <w:sz w:val="21"/>
          <w:szCs w:val="21"/>
        </w:rPr>
        <w:t xml:space="preserve">All observations are already in USD/oz on a loco-London spot basis, so no FX or unit conversion was required. Physical-bullion quotes (USAGOLD) and exchange-style spot feeds (Investing.com, CNBC, Bullion.com) were normalized to the same immediate-settlement basis; small inter-venue deltas (US$4,182–4,219) reflect timestamp and bid/ask differences rather than genuine price disagreement. Observations were weighted by recency and source liquidity: the corroborated 12-June close (Investing.com × Bullion.com) carries the most weight, the live 15-June read is down-weighted as a single, in-progress quote, and the slightly higher USAGOLD/CNBC prints are retained as directional context. The weighted median lands at ~US$4,180/oz. A range-first conclusion (US$4,170–4,220) is most defensible because the snapshot session is unresolved and the week's realized volatility is exceptionally high.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§6  Validated OHLC + RSI2 Table (5-Day)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Gold — Spot XAU/USD (USD/oz)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100"/>
        <w:gridCol w:w="1100"/>
        <w:gridCol w:w="1100"/>
        <w:gridCol w:w="1100"/>
        <w:gridCol w:w="750"/>
        <w:gridCol w:w="1150"/>
        <w:gridCol w:w="2010"/>
      </w:tblGrid>
      <w:tr>
        <w:trPr>
          <w:tblHeader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Close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RSI2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Trend</w:t>
            </w:r>
          </w:p>
        </w:tc>
        <w:tc>
          <w:tcPr>
            <w:tcW w:type="dxa" w:w="2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Source A × B / Outcome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09 Jun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4,331.26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4,363.50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4,236.61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4,264.15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Bearish</w:t>
            </w:r>
          </w:p>
        </w:tc>
        <w:tc>
          <w:tcPr>
            <w:tcW w:type="dxa" w:w="2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Investing × Bullion · CORROB.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Jun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4,255.70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4,258.29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4,066.86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4,075.08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Bearish</w:t>
            </w:r>
          </w:p>
        </w:tc>
        <w:tc>
          <w:tcPr>
            <w:tcW w:type="dxa" w:w="2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Investing × TrdEcon · CORROB.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 Jun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4,075.10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4,220.25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4,023.55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4,220.11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43.4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Neutral</w:t>
            </w:r>
          </w:p>
        </w:tc>
        <w:tc>
          <w:tcPr>
            <w:tcW w:type="dxa" w:w="2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Investing × FXStreet · CORROB.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Jun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4,220.47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4,230.57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4,170.81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4,182.43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79.4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Neutral</w:t>
            </w:r>
          </w:p>
        </w:tc>
        <w:tc>
          <w:tcPr>
            <w:tcW w:type="dxa" w:w="2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Investing × Bullion · CORROB.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Jun*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4,210.89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4,246.38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4,170.81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4,176.51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Bearish</w:t>
            </w:r>
          </w:p>
        </w:tc>
        <w:tc>
          <w:tcPr>
            <w:tcW w:type="dxa" w:w="2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Investing (live) · SINGLE-SRC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* 15 June is an in-progress session — High/Low/Close are indicative only and are excluded from daily-pivot computation (which uses the completed 12-June session). RSI2 (period 2, fixed) is computed from the validated close sequence and saturates to 0/100 by design on consecutive down/up closes.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Silver — Spot XAG/USD (USD/oz) — condensed comparator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Close (US$/oz)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Wk context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Trend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Outcome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 Jun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~64.3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3-mo low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Bearish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FinanceMagnates × FXStreet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Jun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67.26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5th wkly fall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Bearish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FXStreet × TradingEconomics</w:t>
            </w:r>
          </w:p>
        </w:tc>
      </w:tr>
    </w:tbl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§7  Charts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Chart 1 — 5-Day Candlestick</w:t>
      </w:r>
    </w:p>
    <w:p>
      <w:pPr>
        <w:spacing w:after="160" w:before="80"/>
        <w:jc w:val="center"/>
      </w:pPr>
      <w:r>
        <w:drawing>
          <wp:inline distT="0" distB="0" distL="0" distR="0">
            <wp:extent cx="54864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Chart 2 — Distance from Open (Open = 0)</w:t>
      </w:r>
    </w:p>
    <w:p>
      <w:pPr>
        <w:spacing w:after="160" w:before="80"/>
        <w:jc w:val="center"/>
      </w:pPr>
      <w:r>
        <w:drawing>
          <wp:inline distT="0" distB="0" distL="0" distR="0">
            <wp:extent cx="54864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Chart 3 — 25-Session Structure</w:t>
      </w:r>
    </w:p>
    <w:p>
      <w:pPr>
        <w:spacing w:after="160" w:before="80"/>
        <w:jc w:val="center"/>
      </w:pPr>
      <w:r>
        <w:drawing>
          <wp:inline distT="0" distB="0" distL="0" distR="0">
            <wp:extent cx="54864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Chart 4 — Comparative Volatility (VOLator)</w:t>
      </w:r>
    </w:p>
    <w:p>
      <w:pPr>
        <w:spacing w:after="160" w:before="80"/>
        <w:jc w:val="center"/>
      </w:pPr>
      <w:r>
        <w:drawing>
          <wp:inline distT="0" distB="0" distL="0" distR="0">
            <wp:extent cx="54864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VOLator series are scaled (ATR / historical z-score, clipped ±1). The gold series slopes positive over the window — volatility expanded sharply into the 10–11 June shock — confirming a trending (not ranging) volatility signal.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Chart 5 — Pivot Structure (Week of 15 Jun 2026)</w:t>
      </w:r>
    </w:p>
    <w:p>
      <w:pPr>
        <w:spacing w:after="160" w:before="80"/>
        <w:jc w:val="center"/>
      </w:pPr>
      <w:r>
        <w:drawing>
          <wp:inline distT="0" distB="0" distL="0" distR="0">
            <wp:extent cx="512445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§8  Short-Term Technical Analysis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09 Jun (see §6): </w:t>
      </w:r>
      <w:r>
        <w:rPr>
          <w:rFonts w:ascii="Arial" w:cs="Arial" w:eastAsia="Arial" w:hAnsi="Arial"/>
          <w:sz w:val="21"/>
          <w:szCs w:val="21"/>
        </w:rPr>
        <w:t xml:space="preserve">Bearish down-candle; open near the high, close in the lower quarter of the range (≈22%), RSI2 saturated at 0. The session began the breakdown from the upper-4,300s.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 Jun (see §6): </w:t>
      </w:r>
      <w:r>
        <w:rPr>
          <w:rFonts w:ascii="Arial" w:cs="Arial" w:eastAsia="Arial" w:hAnsi="Arial"/>
          <w:sz w:val="21"/>
          <w:szCs w:val="21"/>
        </w:rPr>
        <w:t xml:space="preserve">The decisive session — a −4.4% collapse with the close at ≈4% of range (on the low), RSI2 at 0. A wide-range trend day; supply overwhelmed demand.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 Jun (see §6): </w:t>
      </w:r>
      <w:r>
        <w:rPr>
          <w:rFonts w:ascii="Arial" w:cs="Arial" w:eastAsia="Arial" w:hAnsi="Arial"/>
          <w:sz w:val="21"/>
          <w:szCs w:val="21"/>
        </w:rPr>
        <w:t xml:space="preserve">A violent reversal: price printed a fresh low at 4,023.55 then closed at the very top of the range (≈100%), a +3.6% bullish recovery. Long lower wick = aggressive demand at US$4,024, but body direction conflicts with a still-sub-50 RSI2 — classed Neutral.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 Jun (see §6): </w:t>
      </w:r>
      <w:r>
        <w:rPr>
          <w:rFonts w:ascii="Arial" w:cs="Arial" w:eastAsia="Arial" w:hAnsi="Arial"/>
          <w:sz w:val="21"/>
          <w:szCs w:val="21"/>
        </w:rPr>
        <w:t xml:space="preserve">Bearish fade; open near the high, close in the lower fifth (≈19%) at 4,182. RSI2 rebounded to 79 on the two-day mean-reversion, but price could not hold the bounce — a failure signature.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15 Jun* (see §6): </w:t>
      </w:r>
      <w:r>
        <w:rPr>
          <w:rFonts w:ascii="Arial" w:cs="Arial" w:eastAsia="Arial" w:hAnsi="Arial"/>
          <w:sz w:val="21"/>
          <w:szCs w:val="21"/>
        </w:rPr>
        <w:t xml:space="preserve">In-progress bearish session; trading back toward the lower third of the prior range, RSI2 at 0. Early action extends the Friday fade.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Sequence assessment: </w:t>
      </w:r>
      <w:r>
        <w:rPr>
          <w:rFonts w:ascii="Arial" w:cs="Arial" w:eastAsia="Arial" w:hAnsi="Arial"/>
          <w:sz w:val="21"/>
          <w:szCs w:val="21"/>
        </w:rPr>
        <w:t xml:space="preserve">Exhaustion-into-indecision. The hallmark is the wide-range Jun-10 down day followed by an equally wide Jun-11 snapback and a failed Jun-12 hold — prominent two-sided wicks and a high overlap after the shock. Net travel is lower (−US$150 across the block).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Nearest support / resistance (from the 5-day structure): </w:t>
      </w:r>
      <w:r>
        <w:rPr>
          <w:rFonts w:ascii="Arial" w:cs="Arial" w:eastAsia="Arial" w:hAnsi="Arial"/>
          <w:sz w:val="21"/>
          <w:szCs w:val="21"/>
        </w:rPr>
        <w:t xml:space="preserve">Support US$4,023.55 (Jun-11 swing low), then US$4,066.86. Resistance US$4,230.57 (Jun-12 high) and US$4,363.50 (Jun-9 swing high).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Judgement label: </w:t>
      </w:r>
      <w:r>
        <w:rPr>
          <w:rFonts w:ascii="Arial" w:cs="Arial" w:eastAsia="Arial" w:hAnsi="Arial"/>
          <w:sz w:val="21"/>
          <w:szCs w:val="21"/>
        </w:rPr>
        <w:t xml:space="preserve">Bearish continuation (with reversal risk at US$4,024). 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Consistency with §9: the bearish short-term label aligns with the medium-term Trending Down regime; the only tension is the Jun-11 demand spike at US$4,024, flagged as the reversal trigger.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§9  Medium-Term Regime &amp; VOLator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Regime classification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Trending Down (range-bottom bias)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Overlap ratio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0.65 (high — post-shock chop)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Directional persistence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0.33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Directional mean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−0.28 (net down)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Range position bias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20th percentile of the 25-session range → Range-Bottom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Median RSI2 (5-day)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~0–43 (depressed)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VOLator slope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Positive (expansion) — trend-confirming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Bias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Bearish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The 25-session window shows a clear directional bias: dir-mean −0.28, range position at the 20th percentile, and a violent expansion of volatility into the 10–11 June shock. The high overlap ratio (0.65) would, in isolation, suggest ranging — but that reading is an artefact of the post-crash two-way chop. The directional and volatility evidence, plus the range-bottom location, resolve the composite to Trending Down. VOLator readings: gold is above its 0 midpoint and expanding; USDX is modestly above midpoint and steady; S&amp;P 500 and DAX are near midpoint and contracting after their own volatility spike.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Preferred trade protocol: </w:t>
      </w:r>
      <w:r>
        <w:rPr>
          <w:rFonts w:ascii="Arial" w:cs="Arial" w:eastAsia="Arial" w:hAnsi="Arial"/>
          <w:sz w:val="21"/>
          <w:szCs w:val="21"/>
        </w:rPr>
        <w:t xml:space="preserve">Trend-continuation / pullback entries in the trend direction (short the rallies). Short-term and medium-term agree, so conviction is not reduced.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Kaufman confirmation: </w:t>
      </w:r>
      <w:r>
        <w:rPr>
          <w:rFonts w:ascii="Arial" w:cs="Arial" w:eastAsia="Arial" w:hAnsi="Arial"/>
          <w:sz w:val="21"/>
          <w:szCs w:val="21"/>
        </w:rPr>
        <w:t xml:space="preserve">KER(13) = −0.39, well beyond the −0.13 trend threshold with a falling series → Trending Down — Strong. KER agrees with the regime synthesis, increasing confidence.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§10 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3260"/>
        <w:gridCol w:w="1500"/>
        <w:gridCol w:w="22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Counter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5-day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Mechanism to gold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Implication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USDX (Dollar Index)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Rising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Stronger dollar raises the cost of gold for non-USD buyers and signals tighter conditions; up ~1.3% on the month on rate-hike bets.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Confirms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Gold-negative — reinforces the bearish regime.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S&amp;P 500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Rising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Risk-on equity strength raises gold's opportunity cost and drains safe-haven demand (+1.75% Fri).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Confirms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Gold-negative — risk appetite competes with bullion.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DAX 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Rising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European risk-on confirmation despite the ECB hike; cross-validates the US-led risk bid.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Confirms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Gold-negative — broad risk-on read.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Silver (XAG/USD)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Falling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Precious-metals beta — silver broke its 200-EMA to a 3-month low, a 5th weekly fall.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Confirms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Sector-wide weakness corroborates gold downside.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Aggregate cross-asset read: CONFIRM (all active counters consistent with the bearish gold regime; none contradict). No contradiction flag is raised.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§11  Floor Pivot Analysis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Daily pivots — from the completed 12 June session (H 4,230.57 / L 4,170.81 / C 4,182.43)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Price (US$/oz)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4,397.68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4,337.92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4,278.16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4,254.36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4,218.40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(R1.5 = 4,236.38)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4,194.60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Central pivot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4,158.64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(S1.5 = 4,146.74)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4,134.84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4,098.88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4,039.12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3,979.36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Weekly pivots — from the completed week ending 12 June (H 4,363.50 / L 4,023.55 / C 4,182.43)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Level / Price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WR3 / WR2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4,696.05 / 4,529.78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WR1 = 4,356.10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4,189.83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WS1 / WS2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4,016.15 / 3,849.88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WS3 = 3,676.20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Source status: </w:t>
      </w:r>
      <w:r>
        <w:rPr>
          <w:rFonts w:ascii="Arial" w:cs="Arial" w:eastAsia="Arial" w:hAnsi="Arial"/>
          <w:sz w:val="21"/>
          <w:szCs w:val="21"/>
        </w:rPr>
        <w:t xml:space="preserve">Daily and weekly prior-period H/L/C are engine-derived from the rolling validated window and are flagged SINGLE-SOURCE INDICATIVE for pivot purposes (no independent two-source pivot fetch was achieved). Per the strategy-suppression contract this would normally suppress the pivot trade; the analyst has instructed leniency on corroboration so the trade is produced with the indicative qualifier carried on the card.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Position narrative: </w:t>
      </w:r>
      <w:r>
        <w:rPr>
          <w:rFonts w:ascii="Arial" w:cs="Arial" w:eastAsia="Arial" w:hAnsi="Arial"/>
          <w:sz w:val="21"/>
          <w:szCs w:val="21"/>
        </w:rPr>
        <w:t xml:space="preserve">The in-progress 15-June price (~4,176) sits below the daily pivot P (4,194.60) and essentially on the weekly pivot WP (4,189.83) — a bearish location, beneath P and pressing the S1 (4,158.64) shelf. A confluence zone exists where the daily P (4,194.60) and weekly WP (4,189.83) sit within ~0.1% of each other — a meaningful pivot magnet just overhead.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§12  Key Market Considerations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Supply — neutral (structural). </w:t>
      </w:r>
      <w:r>
        <w:rPr>
          <w:rFonts w:ascii="Arial" w:cs="Arial" w:eastAsia="Arial" w:hAnsi="Arial"/>
          <w:sz w:val="21"/>
          <w:szCs w:val="21"/>
        </w:rPr>
        <w:t xml:space="preserve">Mine supply is inelastic over the horizon; official-sector accumulation is the supply-side story. The PBoC disclosed its 19th consecutive monthly purchase (a ~10-tonne May increase, per the World Gold Council / USAGOLD daily report), structurally price-supportive.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Demand — mixed. </w:t>
      </w:r>
      <w:r>
        <w:rPr>
          <w:rFonts w:ascii="Arial" w:cs="Arial" w:eastAsia="Arial" w:hAnsi="Arial"/>
          <w:sz w:val="21"/>
          <w:szCs w:val="21"/>
        </w:rPr>
        <w:t xml:space="preserve">Central-bank and physical-investment demand remain firm (India investment demand reportedly up to 40–45%), but China's wholesale demand hit a 16-year low and Western ETF/speculative demand is being crowded out by higher real yields. Net: structural support, cyclical drag.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Substitution / spreads — price-negative (cyclical). </w:t>
      </w:r>
      <w:r>
        <w:rPr>
          <w:rFonts w:ascii="Arial" w:cs="Arial" w:eastAsia="Arial" w:hAnsi="Arial"/>
          <w:sz w:val="21"/>
          <w:szCs w:val="21"/>
        </w:rPr>
        <w:t xml:space="preserve">The gold/silver ratio sat ~62.8 with silver breaking to 3-month lows; platinum and real-yield-linked alternatives are pressuring the whole complex. Higher US 10-year real yields raise the opportunity cost of holding non-yielding gold.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Policy / regulation — price-negative (cyclical). </w:t>
      </w:r>
      <w:r>
        <w:rPr>
          <w:rFonts w:ascii="Arial" w:cs="Arial" w:eastAsia="Arial" w:hAnsi="Arial"/>
          <w:sz w:val="21"/>
          <w:szCs w:val="21"/>
        </w:rPr>
        <w:t xml:space="preserve">The ECB raised rates on 11 June (first hike since 2023) and lifted its inflation forecasts; the Fed is priced ~70% to hike later in 2026. A globally hawkish central-bank tilt is the dominant gold headwind.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Macro / FX — price-negative (cyclical). </w:t>
      </w:r>
      <w:r>
        <w:rPr>
          <w:rFonts w:ascii="Arial" w:cs="Arial" w:eastAsia="Arial" w:hAnsi="Arial"/>
          <w:sz w:val="21"/>
          <w:szCs w:val="21"/>
        </w:rPr>
        <w:t xml:space="preserve">US May CPI at a three-year high and PPI +6.5% y/y reinforced rate-hike bets; the dollar (USDX) firmed and real yields rose. Both channels are gold-negative and outweigh gold's inflation-hedge premium in the short run.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Near-term catalysts. </w:t>
      </w:r>
      <w:r>
        <w:rPr>
          <w:rFonts w:ascii="Arial" w:cs="Arial" w:eastAsia="Arial" w:hAnsi="Arial"/>
          <w:sz w:val="21"/>
          <w:szCs w:val="21"/>
        </w:rPr>
        <w:t xml:space="preserve">The FOMC decision on 17 June (within the 5-day horizon) is the single dominant catalyst. Also live: any US–Iran peace-deal headline (haven-bid sensitive) and the Philadelphia Fed manufacturing index. See §13d.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§13  Sentiment, News &amp; Calendar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AD1457"/>
          <w:sz w:val="22"/>
          <w:szCs w:val="22"/>
        </w:rPr>
        <w:t xml:space="preserve">§13a 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3060"/>
        <w:gridCol w:w="1300"/>
        <w:gridCol w:w="22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Headline (paraphrased)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Sentiment / derivation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Reuters / TradingEconomics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Jun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Gold below $4,200; ECB hike, PPI 6.5% lift rate-hike bets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Institutional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Bearish — "higher interest rates" tailwind for USD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FXStreet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Jun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Gold retains bearish bias beneath 200-day SMA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Trade Press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Bearish — "downside pressure persists"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CSFX Research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 Jun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Fed rate-hike odds ~70% drive real yields, dollar up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Institutional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Bearish — hawkish-Fed real-yield channel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USAGOLD / WGC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Jun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PBoC extends 19-month gold-buying streak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Institutional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Bullish — official-sector demand absorbs selling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CNBC / Wells Fargo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Apr–Jun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Bull case sees gold reaching $8,000; year-end targets $5,243–6,300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Institutional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Bullish — multi-source constructive targets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FXStreet / Reuters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Jun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Gold steadies ~$4,200 on US–Iran peace-deal hopes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Mixed — two-sided haven read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AD1457"/>
          <w:sz w:val="22"/>
          <w:szCs w:val="22"/>
        </w:rPr>
        <w:t xml:space="preserve">§13b  Aggregate Sentiment Summary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Counts: 3 Bearish (2 institutional, 1 trade press), 2 Bullish (institutional), 1 Mixed (media) = Balanced-to-Bearish. Source-class-weighted numeric tilt = −0.13 (the two strong bullish official-sector reads partly offset three bearish rate-driven reads). Divergence flag: sentiment (mildly bearish) AGREES with current price action (falling) and the §9 Trending-Down regime — no divergence. The numeric tilt is consumed by §21 directional conviction.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AD1457"/>
          <w:sz w:val="22"/>
          <w:szCs w:val="22"/>
        </w:rPr>
        <w:t xml:space="preserve">§13c  News Calendar — Previous Period (9–12 Jun)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400"/>
        <w:gridCol w:w="900"/>
        <w:gridCol w:w="23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 / context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Implication for gold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Wed 10 Jun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 May CPI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3-year-high inflation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Lifted rate-hike bets; gold −4.4%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Thu 11 Jun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ECB rate hike + PPI 6.5%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 ECB hike since 2023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Higher-rate fears; gold whipsawed, snapback off $4,024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Thu–Fri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US–Iran peace-deal headlines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Strait of Hormuz risk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Eased haven bid; capped the bounce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AD1457"/>
          <w:sz w:val="22"/>
          <w:szCs w:val="22"/>
        </w:rPr>
        <w:t xml:space="preserve">§13d  News Calendar — Upcoming Period (15–19 Jun)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2200"/>
        <w:gridCol w:w="900"/>
        <w:gridCol w:w="23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Context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Mechanism for gold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Wed 17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FOMC rate decision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~70% priced for hike later in 2026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 hawkish hold/hike lifts real yields → gold lower; a dovish surprise → sharp relief rally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Thu 18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Philadelphia Fed mfg index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Growth proxy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hot print supports USD/yields → gold-negative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15–19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US–Iran deal developments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Ongoing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signed deal removes haven premium → gold-negative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Highest-impact upcoming event (bold): the 17 June FOMC decision — a hawkish surprise would confirm the bearish consensus and likely break gold through S1/S2, whereas a dovish surprise is the primary invalidation risk for every short below.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§14  Macro Context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Rates &amp; monetary policy: </w:t>
      </w:r>
      <w:r>
        <w:rPr>
          <w:rFonts w:ascii="Arial" w:cs="Arial" w:eastAsia="Arial" w:hAnsi="Arial"/>
          <w:sz w:val="21"/>
          <w:szCs w:val="21"/>
        </w:rPr>
        <w:t xml:space="preserve">Globally hawkish — ECB hiked 11 June; Fed ~70% to hike. Cross-referencing the §10 S&amp;P 500 read (rising), risk assets are absorbing the hawkish tilt for now, which is gold-negative via the real-yield channel.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Inflation: </w:t>
      </w:r>
      <w:r>
        <w:rPr>
          <w:rFonts w:ascii="Arial" w:cs="Arial" w:eastAsia="Arial" w:hAnsi="Arial"/>
          <w:sz w:val="21"/>
          <w:szCs w:val="21"/>
        </w:rPr>
        <w:t xml:space="preserve">Re-accelerating (CPI 3-yr high, PPI +6.5% y/y). Counter-intuitively price-negative for gold because the policy response (higher rates, higher real yields) dominates the inflation-hedge premium.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Real yields / safe-haven: </w:t>
      </w:r>
      <w:r>
        <w:rPr>
          <w:rFonts w:ascii="Arial" w:cs="Arial" w:eastAsia="Arial" w:hAnsi="Arial"/>
          <w:sz w:val="21"/>
          <w:szCs w:val="21"/>
        </w:rPr>
        <w:t xml:space="preserve">Rising real yields are the core mechanism dragging gold lower; the safe-haven bid (Middle East) is the main offset and is fading on peace-deal hopes.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Liquidity &amp; FX: </w:t>
      </w:r>
      <w:r>
        <w:rPr>
          <w:rFonts w:ascii="Arial" w:cs="Arial" w:eastAsia="Arial" w:hAnsi="Arial"/>
          <w:sz w:val="21"/>
          <w:szCs w:val="21"/>
        </w:rPr>
        <w:t xml:space="preserve">Per §10, USDX is firm (up ~1.3% m/m). A stronger dollar tightens global conditions and is directly gold-negative.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Positioning: </w:t>
      </w:r>
      <w:r>
        <w:rPr>
          <w:rFonts w:ascii="Arial" w:cs="Arial" w:eastAsia="Arial" w:hAnsi="Arial"/>
          <w:sz w:val="21"/>
          <w:szCs w:val="21"/>
        </w:rPr>
        <w:t xml:space="preserve">VIX collapsed ~12.5% Friday to ~19.4 (risk-on); speculative gold longs have been trimmed into the selloff. Watch item from §13d: the 17 June FOMC could sharply re-price both the dollar and real yields.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§15 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Upside risks (bullish)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Downside risks (bearish)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Demand defence at US$4,024 (Jun-11 swing low held with a sharp snapback).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PBoC / official-sector buying (19th month) absorbing supply.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A dovish FOMC surprise (17 Jun) → real-yield relief rally.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Any re-escalation in the Middle East → haven bid.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Trending-Down regime, range-bottom bias, KER −0.39.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Firm USDX + risk-on equities (S&amp;P, DAX rising).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Hawkish global central banks; rising real yields.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Close below 15-Jun pressing S1 4,158.64 → opens S2 4,134.84 / weekly WS1 4,016.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A signed US–Iran deal removes the haven premium.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Cross-references: pivot position (below daily P / weekly WP, §11) and the §13d FOMC are the swing factors. The US$4,024 floor is the single most important level for the bull case.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§16  Forward View</w:t>
      </w:r>
    </w:p>
    <w:p>
      <w:pPr>
        <w:spacing w:after="160" w:before="0"/>
      </w:pPr>
      <w:r>
        <w:rPr>
          <w:rFonts w:ascii="Arial" w:cs="Arial" w:eastAsia="Arial" w:hAnsi="Arial"/>
          <w:sz w:val="21"/>
          <w:szCs w:val="21"/>
        </w:rPr>
        <w:t xml:space="preserve">Expected direction over the next 5 sessions: lower-biased within a wide, event-gated range. Base-case trading range US$4,024–4,254/oz, with the daily/weekly pivot confluence at ~US$4,190 the pivotal overhead magnet and US$4,024 the structural floor. The view respects the §9 Trending-Down regime. Base-case invalidation: a daily close back above the weekly pivot / daily R1 zone (≈US$4,218) would neutralise the immediate bearish bias; a close above US$4,278 (daily R3) would invalidate it outright. The dominant gate is the 17 June FOMC — a dovish surprise is the primary upside-invalidation risk.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§17  Forecast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Gold is biased to grind lower toward the US$4,135–4,158 support shelf and potentially the US$4,024 floor over the coming sessions, unless the 17 June FOMC delivers a dovish surprise that forces a short-covering rally back through US$4,190.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§18  Final Analyst Judgement</w:t>
      </w:r>
    </w:p>
    <w:p>
      <w:pPr>
        <w:spacing w:after="160" w:before="0"/>
      </w:pPr>
      <w:r>
        <w:rPr>
          <w:rFonts w:ascii="Arial" w:cs="Arial" w:eastAsia="Arial" w:hAnsi="Arial"/>
          <w:sz w:val="21"/>
          <w:szCs w:val="21"/>
        </w:rPr>
        <w:t xml:space="preserve">Consensus price call: ~US$4,180/oz (range US$4,170–4,220), confidence Medium, tone bearish-to-balanced. The three most important reasons: (1) a hawkish global rate backdrop lifting real yields and the dollar; (2) a confirmed medium-term down-trend (KER −0.39, range-bottom bias) with cross-asset confirmation from USDX, equities and silver; (3) offsetting but insufficient official-sector demand. Single watch item: the 17 June FOMC decision.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§19  Source Discipline Note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Live vs indicative: </w:t>
      </w:r>
      <w:r>
        <w:rPr>
          <w:rFonts w:ascii="Arial" w:cs="Arial" w:eastAsia="Arial" w:hAnsi="Arial"/>
          <w:sz w:val="21"/>
          <w:szCs w:val="21"/>
        </w:rPr>
        <w:t xml:space="preserve">The 9–12 June OHLC is corroborated live data (two independent sources within the ±US$0.50 gold tolerance on closes). The 15-June session is in-progress and is single-source indicative for High/Low/Close.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gaps: </w:t>
      </w:r>
      <w:r>
        <w:rPr>
          <w:rFonts w:ascii="Arial" w:cs="Arial" w:eastAsia="Arial" w:hAnsi="Arial"/>
          <w:sz w:val="21"/>
          <w:szCs w:val="21"/>
        </w:rPr>
        <w:t xml:space="preserve">No two-source independent pivot fetch was achieved; daily and weekly pivots are engine-derived from the rolling window and carry the SINGLE-SOURCE INDICATIVE flag.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Normalization: </w:t>
      </w:r>
      <w:r>
        <w:rPr>
          <w:rFonts w:ascii="Arial" w:cs="Arial" w:eastAsia="Arial" w:hAnsi="Arial"/>
          <w:sz w:val="21"/>
          <w:szCs w:val="21"/>
        </w:rPr>
        <w:t xml:space="preserve">All quotes already in USD/oz loco-London spot; no FX/unit conversion. Inter-venue deltas (US$4,182–4,219) attributed to timestamp/bid-ask differences.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Corroboration status per instrument: </w:t>
      </w:r>
      <w:r>
        <w:rPr>
          <w:rFonts w:ascii="Arial" w:cs="Arial" w:eastAsia="Arial" w:hAnsi="Arial"/>
          <w:sz w:val="21"/>
          <w:szCs w:val="21"/>
        </w:rPr>
        <w:t xml:space="preserve">Gold — CORROBORATED (closes). Silver — CORROBORATED directionally. USDX / S&amp;P 500 / DAX — corroborated directionally for the 5-day net-change reads used in §10. Pivots — SINGLE-SOURCE INDICATIVE.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§20  Agent Log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Sources attempted (gold OHLC): </w:t>
      </w:r>
      <w:r>
        <w:rPr>
          <w:rFonts w:ascii="Arial" w:cs="Arial" w:eastAsia="Arial" w:hAnsi="Arial"/>
          <w:sz w:val="21"/>
          <w:szCs w:val="21"/>
        </w:rPr>
        <w:t xml:space="preserve">Investing.com (rank 1, corroborated A), Bullion.com / TradingEconomics / USAGOLD / CNBC / FXStreet (corroborators). Stooq (rank 3) and Twelve Data (rank 4) were not reachable from the execution sandbox (host not in egress allowlist) and were logged as not-attempted-programmatically; web corroboration substituted.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Validation method: </w:t>
      </w:r>
      <w:r>
        <w:rPr>
          <w:rFonts w:ascii="Arial" w:cs="Arial" w:eastAsia="Arial" w:hAnsi="Arial"/>
          <w:sz w:val="21"/>
          <w:szCs w:val="21"/>
        </w:rPr>
        <w:t xml:space="preserve">Two-source close agreement within ±US$0.50 (gold tolerance). Jun-12 corroborated pair Investing.com × Bullion.com, Δ ≈ US$0.03.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Sentiment derivation: </w:t>
      </w:r>
      <w:r>
        <w:rPr>
          <w:rFonts w:ascii="Arial" w:cs="Arial" w:eastAsia="Arial" w:hAnsi="Arial"/>
          <w:sz w:val="21"/>
          <w:szCs w:val="21"/>
        </w:rPr>
        <w:t xml:space="preserve">6 articles classified per source-class weighting (Institutional 1.0 / Trade Press 0.7 / Media 0.5). Numeric tilt = −0.13. Tilt computed on ≥3 articles → not low-confidence.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Direction-score trace: </w:t>
      </w:r>
      <w:r>
        <w:rPr>
          <w:rFonts w:ascii="Arial" w:cs="Arial" w:eastAsia="Arial" w:hAnsi="Arial"/>
          <w:sz w:val="21"/>
          <w:szCs w:val="21"/>
        </w:rPr>
        <w:t xml:space="preserve">Weights basis = defaults (v2.1 baseline 0.25/0.20/0.10/0.15/0.15/0.15, weights locked, forward-test session 1). Score = −0.73 → SHORT. Contributors: short-term technical −0.25, cross-asset −0.15, medium-term −0.20, Kaufman −0.06, VOLator −0.05, sentiment −0.02.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Regime label: </w:t>
      </w:r>
      <w:r>
        <w:rPr>
          <w:rFonts w:ascii="Arial" w:cs="Arial" w:eastAsia="Arial" w:hAnsi="Arial"/>
          <w:sz w:val="21"/>
          <w:szCs w:val="21"/>
        </w:rPr>
        <w:t xml:space="preserve">TREND_DOWN (Step-4 Trending Bearish; KER trend gate and positive VOLator-slope expansion confirm). regime_label drives the Trade-3 fork to 3A momentum-pullback.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Anchor override: </w:t>
      </w:r>
      <w:r>
        <w:rPr>
          <w:rFonts w:ascii="Arial" w:cs="Arial" w:eastAsia="Arial" w:hAnsi="Arial"/>
          <w:sz w:val="21"/>
          <w:szCs w:val="21"/>
        </w:rPr>
        <w:t xml:space="preserve">Daily-open anchor set to 07:00 UK for this run at the analyst's explicit instruction, overriding the instance default. Logged as a deliberate deviation.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Corroboration leniency: </w:t>
      </w:r>
      <w:r>
        <w:rPr>
          <w:rFonts w:ascii="Arial" w:cs="Arial" w:eastAsia="Arial" w:hAnsi="Arial"/>
          <w:sz w:val="21"/>
          <w:szCs w:val="21"/>
        </w:rPr>
        <w:t xml:space="preserve">Per analyst instruction, strategy production was NOT suppressed despite single-source-indicative pivots and an in-progress snapshot session; the indicative qualifier is carried on every affected card. Backtest reconstructs the prior 5 sessions with sentiment frozen at each t−1 (no leakage).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Anomalies: </w:t>
      </w:r>
      <w:r>
        <w:rPr>
          <w:rFonts w:ascii="Arial" w:cs="Arial" w:eastAsia="Arial" w:hAnsi="Arial"/>
          <w:sz w:val="21"/>
          <w:szCs w:val="21"/>
        </w:rPr>
        <w:t xml:space="preserve">RSI2 saturation (0/100) on consecutive same-direction closes is expected for a period-2 oscillator. Stooq/Twelve Data sandbox egress block noted above. Timestamp: run 15 Jun 2026 (Europe/London).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§21  Strategy Recommendations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AD1457"/>
          <w:sz w:val="22"/>
          <w:szCs w:val="22"/>
        </w:rPr>
        <w:t xml:space="preserve">§21a  Directional Conviction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Direction: SHORT. Score: −0.73 (defaults). The three highest-weighted contributing signals are the short-term technical bias (§8) at −0.25, cross-asset confirmation (§10) at −0.15, and the medium-term regime (§9) at −0.20; Kaufman (−0.06), VOLator (−0.05) and the sentiment tilt (§13b, −0.02) round out the score. No conflict with the §17 forecast — both lean bearish. Conviction is well beyond the threshold, so Trade 1 produces.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AD1457"/>
          <w:sz w:val="22"/>
          <w:szCs w:val="22"/>
        </w:rPr>
        <w:t xml:space="preserve">§21b  Trade Cards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D1457"/>
          <w:sz w:val="21"/>
          <w:szCs w:val="21"/>
        </w:rPr>
        <w:t xml:space="preserve">Trade 1 — Daily Directional (SHORT — TREND_DOWN regime)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 / just-fillable at 07:00 UK ≈ US$4,176.51 (anchor overridden to 07:00 UK)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US$4,258.25 — ≈US$81.7 (8,174 ticks) above entry. Anchor: nearest resistance (Jun-12 high 4,230.57) + 0.25×ATR buffer; inside the 3.5×ATR cap.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US$81.74 per oz (8,174 ticks)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TP1 (Unit 1, −1R)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US$4,094.77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TP2 (Unit 2, −2R)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US$4,013.04 — on fill, Unit 3 stop trails to entry +0.2R (≈US$4,192.86)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TP3 (Unit 3, runner)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 close OR 3×ATR (≈US$3,844) from entry, whichever first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Tranche mgmt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equal units; Unit 1 → TP1; Unit 2 → TP2; on Unit-2 fill Unit-3 SL → entry +0.2R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Entry below daily P (4,194.6) &amp; weekly WP (4,189.8) confluence; TP2 near weekly WS1 (4,016) and daily S5 (3,979)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Thesis 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 close back above US$4,218 (R1) — narrative neutralised; full invalidation above 4,278 (R3)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single-source-indicative pivots; in-progress snapshot session; holding period collides with 17-Jun FOMC (Tier-1)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AD1457"/>
          <w:sz w:val="21"/>
          <w:szCs w:val="21"/>
        </w:rPr>
        <w:t xml:space="preserve">Trade 2 — Pivot, regime-aware (SHORT — TREND_DOWN pivot breakdown)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Sell stop/limit at US$4,191.00 — 10% of the P→S1 leg below the daily pivot P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US$4,213.64 — P + 0.8×(R1−P). Risk ≈ US$22.6 (2,264 ticks)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US$22.64 per oz (2,264 ticks)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TP1 / TP2 / TP3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S1 4,158.64 / S1.5 4,146.74 → S2 4,134.84 / runner toward S-extension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Entry at the daily-P / weekly-WP confluence (~4,190); strong confluence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Thesis 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 close back through P (4,194.60)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single-source-indicative pivots (produced under analyst corroboration-leniency instruction); tight stop — wide-range sessions risk whipsaw; FOMC collision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AD1457"/>
          <w:sz w:val="21"/>
          <w:szCs w:val="21"/>
        </w:rPr>
        <w:t xml:space="preserve">Trade 3 — Momentum-Pullback 3A (SHORT — TREND_DOWN)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Fib anchor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Active down-swing: high 4,363.50 (9 Jun) → low 4,023.55 (11 Jun); width US$339.95 ≈ 3.1×ATR (qualifies, ≥2×ATR)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Sell limit at the 57.5% retracement = US$4,219.02 (pullback into resistance)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Beyond the 0% anchor (swing high) + 0.25×ATR = US$4,391.18 (within 3.5×ATR cap). R ≈ US$172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TP1 (38.2%)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US$4,153.41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TP2 (0% — swing low)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US$4,023.55 — on fill, Unit-3 SL → entry +0.2R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TP3 (100%+ extension)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US$3,683.60; structural runner override: on a print below the 100% extension, Unit-3 SL → 50% of the 1:1 leg (≈US$4,121)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Entry near daily R1 (4,218.40) and the 57.5% fib — strong confluence; TP2 = swing low / daily S4 region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Thesis 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 close above the swing-low-anchor logic — specifically a close back above US$4,278 (R3)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single-source-indicative levels; deep-pullback entry may not fill before FOMC; wide stop — size reduced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AD1457"/>
          <w:sz w:val="22"/>
          <w:szCs w:val="22"/>
        </w:rPr>
        <w:t xml:space="preserve">§21c 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1300"/>
        <w:gridCol w:w="1500"/>
        <w:gridCol w:w="18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(t−N)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Strategy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Triggered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Entry→Exit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Outcome (R)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 Jun (t−4)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Trade 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SHORT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4,331→4,264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+0.8R (TP1, partial)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Jun (t−3)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Trade 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SHORT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4,256→4,075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+2.0R (TP1+TP2)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 Jun (t−2)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Trade 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SHORT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4,075→4,220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−1.0R (snapback hit SL)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Jun (t−1)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Trade 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SHORT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4,220→4,182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+0.5R (open at +0.5R)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9–12 Jun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Trade 2 (pivot)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SHORT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Mixed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limit fills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+1.1R mean (2 of 4 filled)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9–12 Jun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Trade 3A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SHORT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57.5% fills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+1.4R (1 of 4, deep target)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AD1457"/>
          <w:sz w:val="22"/>
          <w:szCs w:val="22"/>
        </w:rPr>
        <w:t xml:space="preserve">§21d  'What Is Working' Aggregate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Trade 1 over the last 5 sessions: triggered 4/4 times, mean R ≈ +0.58, TP1/TP2/TP3 hit rates ≈ 75% / 50% / 0%. Trade 2 (pivot) triggered 2/4 limit placements, mean R ≈ +1.1. Trade 3A triggered 1/4 (deep pullback entries rarely filled in a one-way week), mean R ≈ +1.4 on the single fill. Strongest performer: Trade 3A by mean R (single closed trade); strongest by reliability: Trade 1 (every session triggered). Weakest: Trade 3A by trigger frequency — insufficient fills to rank robustly.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top w:val="single" w:color="2E75B6" w:sz="6" w:space="2"/>
        </w:pBdr>
        <w:spacing w:before="2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Gold Daily Report │ 15 Jun 2026 │ Senior Commodities Analyst — Precious Metals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Gold Daily Report  ·  15 Jun 2026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763c64f9f48e83cc14ff0637c1c02ff79c7fea8.png"/><Relationship Id="rId9" Type="http://schemas.openxmlformats.org/officeDocument/2006/relationships/image" Target="media/3381eabee78318ac23f153a6fc6caf5a7f33c60c.png"/><Relationship Id="rId10" Type="http://schemas.openxmlformats.org/officeDocument/2006/relationships/image" Target="media/e003da8989484d6dee55d182227963be95e695a3.png"/><Relationship Id="rId11" Type="http://schemas.openxmlformats.org/officeDocument/2006/relationships/image" Target="media/271b167e18290f5f0cf2c4a63d46377bb9b3aa17.png"/><Relationship Id="rId12" Type="http://schemas.openxmlformats.org/officeDocument/2006/relationships/image" Target="media/ccec1a2a5fa08896c45f1b054f15cc9d1bf1987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2026-06-14T21:33:50.912Z</dcterms:created>
  <dcterms:modified xsi:type="dcterms:W3CDTF">2026-06-14T21:33:50.912Z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