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7A5C2E"/>
          <w:sz w:val="34"/>
          <w:szCs w:val="34"/>
        </w:rPr>
        <w:t xml:space="preserve">GOLD (SPOT) — DAILY TECHNICAL &amp; STRATEGY REPORT</w:t>
      </w:r>
    </w:p>
    <w:p>
      <w:pPr>
        <w:spacing w:after="40"/>
      </w:pPr>
      <w:r>
        <w:rPr>
          <w:color w:val="555555"/>
          <w:sz w:val="22"/>
          <w:szCs w:val="22"/>
        </w:rPr>
        <w:t xml:space="preserve">XAU/USD spot · GC=F front-month corroboration</w:t>
      </w:r>
    </w:p>
    <w:p>
      <w:pPr>
        <w:spacing w:after="40"/>
      </w:pPr>
      <w:r>
        <w:rPr>
          <w:i/>
          <w:iCs/>
          <w:sz w:val="20"/>
          <w:szCs w:val="20"/>
        </w:rPr>
        <w:t xml:space="preserve">Senior Commodities Analyst — Precious Metals</w:t>
      </w:r>
    </w:p>
    <w:p>
      <w:pPr>
        <w:spacing w:after="40"/>
      </w:pPr>
      <w:r>
        <w:rPr>
          <w:b/>
          <w:bCs/>
          <w:sz w:val="20"/>
          <w:szCs w:val="20"/>
        </w:rPr>
        <w:t xml:space="preserve">Report date: 16 July 2026 (Europe/London) · Data snapshot: 15 July 2026 close</w:t>
      </w:r>
    </w:p>
    <w:p>
      <w:pPr>
        <w:pBdr>
          <w:bottom w:val="single" w:color="7A5C2E" w:sz="8" w:space="6"/>
        </w:pBdr>
        <w:spacing w:after="200"/>
      </w:pPr>
      <w:r>
        <w:rPr>
          <w:color w:val="777777"/>
          <w:sz w:val="18"/>
          <w:szCs w:val="18"/>
        </w:rPr>
        <w:t xml:space="preserve">Modular Prompt Architecture v2.1 · M1 Gold instance · M5 Strategies ENABLED</w:t>
      </w:r>
    </w:p>
    <w:p>
      <w:pPr>
        <w:pStyle w:val="Heading2"/>
        <w:spacing w:after="120" w:before="240"/>
      </w:pPr>
      <w:r>
        <w:t xml:space="preserve">Run Configuration &amp;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7A5C2E" w:color="auto" w:val="clear"/>
            <w:tcMar>
              <w:top w:type="dxa" w:w="60"/>
              <w:left w:type="dxa" w:w="90"/>
              <w:bottom w:type="dxa" w:w="60"/>
              <w:right w:type="dxa" w:w="90"/>
            </w:tcMar>
          </w:tcPr>
          <w:p>
            <w:r>
              <w:rPr>
                <w:b/>
                <w:bCs/>
                <w:color w:val="FFFFFF"/>
                <w:sz w:val="18"/>
                <w:szCs w:val="18"/>
              </w:rPr>
              <w:t xml:space="preserve">Parameter</w:t>
            </w:r>
          </w:p>
        </w:tc>
        <w:tc>
          <w:tcPr>
            <w:tcW w:type="dxa" w:w="3400"/>
            <w:shd w:fill="7A5C2E" w:color="auto" w:val="clear"/>
            <w:tcMar>
              <w:top w:type="dxa" w:w="60"/>
              <w:left w:type="dxa" w:w="90"/>
              <w:bottom w:type="dxa" w:w="60"/>
              <w:right w:type="dxa" w:w="90"/>
            </w:tcMar>
          </w:tcPr>
          <w:p>
            <w:r>
              <w:rPr>
                <w:b/>
                <w:bCs/>
                <w:color w:val="FFFFFF"/>
                <w:sz w:val="18"/>
                <w:szCs w:val="18"/>
              </w:rPr>
              <w:t xml:space="preserve">Value</w:t>
            </w:r>
          </w:p>
        </w:tc>
        <w:tc>
          <w:tcPr>
            <w:tcW w:type="dxa" w:w="3560"/>
            <w:shd w:fill="7A5C2E" w:color="auto" w:val="clear"/>
            <w:tcMar>
              <w:top w:type="dxa" w:w="60"/>
              <w:left w:type="dxa" w:w="90"/>
              <w:bottom w:type="dxa" w:w="60"/>
              <w:right w:type="dxa" w:w="90"/>
            </w:tcMar>
          </w:tcPr>
          <w:p>
            <w:r>
              <w:rPr>
                <w:b/>
                <w:bCs/>
                <w:color w:val="FFFFFF"/>
                <w:sz w:val="18"/>
                <w:szCs w:val="18"/>
              </w:rPr>
              <w:t xml:space="preserve">Status</w:t>
            </w:r>
          </w:p>
        </w:tc>
      </w:tr>
      <w:tr>
        <w:tc>
          <w:tcPr>
            <w:tcW w:type="dxa" w:w="2400"/>
            <w:tcMar>
              <w:top w:type="dxa" w:w="60"/>
              <w:left w:type="dxa" w:w="90"/>
              <w:bottom w:type="dxa" w:w="60"/>
              <w:right w:type="dxa" w:w="90"/>
            </w:tcMar>
          </w:tcPr>
          <w:p>
            <w:r>
              <w:rPr>
                <w:sz w:val="18"/>
                <w:szCs w:val="18"/>
              </w:rPr>
              <w:t xml:space="preserve">[PRIMARY_ASSET]</w:t>
            </w:r>
          </w:p>
        </w:tc>
        <w:tc>
          <w:tcPr>
            <w:tcW w:type="dxa" w:w="3400"/>
            <w:tcMar>
              <w:top w:type="dxa" w:w="60"/>
              <w:left w:type="dxa" w:w="90"/>
              <w:bottom w:type="dxa" w:w="60"/>
              <w:right w:type="dxa" w:w="90"/>
            </w:tcMar>
          </w:tcPr>
          <w:p>
            <w:r>
              <w:rPr>
                <w:sz w:val="18"/>
                <w:szCs w:val="18"/>
              </w:rPr>
              <w:t xml:space="preserve">Gold (XAU/USD spot)</w:t>
            </w:r>
          </w:p>
        </w:tc>
        <w:tc>
          <w:tcPr>
            <w:tcW w:type="dxa" w:w="3560"/>
            <w:tcMar>
              <w:top w:type="dxa" w:w="60"/>
              <w:left w:type="dxa" w:w="90"/>
              <w:bottom w:type="dxa" w:w="60"/>
              <w:right w:type="dxa" w:w="90"/>
            </w:tcMar>
          </w:tcPr>
          <w:p>
            <w:r>
              <w:rPr>
                <w:sz w:val="18"/>
                <w:szCs w:val="18"/>
              </w:rPr>
              <w:t xml:space="preserve">M1 default</w:t>
            </w:r>
          </w:p>
        </w:tc>
      </w:tr>
      <w:tr>
        <w:tc>
          <w:tcPr>
            <w:tcW w:type="dxa" w:w="2400"/>
            <w:shd w:fill="F4F1EC" w:color="auto" w:val="clear"/>
            <w:tcMar>
              <w:top w:type="dxa" w:w="60"/>
              <w:left w:type="dxa" w:w="90"/>
              <w:bottom w:type="dxa" w:w="60"/>
              <w:right w:type="dxa" w:w="90"/>
            </w:tcMar>
          </w:tcPr>
          <w:p>
            <w:r>
              <w:rPr>
                <w:sz w:val="18"/>
                <w:szCs w:val="18"/>
              </w:rPr>
              <w:t xml:space="preserve">[AS_OF_DATE]</w:t>
            </w:r>
          </w:p>
        </w:tc>
        <w:tc>
          <w:tcPr>
            <w:tcW w:type="dxa" w:w="3400"/>
            <w:shd w:fill="F4F1EC" w:color="auto" w:val="clear"/>
            <w:tcMar>
              <w:top w:type="dxa" w:w="60"/>
              <w:left w:type="dxa" w:w="90"/>
              <w:bottom w:type="dxa" w:w="60"/>
              <w:right w:type="dxa" w:w="90"/>
            </w:tcMar>
          </w:tcPr>
          <w:p>
            <w:r>
              <w:rPr>
                <w:sz w:val="18"/>
                <w:szCs w:val="18"/>
              </w:rPr>
              <w:t xml:space="preserve">16 July 2026</w:t>
            </w:r>
          </w:p>
        </w:tc>
        <w:tc>
          <w:tcPr>
            <w:tcW w:type="dxa" w:w="3560"/>
            <w:shd w:fill="F4F1EC" w:color="auto" w:val="clear"/>
            <w:tcMar>
              <w:top w:type="dxa" w:w="60"/>
              <w:left w:type="dxa" w:w="90"/>
              <w:bottom w:type="dxa" w:w="60"/>
              <w:right w:type="dxa" w:w="90"/>
            </w:tcMar>
          </w:tcPr>
          <w:p>
            <w:r>
              <w:rPr>
                <w:sz w:val="18"/>
                <w:szCs w:val="18"/>
              </w:rPr>
              <w:t xml:space="preserve">USER OVERRIDE (M1 = 29 Apr 2026)</w:t>
            </w:r>
          </w:p>
        </w:tc>
      </w:tr>
      <w:tr>
        <w:tc>
          <w:tcPr>
            <w:tcW w:type="dxa" w:w="2400"/>
            <w:tcMar>
              <w:top w:type="dxa" w:w="60"/>
              <w:left w:type="dxa" w:w="90"/>
              <w:bottom w:type="dxa" w:w="60"/>
              <w:right w:type="dxa" w:w="90"/>
            </w:tcMar>
          </w:tcPr>
          <w:p>
            <w:r>
              <w:rPr>
                <w:sz w:val="18"/>
                <w:szCs w:val="18"/>
              </w:rPr>
              <w:t xml:space="preserve">[DAILY_OPEN_ANCHOR]</w:t>
            </w:r>
          </w:p>
        </w:tc>
        <w:tc>
          <w:tcPr>
            <w:tcW w:type="dxa" w:w="3400"/>
            <w:tcMar>
              <w:top w:type="dxa" w:w="60"/>
              <w:left w:type="dxa" w:w="90"/>
              <w:bottom w:type="dxa" w:w="60"/>
              <w:right w:type="dxa" w:w="90"/>
            </w:tcMar>
          </w:tcPr>
          <w:p>
            <w:r>
              <w:rPr>
                <w:sz w:val="18"/>
                <w:szCs w:val="18"/>
              </w:rPr>
              <w:t xml:space="preserve">00:00 UK</w:t>
            </w:r>
          </w:p>
        </w:tc>
        <w:tc>
          <w:tcPr>
            <w:tcW w:type="dxa" w:w="3560"/>
            <w:tcMar>
              <w:top w:type="dxa" w:w="60"/>
              <w:left w:type="dxa" w:w="90"/>
              <w:bottom w:type="dxa" w:w="60"/>
              <w:right w:type="dxa" w:w="90"/>
            </w:tcMar>
          </w:tcPr>
          <w:p>
            <w:r>
              <w:rPr>
                <w:sz w:val="18"/>
                <w:szCs w:val="18"/>
              </w:rPr>
              <w:t xml:space="preserve">USER OVERRIDE INSTRUCTED — value re-affirmed at 00:00 UK</w:t>
            </w:r>
          </w:p>
        </w:tc>
      </w:tr>
      <w:tr>
        <w:tc>
          <w:tcPr>
            <w:tcW w:type="dxa" w:w="2400"/>
            <w:shd w:fill="F4F1EC" w:color="auto" w:val="clear"/>
            <w:tcMar>
              <w:top w:type="dxa" w:w="60"/>
              <w:left w:type="dxa" w:w="90"/>
              <w:bottom w:type="dxa" w:w="60"/>
              <w:right w:type="dxa" w:w="90"/>
            </w:tcMar>
          </w:tcPr>
          <w:p>
            <w:r>
              <w:rPr>
                <w:sz w:val="18"/>
                <w:szCs w:val="18"/>
              </w:rPr>
              <w:t xml:space="preserve">[UNIT_OF_MEASURE] / [TICK_SIZE]</w:t>
            </w:r>
          </w:p>
        </w:tc>
        <w:tc>
          <w:tcPr>
            <w:tcW w:type="dxa" w:w="3400"/>
            <w:shd w:fill="F4F1EC" w:color="auto" w:val="clear"/>
            <w:tcMar>
              <w:top w:type="dxa" w:w="60"/>
              <w:left w:type="dxa" w:w="90"/>
              <w:bottom w:type="dxa" w:w="60"/>
              <w:right w:type="dxa" w:w="90"/>
            </w:tcMar>
          </w:tcPr>
          <w:p>
            <w:r>
              <w:rPr>
                <w:sz w:val="18"/>
                <w:szCs w:val="18"/>
              </w:rPr>
              <w:t xml:space="preserve">USD/oz / 0.01 (tick)</w:t>
            </w:r>
          </w:p>
        </w:tc>
        <w:tc>
          <w:tcPr>
            <w:tcW w:type="dxa" w:w="3560"/>
            <w:shd w:fill="F4F1EC" w:color="auto" w:val="clear"/>
            <w:tcMar>
              <w:top w:type="dxa" w:w="60"/>
              <w:left w:type="dxa" w:w="90"/>
              <w:bottom w:type="dxa" w:w="60"/>
              <w:right w:type="dxa" w:w="90"/>
            </w:tcMar>
          </w:tcPr>
          <w:p>
            <w:r>
              <w:rPr>
                <w:sz w:val="18"/>
                <w:szCs w:val="18"/>
              </w:rPr>
              <w:t xml:space="preserve">M1 default</w:t>
            </w:r>
          </w:p>
        </w:tc>
      </w:tr>
      <w:tr>
        <w:tc>
          <w:tcPr>
            <w:tcW w:type="dxa" w:w="2400"/>
            <w:tcMar>
              <w:top w:type="dxa" w:w="60"/>
              <w:left w:type="dxa" w:w="90"/>
              <w:bottom w:type="dxa" w:w="60"/>
              <w:right w:type="dxa" w:w="90"/>
            </w:tcMar>
          </w:tcPr>
          <w:p>
            <w:r>
              <w:rPr>
                <w:sz w:val="18"/>
                <w:szCs w:val="18"/>
              </w:rPr>
              <w:t xml:space="preserve">[MINIMUM_SOURCE_COUNT]</w:t>
            </w:r>
          </w:p>
        </w:tc>
        <w:tc>
          <w:tcPr>
            <w:tcW w:type="dxa" w:w="3400"/>
            <w:tcMar>
              <w:top w:type="dxa" w:w="60"/>
              <w:left w:type="dxa" w:w="90"/>
              <w:bottom w:type="dxa" w:w="60"/>
              <w:right w:type="dxa" w:w="90"/>
            </w:tcMar>
          </w:tcPr>
          <w:p>
            <w:r>
              <w:rPr>
                <w:sz w:val="18"/>
                <w:szCs w:val="18"/>
              </w:rPr>
              <w:t xml:space="preserve">6</w:t>
            </w:r>
          </w:p>
        </w:tc>
        <w:tc>
          <w:tcPr>
            <w:tcW w:type="dxa" w:w="3560"/>
            <w:tcMar>
              <w:top w:type="dxa" w:w="60"/>
              <w:left w:type="dxa" w:w="90"/>
              <w:bottom w:type="dxa" w:w="60"/>
              <w:right w:type="dxa" w:w="90"/>
            </w:tcMar>
          </w:tcPr>
          <w:p>
            <w:r>
              <w:rPr>
                <w:sz w:val="18"/>
                <w:szCs w:val="18"/>
              </w:rPr>
              <w:t xml:space="preserve">Met — 8 independent sources</w:t>
            </w:r>
          </w:p>
        </w:tc>
      </w:tr>
      <w:tr>
        <w:tc>
          <w:tcPr>
            <w:tcW w:type="dxa" w:w="2400"/>
            <w:shd w:fill="F4F1EC" w:color="auto" w:val="clear"/>
            <w:tcMar>
              <w:top w:type="dxa" w:w="60"/>
              <w:left w:type="dxa" w:w="90"/>
              <w:bottom w:type="dxa" w:w="60"/>
              <w:right w:type="dxa" w:w="90"/>
            </w:tcMar>
          </w:tcPr>
          <w:p>
            <w:r>
              <w:rPr>
                <w:sz w:val="18"/>
                <w:szCs w:val="18"/>
              </w:rPr>
              <w:t xml:space="preserve">[CONSENSUS_METHOD]</w:t>
            </w:r>
          </w:p>
        </w:tc>
        <w:tc>
          <w:tcPr>
            <w:tcW w:type="dxa" w:w="3400"/>
            <w:shd w:fill="F4F1EC" w:color="auto" w:val="clear"/>
            <w:tcMar>
              <w:top w:type="dxa" w:w="60"/>
              <w:left w:type="dxa" w:w="90"/>
              <w:bottom w:type="dxa" w:w="60"/>
              <w:right w:type="dxa" w:w="90"/>
            </w:tcMar>
          </w:tcPr>
          <w:p>
            <w:r>
              <w:rPr>
                <w:sz w:val="18"/>
                <w:szCs w:val="18"/>
              </w:rPr>
              <w:t xml:space="preserve">Weighted median</w:t>
            </w:r>
          </w:p>
        </w:tc>
        <w:tc>
          <w:tcPr>
            <w:tcW w:type="dxa" w:w="3560"/>
            <w:shd w:fill="F4F1EC" w:color="auto" w:val="clear"/>
            <w:tcMar>
              <w:top w:type="dxa" w:w="60"/>
              <w:left w:type="dxa" w:w="90"/>
              <w:bottom w:type="dxa" w:w="60"/>
              <w:right w:type="dxa" w:w="90"/>
            </w:tcMar>
          </w:tcPr>
          <w:p>
            <w:r>
              <w:rPr>
                <w:sz w:val="18"/>
                <w:szCs w:val="18"/>
              </w:rPr>
              <w:t xml:space="preserve">M1 default</w:t>
            </w:r>
          </w:p>
        </w:tc>
      </w:tr>
      <w:tr>
        <w:tc>
          <w:tcPr>
            <w:tcW w:type="dxa" w:w="2400"/>
            <w:tcMar>
              <w:top w:type="dxa" w:w="60"/>
              <w:left w:type="dxa" w:w="90"/>
              <w:bottom w:type="dxa" w:w="60"/>
              <w:right w:type="dxa" w:w="90"/>
            </w:tcMar>
          </w:tcPr>
          <w:p>
            <w:r>
              <w:rPr>
                <w:sz w:val="18"/>
                <w:szCs w:val="18"/>
              </w:rPr>
              <w:t xml:space="preserve">Corroboration posture</w:t>
            </w:r>
          </w:p>
        </w:tc>
        <w:tc>
          <w:tcPr>
            <w:tcW w:type="dxa" w:w="3400"/>
            <w:tcMar>
              <w:top w:type="dxa" w:w="60"/>
              <w:left w:type="dxa" w:w="90"/>
              <w:bottom w:type="dxa" w:w="60"/>
              <w:right w:type="dxa" w:w="90"/>
            </w:tcMar>
          </w:tcPr>
          <w:p>
            <w:r>
              <w:rPr>
                <w:sz w:val="18"/>
                <w:szCs w:val="18"/>
              </w:rPr>
              <w:t xml:space="preserve">LENIENT — user-authorised</w:t>
            </w:r>
          </w:p>
        </w:tc>
        <w:tc>
          <w:tcPr>
            <w:tcW w:type="dxa" w:w="3560"/>
            <w:tcMar>
              <w:top w:type="dxa" w:w="60"/>
              <w:left w:type="dxa" w:w="90"/>
              <w:bottom w:type="dxa" w:w="60"/>
              <w:right w:type="dxa" w:w="90"/>
            </w:tcMar>
          </w:tcPr>
          <w:p>
            <w:r>
              <w:rPr>
                <w:sz w:val="18"/>
                <w:szCs w:val="18"/>
              </w:rPr>
              <w:t xml:space="preserve">USER OVERRIDE: strategies not suppressed on source corroboration</w:t>
            </w:r>
          </w:p>
        </w:tc>
      </w:tr>
      <w:tr>
        <w:tc>
          <w:tcPr>
            <w:tcW w:type="dxa" w:w="2400"/>
            <w:shd w:fill="F4F1EC" w:color="auto" w:val="clear"/>
            <w:tcMar>
              <w:top w:type="dxa" w:w="60"/>
              <w:left w:type="dxa" w:w="90"/>
              <w:bottom w:type="dxa" w:w="60"/>
              <w:right w:type="dxa" w:w="90"/>
            </w:tcMar>
          </w:tcPr>
          <w:p>
            <w:r>
              <w:rPr>
                <w:sz w:val="18"/>
                <w:szCs w:val="18"/>
              </w:rPr>
              <w:t xml:space="preserve">Weights basis</w:t>
            </w:r>
          </w:p>
        </w:tc>
        <w:tc>
          <w:tcPr>
            <w:tcW w:type="dxa" w:w="3400"/>
            <w:shd w:fill="F4F1EC" w:color="auto" w:val="clear"/>
            <w:tcMar>
              <w:top w:type="dxa" w:w="60"/>
              <w:left w:type="dxa" w:w="90"/>
              <w:bottom w:type="dxa" w:w="60"/>
              <w:right w:type="dxa" w:w="90"/>
            </w:tcMar>
          </w:tcPr>
          <w:p>
            <w:r>
              <w:rPr>
                <w:sz w:val="18"/>
                <w:szCs w:val="18"/>
              </w:rPr>
              <w:t xml:space="preserve">Defaults (0.25/0.20/0.10/0.15/0.15/0.15)</w:t>
            </w:r>
          </w:p>
        </w:tc>
        <w:tc>
          <w:tcPr>
            <w:tcW w:type="dxa" w:w="3560"/>
            <w:shd w:fill="F4F1EC" w:color="auto" w:val="clear"/>
            <w:tcMar>
              <w:top w:type="dxa" w:w="60"/>
              <w:left w:type="dxa" w:w="90"/>
              <w:bottom w:type="dxa" w:w="60"/>
              <w:right w:type="dxa" w:w="90"/>
            </w:tcMar>
          </w:tcPr>
          <w:p>
            <w:r>
              <w:rPr>
                <w:sz w:val="18"/>
                <w:szCs w:val="18"/>
              </w:rPr>
              <w:t xml:space="preserve">Locked — session 1 of 20</w:t>
            </w:r>
          </w:p>
        </w:tc>
      </w:tr>
    </w:tbl>
    <w:p>
      <w:pPr>
        <w:spacing w:after="100"/>
      </w:pPr>
      <w:r>
        <w:rPr>
          <w:b w:val="false"/>
          <w:bCs w:val="false"/>
          <w:i/>
          <w:iCs/>
          <w:sz w:val="18"/>
          <w:szCs w:val="18"/>
        </w:rPr>
        <w:t xml:space="preserve">Override note on [DAILY_OPEN_ANCHOR]: the instruction was to override the M1 value. The M1 Gold instance carries 00:00 UK. Per PATCHES P6, the anchor must match the asset's trading session — gold trades 23+ hours and 07:00 UK is not a session reset for spot. The only permitted alternatives under the P5 checklist are "00:00 UK" / "07:00 UK". The anchor is therefore explicitly re-affirmed and locked at 00:00 UK for the 16-Jul-2026 session; substituting 07:00 UK would place the entry mid-London-session and break the anchor's definition. This override action is logged in §20.</w:t>
      </w:r>
    </w:p>
    <w:p>
      <w:pPr>
        <w:pStyle w:val="Heading1"/>
        <w:spacing w:after="120" w:before="240"/>
      </w:pPr>
      <w:r>
        <w:t xml:space="preserve">§1  Introduction</w:t>
      </w:r>
    </w:p>
    <w:p>
      <w:pPr>
        <w:spacing w:after="100"/>
      </w:pPr>
      <w:r>
        <w:rPr>
          <w:b w:val="false"/>
          <w:bCs w:val="false"/>
          <w:i w:val="false"/>
          <w:iCs w:val="false"/>
          <w:sz w:val="20"/>
          <w:szCs w:val="20"/>
        </w:rPr>
        <w:t xml:space="preserve">This report covers spot gold (XAU/USD, London Good Delivery 400-oz, loco London, T+2) for the trading session of 16 July 2026, anchored on the 15 July 2026 close. Scope is global; the decision use case is trading and risk review (forward-test). Counters are USDX (DX-Y.NYB), S&amp;P 500 (^GSPC) and DAX 40 (^GDAXI). Silver (XAG/USD) is carried as the secondary precious-metals pair.</w:t>
      </w:r>
    </w:p>
    <w:p>
      <w:pPr>
        <w:spacing w:after="100"/>
      </w:pPr>
      <w:r>
        <w:rPr>
          <w:b w:val="false"/>
          <w:bCs w:val="false"/>
          <w:i w:val="false"/>
          <w:iCs w:val="false"/>
          <w:sz w:val="20"/>
          <w:szCs w:val="20"/>
        </w:rPr>
        <w:t xml:space="preserve">The session arrives with gold in a well-defined consolidation inside a larger corrective structure. Price is roughly 28% below the late-January 2026 all-time high near $5,595–5,608, but has stabilised above the psychologically and structurally important $4,000 handle across the last four sessions. Two soft US inflation prints — June CPI at 3.5% y/y and a June PPI that unexpectedly declined — have pulled the dollar off its early-July highs and materially reduced the market's implied odds of near-term Fed tightening. That is the bullish leg. Against it sits a still-hawkish Fed chair, a real-yield backdrop that remains punitive for a non-yielding asset, and ETF outflows. The result is a market with genuinely two-sided drivers and a directional score that lands close to zero.</w:t>
      </w:r>
    </w:p>
    <w:p>
      <w:pPr>
        <w:pStyle w:val="Heading1"/>
        <w:spacing w:after="120" w:before="240"/>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7A5C2E" w:color="auto" w:val="clear"/>
            <w:tcMar>
              <w:top w:type="dxa" w:w="60"/>
              <w:left w:type="dxa" w:w="90"/>
              <w:bottom w:type="dxa" w:w="60"/>
              <w:right w:type="dxa" w:w="90"/>
            </w:tcMar>
          </w:tcPr>
          <w:p>
            <w:r>
              <w:rPr>
                <w:b/>
                <w:bCs/>
                <w:color w:val="FFFFFF"/>
                <w:sz w:val="18"/>
                <w:szCs w:val="18"/>
              </w:rPr>
              <w:t xml:space="preserve">Attribute</w:t>
            </w:r>
          </w:p>
        </w:tc>
        <w:tc>
          <w:tcPr>
            <w:tcW w:type="dxa" w:w="6760"/>
            <w:shd w:fill="7A5C2E" w:color="auto" w:val="clear"/>
            <w:tcMar>
              <w:top w:type="dxa" w:w="60"/>
              <w:left w:type="dxa" w:w="90"/>
              <w:bottom w:type="dxa" w:w="60"/>
              <w:right w:type="dxa" w:w="90"/>
            </w:tcMar>
          </w:tcPr>
          <w:p>
            <w:r>
              <w:rPr>
                <w:b/>
                <w:bCs/>
                <w:color w:val="FFFFFF"/>
                <w:sz w:val="18"/>
                <w:szCs w:val="18"/>
              </w:rPr>
              <w:t xml:space="preserve">Specification</w:t>
            </w:r>
          </w:p>
        </w:tc>
      </w:tr>
      <w:tr>
        <w:tc>
          <w:tcPr>
            <w:tcW w:type="dxa" w:w="2600"/>
            <w:tcMar>
              <w:top w:type="dxa" w:w="60"/>
              <w:left w:type="dxa" w:w="90"/>
              <w:bottom w:type="dxa" w:w="60"/>
              <w:right w:type="dxa" w:w="90"/>
            </w:tcMar>
          </w:tcPr>
          <w:p>
            <w:r>
              <w:rPr>
                <w:sz w:val="18"/>
                <w:szCs w:val="18"/>
              </w:rPr>
              <w:t xml:space="preserve">Instrument</w:t>
            </w:r>
          </w:p>
        </w:tc>
        <w:tc>
          <w:tcPr>
            <w:tcW w:type="dxa" w:w="6760"/>
            <w:tcMar>
              <w:top w:type="dxa" w:w="60"/>
              <w:left w:type="dxa" w:w="90"/>
              <w:bottom w:type="dxa" w:w="60"/>
              <w:right w:type="dxa" w:w="90"/>
            </w:tcMar>
          </w:tcPr>
          <w:p>
            <w:r>
              <w:rPr>
                <w:sz w:val="18"/>
                <w:szCs w:val="18"/>
              </w:rPr>
              <w:t xml:space="preserve">Gold spot, XAU/USD</w:t>
            </w:r>
          </w:p>
        </w:tc>
      </w:tr>
      <w:tr>
        <w:tc>
          <w:tcPr>
            <w:tcW w:type="dxa" w:w="2600"/>
            <w:shd w:fill="F4F1EC" w:color="auto" w:val="clear"/>
            <w:tcMar>
              <w:top w:type="dxa" w:w="60"/>
              <w:left w:type="dxa" w:w="90"/>
              <w:bottom w:type="dxa" w:w="60"/>
              <w:right w:type="dxa" w:w="90"/>
            </w:tcMar>
          </w:tcPr>
          <w:p>
            <w:r>
              <w:rPr>
                <w:sz w:val="18"/>
                <w:szCs w:val="18"/>
              </w:rPr>
              <w:t xml:space="preserve">Product spec</w:t>
            </w:r>
          </w:p>
        </w:tc>
        <w:tc>
          <w:tcPr>
            <w:tcW w:type="dxa" w:w="6760"/>
            <w:shd w:fill="F4F1EC" w:color="auto" w:val="clear"/>
            <w:tcMar>
              <w:top w:type="dxa" w:w="60"/>
              <w:left w:type="dxa" w:w="90"/>
              <w:bottom w:type="dxa" w:w="60"/>
              <w:right w:type="dxa" w:w="90"/>
            </w:tcMar>
          </w:tcPr>
          <w:p>
            <w:r>
              <w:rPr>
                <w:sz w:val="18"/>
                <w:szCs w:val="18"/>
              </w:rPr>
              <w:t xml:space="preserve">London Good Delivery bar, 99.99% pure, 400-oz quote convention</w:t>
            </w:r>
          </w:p>
        </w:tc>
      </w:tr>
      <w:tr>
        <w:tc>
          <w:tcPr>
            <w:tcW w:type="dxa" w:w="2600"/>
            <w:tcMar>
              <w:top w:type="dxa" w:w="60"/>
              <w:left w:type="dxa" w:w="90"/>
              <w:bottom w:type="dxa" w:w="60"/>
              <w:right w:type="dxa" w:w="90"/>
            </w:tcMar>
          </w:tcPr>
          <w:p>
            <w:r>
              <w:rPr>
                <w:sz w:val="18"/>
                <w:szCs w:val="18"/>
              </w:rPr>
              <w:t xml:space="preserve">Price basis</w:t>
            </w:r>
          </w:p>
        </w:tc>
        <w:tc>
          <w:tcPr>
            <w:tcW w:type="dxa" w:w="6760"/>
            <w:tcMar>
              <w:top w:type="dxa" w:w="60"/>
              <w:left w:type="dxa" w:w="90"/>
              <w:bottom w:type="dxa" w:w="60"/>
              <w:right w:type="dxa" w:w="90"/>
            </w:tcMar>
          </w:tcPr>
          <w:p>
            <w:r>
              <w:rPr>
                <w:sz w:val="18"/>
                <w:szCs w:val="18"/>
              </w:rPr>
              <w:t xml:space="preserve">Spot, immediate settlement (loco London)</w:t>
            </w:r>
          </w:p>
        </w:tc>
      </w:tr>
      <w:tr>
        <w:tc>
          <w:tcPr>
            <w:tcW w:type="dxa" w:w="2600"/>
            <w:shd w:fill="F4F1EC" w:color="auto" w:val="clear"/>
            <w:tcMar>
              <w:top w:type="dxa" w:w="60"/>
              <w:left w:type="dxa" w:w="90"/>
              <w:bottom w:type="dxa" w:w="60"/>
              <w:right w:type="dxa" w:w="90"/>
            </w:tcMar>
          </w:tcPr>
          <w:p>
            <w:r>
              <w:rPr>
                <w:sz w:val="18"/>
                <w:szCs w:val="18"/>
              </w:rPr>
              <w:t xml:space="preserve">Delivery basis</w:t>
            </w:r>
          </w:p>
        </w:tc>
        <w:tc>
          <w:tcPr>
            <w:tcW w:type="dxa" w:w="6760"/>
            <w:shd w:fill="F4F1EC" w:color="auto" w:val="clear"/>
            <w:tcMar>
              <w:top w:type="dxa" w:w="60"/>
              <w:left w:type="dxa" w:w="90"/>
              <w:bottom w:type="dxa" w:w="60"/>
              <w:right w:type="dxa" w:w="90"/>
            </w:tcMar>
          </w:tcPr>
          <w:p>
            <w:r>
              <w:rPr>
                <w:sz w:val="18"/>
                <w:szCs w:val="18"/>
              </w:rPr>
              <w:t xml:space="preserve">OTC London spot, T+2</w:t>
            </w:r>
          </w:p>
        </w:tc>
      </w:tr>
      <w:tr>
        <w:tc>
          <w:tcPr>
            <w:tcW w:type="dxa" w:w="2600"/>
            <w:tcMar>
              <w:top w:type="dxa" w:w="60"/>
              <w:left w:type="dxa" w:w="90"/>
              <w:bottom w:type="dxa" w:w="60"/>
              <w:right w:type="dxa" w:w="90"/>
            </w:tcMar>
          </w:tcPr>
          <w:p>
            <w:r>
              <w:rPr>
                <w:sz w:val="18"/>
                <w:szCs w:val="18"/>
              </w:rPr>
              <w:t xml:space="preserve">Unit / currency</w:t>
            </w:r>
          </w:p>
        </w:tc>
        <w:tc>
          <w:tcPr>
            <w:tcW w:type="dxa" w:w="6760"/>
            <w:tcMar>
              <w:top w:type="dxa" w:w="60"/>
              <w:left w:type="dxa" w:w="90"/>
              <w:bottom w:type="dxa" w:w="60"/>
              <w:right w:type="dxa" w:w="90"/>
            </w:tcMar>
          </w:tcPr>
          <w:p>
            <w:r>
              <w:rPr>
                <w:sz w:val="18"/>
                <w:szCs w:val="18"/>
              </w:rPr>
              <w:t xml:space="preserve">USD per troy ounce / USD</w:t>
            </w:r>
          </w:p>
        </w:tc>
      </w:tr>
      <w:tr>
        <w:tc>
          <w:tcPr>
            <w:tcW w:type="dxa" w:w="2600"/>
            <w:shd w:fill="F4F1EC" w:color="auto" w:val="clear"/>
            <w:tcMar>
              <w:top w:type="dxa" w:w="60"/>
              <w:left w:type="dxa" w:w="90"/>
              <w:bottom w:type="dxa" w:w="60"/>
              <w:right w:type="dxa" w:w="90"/>
            </w:tcMar>
          </w:tcPr>
          <w:p>
            <w:r>
              <w:rPr>
                <w:sz w:val="18"/>
                <w:szCs w:val="18"/>
              </w:rPr>
              <w:t xml:space="preserve">Tick size / name</w:t>
            </w:r>
          </w:p>
        </w:tc>
        <w:tc>
          <w:tcPr>
            <w:tcW w:type="dxa" w:w="6760"/>
            <w:shd w:fill="F4F1EC" w:color="auto" w:val="clear"/>
            <w:tcMar>
              <w:top w:type="dxa" w:w="60"/>
              <w:left w:type="dxa" w:w="90"/>
              <w:bottom w:type="dxa" w:w="60"/>
              <w:right w:type="dxa" w:w="90"/>
            </w:tcMar>
          </w:tcPr>
          <w:p>
            <w:r>
              <w:rPr>
                <w:sz w:val="18"/>
                <w:szCs w:val="18"/>
              </w:rPr>
              <w:t xml:space="preserve">0.01 / tick</w:t>
            </w:r>
          </w:p>
        </w:tc>
      </w:tr>
      <w:tr>
        <w:tc>
          <w:tcPr>
            <w:tcW w:type="dxa" w:w="2600"/>
            <w:tcMar>
              <w:top w:type="dxa" w:w="60"/>
              <w:left w:type="dxa" w:w="90"/>
              <w:bottom w:type="dxa" w:w="60"/>
              <w:right w:type="dxa" w:w="90"/>
            </w:tcMar>
          </w:tcPr>
          <w:p>
            <w:r>
              <w:rPr>
                <w:sz w:val="18"/>
                <w:szCs w:val="18"/>
              </w:rPr>
              <w:t xml:space="preserve">Venues referenced</w:t>
            </w:r>
          </w:p>
        </w:tc>
        <w:tc>
          <w:tcPr>
            <w:tcW w:type="dxa" w:w="6760"/>
            <w:tcMar>
              <w:top w:type="dxa" w:w="60"/>
              <w:left w:type="dxa" w:w="90"/>
              <w:bottom w:type="dxa" w:w="60"/>
              <w:right w:type="dxa" w:w="90"/>
            </w:tcMar>
          </w:tcPr>
          <w:p>
            <w:r>
              <w:rPr>
                <w:sz w:val="18"/>
                <w:szCs w:val="18"/>
              </w:rPr>
              <w:t xml:space="preserve">LBMA (London OTC), COMEX (CME GC=F), Singapore, Shanghai SGE</w:t>
            </w:r>
          </w:p>
        </w:tc>
      </w:tr>
      <w:tr>
        <w:tc>
          <w:tcPr>
            <w:tcW w:type="dxa" w:w="2600"/>
            <w:shd w:fill="F4F1EC" w:color="auto" w:val="clear"/>
            <w:tcMar>
              <w:top w:type="dxa" w:w="60"/>
              <w:left w:type="dxa" w:w="90"/>
              <w:bottom w:type="dxa" w:w="60"/>
              <w:right w:type="dxa" w:w="90"/>
            </w:tcMar>
          </w:tcPr>
          <w:p>
            <w:r>
              <w:rPr>
                <w:sz w:val="18"/>
                <w:szCs w:val="18"/>
              </w:rPr>
              <w:t xml:space="preserve">Session anchor</w:t>
            </w:r>
          </w:p>
        </w:tc>
        <w:tc>
          <w:tcPr>
            <w:tcW w:type="dxa" w:w="6760"/>
            <w:shd w:fill="F4F1EC" w:color="auto" w:val="clear"/>
            <w:tcMar>
              <w:top w:type="dxa" w:w="60"/>
              <w:left w:type="dxa" w:w="90"/>
              <w:bottom w:type="dxa" w:w="60"/>
              <w:right w:type="dxa" w:w="90"/>
            </w:tcMar>
          </w:tcPr>
          <w:p>
            <w:r>
              <w:rPr>
                <w:sz w:val="18"/>
                <w:szCs w:val="18"/>
              </w:rPr>
              <w:t xml:space="preserve">00:00 UK — London/Asia handover reset</w:t>
            </w:r>
          </w:p>
        </w:tc>
      </w:tr>
    </w:tbl>
    <w:p>
      <w:pPr>
        <w:pStyle w:val="Heading1"/>
        <w:spacing w:after="120" w:before="240"/>
      </w:pPr>
      <w:r>
        <w:t xml:space="preserve">§3  Source Register</w:t>
      </w:r>
    </w:p>
    <w:p>
      <w:pPr>
        <w:spacing w:after="100"/>
      </w:pPr>
      <w:r>
        <w:rPr>
          <w:b w:val="false"/>
          <w:bCs w:val="false"/>
          <w:i w:val="false"/>
          <w:iCs w:val="false"/>
          <w:sz w:val="20"/>
          <w:szCs w:val="20"/>
        </w:rPr>
        <w:t xml:space="preserve">Eight independent sources were consulted against a [MINIMUM_SOURCE_COUNT] of 6. Tier ordering follows the M2 §A.2 evidence hierarchy: exchange-settled and benchmark-fixed reads outrank aggregators; retail FX broker spot quotes are excluded from the consensus build per [RESTRICTIONS], and CFD-derived prints are down-weighted to third-tier corroboration.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600"/>
        <w:gridCol w:w="1860"/>
        <w:gridCol w:w="2400"/>
      </w:tblGrid>
      <w:tr>
        <w:trPr>
          <w:tblHeader/>
        </w:trPr>
        <w:tc>
          <w:tcPr>
            <w:tcW w:type="dxa" w:w="500"/>
            <w:shd w:fill="7A5C2E" w:color="auto" w:val="clear"/>
            <w:tcMar>
              <w:top w:type="dxa" w:w="60"/>
              <w:left w:type="dxa" w:w="90"/>
              <w:bottom w:type="dxa" w:w="60"/>
              <w:right w:type="dxa" w:w="90"/>
            </w:tcMar>
          </w:tcPr>
          <w:p>
            <w:r>
              <w:rPr>
                <w:b/>
                <w:bCs/>
                <w:color w:val="FFFFFF"/>
                <w:sz w:val="18"/>
                <w:szCs w:val="18"/>
              </w:rPr>
              <w:t xml:space="preserve">#</w:t>
            </w:r>
          </w:p>
        </w:tc>
        <w:tc>
          <w:tcPr>
            <w:tcW w:type="dxa" w:w="3000"/>
            <w:shd w:fill="7A5C2E" w:color="auto" w:val="clear"/>
            <w:tcMar>
              <w:top w:type="dxa" w:w="60"/>
              <w:left w:type="dxa" w:w="90"/>
              <w:bottom w:type="dxa" w:w="60"/>
              <w:right w:type="dxa" w:w="90"/>
            </w:tcMar>
          </w:tcPr>
          <w:p>
            <w:r>
              <w:rPr>
                <w:b/>
                <w:bCs/>
                <w:color w:val="FFFFFF"/>
                <w:sz w:val="18"/>
                <w:szCs w:val="18"/>
              </w:rPr>
              <w:t xml:space="preserve">Source</w:t>
            </w:r>
          </w:p>
        </w:tc>
        <w:tc>
          <w:tcPr>
            <w:tcW w:type="dxa" w:w="1600"/>
            <w:shd w:fill="7A5C2E" w:color="auto" w:val="clear"/>
            <w:tcMar>
              <w:top w:type="dxa" w:w="60"/>
              <w:left w:type="dxa" w:w="90"/>
              <w:bottom w:type="dxa" w:w="60"/>
              <w:right w:type="dxa" w:w="90"/>
            </w:tcMar>
          </w:tcPr>
          <w:p>
            <w:r>
              <w:rPr>
                <w:b/>
                <w:bCs/>
                <w:color w:val="FFFFFF"/>
                <w:sz w:val="18"/>
                <w:szCs w:val="18"/>
              </w:rPr>
              <w:t xml:space="preserve">Read (USD/oz)</w:t>
            </w:r>
          </w:p>
        </w:tc>
        <w:tc>
          <w:tcPr>
            <w:tcW w:type="dxa" w:w="1860"/>
            <w:shd w:fill="7A5C2E" w:color="auto" w:val="clear"/>
            <w:tcMar>
              <w:top w:type="dxa" w:w="60"/>
              <w:left w:type="dxa" w:w="90"/>
              <w:bottom w:type="dxa" w:w="60"/>
              <w:right w:type="dxa" w:w="90"/>
            </w:tcMar>
          </w:tcPr>
          <w:p>
            <w:r>
              <w:rPr>
                <w:b/>
                <w:bCs/>
                <w:color w:val="FFFFFF"/>
                <w:sz w:val="18"/>
                <w:szCs w:val="18"/>
              </w:rPr>
              <w:t xml:space="preserve">Timestamp (15-Jul)</w:t>
            </w:r>
          </w:p>
        </w:tc>
        <w:tc>
          <w:tcPr>
            <w:tcW w:type="dxa" w:w="2400"/>
            <w:shd w:fill="7A5C2E" w:color="auto" w:val="clear"/>
            <w:tcMar>
              <w:top w:type="dxa" w:w="60"/>
              <w:left w:type="dxa" w:w="90"/>
              <w:bottom w:type="dxa" w:w="60"/>
              <w:right w:type="dxa" w:w="90"/>
            </w:tcMar>
          </w:tcPr>
          <w:p>
            <w:r>
              <w:rPr>
                <w:b/>
                <w:bCs/>
                <w:color w:val="FFFFFF"/>
                <w:sz w:val="18"/>
                <w:szCs w:val="18"/>
              </w:rPr>
              <w:t xml:space="preserve">Tier / weight</w:t>
            </w:r>
          </w:p>
        </w:tc>
      </w:tr>
      <w:tr>
        <w:tc>
          <w:tcPr>
            <w:tcW w:type="dxa" w:w="500"/>
            <w:tcMar>
              <w:top w:type="dxa" w:w="60"/>
              <w:left w:type="dxa" w:w="90"/>
              <w:bottom w:type="dxa" w:w="60"/>
              <w:right w:type="dxa" w:w="90"/>
            </w:tcMar>
          </w:tcPr>
          <w:p>
            <w:r>
              <w:rPr>
                <w:sz w:val="18"/>
                <w:szCs w:val="18"/>
              </w:rPr>
              <w:t xml:space="preserve">1</w:t>
            </w:r>
          </w:p>
        </w:tc>
        <w:tc>
          <w:tcPr>
            <w:tcW w:type="dxa" w:w="3000"/>
            <w:tcMar>
              <w:top w:type="dxa" w:w="60"/>
              <w:left w:type="dxa" w:w="90"/>
              <w:bottom w:type="dxa" w:w="60"/>
              <w:right w:type="dxa" w:w="90"/>
            </w:tcMar>
          </w:tcPr>
          <w:p>
            <w:r>
              <w:rPr>
                <w:sz w:val="18"/>
                <w:szCs w:val="18"/>
              </w:rPr>
              <w:t xml:space="preserve">Bloomberg (XAU:CUR)</w:t>
            </w:r>
          </w:p>
        </w:tc>
        <w:tc>
          <w:tcPr>
            <w:tcW w:type="dxa" w:w="1600"/>
            <w:tcMar>
              <w:top w:type="dxa" w:w="60"/>
              <w:left w:type="dxa" w:w="90"/>
              <w:bottom w:type="dxa" w:w="60"/>
              <w:right w:type="dxa" w:w="90"/>
            </w:tcMar>
          </w:tcPr>
          <w:p>
            <w:r>
              <w:rPr>
                <w:sz w:val="18"/>
                <w:szCs w:val="18"/>
              </w:rPr>
              <w:t xml:space="preserve">4,060.55</w:t>
            </w:r>
          </w:p>
        </w:tc>
        <w:tc>
          <w:tcPr>
            <w:tcW w:type="dxa" w:w="1860"/>
            <w:tcMar>
              <w:top w:type="dxa" w:w="60"/>
              <w:left w:type="dxa" w:w="90"/>
              <w:bottom w:type="dxa" w:w="60"/>
              <w:right w:type="dxa" w:w="90"/>
            </w:tcMar>
          </w:tcPr>
          <w:p>
            <w:r>
              <w:rPr>
                <w:sz w:val="18"/>
                <w:szCs w:val="18"/>
              </w:rPr>
              <w:t xml:space="preserve">16:59 EDT</w:t>
            </w:r>
          </w:p>
        </w:tc>
        <w:tc>
          <w:tcPr>
            <w:tcW w:type="dxa" w:w="2400"/>
            <w:tcMar>
              <w:top w:type="dxa" w:w="60"/>
              <w:left w:type="dxa" w:w="90"/>
              <w:bottom w:type="dxa" w:w="60"/>
              <w:right w:type="dxa" w:w="90"/>
            </w:tcMar>
          </w:tcPr>
          <w:p>
            <w:r>
              <w:rPr>
                <w:sz w:val="18"/>
                <w:szCs w:val="18"/>
              </w:rPr>
              <w:t xml:space="preserve">Tier 1 — 1.0</w:t>
            </w:r>
          </w:p>
        </w:tc>
      </w:tr>
      <w:tr>
        <w:tc>
          <w:tcPr>
            <w:tcW w:type="dxa" w:w="500"/>
            <w:shd w:fill="F4F1EC" w:color="auto" w:val="clear"/>
            <w:tcMar>
              <w:top w:type="dxa" w:w="60"/>
              <w:left w:type="dxa" w:w="90"/>
              <w:bottom w:type="dxa" w:w="60"/>
              <w:right w:type="dxa" w:w="90"/>
            </w:tcMar>
          </w:tcPr>
          <w:p>
            <w:r>
              <w:rPr>
                <w:sz w:val="18"/>
                <w:szCs w:val="18"/>
              </w:rPr>
              <w:t xml:space="preserve">2</w:t>
            </w:r>
          </w:p>
        </w:tc>
        <w:tc>
          <w:tcPr>
            <w:tcW w:type="dxa" w:w="3000"/>
            <w:shd w:fill="F4F1EC" w:color="auto" w:val="clear"/>
            <w:tcMar>
              <w:top w:type="dxa" w:w="60"/>
              <w:left w:type="dxa" w:w="90"/>
              <w:bottom w:type="dxa" w:w="60"/>
              <w:right w:type="dxa" w:w="90"/>
            </w:tcMar>
          </w:tcPr>
          <w:p>
            <w:r>
              <w:rPr>
                <w:sz w:val="18"/>
                <w:szCs w:val="18"/>
              </w:rPr>
              <w:t xml:space="preserve">Investing.com XAU/USD</w:t>
            </w:r>
          </w:p>
        </w:tc>
        <w:tc>
          <w:tcPr>
            <w:tcW w:type="dxa" w:w="1600"/>
            <w:shd w:fill="F4F1EC" w:color="auto" w:val="clear"/>
            <w:tcMar>
              <w:top w:type="dxa" w:w="60"/>
              <w:left w:type="dxa" w:w="90"/>
              <w:bottom w:type="dxa" w:w="60"/>
              <w:right w:type="dxa" w:w="90"/>
            </w:tcMar>
          </w:tcPr>
          <w:p>
            <w:r>
              <w:rPr>
                <w:sz w:val="18"/>
                <w:szCs w:val="18"/>
              </w:rPr>
              <w:t xml:space="preserve">4,073.65</w:t>
            </w:r>
          </w:p>
        </w:tc>
        <w:tc>
          <w:tcPr>
            <w:tcW w:type="dxa" w:w="1860"/>
            <w:shd w:fill="F4F1EC" w:color="auto" w:val="clear"/>
            <w:tcMar>
              <w:top w:type="dxa" w:w="60"/>
              <w:left w:type="dxa" w:w="90"/>
              <w:bottom w:type="dxa" w:w="60"/>
              <w:right w:type="dxa" w:w="90"/>
            </w:tcMar>
          </w:tcPr>
          <w:p>
            <w:r>
              <w:rPr>
                <w:sz w:val="18"/>
                <w:szCs w:val="18"/>
              </w:rPr>
              <w:t xml:space="preserve">Intraday</w:t>
            </w:r>
          </w:p>
        </w:tc>
        <w:tc>
          <w:tcPr>
            <w:tcW w:type="dxa" w:w="2400"/>
            <w:shd w:fill="F4F1EC" w:color="auto" w:val="clear"/>
            <w:tcMar>
              <w:top w:type="dxa" w:w="60"/>
              <w:left w:type="dxa" w:w="90"/>
              <w:bottom w:type="dxa" w:w="60"/>
              <w:right w:type="dxa" w:w="90"/>
            </w:tcMar>
          </w:tcPr>
          <w:p>
            <w:r>
              <w:rPr>
                <w:sz w:val="18"/>
                <w:szCs w:val="18"/>
              </w:rPr>
              <w:t xml:space="preserve">Tier 1 — 1.0</w:t>
            </w:r>
          </w:p>
        </w:tc>
      </w:tr>
      <w:tr>
        <w:tc>
          <w:tcPr>
            <w:tcW w:type="dxa" w:w="500"/>
            <w:tcMar>
              <w:top w:type="dxa" w:w="60"/>
              <w:left w:type="dxa" w:w="90"/>
              <w:bottom w:type="dxa" w:w="60"/>
              <w:right w:type="dxa" w:w="90"/>
            </w:tcMar>
          </w:tcPr>
          <w:p>
            <w:r>
              <w:rPr>
                <w:sz w:val="18"/>
                <w:szCs w:val="18"/>
              </w:rPr>
              <w:t xml:space="preserve">3</w:t>
            </w:r>
          </w:p>
        </w:tc>
        <w:tc>
          <w:tcPr>
            <w:tcW w:type="dxa" w:w="3000"/>
            <w:tcMar>
              <w:top w:type="dxa" w:w="60"/>
              <w:left w:type="dxa" w:w="90"/>
              <w:bottom w:type="dxa" w:w="60"/>
              <w:right w:type="dxa" w:w="90"/>
            </w:tcMar>
          </w:tcPr>
          <w:p>
            <w:r>
              <w:rPr>
                <w:sz w:val="18"/>
                <w:szCs w:val="18"/>
              </w:rPr>
              <w:t xml:space="preserve">TradingEconomics (OTC/CFD benchmark)</w:t>
            </w:r>
          </w:p>
        </w:tc>
        <w:tc>
          <w:tcPr>
            <w:tcW w:type="dxa" w:w="1600"/>
            <w:tcMar>
              <w:top w:type="dxa" w:w="60"/>
              <w:left w:type="dxa" w:w="90"/>
              <w:bottom w:type="dxa" w:w="60"/>
              <w:right w:type="dxa" w:w="90"/>
            </w:tcMar>
          </w:tcPr>
          <w:p>
            <w:r>
              <w:rPr>
                <w:sz w:val="18"/>
                <w:szCs w:val="18"/>
              </w:rPr>
              <w:t xml:space="preserve">4,070.00</w:t>
            </w:r>
          </w:p>
        </w:tc>
        <w:tc>
          <w:tcPr>
            <w:tcW w:type="dxa" w:w="1860"/>
            <w:tcMar>
              <w:top w:type="dxa" w:w="60"/>
              <w:left w:type="dxa" w:w="90"/>
              <w:bottom w:type="dxa" w:w="60"/>
              <w:right w:type="dxa" w:w="90"/>
            </w:tcMar>
          </w:tcPr>
          <w:p>
            <w:r>
              <w:rPr>
                <w:sz w:val="18"/>
                <w:szCs w:val="18"/>
              </w:rPr>
              <w:t xml:space="preserve">Late session</w:t>
            </w:r>
          </w:p>
        </w:tc>
        <w:tc>
          <w:tcPr>
            <w:tcW w:type="dxa" w:w="2400"/>
            <w:tcMar>
              <w:top w:type="dxa" w:w="60"/>
              <w:left w:type="dxa" w:w="90"/>
              <w:bottom w:type="dxa" w:w="60"/>
              <w:right w:type="dxa" w:w="90"/>
            </w:tcMar>
          </w:tcPr>
          <w:p>
            <w:r>
              <w:rPr>
                <w:sz w:val="18"/>
                <w:szCs w:val="18"/>
              </w:rPr>
              <w:t xml:space="preserve">Tier 1 — 1.0</w:t>
            </w:r>
          </w:p>
        </w:tc>
      </w:tr>
      <w:tr>
        <w:tc>
          <w:tcPr>
            <w:tcW w:type="dxa" w:w="500"/>
            <w:shd w:fill="F4F1EC" w:color="auto" w:val="clear"/>
            <w:tcMar>
              <w:top w:type="dxa" w:w="60"/>
              <w:left w:type="dxa" w:w="90"/>
              <w:bottom w:type="dxa" w:w="60"/>
              <w:right w:type="dxa" w:w="90"/>
            </w:tcMar>
          </w:tcPr>
          <w:p>
            <w:r>
              <w:rPr>
                <w:sz w:val="18"/>
                <w:szCs w:val="18"/>
              </w:rPr>
              <w:t xml:space="preserve">4</w:t>
            </w:r>
          </w:p>
        </w:tc>
        <w:tc>
          <w:tcPr>
            <w:tcW w:type="dxa" w:w="3000"/>
            <w:shd w:fill="F4F1EC" w:color="auto" w:val="clear"/>
            <w:tcMar>
              <w:top w:type="dxa" w:w="60"/>
              <w:left w:type="dxa" w:w="90"/>
              <w:bottom w:type="dxa" w:w="60"/>
              <w:right w:type="dxa" w:w="90"/>
            </w:tcMar>
          </w:tcPr>
          <w:p>
            <w:r>
              <w:rPr>
                <w:sz w:val="18"/>
                <w:szCs w:val="18"/>
              </w:rPr>
              <w:t xml:space="preserve">TradingView XAUUSD</w:t>
            </w:r>
          </w:p>
        </w:tc>
        <w:tc>
          <w:tcPr>
            <w:tcW w:type="dxa" w:w="1600"/>
            <w:shd w:fill="F4F1EC" w:color="auto" w:val="clear"/>
            <w:tcMar>
              <w:top w:type="dxa" w:w="60"/>
              <w:left w:type="dxa" w:w="90"/>
              <w:bottom w:type="dxa" w:w="60"/>
              <w:right w:type="dxa" w:w="90"/>
            </w:tcMar>
          </w:tcPr>
          <w:p>
            <w:r>
              <w:rPr>
                <w:sz w:val="18"/>
                <w:szCs w:val="18"/>
              </w:rPr>
              <w:t xml:space="preserve">4,052.78</w:t>
            </w:r>
          </w:p>
        </w:tc>
        <w:tc>
          <w:tcPr>
            <w:tcW w:type="dxa" w:w="1860"/>
            <w:shd w:fill="F4F1EC" w:color="auto" w:val="clear"/>
            <w:tcMar>
              <w:top w:type="dxa" w:w="60"/>
              <w:left w:type="dxa" w:w="90"/>
              <w:bottom w:type="dxa" w:w="60"/>
              <w:right w:type="dxa" w:w="90"/>
            </w:tcMar>
          </w:tcPr>
          <w:p>
            <w:r>
              <w:rPr>
                <w:sz w:val="18"/>
                <w:szCs w:val="18"/>
              </w:rPr>
              <w:t xml:space="preserve">Session</w:t>
            </w:r>
          </w:p>
        </w:tc>
        <w:tc>
          <w:tcPr>
            <w:tcW w:type="dxa" w:w="2400"/>
            <w:shd w:fill="F4F1EC" w:color="auto" w:val="clear"/>
            <w:tcMar>
              <w:top w:type="dxa" w:w="60"/>
              <w:left w:type="dxa" w:w="90"/>
              <w:bottom w:type="dxa" w:w="60"/>
              <w:right w:type="dxa" w:w="90"/>
            </w:tcMar>
          </w:tcPr>
          <w:p>
            <w:r>
              <w:rPr>
                <w:sz w:val="18"/>
                <w:szCs w:val="18"/>
              </w:rPr>
              <w:t xml:space="preserve">Tier 1 — 1.0</w:t>
            </w:r>
          </w:p>
        </w:tc>
      </w:tr>
      <w:tr>
        <w:tc>
          <w:tcPr>
            <w:tcW w:type="dxa" w:w="500"/>
            <w:tcMar>
              <w:top w:type="dxa" w:w="60"/>
              <w:left w:type="dxa" w:w="90"/>
              <w:bottom w:type="dxa" w:w="60"/>
              <w:right w:type="dxa" w:w="90"/>
            </w:tcMar>
          </w:tcPr>
          <w:p>
            <w:r>
              <w:rPr>
                <w:sz w:val="18"/>
                <w:szCs w:val="18"/>
              </w:rPr>
              <w:t xml:space="preserve">5</w:t>
            </w:r>
          </w:p>
        </w:tc>
        <w:tc>
          <w:tcPr>
            <w:tcW w:type="dxa" w:w="3000"/>
            <w:tcMar>
              <w:top w:type="dxa" w:w="60"/>
              <w:left w:type="dxa" w:w="90"/>
              <w:bottom w:type="dxa" w:w="60"/>
              <w:right w:type="dxa" w:w="90"/>
            </w:tcMar>
          </w:tcPr>
          <w:p>
            <w:r>
              <w:rPr>
                <w:sz w:val="18"/>
                <w:szCs w:val="18"/>
              </w:rPr>
              <w:t xml:space="preserve">CNBC XAU=</w:t>
            </w:r>
          </w:p>
        </w:tc>
        <w:tc>
          <w:tcPr>
            <w:tcW w:type="dxa" w:w="1600"/>
            <w:tcMar>
              <w:top w:type="dxa" w:w="60"/>
              <w:left w:type="dxa" w:w="90"/>
              <w:bottom w:type="dxa" w:w="60"/>
              <w:right w:type="dxa" w:w="90"/>
            </w:tcMar>
          </w:tcPr>
          <w:p>
            <w:r>
              <w:rPr>
                <w:sz w:val="18"/>
                <w:szCs w:val="18"/>
              </w:rPr>
              <w:t xml:space="preserve">4,023.84</w:t>
            </w:r>
          </w:p>
        </w:tc>
        <w:tc>
          <w:tcPr>
            <w:tcW w:type="dxa" w:w="1860"/>
            <w:tcMar>
              <w:top w:type="dxa" w:w="60"/>
              <w:left w:type="dxa" w:w="90"/>
              <w:bottom w:type="dxa" w:w="60"/>
              <w:right w:type="dxa" w:w="90"/>
            </w:tcMar>
          </w:tcPr>
          <w:p>
            <w:r>
              <w:rPr>
                <w:sz w:val="18"/>
                <w:szCs w:val="18"/>
              </w:rPr>
              <w:t xml:space="preserve">03:48 EDT</w:t>
            </w:r>
          </w:p>
        </w:tc>
        <w:tc>
          <w:tcPr>
            <w:tcW w:type="dxa" w:w="2400"/>
            <w:tcMar>
              <w:top w:type="dxa" w:w="60"/>
              <w:left w:type="dxa" w:w="90"/>
              <w:bottom w:type="dxa" w:w="60"/>
              <w:right w:type="dxa" w:w="90"/>
            </w:tcMar>
          </w:tcPr>
          <w:p>
            <w:r>
              <w:rPr>
                <w:sz w:val="18"/>
                <w:szCs w:val="18"/>
              </w:rPr>
              <w:t xml:space="preserve">Tier 1 — 1.0</w:t>
            </w:r>
          </w:p>
        </w:tc>
      </w:tr>
      <w:tr>
        <w:tc>
          <w:tcPr>
            <w:tcW w:type="dxa" w:w="500"/>
            <w:shd w:fill="F4F1EC" w:color="auto" w:val="clear"/>
            <w:tcMar>
              <w:top w:type="dxa" w:w="60"/>
              <w:left w:type="dxa" w:w="90"/>
              <w:bottom w:type="dxa" w:w="60"/>
              <w:right w:type="dxa" w:w="90"/>
            </w:tcMar>
          </w:tcPr>
          <w:p>
            <w:r>
              <w:rPr>
                <w:sz w:val="18"/>
                <w:szCs w:val="18"/>
              </w:rPr>
              <w:t xml:space="preserve">6</w:t>
            </w:r>
          </w:p>
        </w:tc>
        <w:tc>
          <w:tcPr>
            <w:tcW w:type="dxa" w:w="3000"/>
            <w:shd w:fill="F4F1EC" w:color="auto" w:val="clear"/>
            <w:tcMar>
              <w:top w:type="dxa" w:w="60"/>
              <w:left w:type="dxa" w:w="90"/>
              <w:bottom w:type="dxa" w:w="60"/>
              <w:right w:type="dxa" w:w="90"/>
            </w:tcMar>
          </w:tcPr>
          <w:p>
            <w:r>
              <w:rPr>
                <w:sz w:val="18"/>
                <w:szCs w:val="18"/>
              </w:rPr>
              <w:t xml:space="preserve">LiteFinance</w:t>
            </w:r>
          </w:p>
        </w:tc>
        <w:tc>
          <w:tcPr>
            <w:tcW w:type="dxa" w:w="1600"/>
            <w:shd w:fill="F4F1EC" w:color="auto" w:val="clear"/>
            <w:tcMar>
              <w:top w:type="dxa" w:w="60"/>
              <w:left w:type="dxa" w:w="90"/>
              <w:bottom w:type="dxa" w:w="60"/>
              <w:right w:type="dxa" w:w="90"/>
            </w:tcMar>
          </w:tcPr>
          <w:p>
            <w:r>
              <w:rPr>
                <w:sz w:val="18"/>
                <w:szCs w:val="18"/>
              </w:rPr>
              <w:t xml:space="preserve">4,021.66</w:t>
            </w:r>
          </w:p>
        </w:tc>
        <w:tc>
          <w:tcPr>
            <w:tcW w:type="dxa" w:w="1860"/>
            <w:shd w:fill="F4F1EC" w:color="auto" w:val="clear"/>
            <w:tcMar>
              <w:top w:type="dxa" w:w="60"/>
              <w:left w:type="dxa" w:w="90"/>
              <w:bottom w:type="dxa" w:w="60"/>
              <w:right w:type="dxa" w:w="90"/>
            </w:tcMar>
          </w:tcPr>
          <w:p>
            <w:r>
              <w:rPr>
                <w:sz w:val="18"/>
                <w:szCs w:val="18"/>
              </w:rPr>
              <w:t xml:space="preserve">Intraday</w:t>
            </w:r>
          </w:p>
        </w:tc>
        <w:tc>
          <w:tcPr>
            <w:tcW w:type="dxa" w:w="2400"/>
            <w:shd w:fill="F4F1EC" w:color="auto" w:val="clear"/>
            <w:tcMar>
              <w:top w:type="dxa" w:w="60"/>
              <w:left w:type="dxa" w:w="90"/>
              <w:bottom w:type="dxa" w:w="60"/>
              <w:right w:type="dxa" w:w="90"/>
            </w:tcMar>
          </w:tcPr>
          <w:p>
            <w:r>
              <w:rPr>
                <w:sz w:val="18"/>
                <w:szCs w:val="18"/>
              </w:rPr>
              <w:t xml:space="preserve">Tier 3 — 0.8</w:t>
            </w:r>
          </w:p>
        </w:tc>
      </w:tr>
      <w:tr>
        <w:tc>
          <w:tcPr>
            <w:tcW w:type="dxa" w:w="500"/>
            <w:tcMar>
              <w:top w:type="dxa" w:w="60"/>
              <w:left w:type="dxa" w:w="90"/>
              <w:bottom w:type="dxa" w:w="60"/>
              <w:right w:type="dxa" w:w="90"/>
            </w:tcMar>
          </w:tcPr>
          <w:p>
            <w:r>
              <w:rPr>
                <w:sz w:val="18"/>
                <w:szCs w:val="18"/>
              </w:rPr>
              <w:t xml:space="preserve">7</w:t>
            </w:r>
          </w:p>
        </w:tc>
        <w:tc>
          <w:tcPr>
            <w:tcW w:type="dxa" w:w="3000"/>
            <w:tcMar>
              <w:top w:type="dxa" w:w="60"/>
              <w:left w:type="dxa" w:w="90"/>
              <w:bottom w:type="dxa" w:w="60"/>
              <w:right w:type="dxa" w:w="90"/>
            </w:tcMar>
          </w:tcPr>
          <w:p>
            <w:r>
              <w:rPr>
                <w:sz w:val="18"/>
                <w:szCs w:val="18"/>
              </w:rPr>
              <w:t xml:space="preserve">Vantage XAUUSD CFD</w:t>
            </w:r>
          </w:p>
        </w:tc>
        <w:tc>
          <w:tcPr>
            <w:tcW w:type="dxa" w:w="1600"/>
            <w:tcMar>
              <w:top w:type="dxa" w:w="60"/>
              <w:left w:type="dxa" w:w="90"/>
              <w:bottom w:type="dxa" w:w="60"/>
              <w:right w:type="dxa" w:w="90"/>
            </w:tcMar>
          </w:tcPr>
          <w:p>
            <w:r>
              <w:rPr>
                <w:sz w:val="18"/>
                <w:szCs w:val="18"/>
              </w:rPr>
              <w:t xml:space="preserve">4,032.76</w:t>
            </w:r>
          </w:p>
        </w:tc>
        <w:tc>
          <w:tcPr>
            <w:tcW w:type="dxa" w:w="1860"/>
            <w:tcMar>
              <w:top w:type="dxa" w:w="60"/>
              <w:left w:type="dxa" w:w="90"/>
              <w:bottom w:type="dxa" w:w="60"/>
              <w:right w:type="dxa" w:w="90"/>
            </w:tcMar>
          </w:tcPr>
          <w:p>
            <w:r>
              <w:rPr>
                <w:sz w:val="18"/>
                <w:szCs w:val="18"/>
              </w:rPr>
              <w:t xml:space="preserve">06:00 UTC</w:t>
            </w:r>
          </w:p>
        </w:tc>
        <w:tc>
          <w:tcPr>
            <w:tcW w:type="dxa" w:w="2400"/>
            <w:tcMar>
              <w:top w:type="dxa" w:w="60"/>
              <w:left w:type="dxa" w:w="90"/>
              <w:bottom w:type="dxa" w:w="60"/>
              <w:right w:type="dxa" w:w="90"/>
            </w:tcMar>
          </w:tcPr>
          <w:p>
            <w:r>
              <w:rPr>
                <w:sz w:val="18"/>
                <w:szCs w:val="18"/>
              </w:rPr>
              <w:t xml:space="preserve">Tier 3 — 0.8 (CFD)</w:t>
            </w:r>
          </w:p>
        </w:tc>
      </w:tr>
      <w:tr>
        <w:tc>
          <w:tcPr>
            <w:tcW w:type="dxa" w:w="500"/>
            <w:shd w:fill="F4F1EC" w:color="auto" w:val="clear"/>
            <w:tcMar>
              <w:top w:type="dxa" w:w="60"/>
              <w:left w:type="dxa" w:w="90"/>
              <w:bottom w:type="dxa" w:w="60"/>
              <w:right w:type="dxa" w:w="90"/>
            </w:tcMar>
          </w:tcPr>
          <w:p>
            <w:r>
              <w:rPr>
                <w:sz w:val="18"/>
                <w:szCs w:val="18"/>
              </w:rPr>
              <w:t xml:space="preserve">8</w:t>
            </w:r>
          </w:p>
        </w:tc>
        <w:tc>
          <w:tcPr>
            <w:tcW w:type="dxa" w:w="3000"/>
            <w:shd w:fill="F4F1EC" w:color="auto" w:val="clear"/>
            <w:tcMar>
              <w:top w:type="dxa" w:w="60"/>
              <w:left w:type="dxa" w:w="90"/>
              <w:bottom w:type="dxa" w:w="60"/>
              <w:right w:type="dxa" w:w="90"/>
            </w:tcMar>
          </w:tcPr>
          <w:p>
            <w:r>
              <w:rPr>
                <w:sz w:val="18"/>
                <w:szCs w:val="18"/>
              </w:rPr>
              <w:t xml:space="preserve">FXLeaders</w:t>
            </w:r>
          </w:p>
        </w:tc>
        <w:tc>
          <w:tcPr>
            <w:tcW w:type="dxa" w:w="1600"/>
            <w:shd w:fill="F4F1EC" w:color="auto" w:val="clear"/>
            <w:tcMar>
              <w:top w:type="dxa" w:w="60"/>
              <w:left w:type="dxa" w:w="90"/>
              <w:bottom w:type="dxa" w:w="60"/>
              <w:right w:type="dxa" w:w="90"/>
            </w:tcMar>
          </w:tcPr>
          <w:p>
            <w:r>
              <w:rPr>
                <w:sz w:val="18"/>
                <w:szCs w:val="18"/>
              </w:rPr>
              <w:t xml:space="preserve">4,029.00</w:t>
            </w:r>
          </w:p>
        </w:tc>
        <w:tc>
          <w:tcPr>
            <w:tcW w:type="dxa" w:w="1860"/>
            <w:shd w:fill="F4F1EC" w:color="auto" w:val="clear"/>
            <w:tcMar>
              <w:top w:type="dxa" w:w="60"/>
              <w:left w:type="dxa" w:w="90"/>
              <w:bottom w:type="dxa" w:w="60"/>
              <w:right w:type="dxa" w:w="90"/>
            </w:tcMar>
          </w:tcPr>
          <w:p>
            <w:r>
              <w:rPr>
                <w:sz w:val="18"/>
                <w:szCs w:val="18"/>
              </w:rPr>
              <w:t xml:space="preserve">European session</w:t>
            </w:r>
          </w:p>
        </w:tc>
        <w:tc>
          <w:tcPr>
            <w:tcW w:type="dxa" w:w="2400"/>
            <w:shd w:fill="F4F1EC" w:color="auto" w:val="clear"/>
            <w:tcMar>
              <w:top w:type="dxa" w:w="60"/>
              <w:left w:type="dxa" w:w="90"/>
              <w:bottom w:type="dxa" w:w="60"/>
              <w:right w:type="dxa" w:w="90"/>
            </w:tcMar>
          </w:tcPr>
          <w:p>
            <w:r>
              <w:rPr>
                <w:sz w:val="18"/>
                <w:szCs w:val="18"/>
              </w:rPr>
              <w:t xml:space="preserve">Tier 3 — 0.8</w:t>
            </w:r>
          </w:p>
        </w:tc>
      </w:tr>
    </w:tbl>
    <w:p>
      <w:pPr>
        <w:spacing w:after="100"/>
      </w:pPr>
      <w:r>
        <w:rPr>
          <w:b w:val="false"/>
          <w:bCs w:val="false"/>
          <w:i/>
          <w:iCs/>
          <w:sz w:val="18"/>
          <w:szCs w:val="18"/>
        </w:rPr>
        <w:t xml:space="preserve">Corroboration status: PARTIAL. All eight sources agree on the market's location — the $4,020–4,075 band — and on the direction of the drivers. They do not agree on a single settlement print, because spot gold has no single settlement print: each source stamps a different intraday moment across a 24-hour market, and the session itself ranged roughly $55. The dispersion of $51.99 between the lowest and highest read is therefore a timestamp artefact, not a data conflict. No source was excluded. Per the user's explicit instruction, strategies are NOT suppressed on this basis; the lenient-corroboration flag is carried on every trade card below.</w:t>
      </w:r>
    </w:p>
    <w:p>
      <w:pPr>
        <w:pStyle w:val="Heading1"/>
        <w:spacing w:after="120" w:before="240"/>
      </w:pPr>
      <w:r>
        <w:t xml:space="preserve">§4  Benchmark Cross-Reference</w:t>
      </w:r>
    </w:p>
    <w:p>
      <w:pPr>
        <w:spacing w:after="100"/>
      </w:pPr>
      <w:r>
        <w:rPr>
          <w:b w:val="false"/>
          <w:bCs w:val="false"/>
          <w:i w:val="false"/>
          <w:iCs w:val="false"/>
          <w:sz w:val="20"/>
          <w:szCs w:val="20"/>
        </w:rPr>
        <w:t xml:space="preserve">LBMA AM/PM Fix, CME GC=F, Yahoo Finance, Investing.com, Twelve Data and Bloomberg consensus were the specified benchmark set. Bloomberg and Investing.com were obtained directly. LBMA fix values and a discrete GC=F settlement for 15-Jul were not independently retrievable within this run; the TradingEconomics OTC benchmark and TradingView composite stand in as proxies, and this substitution is flagged. Regional cross-reference (London / COMEX / Singapore / SGE) showed no evidence of an arbitrage gap or regional divergence beyond normal timing spread.</w:t>
      </w:r>
    </w:p>
    <w:p>
      <w:pPr>
        <w:pStyle w:val="Heading1"/>
        <w:spacing w:after="120" w:before="240"/>
      </w:pPr>
      <w:r>
        <w:t xml:space="preserve">§5  Consensus Price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7A5C2E" w:color="auto" w:val="clear"/>
            <w:tcMar>
              <w:top w:type="dxa" w:w="60"/>
              <w:left w:type="dxa" w:w="90"/>
              <w:bottom w:type="dxa" w:w="60"/>
              <w:right w:type="dxa" w:w="90"/>
            </w:tcMar>
          </w:tcPr>
          <w:p>
            <w:r>
              <w:rPr>
                <w:b/>
                <w:bCs/>
                <w:color w:val="FFFFFF"/>
                <w:sz w:val="18"/>
                <w:szCs w:val="18"/>
              </w:rPr>
              <w:t xml:space="preserve">Method</w:t>
            </w:r>
          </w:p>
        </w:tc>
        <w:tc>
          <w:tcPr>
            <w:tcW w:type="dxa" w:w="3760"/>
            <w:shd w:fill="7A5C2E" w:color="auto" w:val="clear"/>
            <w:tcMar>
              <w:top w:type="dxa" w:w="60"/>
              <w:left w:type="dxa" w:w="90"/>
              <w:bottom w:type="dxa" w:w="60"/>
              <w:right w:type="dxa" w:w="90"/>
            </w:tcMar>
          </w:tcPr>
          <w:p>
            <w:r>
              <w:rPr>
                <w:b/>
                <w:bCs/>
                <w:color w:val="FFFFFF"/>
                <w:sz w:val="18"/>
                <w:szCs w:val="18"/>
              </w:rPr>
              <w:t xml:space="preserve">Value (USD/oz)</w:t>
            </w:r>
          </w:p>
        </w:tc>
      </w:tr>
      <w:tr>
        <w:tc>
          <w:tcPr>
            <w:tcW w:type="dxa" w:w="5600"/>
            <w:tcMar>
              <w:top w:type="dxa" w:w="60"/>
              <w:left w:type="dxa" w:w="90"/>
              <w:bottom w:type="dxa" w:w="60"/>
              <w:right w:type="dxa" w:w="90"/>
            </w:tcMar>
          </w:tcPr>
          <w:p>
            <w:r>
              <w:rPr>
                <w:sz w:val="18"/>
                <w:szCs w:val="18"/>
              </w:rPr>
              <w:t xml:space="preserve">Weighted median (M1 [CONSENSUS_METHOD])</w:t>
            </w:r>
          </w:p>
        </w:tc>
        <w:tc>
          <w:tcPr>
            <w:tcW w:type="dxa" w:w="3760"/>
            <w:tcMar>
              <w:top w:type="dxa" w:w="60"/>
              <w:left w:type="dxa" w:w="90"/>
              <w:bottom w:type="dxa" w:w="60"/>
              <w:right w:type="dxa" w:w="90"/>
            </w:tcMar>
          </w:tcPr>
          <w:p>
            <w:r>
              <w:rPr>
                <w:sz w:val="18"/>
                <w:szCs w:val="18"/>
              </w:rPr>
              <w:t xml:space="preserve">4,052.78</w:t>
            </w:r>
          </w:p>
        </w:tc>
      </w:tr>
      <w:tr>
        <w:tc>
          <w:tcPr>
            <w:tcW w:type="dxa" w:w="5600"/>
            <w:shd w:fill="F4F1EC" w:color="auto" w:val="clear"/>
            <w:tcMar>
              <w:top w:type="dxa" w:w="60"/>
              <w:left w:type="dxa" w:w="90"/>
              <w:bottom w:type="dxa" w:w="60"/>
              <w:right w:type="dxa" w:w="90"/>
            </w:tcMar>
          </w:tcPr>
          <w:p>
            <w:r>
              <w:rPr>
                <w:sz w:val="18"/>
                <w:szCs w:val="18"/>
              </w:rPr>
              <w:t xml:space="preserve">Simple median (reference)</w:t>
            </w:r>
          </w:p>
        </w:tc>
        <w:tc>
          <w:tcPr>
            <w:tcW w:type="dxa" w:w="3760"/>
            <w:shd w:fill="F4F1EC" w:color="auto" w:val="clear"/>
            <w:tcMar>
              <w:top w:type="dxa" w:w="60"/>
              <w:left w:type="dxa" w:w="90"/>
              <w:bottom w:type="dxa" w:w="60"/>
              <w:right w:type="dxa" w:w="90"/>
            </w:tcMar>
          </w:tcPr>
          <w:p>
            <w:r>
              <w:rPr>
                <w:sz w:val="18"/>
                <w:szCs w:val="18"/>
              </w:rPr>
              <w:t xml:space="preserve">4,042.77</w:t>
            </w:r>
          </w:p>
        </w:tc>
      </w:tr>
      <w:tr>
        <w:tc>
          <w:tcPr>
            <w:tcW w:type="dxa" w:w="5600"/>
            <w:tcMar>
              <w:top w:type="dxa" w:w="60"/>
              <w:left w:type="dxa" w:w="90"/>
              <w:bottom w:type="dxa" w:w="60"/>
              <w:right w:type="dxa" w:w="90"/>
            </w:tcMar>
          </w:tcPr>
          <w:p>
            <w:r>
              <w:rPr>
                <w:sz w:val="18"/>
                <w:szCs w:val="18"/>
              </w:rPr>
              <w:t xml:space="preserve">Source range</w:t>
            </w:r>
          </w:p>
        </w:tc>
        <w:tc>
          <w:tcPr>
            <w:tcW w:type="dxa" w:w="3760"/>
            <w:tcMar>
              <w:top w:type="dxa" w:w="60"/>
              <w:left w:type="dxa" w:w="90"/>
              <w:bottom w:type="dxa" w:w="60"/>
              <w:right w:type="dxa" w:w="90"/>
            </w:tcMar>
          </w:tcPr>
          <w:p>
            <w:r>
              <w:rPr>
                <w:sz w:val="18"/>
                <w:szCs w:val="18"/>
              </w:rPr>
              <w:t xml:space="preserve">4,021.66 – 4,073.65</w:t>
            </w:r>
          </w:p>
        </w:tc>
      </w:tr>
      <w:tr>
        <w:tc>
          <w:tcPr>
            <w:tcW w:type="dxa" w:w="5600"/>
            <w:shd w:fill="F4F1EC" w:color="auto" w:val="clear"/>
            <w:tcMar>
              <w:top w:type="dxa" w:w="60"/>
              <w:left w:type="dxa" w:w="90"/>
              <w:bottom w:type="dxa" w:w="60"/>
              <w:right w:type="dxa" w:w="90"/>
            </w:tcMar>
          </w:tcPr>
          <w:p>
            <w:r>
              <w:rPr>
                <w:sz w:val="18"/>
                <w:szCs w:val="18"/>
              </w:rPr>
              <w:t xml:space="preserve">Dispersion</w:t>
            </w:r>
          </w:p>
        </w:tc>
        <w:tc>
          <w:tcPr>
            <w:tcW w:type="dxa" w:w="3760"/>
            <w:shd w:fill="F4F1EC" w:color="auto" w:val="clear"/>
            <w:tcMar>
              <w:top w:type="dxa" w:w="60"/>
              <w:left w:type="dxa" w:w="90"/>
              <w:bottom w:type="dxa" w:w="60"/>
              <w:right w:type="dxa" w:w="90"/>
            </w:tcMar>
          </w:tcPr>
          <w:p>
            <w:r>
              <w:rPr>
                <w:sz w:val="18"/>
                <w:szCs w:val="18"/>
              </w:rPr>
              <w:t xml:space="preserve">51.99 (1.28% of mid)</w:t>
            </w:r>
          </w:p>
        </w:tc>
      </w:tr>
      <w:tr>
        <w:tc>
          <w:tcPr>
            <w:tcW w:type="dxa" w:w="5600"/>
            <w:tcMar>
              <w:top w:type="dxa" w:w="60"/>
              <w:left w:type="dxa" w:w="90"/>
              <w:bottom w:type="dxa" w:w="60"/>
              <w:right w:type="dxa" w:w="90"/>
            </w:tcMar>
          </w:tcPr>
          <w:p>
            <w:r>
              <w:rPr>
                <w:sz w:val="18"/>
                <w:szCs w:val="18"/>
              </w:rPr>
              <w:t xml:space="preserve">Adopted session close anchor</w:t>
            </w:r>
          </w:p>
        </w:tc>
        <w:tc>
          <w:tcPr>
            <w:tcW w:type="dxa" w:w="3760"/>
            <w:tcMar>
              <w:top w:type="dxa" w:w="60"/>
              <w:left w:type="dxa" w:w="90"/>
              <w:bottom w:type="dxa" w:w="60"/>
              <w:right w:type="dxa" w:w="90"/>
            </w:tcMar>
          </w:tcPr>
          <w:p>
            <w:r>
              <w:rPr>
                <w:sz w:val="18"/>
                <w:szCs w:val="18"/>
              </w:rPr>
              <w:t xml:space="preserve">4,070.00</w:t>
            </w:r>
          </w:p>
        </w:tc>
      </w:tr>
    </w:tbl>
    <w:p>
      <w:pPr>
        <w:spacing w:after="100"/>
      </w:pPr>
      <w:r>
        <w:rPr>
          <w:b w:val="false"/>
          <w:bCs w:val="false"/>
          <w:i w:val="false"/>
          <w:iCs w:val="false"/>
          <w:sz w:val="20"/>
          <w:szCs w:val="20"/>
        </w:rPr>
        <w:t xml:space="preserve">The weighted median of $4,052.78 is the formal consensus under [CONSENSUS_METHOD]. However, the trade-construction anchor is the last close, not the intraday consensus: the M5 §5 entry is a market order at the 00:00 UK reset, which follows the 15-Jul close. The adopted close anchor of $4,070.00 is the late-session read corroborated by TradingEconomics and sits within one tick-cluster of the Investing.com $4,073.65 print. The $17 gap between weighted median and close anchor reflects gold firming into the late US session on the PPI miss.</w:t>
      </w:r>
    </w:p>
    <w:p>
      <w:pPr>
        <w:pStyle w:val="Heading1"/>
        <w:spacing w:after="120" w:before="240"/>
      </w:pPr>
      <w:r>
        <w:t xml:space="preserve">§6  OHLC — Primary and Secondary</w:t>
      </w:r>
    </w:p>
    <w:p>
      <w:pPr>
        <w:spacing w:after="100"/>
      </w:pPr>
      <w:r>
        <w:rPr>
          <w:b/>
          <w:bCs/>
          <w:i w:val="false"/>
          <w:iCs w:val="false"/>
          <w:sz w:val="20"/>
          <w:szCs w:val="20"/>
        </w:rPr>
        <w:t xml:space="preserve">Gold (XAU/USD) —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600"/>
        <w:gridCol w:w="1600"/>
        <w:gridCol w:w="1600"/>
        <w:gridCol w:w="1600"/>
        <w:gridCol w:w="1600"/>
      </w:tblGrid>
      <w:tr>
        <w:trPr>
          <w:tblHeader/>
        </w:trPr>
        <w:tc>
          <w:tcPr>
            <w:tcW w:type="dxa" w:w="1360"/>
            <w:shd w:fill="7A5C2E" w:color="auto" w:val="clear"/>
            <w:tcMar>
              <w:top w:type="dxa" w:w="60"/>
              <w:left w:type="dxa" w:w="90"/>
              <w:bottom w:type="dxa" w:w="60"/>
              <w:right w:type="dxa" w:w="90"/>
            </w:tcMar>
          </w:tcPr>
          <w:p>
            <w:r>
              <w:rPr>
                <w:b/>
                <w:bCs/>
                <w:color w:val="FFFFFF"/>
                <w:sz w:val="18"/>
                <w:szCs w:val="18"/>
              </w:rPr>
              <w:t xml:space="preserve">Date</w:t>
            </w:r>
          </w:p>
        </w:tc>
        <w:tc>
          <w:tcPr>
            <w:tcW w:type="dxa" w:w="1600"/>
            <w:shd w:fill="7A5C2E" w:color="auto" w:val="clear"/>
            <w:tcMar>
              <w:top w:type="dxa" w:w="60"/>
              <w:left w:type="dxa" w:w="90"/>
              <w:bottom w:type="dxa" w:w="60"/>
              <w:right w:type="dxa" w:w="90"/>
            </w:tcMar>
          </w:tcPr>
          <w:p>
            <w:r>
              <w:rPr>
                <w:b/>
                <w:bCs/>
                <w:color w:val="FFFFFF"/>
                <w:sz w:val="18"/>
                <w:szCs w:val="18"/>
              </w:rPr>
              <w:t xml:space="preserve">Open</w:t>
            </w:r>
          </w:p>
        </w:tc>
        <w:tc>
          <w:tcPr>
            <w:tcW w:type="dxa" w:w="1600"/>
            <w:shd w:fill="7A5C2E" w:color="auto" w:val="clear"/>
            <w:tcMar>
              <w:top w:type="dxa" w:w="60"/>
              <w:left w:type="dxa" w:w="90"/>
              <w:bottom w:type="dxa" w:w="60"/>
              <w:right w:type="dxa" w:w="90"/>
            </w:tcMar>
          </w:tcPr>
          <w:p>
            <w:r>
              <w:rPr>
                <w:b/>
                <w:bCs/>
                <w:color w:val="FFFFFF"/>
                <w:sz w:val="18"/>
                <w:szCs w:val="18"/>
              </w:rPr>
              <w:t xml:space="preserve">High</w:t>
            </w:r>
          </w:p>
        </w:tc>
        <w:tc>
          <w:tcPr>
            <w:tcW w:type="dxa" w:w="1600"/>
            <w:shd w:fill="7A5C2E" w:color="auto" w:val="clear"/>
            <w:tcMar>
              <w:top w:type="dxa" w:w="60"/>
              <w:left w:type="dxa" w:w="90"/>
              <w:bottom w:type="dxa" w:w="60"/>
              <w:right w:type="dxa" w:w="90"/>
            </w:tcMar>
          </w:tcPr>
          <w:p>
            <w:r>
              <w:rPr>
                <w:b/>
                <w:bCs/>
                <w:color w:val="FFFFFF"/>
                <w:sz w:val="18"/>
                <w:szCs w:val="18"/>
              </w:rPr>
              <w:t xml:space="preserve">Low</w:t>
            </w:r>
          </w:p>
        </w:tc>
        <w:tc>
          <w:tcPr>
            <w:tcW w:type="dxa" w:w="1600"/>
            <w:shd w:fill="7A5C2E" w:color="auto" w:val="clear"/>
            <w:tcMar>
              <w:top w:type="dxa" w:w="60"/>
              <w:left w:type="dxa" w:w="90"/>
              <w:bottom w:type="dxa" w:w="60"/>
              <w:right w:type="dxa" w:w="90"/>
            </w:tcMar>
          </w:tcPr>
          <w:p>
            <w:r>
              <w:rPr>
                <w:b/>
                <w:bCs/>
                <w:color w:val="FFFFFF"/>
                <w:sz w:val="18"/>
                <w:szCs w:val="18"/>
              </w:rPr>
              <w:t xml:space="preserve">Close</w:t>
            </w:r>
          </w:p>
        </w:tc>
        <w:tc>
          <w:tcPr>
            <w:tcW w:type="dxa" w:w="1600"/>
            <w:shd w:fill="7A5C2E" w:color="auto" w:val="clear"/>
            <w:tcMar>
              <w:top w:type="dxa" w:w="60"/>
              <w:left w:type="dxa" w:w="90"/>
              <w:bottom w:type="dxa" w:w="60"/>
              <w:right w:type="dxa" w:w="90"/>
            </w:tcMar>
          </w:tcPr>
          <w:p>
            <w:r>
              <w:rPr>
                <w:b/>
                <w:bCs/>
                <w:color w:val="FFFFFF"/>
                <w:sz w:val="18"/>
                <w:szCs w:val="18"/>
              </w:rPr>
              <w:t xml:space="preserve">Chg %</w:t>
            </w:r>
          </w:p>
        </w:tc>
      </w:tr>
      <w:tr>
        <w:tc>
          <w:tcPr>
            <w:tcW w:type="dxa" w:w="1360"/>
            <w:tcMar>
              <w:top w:type="dxa" w:w="60"/>
              <w:left w:type="dxa" w:w="90"/>
              <w:bottom w:type="dxa" w:w="60"/>
              <w:right w:type="dxa" w:w="90"/>
            </w:tcMar>
          </w:tcPr>
          <w:p>
            <w:r>
              <w:rPr>
                <w:sz w:val="18"/>
                <w:szCs w:val="18"/>
              </w:rPr>
              <w:t xml:space="preserve">09-Jul-26</w:t>
            </w:r>
          </w:p>
        </w:tc>
        <w:tc>
          <w:tcPr>
            <w:tcW w:type="dxa" w:w="1600"/>
            <w:tcMar>
              <w:top w:type="dxa" w:w="60"/>
              <w:left w:type="dxa" w:w="90"/>
              <w:bottom w:type="dxa" w:w="60"/>
              <w:right w:type="dxa" w:w="90"/>
            </w:tcMar>
          </w:tcPr>
          <w:p>
            <w:r>
              <w:rPr>
                <w:sz w:val="18"/>
                <w:szCs w:val="18"/>
              </w:rPr>
              <w:t xml:space="preserve">4,105.00</w:t>
            </w:r>
          </w:p>
        </w:tc>
        <w:tc>
          <w:tcPr>
            <w:tcW w:type="dxa" w:w="1600"/>
            <w:tcMar>
              <w:top w:type="dxa" w:w="60"/>
              <w:left w:type="dxa" w:w="90"/>
              <w:bottom w:type="dxa" w:w="60"/>
              <w:right w:type="dxa" w:w="90"/>
            </w:tcMar>
          </w:tcPr>
          <w:p>
            <w:r>
              <w:rPr>
                <w:sz w:val="18"/>
                <w:szCs w:val="18"/>
              </w:rPr>
              <w:t xml:space="preserve">4,132.00</w:t>
            </w:r>
          </w:p>
        </w:tc>
        <w:tc>
          <w:tcPr>
            <w:tcW w:type="dxa" w:w="1600"/>
            <w:tcMar>
              <w:top w:type="dxa" w:w="60"/>
              <w:left w:type="dxa" w:w="90"/>
              <w:bottom w:type="dxa" w:w="60"/>
              <w:right w:type="dxa" w:w="90"/>
            </w:tcMar>
          </w:tcPr>
          <w:p>
            <w:r>
              <w:rPr>
                <w:sz w:val="18"/>
                <w:szCs w:val="18"/>
              </w:rPr>
              <w:t xml:space="preserve">4,070.00</w:t>
            </w:r>
          </w:p>
        </w:tc>
        <w:tc>
          <w:tcPr>
            <w:tcW w:type="dxa" w:w="1600"/>
            <w:tcMar>
              <w:top w:type="dxa" w:w="60"/>
              <w:left w:type="dxa" w:w="90"/>
              <w:bottom w:type="dxa" w:w="60"/>
              <w:right w:type="dxa" w:w="90"/>
            </w:tcMar>
          </w:tcPr>
          <w:p>
            <w:r>
              <w:rPr>
                <w:sz w:val="18"/>
                <w:szCs w:val="18"/>
              </w:rPr>
              <w:t xml:space="preserve">4,088.00</w:t>
            </w:r>
          </w:p>
        </w:tc>
        <w:tc>
          <w:tcPr>
            <w:tcW w:type="dxa" w:w="1600"/>
            <w:tcMar>
              <w:top w:type="dxa" w:w="60"/>
              <w:left w:type="dxa" w:w="90"/>
              <w:bottom w:type="dxa" w:w="60"/>
              <w:right w:type="dxa" w:w="90"/>
            </w:tcMar>
          </w:tcPr>
          <w:p>
            <w:r>
              <w:rPr>
                <w:sz w:val="18"/>
                <w:szCs w:val="18"/>
              </w:rPr>
              <w:t xml:space="preserve">—</w:t>
            </w:r>
          </w:p>
        </w:tc>
      </w:tr>
      <w:tr>
        <w:tc>
          <w:tcPr>
            <w:tcW w:type="dxa" w:w="1360"/>
            <w:shd w:fill="F4F1EC" w:color="auto" w:val="clear"/>
            <w:tcMar>
              <w:top w:type="dxa" w:w="60"/>
              <w:left w:type="dxa" w:w="90"/>
              <w:bottom w:type="dxa" w:w="60"/>
              <w:right w:type="dxa" w:w="90"/>
            </w:tcMar>
          </w:tcPr>
          <w:p>
            <w:r>
              <w:rPr>
                <w:sz w:val="18"/>
                <w:szCs w:val="18"/>
              </w:rPr>
              <w:t xml:space="preserve">10-Jul-26</w:t>
            </w:r>
          </w:p>
        </w:tc>
        <w:tc>
          <w:tcPr>
            <w:tcW w:type="dxa" w:w="1600"/>
            <w:shd w:fill="F4F1EC" w:color="auto" w:val="clear"/>
            <w:tcMar>
              <w:top w:type="dxa" w:w="60"/>
              <w:left w:type="dxa" w:w="90"/>
              <w:bottom w:type="dxa" w:w="60"/>
              <w:right w:type="dxa" w:w="90"/>
            </w:tcMar>
          </w:tcPr>
          <w:p>
            <w:r>
              <w:rPr>
                <w:sz w:val="18"/>
                <w:szCs w:val="18"/>
              </w:rPr>
              <w:t xml:space="preserve">4,088.00</w:t>
            </w:r>
          </w:p>
        </w:tc>
        <w:tc>
          <w:tcPr>
            <w:tcW w:type="dxa" w:w="1600"/>
            <w:shd w:fill="F4F1EC" w:color="auto" w:val="clear"/>
            <w:tcMar>
              <w:top w:type="dxa" w:w="60"/>
              <w:left w:type="dxa" w:w="90"/>
              <w:bottom w:type="dxa" w:w="60"/>
              <w:right w:type="dxa" w:w="90"/>
            </w:tcMar>
          </w:tcPr>
          <w:p>
            <w:r>
              <w:rPr>
                <w:sz w:val="18"/>
                <w:szCs w:val="18"/>
              </w:rPr>
              <w:t xml:space="preserve">4,110.00</w:t>
            </w:r>
          </w:p>
        </w:tc>
        <w:tc>
          <w:tcPr>
            <w:tcW w:type="dxa" w:w="1600"/>
            <w:shd w:fill="F4F1EC" w:color="auto" w:val="clear"/>
            <w:tcMar>
              <w:top w:type="dxa" w:w="60"/>
              <w:left w:type="dxa" w:w="90"/>
              <w:bottom w:type="dxa" w:w="60"/>
              <w:right w:type="dxa" w:w="90"/>
            </w:tcMar>
          </w:tcPr>
          <w:p>
            <w:r>
              <w:rPr>
                <w:sz w:val="18"/>
                <w:szCs w:val="18"/>
              </w:rPr>
              <w:t xml:space="preserve">4,035.00</w:t>
            </w:r>
          </w:p>
        </w:tc>
        <w:tc>
          <w:tcPr>
            <w:tcW w:type="dxa" w:w="1600"/>
            <w:shd w:fill="F4F1EC" w:color="auto" w:val="clear"/>
            <w:tcMar>
              <w:top w:type="dxa" w:w="60"/>
              <w:left w:type="dxa" w:w="90"/>
              <w:bottom w:type="dxa" w:w="60"/>
              <w:right w:type="dxa" w:w="90"/>
            </w:tcMar>
          </w:tcPr>
          <w:p>
            <w:r>
              <w:rPr>
                <w:sz w:val="18"/>
                <w:szCs w:val="18"/>
              </w:rPr>
              <w:t xml:space="preserve">4,044.00</w:t>
            </w:r>
          </w:p>
        </w:tc>
        <w:tc>
          <w:tcPr>
            <w:tcW w:type="dxa" w:w="1600"/>
            <w:shd w:fill="F4F1EC" w:color="auto" w:val="clear"/>
            <w:tcMar>
              <w:top w:type="dxa" w:w="60"/>
              <w:left w:type="dxa" w:w="90"/>
              <w:bottom w:type="dxa" w:w="60"/>
              <w:right w:type="dxa" w:w="90"/>
            </w:tcMar>
          </w:tcPr>
          <w:p>
            <w:r>
              <w:rPr>
                <w:sz w:val="18"/>
                <w:szCs w:val="18"/>
              </w:rPr>
              <w:t xml:space="preserve">−1.08%</w:t>
            </w:r>
          </w:p>
        </w:tc>
      </w:tr>
      <w:tr>
        <w:tc>
          <w:tcPr>
            <w:tcW w:type="dxa" w:w="1360"/>
            <w:tcMar>
              <w:top w:type="dxa" w:w="60"/>
              <w:left w:type="dxa" w:w="90"/>
              <w:bottom w:type="dxa" w:w="60"/>
              <w:right w:type="dxa" w:w="90"/>
            </w:tcMar>
          </w:tcPr>
          <w:p>
            <w:r>
              <w:rPr>
                <w:sz w:val="18"/>
                <w:szCs w:val="18"/>
              </w:rPr>
              <w:t xml:space="preserve">13-Jul-26</w:t>
            </w:r>
          </w:p>
        </w:tc>
        <w:tc>
          <w:tcPr>
            <w:tcW w:type="dxa" w:w="1600"/>
            <w:tcMar>
              <w:top w:type="dxa" w:w="60"/>
              <w:left w:type="dxa" w:w="90"/>
              <w:bottom w:type="dxa" w:w="60"/>
              <w:right w:type="dxa" w:w="90"/>
            </w:tcMar>
          </w:tcPr>
          <w:p>
            <w:r>
              <w:rPr>
                <w:sz w:val="18"/>
                <w:szCs w:val="18"/>
              </w:rPr>
              <w:t xml:space="preserve">4,044.00</w:t>
            </w:r>
          </w:p>
        </w:tc>
        <w:tc>
          <w:tcPr>
            <w:tcW w:type="dxa" w:w="1600"/>
            <w:tcMar>
              <w:top w:type="dxa" w:w="60"/>
              <w:left w:type="dxa" w:w="90"/>
              <w:bottom w:type="dxa" w:w="60"/>
              <w:right w:type="dxa" w:w="90"/>
            </w:tcMar>
          </w:tcPr>
          <w:p>
            <w:r>
              <w:rPr>
                <w:sz w:val="18"/>
                <w:szCs w:val="18"/>
              </w:rPr>
              <w:t xml:space="preserve">4,058.00</w:t>
            </w:r>
          </w:p>
        </w:tc>
        <w:tc>
          <w:tcPr>
            <w:tcW w:type="dxa" w:w="1600"/>
            <w:tcMar>
              <w:top w:type="dxa" w:w="60"/>
              <w:left w:type="dxa" w:w="90"/>
              <w:bottom w:type="dxa" w:w="60"/>
              <w:right w:type="dxa" w:w="90"/>
            </w:tcMar>
          </w:tcPr>
          <w:p>
            <w:r>
              <w:rPr>
                <w:sz w:val="18"/>
                <w:szCs w:val="18"/>
              </w:rPr>
              <w:t xml:space="preserve">3,985.80</w:t>
            </w:r>
          </w:p>
        </w:tc>
        <w:tc>
          <w:tcPr>
            <w:tcW w:type="dxa" w:w="1600"/>
            <w:tcMar>
              <w:top w:type="dxa" w:w="60"/>
              <w:left w:type="dxa" w:w="90"/>
              <w:bottom w:type="dxa" w:w="60"/>
              <w:right w:type="dxa" w:w="90"/>
            </w:tcMar>
          </w:tcPr>
          <w:p>
            <w:r>
              <w:rPr>
                <w:sz w:val="18"/>
                <w:szCs w:val="18"/>
              </w:rPr>
              <w:t xml:space="preserve">4,001.79</w:t>
            </w:r>
          </w:p>
        </w:tc>
        <w:tc>
          <w:tcPr>
            <w:tcW w:type="dxa" w:w="1600"/>
            <w:tcMar>
              <w:top w:type="dxa" w:w="60"/>
              <w:left w:type="dxa" w:w="90"/>
              <w:bottom w:type="dxa" w:w="60"/>
              <w:right w:type="dxa" w:w="90"/>
            </w:tcMar>
          </w:tcPr>
          <w:p>
            <w:r>
              <w:rPr>
                <w:sz w:val="18"/>
                <w:szCs w:val="18"/>
              </w:rPr>
              <w:t xml:space="preserve">−1.04%</w:t>
            </w:r>
          </w:p>
        </w:tc>
      </w:tr>
      <w:tr>
        <w:tc>
          <w:tcPr>
            <w:tcW w:type="dxa" w:w="1360"/>
            <w:shd w:fill="F4F1EC" w:color="auto" w:val="clear"/>
            <w:tcMar>
              <w:top w:type="dxa" w:w="60"/>
              <w:left w:type="dxa" w:w="90"/>
              <w:bottom w:type="dxa" w:w="60"/>
              <w:right w:type="dxa" w:w="90"/>
            </w:tcMar>
          </w:tcPr>
          <w:p>
            <w:r>
              <w:rPr>
                <w:sz w:val="18"/>
                <w:szCs w:val="18"/>
              </w:rPr>
              <w:t xml:space="preserve">14-Jul-26</w:t>
            </w:r>
          </w:p>
        </w:tc>
        <w:tc>
          <w:tcPr>
            <w:tcW w:type="dxa" w:w="1600"/>
            <w:shd w:fill="F4F1EC" w:color="auto" w:val="clear"/>
            <w:tcMar>
              <w:top w:type="dxa" w:w="60"/>
              <w:left w:type="dxa" w:w="90"/>
              <w:bottom w:type="dxa" w:w="60"/>
              <w:right w:type="dxa" w:w="90"/>
            </w:tcMar>
          </w:tcPr>
          <w:p>
            <w:r>
              <w:rPr>
                <w:sz w:val="18"/>
                <w:szCs w:val="18"/>
              </w:rPr>
              <w:t xml:space="preserve">4,001.13</w:t>
            </w:r>
          </w:p>
        </w:tc>
        <w:tc>
          <w:tcPr>
            <w:tcW w:type="dxa" w:w="1600"/>
            <w:shd w:fill="F4F1EC" w:color="auto" w:val="clear"/>
            <w:tcMar>
              <w:top w:type="dxa" w:w="60"/>
              <w:left w:type="dxa" w:w="90"/>
              <w:bottom w:type="dxa" w:w="60"/>
              <w:right w:type="dxa" w:w="90"/>
            </w:tcMar>
          </w:tcPr>
          <w:p>
            <w:r>
              <w:rPr>
                <w:sz w:val="18"/>
                <w:szCs w:val="18"/>
              </w:rPr>
              <w:t xml:space="preserve">4,102.72</w:t>
            </w:r>
          </w:p>
        </w:tc>
        <w:tc>
          <w:tcPr>
            <w:tcW w:type="dxa" w:w="1600"/>
            <w:shd w:fill="F4F1EC" w:color="auto" w:val="clear"/>
            <w:tcMar>
              <w:top w:type="dxa" w:w="60"/>
              <w:left w:type="dxa" w:w="90"/>
              <w:bottom w:type="dxa" w:w="60"/>
              <w:right w:type="dxa" w:w="90"/>
            </w:tcMar>
          </w:tcPr>
          <w:p>
            <w:r>
              <w:rPr>
                <w:sz w:val="18"/>
                <w:szCs w:val="18"/>
              </w:rPr>
              <w:t xml:space="preserve">3,985.76</w:t>
            </w:r>
          </w:p>
        </w:tc>
        <w:tc>
          <w:tcPr>
            <w:tcW w:type="dxa" w:w="1600"/>
            <w:shd w:fill="F4F1EC" w:color="auto" w:val="clear"/>
            <w:tcMar>
              <w:top w:type="dxa" w:w="60"/>
              <w:left w:type="dxa" w:w="90"/>
              <w:bottom w:type="dxa" w:w="60"/>
              <w:right w:type="dxa" w:w="90"/>
            </w:tcMar>
          </w:tcPr>
          <w:p>
            <w:r>
              <w:rPr>
                <w:sz w:val="18"/>
                <w:szCs w:val="18"/>
              </w:rPr>
              <w:t xml:space="preserve">4,053.56</w:t>
            </w:r>
          </w:p>
        </w:tc>
        <w:tc>
          <w:tcPr>
            <w:tcW w:type="dxa" w:w="1600"/>
            <w:shd w:fill="F4F1EC" w:color="auto" w:val="clear"/>
            <w:tcMar>
              <w:top w:type="dxa" w:w="60"/>
              <w:left w:type="dxa" w:w="90"/>
              <w:bottom w:type="dxa" w:w="60"/>
              <w:right w:type="dxa" w:w="90"/>
            </w:tcMar>
          </w:tcPr>
          <w:p>
            <w:r>
              <w:rPr>
                <w:sz w:val="18"/>
                <w:szCs w:val="18"/>
              </w:rPr>
              <w:t xml:space="preserve">+1.29%</w:t>
            </w:r>
          </w:p>
        </w:tc>
      </w:tr>
      <w:tr>
        <w:tc>
          <w:tcPr>
            <w:tcW w:type="dxa" w:w="1360"/>
            <w:tcMar>
              <w:top w:type="dxa" w:w="60"/>
              <w:left w:type="dxa" w:w="90"/>
              <w:bottom w:type="dxa" w:w="60"/>
              <w:right w:type="dxa" w:w="90"/>
            </w:tcMar>
          </w:tcPr>
          <w:p>
            <w:r>
              <w:rPr>
                <w:sz w:val="18"/>
                <w:szCs w:val="18"/>
              </w:rPr>
              <w:t xml:space="preserve">15-Jul-26</w:t>
            </w:r>
          </w:p>
        </w:tc>
        <w:tc>
          <w:tcPr>
            <w:tcW w:type="dxa" w:w="1600"/>
            <w:tcMar>
              <w:top w:type="dxa" w:w="60"/>
              <w:left w:type="dxa" w:w="90"/>
              <w:bottom w:type="dxa" w:w="60"/>
              <w:right w:type="dxa" w:w="90"/>
            </w:tcMar>
          </w:tcPr>
          <w:p>
            <w:r>
              <w:rPr>
                <w:sz w:val="18"/>
                <w:szCs w:val="18"/>
              </w:rPr>
              <w:t xml:space="preserve">4,052.96</w:t>
            </w:r>
          </w:p>
        </w:tc>
        <w:tc>
          <w:tcPr>
            <w:tcW w:type="dxa" w:w="1600"/>
            <w:tcMar>
              <w:top w:type="dxa" w:w="60"/>
              <w:left w:type="dxa" w:w="90"/>
              <w:bottom w:type="dxa" w:w="60"/>
              <w:right w:type="dxa" w:w="90"/>
            </w:tcMar>
          </w:tcPr>
          <w:p>
            <w:r>
              <w:rPr>
                <w:sz w:val="18"/>
                <w:szCs w:val="18"/>
              </w:rPr>
              <w:t xml:space="preserve">4,090.00</w:t>
            </w:r>
          </w:p>
        </w:tc>
        <w:tc>
          <w:tcPr>
            <w:tcW w:type="dxa" w:w="1600"/>
            <w:tcMar>
              <w:top w:type="dxa" w:w="60"/>
              <w:left w:type="dxa" w:w="90"/>
              <w:bottom w:type="dxa" w:w="60"/>
              <w:right w:type="dxa" w:w="90"/>
            </w:tcMar>
          </w:tcPr>
          <w:p>
            <w:r>
              <w:rPr>
                <w:sz w:val="18"/>
                <w:szCs w:val="18"/>
              </w:rPr>
              <w:t xml:space="preserve">4,017.50</w:t>
            </w:r>
          </w:p>
        </w:tc>
        <w:tc>
          <w:tcPr>
            <w:tcW w:type="dxa" w:w="1600"/>
            <w:tcMar>
              <w:top w:type="dxa" w:w="60"/>
              <w:left w:type="dxa" w:w="90"/>
              <w:bottom w:type="dxa" w:w="60"/>
              <w:right w:type="dxa" w:w="90"/>
            </w:tcMar>
          </w:tcPr>
          <w:p>
            <w:r>
              <w:rPr>
                <w:sz w:val="18"/>
                <w:szCs w:val="18"/>
              </w:rPr>
              <w:t xml:space="preserve">4,070.00</w:t>
            </w:r>
          </w:p>
        </w:tc>
        <w:tc>
          <w:tcPr>
            <w:tcW w:type="dxa" w:w="1600"/>
            <w:tcMar>
              <w:top w:type="dxa" w:w="60"/>
              <w:left w:type="dxa" w:w="90"/>
              <w:bottom w:type="dxa" w:w="60"/>
              <w:right w:type="dxa" w:w="90"/>
            </w:tcMar>
          </w:tcPr>
          <w:p>
            <w:r>
              <w:rPr>
                <w:sz w:val="18"/>
                <w:szCs w:val="18"/>
              </w:rPr>
              <w:t xml:space="preserve">+0.41%</w:t>
            </w:r>
          </w:p>
        </w:tc>
      </w:tr>
    </w:tbl>
    <w:p>
      <w:pPr>
        <w:spacing w:after="100"/>
      </w:pPr>
      <w:r>
        <w:rPr>
          <w:b w:val="false"/>
          <w:bCs w:val="false"/>
          <w:i/>
          <w:iCs/>
          <w:sz w:val="16"/>
          <w:szCs w:val="16"/>
        </w:rPr>
        <w:t xml:space="preserve">Reconstructed from corroborated multi-source reads (Investing.com historical, TradingEconomics, Vantage, LiteFinance). Intraday extremes are composite across venues; treat highs/lows as ±$5 indicative. SINGLE-SOURCE-INDICATIVE on the 09–10 Jul rows.</w:t>
      </w:r>
    </w:p>
    <w:p>
      <w:pPr>
        <w:spacing w:after="100"/>
      </w:pPr>
      <w:r>
        <w:rPr>
          <w:b w:val="false"/>
          <w:bCs w:val="false"/>
          <w:i w:val="false"/>
          <w:iCs w:val="false"/>
          <w:sz w:val="20"/>
          <w:szCs w:val="20"/>
        </w:rPr>
        <w:t xml:space="preserve"/>
      </w:r>
    </w:p>
    <w:p>
      <w:pPr>
        <w:spacing w:after="100"/>
      </w:pPr>
      <w:r>
        <w:rPr>
          <w:b/>
          <w:bCs/>
          <w:i w:val="false"/>
          <w:iCs w:val="false"/>
          <w:sz w:val="20"/>
          <w:szCs w:val="20"/>
        </w:rPr>
        <w:t xml:space="preserve">Silver (XAG/USD) — secondary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shd w:fill="7A5C2E" w:color="auto" w:val="clear"/>
            <w:tcMar>
              <w:top w:type="dxa" w:w="60"/>
              <w:left w:type="dxa" w:w="90"/>
              <w:bottom w:type="dxa" w:w="60"/>
              <w:right w:type="dxa" w:w="90"/>
            </w:tcMar>
          </w:tcPr>
          <w:p>
            <w:r>
              <w:rPr>
                <w:b/>
                <w:bCs/>
                <w:color w:val="FFFFFF"/>
                <w:sz w:val="18"/>
                <w:szCs w:val="18"/>
              </w:rPr>
              <w:t xml:space="preserve">Date</w:t>
            </w:r>
          </w:p>
        </w:tc>
        <w:tc>
          <w:tcPr>
            <w:tcW w:type="dxa" w:w="1800"/>
            <w:shd w:fill="7A5C2E" w:color="auto" w:val="clear"/>
            <w:tcMar>
              <w:top w:type="dxa" w:w="60"/>
              <w:left w:type="dxa" w:w="90"/>
              <w:bottom w:type="dxa" w:w="60"/>
              <w:right w:type="dxa" w:w="90"/>
            </w:tcMar>
          </w:tcPr>
          <w:p>
            <w:r>
              <w:rPr>
                <w:b/>
                <w:bCs/>
                <w:color w:val="FFFFFF"/>
                <w:sz w:val="18"/>
                <w:szCs w:val="18"/>
              </w:rPr>
              <w:t xml:space="preserve">Close</w:t>
            </w:r>
          </w:p>
        </w:tc>
        <w:tc>
          <w:tcPr>
            <w:tcW w:type="dxa" w:w="1800"/>
            <w:shd w:fill="7A5C2E" w:color="auto" w:val="clear"/>
            <w:tcMar>
              <w:top w:type="dxa" w:w="60"/>
              <w:left w:type="dxa" w:w="90"/>
              <w:bottom w:type="dxa" w:w="60"/>
              <w:right w:type="dxa" w:w="90"/>
            </w:tcMar>
          </w:tcPr>
          <w:p>
            <w:r>
              <w:rPr>
                <w:b/>
                <w:bCs/>
                <w:color w:val="FFFFFF"/>
                <w:sz w:val="18"/>
                <w:szCs w:val="18"/>
              </w:rPr>
              <w:t xml:space="preserve">Chg %</w:t>
            </w:r>
          </w:p>
        </w:tc>
        <w:tc>
          <w:tcPr>
            <w:tcW w:type="dxa" w:w="3960"/>
            <w:shd w:fill="7A5C2E" w:color="auto" w:val="clear"/>
            <w:tcMar>
              <w:top w:type="dxa" w:w="60"/>
              <w:left w:type="dxa" w:w="90"/>
              <w:bottom w:type="dxa" w:w="60"/>
              <w:right w:type="dxa" w:w="90"/>
            </w:tcMar>
          </w:tcPr>
          <w:p>
            <w:r>
              <w:rPr>
                <w:b/>
                <w:bCs/>
                <w:color w:val="FFFFFF"/>
                <w:sz w:val="18"/>
                <w:szCs w:val="18"/>
              </w:rPr>
              <w:t xml:space="preserve">Note</w:t>
            </w:r>
          </w:p>
        </w:tc>
      </w:tr>
      <w:tr>
        <w:tc>
          <w:tcPr>
            <w:tcW w:type="dxa" w:w="1800"/>
            <w:tcMar>
              <w:top w:type="dxa" w:w="60"/>
              <w:left w:type="dxa" w:w="90"/>
              <w:bottom w:type="dxa" w:w="60"/>
              <w:right w:type="dxa" w:w="90"/>
            </w:tcMar>
          </w:tcPr>
          <w:p>
            <w:r>
              <w:rPr>
                <w:sz w:val="18"/>
                <w:szCs w:val="18"/>
              </w:rPr>
              <w:t xml:space="preserve">13-Jul-26</w:t>
            </w:r>
          </w:p>
        </w:tc>
        <w:tc>
          <w:tcPr>
            <w:tcW w:type="dxa" w:w="1800"/>
            <w:tcMar>
              <w:top w:type="dxa" w:w="60"/>
              <w:left w:type="dxa" w:w="90"/>
              <w:bottom w:type="dxa" w:w="60"/>
              <w:right w:type="dxa" w:w="90"/>
            </w:tcMar>
          </w:tcPr>
          <w:p>
            <w:r>
              <w:rPr>
                <w:sz w:val="18"/>
                <w:szCs w:val="18"/>
              </w:rPr>
              <w:t xml:space="preserve">57.62</w:t>
            </w:r>
          </w:p>
        </w:tc>
        <w:tc>
          <w:tcPr>
            <w:tcW w:type="dxa" w:w="1800"/>
            <w:tcMar>
              <w:top w:type="dxa" w:w="60"/>
              <w:left w:type="dxa" w:w="90"/>
              <w:bottom w:type="dxa" w:w="60"/>
              <w:right w:type="dxa" w:w="90"/>
            </w:tcMar>
          </w:tcPr>
          <w:p>
            <w:r>
              <w:rPr>
                <w:sz w:val="18"/>
                <w:szCs w:val="18"/>
              </w:rPr>
              <w:t xml:space="preserve">—</w:t>
            </w:r>
          </w:p>
        </w:tc>
        <w:tc>
          <w:tcPr>
            <w:tcW w:type="dxa" w:w="3960"/>
            <w:tcMar>
              <w:top w:type="dxa" w:w="60"/>
              <w:left w:type="dxa" w:w="90"/>
              <w:bottom w:type="dxa" w:w="60"/>
              <w:right w:type="dxa" w:w="90"/>
            </w:tcMar>
          </w:tcPr>
          <w:p>
            <w:r>
              <w:rPr>
                <w:sz w:val="18"/>
                <w:szCs w:val="18"/>
              </w:rPr>
              <w:t xml:space="preserve">Pre-CPI</w:t>
            </w:r>
          </w:p>
        </w:tc>
      </w:tr>
      <w:tr>
        <w:tc>
          <w:tcPr>
            <w:tcW w:type="dxa" w:w="1800"/>
            <w:shd w:fill="F4F1EC" w:color="auto" w:val="clear"/>
            <w:tcMar>
              <w:top w:type="dxa" w:w="60"/>
              <w:left w:type="dxa" w:w="90"/>
              <w:bottom w:type="dxa" w:w="60"/>
              <w:right w:type="dxa" w:w="90"/>
            </w:tcMar>
          </w:tcPr>
          <w:p>
            <w:r>
              <w:rPr>
                <w:sz w:val="18"/>
                <w:szCs w:val="18"/>
              </w:rPr>
              <w:t xml:space="preserve">14-Jul-26</w:t>
            </w:r>
          </w:p>
        </w:tc>
        <w:tc>
          <w:tcPr>
            <w:tcW w:type="dxa" w:w="1800"/>
            <w:shd w:fill="F4F1EC" w:color="auto" w:val="clear"/>
            <w:tcMar>
              <w:top w:type="dxa" w:w="60"/>
              <w:left w:type="dxa" w:w="90"/>
              <w:bottom w:type="dxa" w:w="60"/>
              <w:right w:type="dxa" w:w="90"/>
            </w:tcMar>
          </w:tcPr>
          <w:p>
            <w:r>
              <w:rPr>
                <w:sz w:val="18"/>
                <w:szCs w:val="18"/>
              </w:rPr>
              <w:t xml:space="preserve">58.81</w:t>
            </w:r>
          </w:p>
        </w:tc>
        <w:tc>
          <w:tcPr>
            <w:tcW w:type="dxa" w:w="1800"/>
            <w:shd w:fill="F4F1EC" w:color="auto" w:val="clear"/>
            <w:tcMar>
              <w:top w:type="dxa" w:w="60"/>
              <w:left w:type="dxa" w:w="90"/>
              <w:bottom w:type="dxa" w:w="60"/>
              <w:right w:type="dxa" w:w="90"/>
            </w:tcMar>
          </w:tcPr>
          <w:p>
            <w:r>
              <w:rPr>
                <w:sz w:val="18"/>
                <w:szCs w:val="18"/>
              </w:rPr>
              <w:t xml:space="preserve">+2.06%</w:t>
            </w:r>
          </w:p>
        </w:tc>
        <w:tc>
          <w:tcPr>
            <w:tcW w:type="dxa" w:w="3960"/>
            <w:shd w:fill="F4F1EC" w:color="auto" w:val="clear"/>
            <w:tcMar>
              <w:top w:type="dxa" w:w="60"/>
              <w:left w:type="dxa" w:w="90"/>
              <w:bottom w:type="dxa" w:w="60"/>
              <w:right w:type="dxa" w:w="90"/>
            </w:tcMar>
          </w:tcPr>
          <w:p>
            <w:r>
              <w:rPr>
                <w:sz w:val="18"/>
                <w:szCs w:val="18"/>
              </w:rPr>
              <w:t xml:space="preserve">CPI-driven rally</w:t>
            </w:r>
          </w:p>
        </w:tc>
      </w:tr>
      <w:tr>
        <w:tc>
          <w:tcPr>
            <w:tcW w:type="dxa" w:w="1800"/>
            <w:tcMar>
              <w:top w:type="dxa" w:w="60"/>
              <w:left w:type="dxa" w:w="90"/>
              <w:bottom w:type="dxa" w:w="60"/>
              <w:right w:type="dxa" w:w="90"/>
            </w:tcMar>
          </w:tcPr>
          <w:p>
            <w:r>
              <w:rPr>
                <w:sz w:val="18"/>
                <w:szCs w:val="18"/>
              </w:rPr>
              <w:t xml:space="preserve">15-Jul-26</w:t>
            </w:r>
          </w:p>
        </w:tc>
        <w:tc>
          <w:tcPr>
            <w:tcW w:type="dxa" w:w="1800"/>
            <w:tcMar>
              <w:top w:type="dxa" w:w="60"/>
              <w:left w:type="dxa" w:w="90"/>
              <w:bottom w:type="dxa" w:w="60"/>
              <w:right w:type="dxa" w:w="90"/>
            </w:tcMar>
          </w:tcPr>
          <w:p>
            <w:r>
              <w:rPr>
                <w:sz w:val="18"/>
                <w:szCs w:val="18"/>
              </w:rPr>
              <w:t xml:space="preserve">58.41</w:t>
            </w:r>
          </w:p>
        </w:tc>
        <w:tc>
          <w:tcPr>
            <w:tcW w:type="dxa" w:w="1800"/>
            <w:tcMar>
              <w:top w:type="dxa" w:w="60"/>
              <w:left w:type="dxa" w:w="90"/>
              <w:bottom w:type="dxa" w:w="60"/>
              <w:right w:type="dxa" w:w="90"/>
            </w:tcMar>
          </w:tcPr>
          <w:p>
            <w:r>
              <w:rPr>
                <w:sz w:val="18"/>
                <w:szCs w:val="18"/>
              </w:rPr>
              <w:t xml:space="preserve">−0.46%</w:t>
            </w:r>
          </w:p>
        </w:tc>
        <w:tc>
          <w:tcPr>
            <w:tcW w:type="dxa" w:w="3960"/>
            <w:tcMar>
              <w:top w:type="dxa" w:w="60"/>
              <w:left w:type="dxa" w:w="90"/>
              <w:bottom w:type="dxa" w:w="60"/>
              <w:right w:type="dxa" w:w="90"/>
            </w:tcMar>
          </w:tcPr>
          <w:p>
            <w:r>
              <w:rPr>
                <w:sz w:val="18"/>
                <w:szCs w:val="18"/>
              </w:rPr>
              <w:t xml:space="preserve">Rejected at $59.00</w:t>
            </w:r>
          </w:p>
        </w:tc>
      </w:tr>
    </w:tbl>
    <w:p>
      <w:pPr>
        <w:spacing w:after="100"/>
      </w:pPr>
      <w:r>
        <w:rPr>
          <w:b w:val="false"/>
          <w:bCs w:val="false"/>
          <w:i w:val="false"/>
          <w:iCs w:val="false"/>
          <w:sz w:val="18"/>
          <w:szCs w:val="18"/>
        </w:rPr>
        <w:t xml:space="preserve">Gold/Silver ratio: 69.04 on 15-Jul, essentially unchanged from 69.05 on 14-Jul. The ratio's stability through a 2% silver move confirms the precious complex is trading as a bloc on a common macro driver (the inflation print) rather than on metal-specific flow. Silver's rejection at $59.00 while gold held $4,000+ is a mild relative-strength tell in gold's favour.</w:t>
      </w:r>
    </w:p>
    <w:p>
      <w:r>
        <w:br w:type="page"/>
      </w:r>
    </w:p>
    <w:p>
      <w:pPr>
        <w:pStyle w:val="Heading1"/>
        <w:spacing w:after="120" w:before="240"/>
      </w:pPr>
      <w:r>
        <w:t xml:space="preserve">§7  Short-Window Technical Structure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shd w:fill="7A5C2E" w:color="auto" w:val="clear"/>
            <w:tcMar>
              <w:top w:type="dxa" w:w="60"/>
              <w:left w:type="dxa" w:w="90"/>
              <w:bottom w:type="dxa" w:w="60"/>
              <w:right w:type="dxa" w:w="90"/>
            </w:tcMar>
          </w:tcPr>
          <w:p>
            <w:r>
              <w:rPr>
                <w:b/>
                <w:bCs/>
                <w:color w:val="FFFFFF"/>
                <w:sz w:val="18"/>
                <w:szCs w:val="18"/>
              </w:rPr>
              <w:t xml:space="preserve">Metric</w:t>
            </w:r>
          </w:p>
        </w:tc>
        <w:tc>
          <w:tcPr>
            <w:tcW w:type="dxa" w:w="2600"/>
            <w:shd w:fill="7A5C2E" w:color="auto" w:val="clear"/>
            <w:tcMar>
              <w:top w:type="dxa" w:w="60"/>
              <w:left w:type="dxa" w:w="90"/>
              <w:bottom w:type="dxa" w:w="60"/>
              <w:right w:type="dxa" w:w="90"/>
            </w:tcMar>
          </w:tcPr>
          <w:p>
            <w:r>
              <w:rPr>
                <w:b/>
                <w:bCs/>
                <w:color w:val="FFFFFF"/>
                <w:sz w:val="18"/>
                <w:szCs w:val="18"/>
              </w:rPr>
              <w:t xml:space="preserve">Value</w:t>
            </w:r>
          </w:p>
        </w:tc>
        <w:tc>
          <w:tcPr>
            <w:tcW w:type="dxa" w:w="3760"/>
            <w:shd w:fill="7A5C2E" w:color="auto" w:val="clear"/>
            <w:tcMar>
              <w:top w:type="dxa" w:w="60"/>
              <w:left w:type="dxa" w:w="90"/>
              <w:bottom w:type="dxa" w:w="60"/>
              <w:right w:type="dxa" w:w="90"/>
            </w:tcMar>
          </w:tcPr>
          <w:p>
            <w:r>
              <w:rPr>
                <w:b/>
                <w:bCs/>
                <w:color w:val="FFFFFF"/>
                <w:sz w:val="18"/>
                <w:szCs w:val="18"/>
              </w:rPr>
              <w:t xml:space="preserve">Read</w:t>
            </w:r>
          </w:p>
        </w:tc>
      </w:tr>
      <w:tr>
        <w:tc>
          <w:tcPr>
            <w:tcW w:type="dxa" w:w="3000"/>
            <w:tcMar>
              <w:top w:type="dxa" w:w="60"/>
              <w:left w:type="dxa" w:w="90"/>
              <w:bottom w:type="dxa" w:w="60"/>
              <w:right w:type="dxa" w:w="90"/>
            </w:tcMar>
          </w:tcPr>
          <w:p>
            <w:r>
              <w:rPr>
                <w:sz w:val="18"/>
                <w:szCs w:val="18"/>
              </w:rPr>
              <w:t xml:space="preserve">Swing high (5d)</w:t>
            </w:r>
          </w:p>
        </w:tc>
        <w:tc>
          <w:tcPr>
            <w:tcW w:type="dxa" w:w="2600"/>
            <w:tcMar>
              <w:top w:type="dxa" w:w="60"/>
              <w:left w:type="dxa" w:w="90"/>
              <w:bottom w:type="dxa" w:w="60"/>
              <w:right w:type="dxa" w:w="90"/>
            </w:tcMar>
          </w:tcPr>
          <w:p>
            <w:r>
              <w:rPr>
                <w:sz w:val="18"/>
                <w:szCs w:val="18"/>
              </w:rPr>
              <w:t xml:space="preserve">4,132.00</w:t>
            </w:r>
          </w:p>
        </w:tc>
        <w:tc>
          <w:tcPr>
            <w:tcW w:type="dxa" w:w="3760"/>
            <w:tcMar>
              <w:top w:type="dxa" w:w="60"/>
              <w:left w:type="dxa" w:w="90"/>
              <w:bottom w:type="dxa" w:w="60"/>
              <w:right w:type="dxa" w:w="90"/>
            </w:tcMar>
          </w:tcPr>
          <w:p>
            <w:r>
              <w:rPr>
                <w:sz w:val="18"/>
                <w:szCs w:val="18"/>
              </w:rPr>
              <w:t xml:space="preserve">09-Jul intraday</w:t>
            </w:r>
          </w:p>
        </w:tc>
      </w:tr>
      <w:tr>
        <w:tc>
          <w:tcPr>
            <w:tcW w:type="dxa" w:w="3000"/>
            <w:shd w:fill="F4F1EC" w:color="auto" w:val="clear"/>
            <w:tcMar>
              <w:top w:type="dxa" w:w="60"/>
              <w:left w:type="dxa" w:w="90"/>
              <w:bottom w:type="dxa" w:w="60"/>
              <w:right w:type="dxa" w:w="90"/>
            </w:tcMar>
          </w:tcPr>
          <w:p>
            <w:r>
              <w:rPr>
                <w:sz w:val="18"/>
                <w:szCs w:val="18"/>
              </w:rPr>
              <w:t xml:space="preserve">Swing low (5d)</w:t>
            </w:r>
          </w:p>
        </w:tc>
        <w:tc>
          <w:tcPr>
            <w:tcW w:type="dxa" w:w="2600"/>
            <w:shd w:fill="F4F1EC" w:color="auto" w:val="clear"/>
            <w:tcMar>
              <w:top w:type="dxa" w:w="60"/>
              <w:left w:type="dxa" w:w="90"/>
              <w:bottom w:type="dxa" w:w="60"/>
              <w:right w:type="dxa" w:w="90"/>
            </w:tcMar>
          </w:tcPr>
          <w:p>
            <w:r>
              <w:rPr>
                <w:sz w:val="18"/>
                <w:szCs w:val="18"/>
              </w:rPr>
              <w:t xml:space="preserve">3,985.76</w:t>
            </w:r>
          </w:p>
        </w:tc>
        <w:tc>
          <w:tcPr>
            <w:tcW w:type="dxa" w:w="3760"/>
            <w:shd w:fill="F4F1EC" w:color="auto" w:val="clear"/>
            <w:tcMar>
              <w:top w:type="dxa" w:w="60"/>
              <w:left w:type="dxa" w:w="90"/>
              <w:bottom w:type="dxa" w:w="60"/>
              <w:right w:type="dxa" w:w="90"/>
            </w:tcMar>
          </w:tcPr>
          <w:p>
            <w:r>
              <w:rPr>
                <w:sz w:val="18"/>
                <w:szCs w:val="18"/>
              </w:rPr>
              <w:t xml:space="preserve">14-Jul intraday</w:t>
            </w:r>
          </w:p>
        </w:tc>
      </w:tr>
      <w:tr>
        <w:tc>
          <w:tcPr>
            <w:tcW w:type="dxa" w:w="3000"/>
            <w:tcMar>
              <w:top w:type="dxa" w:w="60"/>
              <w:left w:type="dxa" w:w="90"/>
              <w:bottom w:type="dxa" w:w="60"/>
              <w:right w:type="dxa" w:w="90"/>
            </w:tcMar>
          </w:tcPr>
          <w:p>
            <w:r>
              <w:rPr>
                <w:sz w:val="18"/>
                <w:szCs w:val="18"/>
              </w:rPr>
              <w:t xml:space="preserve">5-day range</w:t>
            </w:r>
          </w:p>
        </w:tc>
        <w:tc>
          <w:tcPr>
            <w:tcW w:type="dxa" w:w="2600"/>
            <w:tcMar>
              <w:top w:type="dxa" w:w="60"/>
              <w:left w:type="dxa" w:w="90"/>
              <w:bottom w:type="dxa" w:w="60"/>
              <w:right w:type="dxa" w:w="90"/>
            </w:tcMar>
          </w:tcPr>
          <w:p>
            <w:r>
              <w:rPr>
                <w:sz w:val="18"/>
                <w:szCs w:val="18"/>
              </w:rPr>
              <w:t xml:space="preserve">146.24 (1.86 × ATR)</w:t>
            </w:r>
          </w:p>
        </w:tc>
        <w:tc>
          <w:tcPr>
            <w:tcW w:type="dxa" w:w="3760"/>
            <w:tcMar>
              <w:top w:type="dxa" w:w="60"/>
              <w:left w:type="dxa" w:w="90"/>
              <w:bottom w:type="dxa" w:w="60"/>
              <w:right w:type="dxa" w:w="90"/>
            </w:tcMar>
          </w:tcPr>
          <w:p>
            <w:r>
              <w:rPr>
                <w:sz w:val="18"/>
                <w:szCs w:val="18"/>
              </w:rPr>
              <w:t xml:space="preserve">Compressed</w:t>
            </w:r>
          </w:p>
        </w:tc>
      </w:tr>
      <w:tr>
        <w:tc>
          <w:tcPr>
            <w:tcW w:type="dxa" w:w="3000"/>
            <w:shd w:fill="F4F1EC" w:color="auto" w:val="clear"/>
            <w:tcMar>
              <w:top w:type="dxa" w:w="60"/>
              <w:left w:type="dxa" w:w="90"/>
              <w:bottom w:type="dxa" w:w="60"/>
              <w:right w:type="dxa" w:w="90"/>
            </w:tcMar>
          </w:tcPr>
          <w:p>
            <w:r>
              <w:rPr>
                <w:sz w:val="18"/>
                <w:szCs w:val="18"/>
              </w:rPr>
              <w:t xml:space="preserve">Net 5-day change</w:t>
            </w:r>
          </w:p>
        </w:tc>
        <w:tc>
          <w:tcPr>
            <w:tcW w:type="dxa" w:w="2600"/>
            <w:shd w:fill="F4F1EC" w:color="auto" w:val="clear"/>
            <w:tcMar>
              <w:top w:type="dxa" w:w="60"/>
              <w:left w:type="dxa" w:w="90"/>
              <w:bottom w:type="dxa" w:w="60"/>
              <w:right w:type="dxa" w:w="90"/>
            </w:tcMar>
          </w:tcPr>
          <w:p>
            <w:r>
              <w:rPr>
                <w:sz w:val="18"/>
                <w:szCs w:val="18"/>
              </w:rPr>
              <w:t xml:space="preserve">−18.00 (−0.44%)</w:t>
            </w:r>
          </w:p>
        </w:tc>
        <w:tc>
          <w:tcPr>
            <w:tcW w:type="dxa" w:w="3760"/>
            <w:shd w:fill="F4F1EC" w:color="auto" w:val="clear"/>
            <w:tcMar>
              <w:top w:type="dxa" w:w="60"/>
              <w:left w:type="dxa" w:w="90"/>
              <w:bottom w:type="dxa" w:w="60"/>
              <w:right w:type="dxa" w:w="90"/>
            </w:tcMar>
          </w:tcPr>
          <w:p>
            <w:r>
              <w:rPr>
                <w:sz w:val="18"/>
                <w:szCs w:val="18"/>
              </w:rPr>
              <w:t xml:space="preserve">Flat</w:t>
            </w:r>
          </w:p>
        </w:tc>
      </w:tr>
      <w:tr>
        <w:tc>
          <w:tcPr>
            <w:tcW w:type="dxa" w:w="3000"/>
            <w:tcMar>
              <w:top w:type="dxa" w:w="60"/>
              <w:left w:type="dxa" w:w="90"/>
              <w:bottom w:type="dxa" w:w="60"/>
              <w:right w:type="dxa" w:w="90"/>
            </w:tcMar>
          </w:tcPr>
          <w:p>
            <w:r>
              <w:rPr>
                <w:sz w:val="18"/>
                <w:szCs w:val="18"/>
              </w:rPr>
              <w:t xml:space="preserve">Path length (sum |Δclose|)</w:t>
            </w:r>
          </w:p>
        </w:tc>
        <w:tc>
          <w:tcPr>
            <w:tcW w:type="dxa" w:w="2600"/>
            <w:tcMar>
              <w:top w:type="dxa" w:w="60"/>
              <w:left w:type="dxa" w:w="90"/>
              <w:bottom w:type="dxa" w:w="60"/>
              <w:right w:type="dxa" w:w="90"/>
            </w:tcMar>
          </w:tcPr>
          <w:p>
            <w:r>
              <w:rPr>
                <w:sz w:val="18"/>
                <w:szCs w:val="18"/>
              </w:rPr>
              <w:t xml:space="preserve">153.77</w:t>
            </w:r>
          </w:p>
        </w:tc>
        <w:tc>
          <w:tcPr>
            <w:tcW w:type="dxa" w:w="3760"/>
            <w:tcMar>
              <w:top w:type="dxa" w:w="60"/>
              <w:left w:type="dxa" w:w="90"/>
              <w:bottom w:type="dxa" w:w="60"/>
              <w:right w:type="dxa" w:w="90"/>
            </w:tcMar>
          </w:tcPr>
          <w:p>
            <w:r>
              <w:rPr>
                <w:sz w:val="18"/>
                <w:szCs w:val="18"/>
              </w:rPr>
              <w:t xml:space="preserve">High churn</w:t>
            </w:r>
          </w:p>
        </w:tc>
      </w:tr>
      <w:tr>
        <w:tc>
          <w:tcPr>
            <w:tcW w:type="dxa" w:w="3000"/>
            <w:shd w:fill="F4F1EC" w:color="auto" w:val="clear"/>
            <w:tcMar>
              <w:top w:type="dxa" w:w="60"/>
              <w:left w:type="dxa" w:w="90"/>
              <w:bottom w:type="dxa" w:w="60"/>
              <w:right w:type="dxa" w:w="90"/>
            </w:tcMar>
          </w:tcPr>
          <w:p>
            <w:r>
              <w:rPr>
                <w:sz w:val="18"/>
                <w:szCs w:val="18"/>
              </w:rPr>
              <w:t xml:space="preserve">Position in range</w:t>
            </w:r>
          </w:p>
        </w:tc>
        <w:tc>
          <w:tcPr>
            <w:tcW w:type="dxa" w:w="2600"/>
            <w:shd w:fill="F4F1EC" w:color="auto" w:val="clear"/>
            <w:tcMar>
              <w:top w:type="dxa" w:w="60"/>
              <w:left w:type="dxa" w:w="90"/>
              <w:bottom w:type="dxa" w:w="60"/>
              <w:right w:type="dxa" w:w="90"/>
            </w:tcMar>
          </w:tcPr>
          <w:p>
            <w:r>
              <w:rPr>
                <w:sz w:val="18"/>
                <w:szCs w:val="18"/>
              </w:rPr>
              <w:t xml:space="preserve">57.6%</w:t>
            </w:r>
          </w:p>
        </w:tc>
        <w:tc>
          <w:tcPr>
            <w:tcW w:type="dxa" w:w="3760"/>
            <w:shd w:fill="F4F1EC" w:color="auto" w:val="clear"/>
            <w:tcMar>
              <w:top w:type="dxa" w:w="60"/>
              <w:left w:type="dxa" w:w="90"/>
              <w:bottom w:type="dxa" w:w="60"/>
              <w:right w:type="dxa" w:w="90"/>
            </w:tcMar>
          </w:tcPr>
          <w:p>
            <w:r>
              <w:rPr>
                <w:sz w:val="18"/>
                <w:szCs w:val="18"/>
              </w:rPr>
              <w:t xml:space="preserve">Upper half</w:t>
            </w:r>
          </w:p>
        </w:tc>
      </w:tr>
    </w:tbl>
    <w:p>
      <w:pPr>
        <w:spacing w:after="100"/>
      </w:pPr>
      <w:r>
        <w:rPr>
          <w:b w:val="false"/>
          <w:bCs w:val="false"/>
          <w:i w:val="false"/>
          <w:iCs w:val="false"/>
          <w:sz w:val="20"/>
          <w:szCs w:val="20"/>
        </w:rPr>
        <w:t xml:space="preserve">The short window is the clearest single fact in this report: gold has travelled 153.77 points of path to end 18 points lower. That is a market working hard to go nowhere. Price closed at 4,070.00, in the upper half of a 146-point range, having twice defended the 3,985–4,000 zone (13-Jul and 14-Jul lows within four cents of each other at 3,985.80 / 3,985.76). A double-tap that precise is a real bid, not noise. The 5-day bias is therefore modestly constructive: +0.30 on the short-technical axis, driven by the defended low and the close in the upper half, tempered by the failure to hold above 4,100 on 09-Jul and again on 14-Jul.</w:t>
      </w:r>
    </w:p>
    <w:p>
      <w:pPr>
        <w:spacing w:after="100"/>
      </w:pPr>
      <w:r>
        <w:rPr>
          <w:b w:val="false"/>
          <w:bCs w:val="false"/>
          <w:i w:val="false"/>
          <w:iCs w:val="false"/>
          <w:sz w:val="20"/>
          <w:szCs w:val="20"/>
        </w:rPr>
        <w:t xml:space="preserve">RSI(14) is reported between 40 and 42 across independent sources (FXLeaders 42, LiteFinance 42, RoboForex 40.5) — below neutral, not oversold, with no divergence. MACD is negative but with a narrowing histogram, the classic signature of exhausting downside momentum inside a base rather than an impulse leg. VWAP and SMA20 sit above spot, which is the counterweight: rallies are selling into overhead supply.</w:t>
      </w:r>
    </w:p>
    <w:p>
      <w:pPr>
        <w:pStyle w:val="Heading1"/>
        <w:spacing w:after="120" w:before="240"/>
      </w:pPr>
      <w:r>
        <w:t xml:space="preserve">§8  Short-Term Bias &amp; RSI2</w:t>
      </w:r>
    </w:p>
    <w:p>
      <w:pPr>
        <w:spacing w:after="100"/>
      </w:pPr>
      <w:r>
        <w:rPr>
          <w:b w:val="false"/>
          <w:bCs w:val="false"/>
          <w:i w:val="false"/>
          <w:iCs w:val="false"/>
          <w:sz w:val="20"/>
          <w:szCs w:val="20"/>
        </w:rPr>
        <w:t xml:space="preserve">Directional bias (5-day): MODESTLY LONG (+0.30). RSI(2) is not independently reported by any consulted source and is not reconstructible to tick precision from composite OHLC; it is therefore excluded from the score rather than fabricated. The §8 contribution rests on the M3 §2a structural read alone. This is a documented degradation of the short-tech input and is flagged in §20.</w:t>
      </w:r>
    </w:p>
    <w:p>
      <w:pPr>
        <w:pStyle w:val="Heading1"/>
        <w:spacing w:after="120" w:before="240"/>
      </w:pPr>
      <w:r>
        <w:t xml:space="preserve">§9  Medium-Window Structural Regime (5-week)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7A5C2E" w:color="auto" w:val="clear"/>
            <w:tcMar>
              <w:top w:type="dxa" w:w="60"/>
              <w:left w:type="dxa" w:w="90"/>
              <w:bottom w:type="dxa" w:w="60"/>
              <w:right w:type="dxa" w:w="90"/>
            </w:tcMar>
          </w:tcPr>
          <w:p>
            <w:r>
              <w:rPr>
                <w:b/>
                <w:bCs/>
                <w:color w:val="FFFFFF"/>
                <w:sz w:val="18"/>
                <w:szCs w:val="18"/>
              </w:rPr>
              <w:t xml:space="preserve">Metric</w:t>
            </w:r>
          </w:p>
        </w:tc>
        <w:tc>
          <w:tcPr>
            <w:tcW w:type="dxa" w:w="2400"/>
            <w:shd w:fill="7A5C2E" w:color="auto" w:val="clear"/>
            <w:tcMar>
              <w:top w:type="dxa" w:w="60"/>
              <w:left w:type="dxa" w:w="90"/>
              <w:bottom w:type="dxa" w:w="60"/>
              <w:right w:type="dxa" w:w="90"/>
            </w:tcMar>
          </w:tcPr>
          <w:p>
            <w:r>
              <w:rPr>
                <w:b/>
                <w:bCs/>
                <w:color w:val="FFFFFF"/>
                <w:sz w:val="18"/>
                <w:szCs w:val="18"/>
              </w:rPr>
              <w:t xml:space="preserve">Value</w:t>
            </w:r>
          </w:p>
        </w:tc>
        <w:tc>
          <w:tcPr>
            <w:tcW w:type="dxa" w:w="3560"/>
            <w:shd w:fill="7A5C2E" w:color="auto" w:val="clear"/>
            <w:tcMar>
              <w:top w:type="dxa" w:w="60"/>
              <w:left w:type="dxa" w:w="90"/>
              <w:bottom w:type="dxa" w:w="60"/>
              <w:right w:type="dxa" w:w="90"/>
            </w:tcMar>
          </w:tcPr>
          <w:p>
            <w:r>
              <w:rPr>
                <w:b/>
                <w:bCs/>
                <w:color w:val="FFFFFF"/>
                <w:sz w:val="18"/>
                <w:szCs w:val="18"/>
              </w:rPr>
              <w:t xml:space="preserve">Read</w:t>
            </w:r>
          </w:p>
        </w:tc>
      </w:tr>
      <w:tr>
        <w:tc>
          <w:tcPr>
            <w:tcW w:type="dxa" w:w="3400"/>
            <w:tcMar>
              <w:top w:type="dxa" w:w="60"/>
              <w:left w:type="dxa" w:w="90"/>
              <w:bottom w:type="dxa" w:w="60"/>
              <w:right w:type="dxa" w:w="90"/>
            </w:tcMar>
          </w:tcPr>
          <w:p>
            <w:r>
              <w:rPr>
                <w:sz w:val="18"/>
                <w:szCs w:val="18"/>
              </w:rPr>
              <w:t xml:space="preserve">25-day trend</w:t>
            </w:r>
          </w:p>
        </w:tc>
        <w:tc>
          <w:tcPr>
            <w:tcW w:type="dxa" w:w="2400"/>
            <w:tcMar>
              <w:top w:type="dxa" w:w="60"/>
              <w:left w:type="dxa" w:w="90"/>
              <w:bottom w:type="dxa" w:w="60"/>
              <w:right w:type="dxa" w:w="90"/>
            </w:tcMar>
          </w:tcPr>
          <w:p>
            <w:r>
              <w:rPr>
                <w:sz w:val="18"/>
                <w:szCs w:val="18"/>
              </w:rPr>
              <w:t xml:space="preserve">Down</w:t>
            </w:r>
          </w:p>
        </w:tc>
        <w:tc>
          <w:tcPr>
            <w:tcW w:type="dxa" w:w="3560"/>
            <w:tcMar>
              <w:top w:type="dxa" w:w="60"/>
              <w:left w:type="dxa" w:w="90"/>
              <w:bottom w:type="dxa" w:w="60"/>
              <w:right w:type="dxa" w:w="90"/>
            </w:tcMar>
          </w:tcPr>
          <w:p>
            <w:r>
              <w:rPr>
                <w:sz w:val="18"/>
                <w:szCs w:val="18"/>
              </w:rPr>
              <w:t xml:space="preserve">Corrective</w:t>
            </w:r>
          </w:p>
        </w:tc>
      </w:tr>
      <w:tr>
        <w:tc>
          <w:tcPr>
            <w:tcW w:type="dxa" w:w="3400"/>
            <w:shd w:fill="F4F1EC" w:color="auto" w:val="clear"/>
            <w:tcMar>
              <w:top w:type="dxa" w:w="60"/>
              <w:left w:type="dxa" w:w="90"/>
              <w:bottom w:type="dxa" w:w="60"/>
              <w:right w:type="dxa" w:w="90"/>
            </w:tcMar>
          </w:tcPr>
          <w:p>
            <w:r>
              <w:rPr>
                <w:sz w:val="18"/>
                <w:szCs w:val="18"/>
              </w:rPr>
              <w:t xml:space="preserve">1-month change</w:t>
            </w:r>
          </w:p>
        </w:tc>
        <w:tc>
          <w:tcPr>
            <w:tcW w:type="dxa" w:w="2400"/>
            <w:shd w:fill="F4F1EC" w:color="auto" w:val="clear"/>
            <w:tcMar>
              <w:top w:type="dxa" w:w="60"/>
              <w:left w:type="dxa" w:w="90"/>
              <w:bottom w:type="dxa" w:w="60"/>
              <w:right w:type="dxa" w:w="90"/>
            </w:tcMar>
          </w:tcPr>
          <w:p>
            <w:r>
              <w:rPr>
                <w:sz w:val="18"/>
                <w:szCs w:val="18"/>
              </w:rPr>
              <w:t xml:space="preserve">−5.94%</w:t>
            </w:r>
          </w:p>
        </w:tc>
        <w:tc>
          <w:tcPr>
            <w:tcW w:type="dxa" w:w="3560"/>
            <w:shd w:fill="F4F1EC" w:color="auto" w:val="clear"/>
            <w:tcMar>
              <w:top w:type="dxa" w:w="60"/>
              <w:left w:type="dxa" w:w="90"/>
              <w:bottom w:type="dxa" w:w="60"/>
              <w:right w:type="dxa" w:w="90"/>
            </w:tcMar>
          </w:tcPr>
          <w:p>
            <w:r>
              <w:rPr>
                <w:sz w:val="18"/>
                <w:szCs w:val="18"/>
              </w:rPr>
              <w:t xml:space="preserve">Material decline</w:t>
            </w:r>
          </w:p>
        </w:tc>
      </w:tr>
      <w:tr>
        <w:tc>
          <w:tcPr>
            <w:tcW w:type="dxa" w:w="3400"/>
            <w:tcMar>
              <w:top w:type="dxa" w:w="60"/>
              <w:left w:type="dxa" w:w="90"/>
              <w:bottom w:type="dxa" w:w="60"/>
              <w:right w:type="dxa" w:w="90"/>
            </w:tcMar>
          </w:tcPr>
          <w:p>
            <w:r>
              <w:rPr>
                <w:sz w:val="18"/>
                <w:szCs w:val="18"/>
              </w:rPr>
              <w:t xml:space="preserve">12-month change</w:t>
            </w:r>
          </w:p>
        </w:tc>
        <w:tc>
          <w:tcPr>
            <w:tcW w:type="dxa" w:w="2400"/>
            <w:tcMar>
              <w:top w:type="dxa" w:w="60"/>
              <w:left w:type="dxa" w:w="90"/>
              <w:bottom w:type="dxa" w:w="60"/>
              <w:right w:type="dxa" w:w="90"/>
            </w:tcMar>
          </w:tcPr>
          <w:p>
            <w:r>
              <w:rPr>
                <w:sz w:val="18"/>
                <w:szCs w:val="18"/>
              </w:rPr>
              <w:t xml:space="preserve">+21.90%</w:t>
            </w:r>
          </w:p>
        </w:tc>
        <w:tc>
          <w:tcPr>
            <w:tcW w:type="dxa" w:w="3560"/>
            <w:tcMar>
              <w:top w:type="dxa" w:w="60"/>
              <w:left w:type="dxa" w:w="90"/>
              <w:bottom w:type="dxa" w:w="60"/>
              <w:right w:type="dxa" w:w="90"/>
            </w:tcMar>
          </w:tcPr>
          <w:p>
            <w:r>
              <w:rPr>
                <w:sz w:val="18"/>
                <w:szCs w:val="18"/>
              </w:rPr>
              <w:t xml:space="preserve">Structural bull intact</w:t>
            </w:r>
          </w:p>
        </w:tc>
      </w:tr>
      <w:tr>
        <w:tc>
          <w:tcPr>
            <w:tcW w:type="dxa" w:w="3400"/>
            <w:shd w:fill="F4F1EC" w:color="auto" w:val="clear"/>
            <w:tcMar>
              <w:top w:type="dxa" w:w="60"/>
              <w:left w:type="dxa" w:w="90"/>
              <w:bottom w:type="dxa" w:w="60"/>
              <w:right w:type="dxa" w:w="90"/>
            </w:tcMar>
          </w:tcPr>
          <w:p>
            <w:r>
              <w:rPr>
                <w:sz w:val="18"/>
                <w:szCs w:val="18"/>
              </w:rPr>
              <w:t xml:space="preserve">Distance from ATH (5,608, Jan-26)</w:t>
            </w:r>
          </w:p>
        </w:tc>
        <w:tc>
          <w:tcPr>
            <w:tcW w:type="dxa" w:w="2400"/>
            <w:shd w:fill="F4F1EC" w:color="auto" w:val="clear"/>
            <w:tcMar>
              <w:top w:type="dxa" w:w="60"/>
              <w:left w:type="dxa" w:w="90"/>
              <w:bottom w:type="dxa" w:w="60"/>
              <w:right w:type="dxa" w:w="90"/>
            </w:tcMar>
          </w:tcPr>
          <w:p>
            <w:r>
              <w:rPr>
                <w:sz w:val="18"/>
                <w:szCs w:val="18"/>
              </w:rPr>
              <w:t xml:space="preserve">−27.4%</w:t>
            </w:r>
          </w:p>
        </w:tc>
        <w:tc>
          <w:tcPr>
            <w:tcW w:type="dxa" w:w="3560"/>
            <w:shd w:fill="F4F1EC" w:color="auto" w:val="clear"/>
            <w:tcMar>
              <w:top w:type="dxa" w:w="60"/>
              <w:left w:type="dxa" w:w="90"/>
              <w:bottom w:type="dxa" w:w="60"/>
              <w:right w:type="dxa" w:w="90"/>
            </w:tcMar>
          </w:tcPr>
          <w:p>
            <w:r>
              <w:rPr>
                <w:sz w:val="18"/>
                <w:szCs w:val="18"/>
              </w:rPr>
              <w:t xml:space="preserve">Deep correction</w:t>
            </w:r>
          </w:p>
        </w:tc>
      </w:tr>
      <w:tr>
        <w:tc>
          <w:tcPr>
            <w:tcW w:type="dxa" w:w="3400"/>
            <w:tcMar>
              <w:top w:type="dxa" w:w="60"/>
              <w:left w:type="dxa" w:w="90"/>
              <w:bottom w:type="dxa" w:w="60"/>
              <w:right w:type="dxa" w:w="90"/>
            </w:tcMar>
          </w:tcPr>
          <w:p>
            <w:r>
              <w:rPr>
                <w:sz w:val="18"/>
                <w:szCs w:val="18"/>
              </w:rPr>
              <w:t xml:space="preserve">50-day EMA</w:t>
            </w:r>
          </w:p>
        </w:tc>
        <w:tc>
          <w:tcPr>
            <w:tcW w:type="dxa" w:w="2400"/>
            <w:tcMar>
              <w:top w:type="dxa" w:w="60"/>
              <w:left w:type="dxa" w:w="90"/>
              <w:bottom w:type="dxa" w:w="60"/>
              <w:right w:type="dxa" w:w="90"/>
            </w:tcMar>
          </w:tcPr>
          <w:p>
            <w:r>
              <w:rPr>
                <w:sz w:val="18"/>
                <w:szCs w:val="18"/>
              </w:rPr>
              <w:t xml:space="preserve">~4,730 (JPM read)</w:t>
            </w:r>
          </w:p>
        </w:tc>
        <w:tc>
          <w:tcPr>
            <w:tcW w:type="dxa" w:w="3560"/>
            <w:tcMar>
              <w:top w:type="dxa" w:w="60"/>
              <w:left w:type="dxa" w:w="90"/>
              <w:bottom w:type="dxa" w:w="60"/>
              <w:right w:type="dxa" w:w="90"/>
            </w:tcMar>
          </w:tcPr>
          <w:p>
            <w:r>
              <w:rPr>
                <w:sz w:val="18"/>
                <w:szCs w:val="18"/>
              </w:rPr>
              <w:t xml:space="preserve">Price far below</w:t>
            </w:r>
          </w:p>
        </w:tc>
      </w:tr>
      <w:tr>
        <w:tc>
          <w:tcPr>
            <w:tcW w:type="dxa" w:w="3400"/>
            <w:shd w:fill="F4F1EC" w:color="auto" w:val="clear"/>
            <w:tcMar>
              <w:top w:type="dxa" w:w="60"/>
              <w:left w:type="dxa" w:w="90"/>
              <w:bottom w:type="dxa" w:w="60"/>
              <w:right w:type="dxa" w:w="90"/>
            </w:tcMar>
          </w:tcPr>
          <w:p>
            <w:r>
              <w:rPr>
                <w:sz w:val="18"/>
                <w:szCs w:val="18"/>
              </w:rPr>
              <w:t xml:space="preserve">200-day EMA</w:t>
            </w:r>
          </w:p>
        </w:tc>
        <w:tc>
          <w:tcPr>
            <w:tcW w:type="dxa" w:w="2400"/>
            <w:shd w:fill="F4F1EC" w:color="auto" w:val="clear"/>
            <w:tcMar>
              <w:top w:type="dxa" w:w="60"/>
              <w:left w:type="dxa" w:w="90"/>
              <w:bottom w:type="dxa" w:w="60"/>
              <w:right w:type="dxa" w:w="90"/>
            </w:tcMar>
          </w:tcPr>
          <w:p>
            <w:r>
              <w:rPr>
                <w:sz w:val="18"/>
                <w:szCs w:val="18"/>
              </w:rPr>
              <w:t xml:space="preserve">~4,340 (JPM read)</w:t>
            </w:r>
          </w:p>
        </w:tc>
        <w:tc>
          <w:tcPr>
            <w:tcW w:type="dxa" w:w="3560"/>
            <w:shd w:fill="F4F1EC" w:color="auto" w:val="clear"/>
            <w:tcMar>
              <w:top w:type="dxa" w:w="60"/>
              <w:left w:type="dxa" w:w="90"/>
              <w:bottom w:type="dxa" w:w="60"/>
              <w:right w:type="dxa" w:w="90"/>
            </w:tcMar>
          </w:tcPr>
          <w:p>
            <w:r>
              <w:rPr>
                <w:sz w:val="18"/>
                <w:szCs w:val="18"/>
              </w:rPr>
              <w:t xml:space="preserve">Price far below</w:t>
            </w:r>
          </w:p>
        </w:tc>
      </w:tr>
      <w:tr>
        <w:tc>
          <w:tcPr>
            <w:tcW w:type="dxa" w:w="3400"/>
            <w:tcMar>
              <w:top w:type="dxa" w:w="60"/>
              <w:left w:type="dxa" w:w="90"/>
              <w:bottom w:type="dxa" w:w="60"/>
              <w:right w:type="dxa" w:w="90"/>
            </w:tcMar>
          </w:tcPr>
          <w:p>
            <w:r>
              <w:rPr>
                <w:sz w:val="18"/>
                <w:szCs w:val="18"/>
              </w:rPr>
              <w:t xml:space="preserve">25-day swing high / low</w:t>
            </w:r>
          </w:p>
        </w:tc>
        <w:tc>
          <w:tcPr>
            <w:tcW w:type="dxa" w:w="2400"/>
            <w:tcMar>
              <w:top w:type="dxa" w:w="60"/>
              <w:left w:type="dxa" w:w="90"/>
              <w:bottom w:type="dxa" w:w="60"/>
              <w:right w:type="dxa" w:w="90"/>
            </w:tcMar>
          </w:tcPr>
          <w:p>
            <w:r>
              <w:rPr>
                <w:sz w:val="18"/>
                <w:szCs w:val="18"/>
              </w:rPr>
              <w:t xml:space="preserve">~4,310 / 3,985.76</w:t>
            </w:r>
          </w:p>
        </w:tc>
        <w:tc>
          <w:tcPr>
            <w:tcW w:type="dxa" w:w="3560"/>
            <w:tcMar>
              <w:top w:type="dxa" w:w="60"/>
              <w:left w:type="dxa" w:w="90"/>
              <w:bottom w:type="dxa" w:w="60"/>
              <w:right w:type="dxa" w:w="90"/>
            </w:tcMar>
          </w:tcPr>
          <w:p>
            <w:r>
              <w:rPr>
                <w:sz w:val="18"/>
                <w:szCs w:val="18"/>
              </w:rPr>
              <w:t xml:space="preserve">Range boundaries</w:t>
            </w:r>
          </w:p>
        </w:tc>
      </w:tr>
    </w:tbl>
    <w:p>
      <w:pPr>
        <w:spacing w:after="100"/>
      </w:pPr>
      <w:r>
        <w:rPr>
          <w:b w:val="false"/>
          <w:bCs w:val="false"/>
          <w:i w:val="false"/>
          <w:iCs w:val="false"/>
          <w:sz w:val="20"/>
          <w:szCs w:val="20"/>
        </w:rPr>
        <w:t xml:space="preserve">The medium window is unambiguously bearish and it is the single heaviest negative in the score at −0.55. Price trades below both the 50-day and 200-day moving averages — the definition of a downtrend on any conventional reading — and has shed nearly 6% in a month. J.P. Morgan's Greg Shearer characterised gold as caught in technical no-man's-land, above the 200-day and below the 50-day; the market has since resolved that ambiguity to the downside by breaking beneath the 200-day. The structural multi-year uptrend from 2022 remains intact on weekly and monthly moving averages, but that operates on a timescale irrelevant to a next-session trade card. For a 16-Jul session, the medium regime says: this is a bear-trend consolidation, and consolidations in bear trends resolve lower more often than not.</w:t>
      </w:r>
    </w:p>
    <w:p>
      <w:pPr>
        <w:pStyle w:val="Heading1"/>
        <w:spacing w:after="120" w:before="240"/>
      </w:pPr>
      <w:r>
        <w:t xml:space="preserve">§10  Cross-Asset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2000"/>
        <w:gridCol w:w="2460"/>
      </w:tblGrid>
      <w:tr>
        <w:trPr>
          <w:tblHeader/>
        </w:trPr>
        <w:tc>
          <w:tcPr>
            <w:tcW w:type="dxa" w:w="1900"/>
            <w:shd w:fill="7A5C2E" w:color="auto" w:val="clear"/>
            <w:tcMar>
              <w:top w:type="dxa" w:w="60"/>
              <w:left w:type="dxa" w:w="90"/>
              <w:bottom w:type="dxa" w:w="60"/>
              <w:right w:type="dxa" w:w="90"/>
            </w:tcMar>
          </w:tcPr>
          <w:p>
            <w:r>
              <w:rPr>
                <w:b/>
                <w:bCs/>
                <w:color w:val="FFFFFF"/>
                <w:sz w:val="18"/>
                <w:szCs w:val="18"/>
              </w:rPr>
              <w:t xml:space="preserve">Counter</w:t>
            </w:r>
          </w:p>
        </w:tc>
        <w:tc>
          <w:tcPr>
            <w:tcW w:type="dxa" w:w="1500"/>
            <w:shd w:fill="7A5C2E" w:color="auto" w:val="clear"/>
            <w:tcMar>
              <w:top w:type="dxa" w:w="60"/>
              <w:left w:type="dxa" w:w="90"/>
              <w:bottom w:type="dxa" w:w="60"/>
              <w:right w:type="dxa" w:w="90"/>
            </w:tcMar>
          </w:tcPr>
          <w:p>
            <w:r>
              <w:rPr>
                <w:b/>
                <w:bCs/>
                <w:color w:val="FFFFFF"/>
                <w:sz w:val="18"/>
                <w:szCs w:val="18"/>
              </w:rPr>
              <w:t xml:space="preserve">Level (15-Jul)</w:t>
            </w:r>
          </w:p>
        </w:tc>
        <w:tc>
          <w:tcPr>
            <w:tcW w:type="dxa" w:w="1500"/>
            <w:shd w:fill="7A5C2E" w:color="auto" w:val="clear"/>
            <w:tcMar>
              <w:top w:type="dxa" w:w="60"/>
              <w:left w:type="dxa" w:w="90"/>
              <w:bottom w:type="dxa" w:w="60"/>
              <w:right w:type="dxa" w:w="90"/>
            </w:tcMar>
          </w:tcPr>
          <w:p>
            <w:r>
              <w:rPr>
                <w:b/>
                <w:bCs/>
                <w:color w:val="FFFFFF"/>
                <w:sz w:val="18"/>
                <w:szCs w:val="18"/>
              </w:rPr>
              <w:t xml:space="preserve">Direction</w:t>
            </w:r>
          </w:p>
        </w:tc>
        <w:tc>
          <w:tcPr>
            <w:tcW w:type="dxa" w:w="2000"/>
            <w:shd w:fill="7A5C2E" w:color="auto" w:val="clear"/>
            <w:tcMar>
              <w:top w:type="dxa" w:w="60"/>
              <w:left w:type="dxa" w:w="90"/>
              <w:bottom w:type="dxa" w:w="60"/>
              <w:right w:type="dxa" w:w="90"/>
            </w:tcMar>
          </w:tcPr>
          <w:p>
            <w:r>
              <w:rPr>
                <w:b/>
                <w:bCs/>
                <w:color w:val="FFFFFF"/>
                <w:sz w:val="18"/>
                <w:szCs w:val="18"/>
              </w:rPr>
              <w:t xml:space="preserve">Correlation to Gold</w:t>
            </w:r>
          </w:p>
        </w:tc>
        <w:tc>
          <w:tcPr>
            <w:tcW w:type="dxa" w:w="2460"/>
            <w:shd w:fill="7A5C2E" w:color="auto" w:val="clear"/>
            <w:tcMar>
              <w:top w:type="dxa" w:w="60"/>
              <w:left w:type="dxa" w:w="90"/>
              <w:bottom w:type="dxa" w:w="60"/>
              <w:right w:type="dxa" w:w="90"/>
            </w:tcMar>
          </w:tcPr>
          <w:p>
            <w:r>
              <w:rPr>
                <w:b/>
                <w:bCs/>
                <w:color w:val="FFFFFF"/>
                <w:sz w:val="18"/>
                <w:szCs w:val="18"/>
              </w:rPr>
              <w:t xml:space="preserve">Read for Gold</w:t>
            </w:r>
          </w:p>
        </w:tc>
      </w:tr>
      <w:tr>
        <w:tc>
          <w:tcPr>
            <w:tcW w:type="dxa" w:w="1900"/>
            <w:tcMar>
              <w:top w:type="dxa" w:w="60"/>
              <w:left w:type="dxa" w:w="90"/>
              <w:bottom w:type="dxa" w:w="60"/>
              <w:right w:type="dxa" w:w="90"/>
            </w:tcMar>
          </w:tcPr>
          <w:p>
            <w:r>
              <w:rPr>
                <w:sz w:val="18"/>
                <w:szCs w:val="18"/>
              </w:rPr>
              <w:t xml:space="preserve">DX-Y.NYB (USDX)</w:t>
            </w:r>
          </w:p>
        </w:tc>
        <w:tc>
          <w:tcPr>
            <w:tcW w:type="dxa" w:w="1500"/>
            <w:tcMar>
              <w:top w:type="dxa" w:w="60"/>
              <w:left w:type="dxa" w:w="90"/>
              <w:bottom w:type="dxa" w:w="60"/>
              <w:right w:type="dxa" w:w="90"/>
            </w:tcMar>
          </w:tcPr>
          <w:p>
            <w:r>
              <w:rPr>
                <w:sz w:val="18"/>
                <w:szCs w:val="18"/>
              </w:rPr>
              <w:t xml:space="preserve">100.76–100.90</w:t>
            </w:r>
          </w:p>
        </w:tc>
        <w:tc>
          <w:tcPr>
            <w:tcW w:type="dxa" w:w="1500"/>
            <w:tcMar>
              <w:top w:type="dxa" w:w="60"/>
              <w:left w:type="dxa" w:w="90"/>
              <w:bottom w:type="dxa" w:w="60"/>
              <w:right w:type="dxa" w:w="90"/>
            </w:tcMar>
          </w:tcPr>
          <w:p>
            <w:r>
              <w:rPr>
                <w:sz w:val="18"/>
                <w:szCs w:val="18"/>
              </w:rPr>
              <w:t xml:space="preserve">Falling (−0.33%)</w:t>
            </w:r>
          </w:p>
        </w:tc>
        <w:tc>
          <w:tcPr>
            <w:tcW w:type="dxa" w:w="2000"/>
            <w:tcMar>
              <w:top w:type="dxa" w:w="60"/>
              <w:left w:type="dxa" w:w="90"/>
              <w:bottom w:type="dxa" w:w="60"/>
              <w:right w:type="dxa" w:w="90"/>
            </w:tcMar>
          </w:tcPr>
          <w:p>
            <w:r>
              <w:rPr>
                <w:sz w:val="18"/>
                <w:szCs w:val="18"/>
              </w:rPr>
              <w:t xml:space="preserve">Strong inverse</w:t>
            </w:r>
          </w:p>
        </w:tc>
        <w:tc>
          <w:tcPr>
            <w:tcW w:type="dxa" w:w="2460"/>
            <w:tcMar>
              <w:top w:type="dxa" w:w="60"/>
              <w:left w:type="dxa" w:w="90"/>
              <w:bottom w:type="dxa" w:w="60"/>
              <w:right w:type="dxa" w:w="90"/>
            </w:tcMar>
          </w:tcPr>
          <w:p>
            <w:r>
              <w:rPr>
                <w:sz w:val="18"/>
                <w:szCs w:val="18"/>
              </w:rPr>
              <w:t xml:space="preserve">POSITIVE</w:t>
            </w:r>
          </w:p>
        </w:tc>
      </w:tr>
      <w:tr>
        <w:tc>
          <w:tcPr>
            <w:tcW w:type="dxa" w:w="1900"/>
            <w:shd w:fill="F4F1EC" w:color="auto" w:val="clear"/>
            <w:tcMar>
              <w:top w:type="dxa" w:w="60"/>
              <w:left w:type="dxa" w:w="90"/>
              <w:bottom w:type="dxa" w:w="60"/>
              <w:right w:type="dxa" w:w="90"/>
            </w:tcMar>
          </w:tcPr>
          <w:p>
            <w:r>
              <w:rPr>
                <w:sz w:val="18"/>
                <w:szCs w:val="18"/>
              </w:rPr>
              <w:t xml:space="preserve">^GSPC (S&amp;P 500)</w:t>
            </w:r>
          </w:p>
        </w:tc>
        <w:tc>
          <w:tcPr>
            <w:tcW w:type="dxa" w:w="1500"/>
            <w:shd w:fill="F4F1EC" w:color="auto" w:val="clear"/>
            <w:tcMar>
              <w:top w:type="dxa" w:w="60"/>
              <w:left w:type="dxa" w:w="90"/>
              <w:bottom w:type="dxa" w:w="60"/>
              <w:right w:type="dxa" w:w="90"/>
            </w:tcMar>
          </w:tcPr>
          <w:p>
            <w:r>
              <w:rPr>
                <w:sz w:val="18"/>
                <w:szCs w:val="18"/>
              </w:rPr>
              <w:t xml:space="preserve">7,556–7,570</w:t>
            </w:r>
          </w:p>
        </w:tc>
        <w:tc>
          <w:tcPr>
            <w:tcW w:type="dxa" w:w="1500"/>
            <w:shd w:fill="F4F1EC" w:color="auto" w:val="clear"/>
            <w:tcMar>
              <w:top w:type="dxa" w:w="60"/>
              <w:left w:type="dxa" w:w="90"/>
              <w:bottom w:type="dxa" w:w="60"/>
              <w:right w:type="dxa" w:w="90"/>
            </w:tcMar>
          </w:tcPr>
          <w:p>
            <w:r>
              <w:rPr>
                <w:sz w:val="18"/>
                <w:szCs w:val="18"/>
              </w:rPr>
              <w:t xml:space="preserve">Rising (+0.36/+0.55%)</w:t>
            </w:r>
          </w:p>
        </w:tc>
        <w:tc>
          <w:tcPr>
            <w:tcW w:type="dxa" w:w="2000"/>
            <w:shd w:fill="F4F1EC" w:color="auto" w:val="clear"/>
            <w:tcMar>
              <w:top w:type="dxa" w:w="60"/>
              <w:left w:type="dxa" w:w="90"/>
              <w:bottom w:type="dxa" w:w="60"/>
              <w:right w:type="dxa" w:w="90"/>
            </w:tcMar>
          </w:tcPr>
          <w:p>
            <w:r>
              <w:rPr>
                <w:sz w:val="18"/>
                <w:szCs w:val="18"/>
              </w:rPr>
              <w:t xml:space="preserve">Weak / regime-dependent</w:t>
            </w:r>
          </w:p>
        </w:tc>
        <w:tc>
          <w:tcPr>
            <w:tcW w:type="dxa" w:w="2460"/>
            <w:shd w:fill="F4F1EC" w:color="auto" w:val="clear"/>
            <w:tcMar>
              <w:top w:type="dxa" w:w="60"/>
              <w:left w:type="dxa" w:w="90"/>
              <w:bottom w:type="dxa" w:w="60"/>
              <w:right w:type="dxa" w:w="90"/>
            </w:tcMar>
          </w:tcPr>
          <w:p>
            <w:r>
              <w:rPr>
                <w:sz w:val="18"/>
                <w:szCs w:val="18"/>
              </w:rPr>
              <w:t xml:space="preserve">MILDLY NEGATIVE</w:t>
            </w:r>
          </w:p>
        </w:tc>
      </w:tr>
      <w:tr>
        <w:tc>
          <w:tcPr>
            <w:tcW w:type="dxa" w:w="1900"/>
            <w:tcMar>
              <w:top w:type="dxa" w:w="60"/>
              <w:left w:type="dxa" w:w="90"/>
              <w:bottom w:type="dxa" w:w="60"/>
              <w:right w:type="dxa" w:w="90"/>
            </w:tcMar>
          </w:tcPr>
          <w:p>
            <w:r>
              <w:rPr>
                <w:sz w:val="18"/>
                <w:szCs w:val="18"/>
              </w:rPr>
              <w:t xml:space="preserve">^GDAXI (DAX 40)</w:t>
            </w:r>
          </w:p>
        </w:tc>
        <w:tc>
          <w:tcPr>
            <w:tcW w:type="dxa" w:w="1500"/>
            <w:tcMar>
              <w:top w:type="dxa" w:w="60"/>
              <w:left w:type="dxa" w:w="90"/>
              <w:bottom w:type="dxa" w:w="60"/>
              <w:right w:type="dxa" w:w="90"/>
            </w:tcMar>
          </w:tcPr>
          <w:p>
            <w:r>
              <w:rPr>
                <w:sz w:val="18"/>
                <w:szCs w:val="18"/>
              </w:rPr>
              <w:t xml:space="preserve">25,147</w:t>
            </w:r>
          </w:p>
        </w:tc>
        <w:tc>
          <w:tcPr>
            <w:tcW w:type="dxa" w:w="1500"/>
            <w:tcMar>
              <w:top w:type="dxa" w:w="60"/>
              <w:left w:type="dxa" w:w="90"/>
              <w:bottom w:type="dxa" w:w="60"/>
              <w:right w:type="dxa" w:w="90"/>
            </w:tcMar>
          </w:tcPr>
          <w:p>
            <w:r>
              <w:rPr>
                <w:sz w:val="18"/>
                <w:szCs w:val="18"/>
              </w:rPr>
              <w:t xml:space="preserve">Rising (+0.13%)</w:t>
            </w:r>
          </w:p>
        </w:tc>
        <w:tc>
          <w:tcPr>
            <w:tcW w:type="dxa" w:w="2000"/>
            <w:tcMar>
              <w:top w:type="dxa" w:w="60"/>
              <w:left w:type="dxa" w:w="90"/>
              <w:bottom w:type="dxa" w:w="60"/>
              <w:right w:type="dxa" w:w="90"/>
            </w:tcMar>
          </w:tcPr>
          <w:p>
            <w:r>
              <w:rPr>
                <w:sz w:val="18"/>
                <w:szCs w:val="18"/>
              </w:rPr>
              <w:t xml:space="preserve">Weak</w:t>
            </w:r>
          </w:p>
        </w:tc>
        <w:tc>
          <w:tcPr>
            <w:tcW w:type="dxa" w:w="2460"/>
            <w:tcMar>
              <w:top w:type="dxa" w:w="60"/>
              <w:left w:type="dxa" w:w="90"/>
              <w:bottom w:type="dxa" w:w="60"/>
              <w:right w:type="dxa" w:w="90"/>
            </w:tcMar>
          </w:tcPr>
          <w:p>
            <w:r>
              <w:rPr>
                <w:sz w:val="18"/>
                <w:szCs w:val="18"/>
              </w:rPr>
              <w:t xml:space="preserve">NEUTRAL</w:t>
            </w:r>
          </w:p>
        </w:tc>
      </w:tr>
      <w:tr>
        <w:tc>
          <w:tcPr>
            <w:tcW w:type="dxa" w:w="1900"/>
            <w:shd w:fill="F4F1EC" w:color="auto" w:val="clear"/>
            <w:tcMar>
              <w:top w:type="dxa" w:w="60"/>
              <w:left w:type="dxa" w:w="90"/>
              <w:bottom w:type="dxa" w:w="60"/>
              <w:right w:type="dxa" w:w="90"/>
            </w:tcMar>
          </w:tcPr>
          <w:p>
            <w:r>
              <w:rPr>
                <w:sz w:val="18"/>
                <w:szCs w:val="18"/>
              </w:rPr>
              <w:t xml:space="preserve">US 10Y yield</w:t>
            </w:r>
          </w:p>
        </w:tc>
        <w:tc>
          <w:tcPr>
            <w:tcW w:type="dxa" w:w="1500"/>
            <w:shd w:fill="F4F1EC" w:color="auto" w:val="clear"/>
            <w:tcMar>
              <w:top w:type="dxa" w:w="60"/>
              <w:left w:type="dxa" w:w="90"/>
              <w:bottom w:type="dxa" w:w="60"/>
              <w:right w:type="dxa" w:w="90"/>
            </w:tcMar>
          </w:tcPr>
          <w:p>
            <w:r>
              <w:rPr>
                <w:sz w:val="18"/>
                <w:szCs w:val="18"/>
              </w:rPr>
              <w:t xml:space="preserve">4.587%</w:t>
            </w:r>
          </w:p>
        </w:tc>
        <w:tc>
          <w:tcPr>
            <w:tcW w:type="dxa" w:w="1500"/>
            <w:shd w:fill="F4F1EC" w:color="auto" w:val="clear"/>
            <w:tcMar>
              <w:top w:type="dxa" w:w="60"/>
              <w:left w:type="dxa" w:w="90"/>
              <w:bottom w:type="dxa" w:w="60"/>
              <w:right w:type="dxa" w:w="90"/>
            </w:tcMar>
          </w:tcPr>
          <w:p>
            <w:r>
              <w:rPr>
                <w:sz w:val="18"/>
                <w:szCs w:val="18"/>
              </w:rPr>
              <w:t xml:space="preserve">Easing marginally</w:t>
            </w:r>
          </w:p>
        </w:tc>
        <w:tc>
          <w:tcPr>
            <w:tcW w:type="dxa" w:w="2000"/>
            <w:shd w:fill="F4F1EC" w:color="auto" w:val="clear"/>
            <w:tcMar>
              <w:top w:type="dxa" w:w="60"/>
              <w:left w:type="dxa" w:w="90"/>
              <w:bottom w:type="dxa" w:w="60"/>
              <w:right w:type="dxa" w:w="90"/>
            </w:tcMar>
          </w:tcPr>
          <w:p>
            <w:r>
              <w:rPr>
                <w:sz w:val="18"/>
                <w:szCs w:val="18"/>
              </w:rPr>
              <w:t xml:space="preserve">Inverse (real-yield channel)</w:t>
            </w:r>
          </w:p>
        </w:tc>
        <w:tc>
          <w:tcPr>
            <w:tcW w:type="dxa" w:w="2460"/>
            <w:shd w:fill="F4F1EC" w:color="auto" w:val="clear"/>
            <w:tcMar>
              <w:top w:type="dxa" w:w="60"/>
              <w:left w:type="dxa" w:w="90"/>
              <w:bottom w:type="dxa" w:w="60"/>
              <w:right w:type="dxa" w:w="90"/>
            </w:tcMar>
          </w:tcPr>
          <w:p>
            <w:r>
              <w:rPr>
                <w:sz w:val="18"/>
                <w:szCs w:val="18"/>
              </w:rPr>
              <w:t xml:space="preserve">MILDLY POSITIVE</w:t>
            </w:r>
          </w:p>
        </w:tc>
      </w:tr>
      <w:tr>
        <w:tc>
          <w:tcPr>
            <w:tcW w:type="dxa" w:w="1900"/>
            <w:tcMar>
              <w:top w:type="dxa" w:w="60"/>
              <w:left w:type="dxa" w:w="90"/>
              <w:bottom w:type="dxa" w:w="60"/>
              <w:right w:type="dxa" w:w="90"/>
            </w:tcMar>
          </w:tcPr>
          <w:p>
            <w:r>
              <w:rPr>
                <w:sz w:val="18"/>
                <w:szCs w:val="18"/>
              </w:rPr>
              <w:t xml:space="preserve">WTI crude</w:t>
            </w:r>
          </w:p>
        </w:tc>
        <w:tc>
          <w:tcPr>
            <w:tcW w:type="dxa" w:w="1500"/>
            <w:tcMar>
              <w:top w:type="dxa" w:w="60"/>
              <w:left w:type="dxa" w:w="90"/>
              <w:bottom w:type="dxa" w:w="60"/>
              <w:right w:type="dxa" w:w="90"/>
            </w:tcMar>
          </w:tcPr>
          <w:p>
            <w:r>
              <w:rPr>
                <w:sz w:val="18"/>
                <w:szCs w:val="18"/>
              </w:rPr>
              <w:t xml:space="preserve">79.87 (+2.22%)</w:t>
            </w:r>
          </w:p>
        </w:tc>
        <w:tc>
          <w:tcPr>
            <w:tcW w:type="dxa" w:w="1500"/>
            <w:tcMar>
              <w:top w:type="dxa" w:w="60"/>
              <w:left w:type="dxa" w:w="90"/>
              <w:bottom w:type="dxa" w:w="60"/>
              <w:right w:type="dxa" w:w="90"/>
            </w:tcMar>
          </w:tcPr>
          <w:p>
            <w:r>
              <w:rPr>
                <w:sz w:val="18"/>
                <w:szCs w:val="18"/>
              </w:rPr>
              <w:t xml:space="preserve">Rising, 1-mo high</w:t>
            </w:r>
          </w:p>
        </w:tc>
        <w:tc>
          <w:tcPr>
            <w:tcW w:type="dxa" w:w="2000"/>
            <w:tcMar>
              <w:top w:type="dxa" w:w="60"/>
              <w:left w:type="dxa" w:w="90"/>
              <w:bottom w:type="dxa" w:w="60"/>
              <w:right w:type="dxa" w:w="90"/>
            </w:tcMar>
          </w:tcPr>
          <w:p>
            <w:r>
              <w:rPr>
                <w:sz w:val="18"/>
                <w:szCs w:val="18"/>
              </w:rPr>
              <w:t xml:space="preserve">Inflation-hedge channel</w:t>
            </w:r>
          </w:p>
        </w:tc>
        <w:tc>
          <w:tcPr>
            <w:tcW w:type="dxa" w:w="2460"/>
            <w:tcMar>
              <w:top w:type="dxa" w:w="60"/>
              <w:left w:type="dxa" w:w="90"/>
              <w:bottom w:type="dxa" w:w="60"/>
              <w:right w:type="dxa" w:w="90"/>
            </w:tcMar>
          </w:tcPr>
          <w:p>
            <w:r>
              <w:rPr>
                <w:sz w:val="18"/>
                <w:szCs w:val="18"/>
              </w:rPr>
              <w:t xml:space="preserve">POSITIVE (indirect)</w:t>
            </w:r>
          </w:p>
        </w:tc>
      </w:tr>
      <w:tr>
        <w:tc>
          <w:tcPr>
            <w:tcW w:type="dxa" w:w="1900"/>
            <w:shd w:fill="F4F1EC" w:color="auto" w:val="clear"/>
            <w:tcMar>
              <w:top w:type="dxa" w:w="60"/>
              <w:left w:type="dxa" w:w="90"/>
              <w:bottom w:type="dxa" w:w="60"/>
              <w:right w:type="dxa" w:w="90"/>
            </w:tcMar>
          </w:tcPr>
          <w:p>
            <w:r>
              <w:rPr>
                <w:sz w:val="18"/>
                <w:szCs w:val="18"/>
              </w:rPr>
              <w:t xml:space="preserve">XAG/USD (secondary)</w:t>
            </w:r>
          </w:p>
        </w:tc>
        <w:tc>
          <w:tcPr>
            <w:tcW w:type="dxa" w:w="1500"/>
            <w:shd w:fill="F4F1EC" w:color="auto" w:val="clear"/>
            <w:tcMar>
              <w:top w:type="dxa" w:w="60"/>
              <w:left w:type="dxa" w:w="90"/>
              <w:bottom w:type="dxa" w:w="60"/>
              <w:right w:type="dxa" w:w="90"/>
            </w:tcMar>
          </w:tcPr>
          <w:p>
            <w:r>
              <w:rPr>
                <w:sz w:val="18"/>
                <w:szCs w:val="18"/>
              </w:rPr>
              <w:t xml:space="preserve">58.41</w:t>
            </w:r>
          </w:p>
        </w:tc>
        <w:tc>
          <w:tcPr>
            <w:tcW w:type="dxa" w:w="1500"/>
            <w:shd w:fill="F4F1EC" w:color="auto" w:val="clear"/>
            <w:tcMar>
              <w:top w:type="dxa" w:w="60"/>
              <w:left w:type="dxa" w:w="90"/>
              <w:bottom w:type="dxa" w:w="60"/>
              <w:right w:type="dxa" w:w="90"/>
            </w:tcMar>
          </w:tcPr>
          <w:p>
            <w:r>
              <w:rPr>
                <w:sz w:val="18"/>
                <w:szCs w:val="18"/>
              </w:rPr>
              <w:t xml:space="preserve">Flat/soft</w:t>
            </w:r>
          </w:p>
        </w:tc>
        <w:tc>
          <w:tcPr>
            <w:tcW w:type="dxa" w:w="2000"/>
            <w:shd w:fill="F4F1EC" w:color="auto" w:val="clear"/>
            <w:tcMar>
              <w:top w:type="dxa" w:w="60"/>
              <w:left w:type="dxa" w:w="90"/>
              <w:bottom w:type="dxa" w:w="60"/>
              <w:right w:type="dxa" w:w="90"/>
            </w:tcMar>
          </w:tcPr>
          <w:p>
            <w:r>
              <w:rPr>
                <w:sz w:val="18"/>
                <w:szCs w:val="18"/>
              </w:rPr>
              <w:t xml:space="preserve">Strong positive</w:t>
            </w:r>
          </w:p>
        </w:tc>
        <w:tc>
          <w:tcPr>
            <w:tcW w:type="dxa" w:w="2460"/>
            <w:shd w:fill="F4F1EC" w:color="auto" w:val="clear"/>
            <w:tcMar>
              <w:top w:type="dxa" w:w="60"/>
              <w:left w:type="dxa" w:w="90"/>
              <w:bottom w:type="dxa" w:w="60"/>
              <w:right w:type="dxa" w:w="90"/>
            </w:tcMar>
          </w:tcPr>
          <w:p>
            <w:r>
              <w:rPr>
                <w:sz w:val="18"/>
                <w:szCs w:val="18"/>
              </w:rPr>
              <w:t xml:space="preserve">NEUTRAL</w:t>
            </w:r>
          </w:p>
        </w:tc>
      </w:tr>
    </w:tbl>
    <w:p>
      <w:pPr>
        <w:spacing w:after="100"/>
      </w:pPr>
      <w:r>
        <w:rPr>
          <w:b w:val="false"/>
          <w:bCs w:val="false"/>
          <w:i w:val="false"/>
          <w:iCs w:val="false"/>
          <w:sz w:val="20"/>
          <w:szCs w:val="20"/>
        </w:rPr>
        <w:t xml:space="preserve">Cross-asset confirmation scores +0.45 — the strongest positive input in the model, and it is carried almost entirely by the dollar. USDX fell 0.33% to ~100.76–100.90 on the CPI miss and now trades below both its 50-period (100.835) and 200-period (100.664) moving averages, with a sell signal on Investing.com's daily aggregate. Gold's dominant mechanism is the inverse dollar link, and that link is currently pointing up for gold.</w:t>
      </w:r>
    </w:p>
    <w:p>
      <w:pPr>
        <w:spacing w:after="100"/>
      </w:pPr>
      <w:r>
        <w:rPr>
          <w:b w:val="false"/>
          <w:bCs w:val="false"/>
          <w:i w:val="false"/>
          <w:iCs w:val="false"/>
          <w:sz w:val="20"/>
          <w:szCs w:val="20"/>
        </w:rPr>
        <w:t xml:space="preserve">The equity counters cut the other way but weakly. S&amp;P 500 at 7,556–7,570 and DAX at 25,147 both closed higher, which is a risk-on tape and therefore a mild drag on safe-haven demand. Their correlation to gold is regime-dependent and currently loose — in the present configuration both gold and equities are rallying on the same dovish repricing, so the risk-on read should not be over-weighted as a gold negative. WTI at $79.87, a one-month high on the Strait of Hormuz disruption, is a genuine second-order positive: it keeps the inflation-hedge case alive even as it complicates the Fed path.</w:t>
      </w:r>
    </w:p>
    <w:p>
      <w:pPr>
        <w:spacing w:after="100"/>
      </w:pPr>
      <w:r>
        <w:rPr>
          <w:b w:val="false"/>
          <w:bCs w:val="false"/>
          <w:i/>
          <w:iCs/>
          <w:sz w:val="18"/>
          <w:szCs w:val="18"/>
        </w:rPr>
        <w:t xml:space="preserve">Contradiction flag (M4 §12 requirement): the cross-asset block (+0.45) and the medium-term structural regime (−0.55) point in opposite directions. This contradiction is stated, not resolved. It is the reason the composite score sits near zero.</w:t>
      </w:r>
    </w:p>
    <w:p>
      <w:pPr>
        <w:pStyle w:val="Heading1"/>
        <w:spacing w:after="120" w:before="240"/>
      </w:pPr>
      <w:r>
        <w:t xml:space="preserve">§11  Volatility Regime (VOLator) &amp; Kaufman 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shd w:fill="7A5C2E" w:color="auto" w:val="clear"/>
            <w:tcMar>
              <w:top w:type="dxa" w:w="60"/>
              <w:left w:type="dxa" w:w="90"/>
              <w:bottom w:type="dxa" w:w="60"/>
              <w:right w:type="dxa" w:w="90"/>
            </w:tcMar>
          </w:tcPr>
          <w:p>
            <w:r>
              <w:rPr>
                <w:b/>
                <w:bCs/>
                <w:color w:val="FFFFFF"/>
                <w:sz w:val="18"/>
                <w:szCs w:val="18"/>
              </w:rPr>
              <w:t xml:space="preserve">Metric</w:t>
            </w:r>
          </w:p>
        </w:tc>
        <w:tc>
          <w:tcPr>
            <w:tcW w:type="dxa" w:w="2800"/>
            <w:shd w:fill="7A5C2E" w:color="auto" w:val="clear"/>
            <w:tcMar>
              <w:top w:type="dxa" w:w="60"/>
              <w:left w:type="dxa" w:w="90"/>
              <w:bottom w:type="dxa" w:w="60"/>
              <w:right w:type="dxa" w:w="90"/>
            </w:tcMar>
          </w:tcPr>
          <w:p>
            <w:r>
              <w:rPr>
                <w:b/>
                <w:bCs/>
                <w:color w:val="FFFFFF"/>
                <w:sz w:val="18"/>
                <w:szCs w:val="18"/>
              </w:rPr>
              <w:t xml:space="preserve">Value</w:t>
            </w:r>
          </w:p>
        </w:tc>
        <w:tc>
          <w:tcPr>
            <w:tcW w:type="dxa" w:w="3160"/>
            <w:shd w:fill="7A5C2E" w:color="auto" w:val="clear"/>
            <w:tcMar>
              <w:top w:type="dxa" w:w="60"/>
              <w:left w:type="dxa" w:w="90"/>
              <w:bottom w:type="dxa" w:w="60"/>
              <w:right w:type="dxa" w:w="90"/>
            </w:tcMar>
          </w:tcPr>
          <w:p>
            <w:r>
              <w:rPr>
                <w:b/>
                <w:bCs/>
                <w:color w:val="FFFFFF"/>
                <w:sz w:val="18"/>
                <w:szCs w:val="18"/>
              </w:rPr>
              <w:t xml:space="preserve">Classification</w:t>
            </w:r>
          </w:p>
        </w:tc>
      </w:tr>
      <w:tr>
        <w:tc>
          <w:tcPr>
            <w:tcW w:type="dxa" w:w="3400"/>
            <w:tcMar>
              <w:top w:type="dxa" w:w="60"/>
              <w:left w:type="dxa" w:w="90"/>
              <w:bottom w:type="dxa" w:w="60"/>
              <w:right w:type="dxa" w:w="90"/>
            </w:tcMar>
          </w:tcPr>
          <w:p>
            <w:r>
              <w:rPr>
                <w:sz w:val="18"/>
                <w:szCs w:val="18"/>
              </w:rPr>
              <w:t xml:space="preserve">True ranges (last 4 sessions)</w:t>
            </w:r>
          </w:p>
        </w:tc>
        <w:tc>
          <w:tcPr>
            <w:tcW w:type="dxa" w:w="2800"/>
            <w:tcMar>
              <w:top w:type="dxa" w:w="60"/>
              <w:left w:type="dxa" w:w="90"/>
              <w:bottom w:type="dxa" w:w="60"/>
              <w:right w:type="dxa" w:w="90"/>
            </w:tcMar>
          </w:tcPr>
          <w:p>
            <w:r>
              <w:rPr>
                <w:sz w:val="18"/>
                <w:szCs w:val="18"/>
              </w:rPr>
              <w:t xml:space="preserve">75.0 / 72.2 / 116.96 / 72.5</w:t>
            </w:r>
          </w:p>
        </w:tc>
        <w:tc>
          <w:tcPr>
            <w:tcW w:type="dxa" w:w="3160"/>
            <w:tcMar>
              <w:top w:type="dxa" w:w="60"/>
              <w:left w:type="dxa" w:w="90"/>
              <w:bottom w:type="dxa" w:w="60"/>
              <w:right w:type="dxa" w:w="90"/>
            </w:tcMar>
          </w:tcPr>
          <w:p>
            <w:r>
              <w:rPr>
                <w:sz w:val="18"/>
                <w:szCs w:val="18"/>
              </w:rPr>
              <w:t xml:space="preserve">—</w:t>
            </w:r>
          </w:p>
        </w:tc>
      </w:tr>
      <w:tr>
        <w:tc>
          <w:tcPr>
            <w:tcW w:type="dxa" w:w="3400"/>
            <w:shd w:fill="F4F1EC" w:color="auto" w:val="clear"/>
            <w:tcMar>
              <w:top w:type="dxa" w:w="60"/>
              <w:left w:type="dxa" w:w="90"/>
              <w:bottom w:type="dxa" w:w="60"/>
              <w:right w:type="dxa" w:w="90"/>
            </w:tcMar>
          </w:tcPr>
          <w:p>
            <w:r>
              <w:rPr>
                <w:sz w:val="18"/>
                <w:szCs w:val="18"/>
              </w:rPr>
              <w:t xml:space="preserve">ATR(5)</w:t>
            </w:r>
          </w:p>
        </w:tc>
        <w:tc>
          <w:tcPr>
            <w:tcW w:type="dxa" w:w="2800"/>
            <w:shd w:fill="F4F1EC" w:color="auto" w:val="clear"/>
            <w:tcMar>
              <w:top w:type="dxa" w:w="60"/>
              <w:left w:type="dxa" w:w="90"/>
              <w:bottom w:type="dxa" w:w="60"/>
              <w:right w:type="dxa" w:w="90"/>
            </w:tcMar>
          </w:tcPr>
          <w:p>
            <w:r>
              <w:rPr>
                <w:sz w:val="18"/>
                <w:szCs w:val="18"/>
              </w:rPr>
              <w:t xml:space="preserve">84.16</w:t>
            </w:r>
          </w:p>
        </w:tc>
        <w:tc>
          <w:tcPr>
            <w:tcW w:type="dxa" w:w="3160"/>
            <w:shd w:fill="F4F1EC" w:color="auto" w:val="clear"/>
            <w:tcMar>
              <w:top w:type="dxa" w:w="60"/>
              <w:left w:type="dxa" w:w="90"/>
              <w:bottom w:type="dxa" w:w="60"/>
              <w:right w:type="dxa" w:w="90"/>
            </w:tcMar>
          </w:tcPr>
          <w:p>
            <w:r>
              <w:rPr>
                <w:sz w:val="18"/>
                <w:szCs w:val="18"/>
              </w:rPr>
              <w:t xml:space="preserve">Elevated</w:t>
            </w:r>
          </w:p>
        </w:tc>
      </w:tr>
      <w:tr>
        <w:tc>
          <w:tcPr>
            <w:tcW w:type="dxa" w:w="3400"/>
            <w:tcMar>
              <w:top w:type="dxa" w:w="60"/>
              <w:left w:type="dxa" w:w="90"/>
              <w:bottom w:type="dxa" w:w="60"/>
              <w:right w:type="dxa" w:w="90"/>
            </w:tcMar>
          </w:tcPr>
          <w:p>
            <w:r>
              <w:rPr>
                <w:sz w:val="18"/>
                <w:szCs w:val="18"/>
              </w:rPr>
              <w:t xml:space="preserve">ATR(14) estimate</w:t>
            </w:r>
          </w:p>
        </w:tc>
        <w:tc>
          <w:tcPr>
            <w:tcW w:type="dxa" w:w="2800"/>
            <w:tcMar>
              <w:top w:type="dxa" w:w="60"/>
              <w:left w:type="dxa" w:w="90"/>
              <w:bottom w:type="dxa" w:w="60"/>
              <w:right w:type="dxa" w:w="90"/>
            </w:tcMar>
          </w:tcPr>
          <w:p>
            <w:r>
              <w:rPr>
                <w:sz w:val="18"/>
                <w:szCs w:val="18"/>
              </w:rPr>
              <w:t xml:space="preserve">78.50</w:t>
            </w:r>
          </w:p>
        </w:tc>
        <w:tc>
          <w:tcPr>
            <w:tcW w:type="dxa" w:w="3160"/>
            <w:tcMar>
              <w:top w:type="dxa" w:w="60"/>
              <w:left w:type="dxa" w:w="90"/>
              <w:bottom w:type="dxa" w:w="60"/>
              <w:right w:type="dxa" w:w="90"/>
            </w:tcMar>
          </w:tcPr>
          <w:p>
            <w:r>
              <w:rPr>
                <w:sz w:val="18"/>
                <w:szCs w:val="18"/>
              </w:rPr>
              <w:t xml:space="preserve">≈1.93% of spot</w:t>
            </w:r>
          </w:p>
        </w:tc>
      </w:tr>
      <w:tr>
        <w:tc>
          <w:tcPr>
            <w:tcW w:type="dxa" w:w="3400"/>
            <w:shd w:fill="F4F1EC" w:color="auto" w:val="clear"/>
            <w:tcMar>
              <w:top w:type="dxa" w:w="60"/>
              <w:left w:type="dxa" w:w="90"/>
              <w:bottom w:type="dxa" w:w="60"/>
              <w:right w:type="dxa" w:w="90"/>
            </w:tcMar>
          </w:tcPr>
          <w:p>
            <w:r>
              <w:rPr>
                <w:sz w:val="18"/>
                <w:szCs w:val="18"/>
              </w:rPr>
              <w:t xml:space="preserve">Current session range</w:t>
            </w:r>
          </w:p>
        </w:tc>
        <w:tc>
          <w:tcPr>
            <w:tcW w:type="dxa" w:w="2800"/>
            <w:shd w:fill="F4F1EC" w:color="auto" w:val="clear"/>
            <w:tcMar>
              <w:top w:type="dxa" w:w="60"/>
              <w:left w:type="dxa" w:w="90"/>
              <w:bottom w:type="dxa" w:w="60"/>
              <w:right w:type="dxa" w:w="90"/>
            </w:tcMar>
          </w:tcPr>
          <w:p>
            <w:r>
              <w:rPr>
                <w:sz w:val="18"/>
                <w:szCs w:val="18"/>
              </w:rPr>
              <w:t xml:space="preserve">72.50 (0.92 × ATR14)</w:t>
            </w:r>
          </w:p>
        </w:tc>
        <w:tc>
          <w:tcPr>
            <w:tcW w:type="dxa" w:w="3160"/>
            <w:shd w:fill="F4F1EC" w:color="auto" w:val="clear"/>
            <w:tcMar>
              <w:top w:type="dxa" w:w="60"/>
              <w:left w:type="dxa" w:w="90"/>
              <w:bottom w:type="dxa" w:w="60"/>
              <w:right w:type="dxa" w:w="90"/>
            </w:tcMar>
          </w:tcPr>
          <w:p>
            <w:r>
              <w:rPr>
                <w:sz w:val="18"/>
                <w:szCs w:val="18"/>
              </w:rPr>
              <w:t xml:space="preserve">Contracting</w:t>
            </w:r>
          </w:p>
        </w:tc>
      </w:tr>
      <w:tr>
        <w:tc>
          <w:tcPr>
            <w:tcW w:type="dxa" w:w="3400"/>
            <w:tcMar>
              <w:top w:type="dxa" w:w="60"/>
              <w:left w:type="dxa" w:w="90"/>
              <w:bottom w:type="dxa" w:w="60"/>
              <w:right w:type="dxa" w:w="90"/>
            </w:tcMar>
          </w:tcPr>
          <w:p>
            <w:r>
              <w:rPr>
                <w:sz w:val="18"/>
                <w:szCs w:val="18"/>
              </w:rPr>
              <w:t xml:space="preserve">VOLator regime</w:t>
            </w:r>
          </w:p>
        </w:tc>
        <w:tc>
          <w:tcPr>
            <w:tcW w:type="dxa" w:w="2800"/>
            <w:tcMar>
              <w:top w:type="dxa" w:w="60"/>
              <w:left w:type="dxa" w:w="90"/>
              <w:bottom w:type="dxa" w:w="60"/>
              <w:right w:type="dxa" w:w="90"/>
            </w:tcMar>
          </w:tcPr>
          <w:p>
            <w:r>
              <w:rPr>
                <w:sz w:val="18"/>
                <w:szCs w:val="18"/>
              </w:rPr>
              <w:t xml:space="preserve">ELEVATED, contracting</w:t>
            </w:r>
          </w:p>
        </w:tc>
        <w:tc>
          <w:tcPr>
            <w:tcW w:type="dxa" w:w="3160"/>
            <w:tcMar>
              <w:top w:type="dxa" w:w="60"/>
              <w:left w:type="dxa" w:w="90"/>
              <w:bottom w:type="dxa" w:w="60"/>
              <w:right w:type="dxa" w:w="90"/>
            </w:tcMar>
          </w:tcPr>
          <w:p>
            <w:r>
              <w:rPr>
                <w:sz w:val="18"/>
                <w:szCs w:val="18"/>
              </w:rPr>
              <w:t xml:space="preserve">Score −0.20</w:t>
            </w:r>
          </w:p>
        </w:tc>
      </w:tr>
      <w:tr>
        <w:tc>
          <w:tcPr>
            <w:tcW w:type="dxa" w:w="3400"/>
            <w:shd w:fill="F4F1EC" w:color="auto" w:val="clear"/>
            <w:tcMar>
              <w:top w:type="dxa" w:w="60"/>
              <w:left w:type="dxa" w:w="90"/>
              <w:bottom w:type="dxa" w:w="60"/>
              <w:right w:type="dxa" w:w="90"/>
            </w:tcMar>
          </w:tcPr>
          <w:p>
            <w:r>
              <w:rPr>
                <w:sz w:val="18"/>
                <w:szCs w:val="18"/>
              </w:rPr>
              <w:t xml:space="preserve">Kaufman KER (13, EMA3) — 5d proxy</w:t>
            </w:r>
          </w:p>
        </w:tc>
        <w:tc>
          <w:tcPr>
            <w:tcW w:type="dxa" w:w="2800"/>
            <w:shd w:fill="F4F1EC" w:color="auto" w:val="clear"/>
            <w:tcMar>
              <w:top w:type="dxa" w:w="60"/>
              <w:left w:type="dxa" w:w="90"/>
              <w:bottom w:type="dxa" w:w="60"/>
              <w:right w:type="dxa" w:w="90"/>
            </w:tcMar>
          </w:tcPr>
          <w:p>
            <w:r>
              <w:rPr>
                <w:sz w:val="18"/>
                <w:szCs w:val="18"/>
              </w:rPr>
              <w:t xml:space="preserve">0.117</w:t>
            </w:r>
          </w:p>
        </w:tc>
        <w:tc>
          <w:tcPr>
            <w:tcW w:type="dxa" w:w="3160"/>
            <w:shd w:fill="F4F1EC" w:color="auto" w:val="clear"/>
            <w:tcMar>
              <w:top w:type="dxa" w:w="60"/>
              <w:left w:type="dxa" w:w="90"/>
              <w:bottom w:type="dxa" w:w="60"/>
              <w:right w:type="dxa" w:w="90"/>
            </w:tcMar>
          </w:tcPr>
          <w:p>
            <w:r>
              <w:rPr>
                <w:sz w:val="18"/>
                <w:szCs w:val="18"/>
              </w:rPr>
              <w:t xml:space="preserve">RANGING (below 0.13)</w:t>
            </w:r>
          </w:p>
        </w:tc>
      </w:tr>
      <w:tr>
        <w:tc>
          <w:tcPr>
            <w:tcW w:type="dxa" w:w="3400"/>
            <w:tcMar>
              <w:top w:type="dxa" w:w="60"/>
              <w:left w:type="dxa" w:w="90"/>
              <w:bottom w:type="dxa" w:w="60"/>
              <w:right w:type="dxa" w:w="90"/>
            </w:tcMar>
          </w:tcPr>
          <w:p>
            <w:r>
              <w:rPr>
                <w:sz w:val="18"/>
                <w:szCs w:val="18"/>
              </w:rPr>
              <w:t xml:space="preserve">KER threshold band</w:t>
            </w:r>
          </w:p>
        </w:tc>
        <w:tc>
          <w:tcPr>
            <w:tcW w:type="dxa" w:w="2800"/>
            <w:tcMar>
              <w:top w:type="dxa" w:w="60"/>
              <w:left w:type="dxa" w:w="90"/>
              <w:bottom w:type="dxa" w:w="60"/>
              <w:right w:type="dxa" w:w="90"/>
            </w:tcMar>
          </w:tcPr>
          <w:p>
            <w:r>
              <w:rPr>
                <w:sz w:val="18"/>
                <w:szCs w:val="18"/>
              </w:rPr>
              <w:t xml:space="preserve">Trend &gt;0.13 / range-up 0.09</w:t>
            </w:r>
          </w:p>
        </w:tc>
        <w:tc>
          <w:tcPr>
            <w:tcW w:type="dxa" w:w="3160"/>
            <w:tcMar>
              <w:top w:type="dxa" w:w="60"/>
              <w:left w:type="dxa" w:w="90"/>
              <w:bottom w:type="dxa" w:w="60"/>
              <w:right w:type="dxa" w:w="90"/>
            </w:tcMar>
          </w:tcPr>
          <w:p>
            <w:r>
              <w:rPr>
                <w:sz w:val="18"/>
                <w:szCs w:val="18"/>
              </w:rPr>
              <w:t xml:space="preserve">Just inside range</w:t>
            </w:r>
          </w:p>
        </w:tc>
      </w:tr>
    </w:tbl>
    <w:p>
      <w:pPr>
        <w:spacing w:after="100"/>
      </w:pPr>
      <w:r>
        <w:rPr>
          <w:b w:val="false"/>
          <w:bCs w:val="false"/>
          <w:i w:val="false"/>
          <w:iCs w:val="false"/>
          <w:sz w:val="20"/>
          <w:szCs w:val="20"/>
        </w:rPr>
        <w:t xml:space="preserve">ATR(14) is estimated at 78.50 rather than computed from a full 14-session tick series, which was not retrievable; it is anchored to the observed 4-session ATR of 84.16 and adjusted toward the ~1.9% daily-range regime that has prevailed for three weeks. Treat it as ±5%. Every stop and target below scales off this number, so the caveat propagates.</w:t>
      </w:r>
    </w:p>
    <w:p>
      <w:pPr>
        <w:spacing w:after="100"/>
      </w:pPr>
      <w:r>
        <w:rPr>
          <w:b w:val="false"/>
          <w:bCs w:val="false"/>
          <w:i w:val="false"/>
          <w:iCs w:val="false"/>
          <w:sz w:val="20"/>
          <w:szCs w:val="20"/>
        </w:rPr>
        <w:t xml:space="preserve">KER at 0.117 lands below the 0.13 trend threshold and above the 0.09 range-up boundary — the market is RANGING, and it is ranging in the upper sub-band, which carries a marginal upward bias. This matters more than it looks: KER is measuring exactly what §7 observed qualitatively, that 153.77 points of path produced 18 points of displacement. Efficiency of 11.7% is a chop signature. Trend-following expressions are structurally disadvantaged here; mean-reversion and range expressions are favoured. The Kaufman axis contributes −0.10 (penalising directional conviction, not direction itself).</w:t>
      </w:r>
    </w:p>
    <w:p>
      <w:pPr>
        <w:pStyle w:val="Heading1"/>
        <w:spacing w:after="120" w:before="240"/>
      </w:pPr>
      <w:r>
        <w:t xml:space="preserve">§12  Pivot Levels (Classic, from 15-Jul OHLC)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200"/>
        <w:gridCol w:w="4160"/>
      </w:tblGrid>
      <w:tr>
        <w:trPr>
          <w:tblHeader/>
        </w:trPr>
        <w:tc>
          <w:tcPr>
            <w:tcW w:type="dxa" w:w="1100"/>
            <w:shd w:fill="7A5C2E" w:color="auto" w:val="clear"/>
            <w:tcMar>
              <w:top w:type="dxa" w:w="60"/>
              <w:left w:type="dxa" w:w="90"/>
              <w:bottom w:type="dxa" w:w="60"/>
              <w:right w:type="dxa" w:w="90"/>
            </w:tcMar>
          </w:tcPr>
          <w:p>
            <w:r>
              <w:rPr>
                <w:b/>
                <w:bCs/>
                <w:color w:val="FFFFFF"/>
                <w:sz w:val="18"/>
                <w:szCs w:val="18"/>
              </w:rPr>
              <w:t xml:space="preserve">Level</w:t>
            </w:r>
          </w:p>
        </w:tc>
        <w:tc>
          <w:tcPr>
            <w:tcW w:type="dxa" w:w="1900"/>
            <w:shd w:fill="7A5C2E" w:color="auto" w:val="clear"/>
            <w:tcMar>
              <w:top w:type="dxa" w:w="60"/>
              <w:left w:type="dxa" w:w="90"/>
              <w:bottom w:type="dxa" w:w="60"/>
              <w:right w:type="dxa" w:w="90"/>
            </w:tcMar>
          </w:tcPr>
          <w:p>
            <w:r>
              <w:rPr>
                <w:b/>
                <w:bCs/>
                <w:color w:val="FFFFFF"/>
                <w:sz w:val="18"/>
                <w:szCs w:val="18"/>
              </w:rPr>
              <w:t xml:space="preserve">Price (USD/oz)</w:t>
            </w:r>
          </w:p>
        </w:tc>
        <w:tc>
          <w:tcPr>
            <w:tcW w:type="dxa" w:w="2200"/>
            <w:shd w:fill="7A5C2E" w:color="auto" w:val="clear"/>
            <w:tcMar>
              <w:top w:type="dxa" w:w="60"/>
              <w:left w:type="dxa" w:w="90"/>
              <w:bottom w:type="dxa" w:w="60"/>
              <w:right w:type="dxa" w:w="90"/>
            </w:tcMar>
          </w:tcPr>
          <w:p>
            <w:r>
              <w:rPr>
                <w:b/>
                <w:bCs/>
                <w:color w:val="FFFFFF"/>
                <w:sz w:val="18"/>
                <w:szCs w:val="18"/>
              </w:rPr>
              <w:t xml:space="preserve">Distance from 4,070</w:t>
            </w:r>
          </w:p>
        </w:tc>
        <w:tc>
          <w:tcPr>
            <w:tcW w:type="dxa" w:w="4160"/>
            <w:shd w:fill="7A5C2E" w:color="auto" w:val="clear"/>
            <w:tcMar>
              <w:top w:type="dxa" w:w="60"/>
              <w:left w:type="dxa" w:w="90"/>
              <w:bottom w:type="dxa" w:w="60"/>
              <w:right w:type="dxa" w:w="90"/>
            </w:tcMar>
          </w:tcPr>
          <w:p>
            <w:r>
              <w:rPr>
                <w:b/>
                <w:bCs/>
                <w:color w:val="FFFFFF"/>
                <w:sz w:val="18"/>
                <w:szCs w:val="18"/>
              </w:rPr>
              <w:t xml:space="preserve">Confluence</w:t>
            </w:r>
          </w:p>
        </w:tc>
      </w:tr>
      <w:tr>
        <w:tc>
          <w:tcPr>
            <w:tcW w:type="dxa" w:w="1100"/>
            <w:tcMar>
              <w:top w:type="dxa" w:w="60"/>
              <w:left w:type="dxa" w:w="90"/>
              <w:bottom w:type="dxa" w:w="60"/>
              <w:right w:type="dxa" w:w="90"/>
            </w:tcMar>
          </w:tcPr>
          <w:p>
            <w:r>
              <w:rPr>
                <w:sz w:val="18"/>
                <w:szCs w:val="18"/>
              </w:rPr>
              <w:t xml:space="preserve">R3</w:t>
            </w:r>
          </w:p>
        </w:tc>
        <w:tc>
          <w:tcPr>
            <w:tcW w:type="dxa" w:w="1900"/>
            <w:tcMar>
              <w:top w:type="dxa" w:w="60"/>
              <w:left w:type="dxa" w:w="90"/>
              <w:bottom w:type="dxa" w:w="60"/>
              <w:right w:type="dxa" w:w="90"/>
            </w:tcMar>
          </w:tcPr>
          <w:p>
            <w:r>
              <w:rPr>
                <w:sz w:val="18"/>
                <w:szCs w:val="18"/>
              </w:rPr>
              <w:t xml:space="preserve">4,173.33</w:t>
            </w:r>
          </w:p>
        </w:tc>
        <w:tc>
          <w:tcPr>
            <w:tcW w:type="dxa" w:w="2200"/>
            <w:tcMar>
              <w:top w:type="dxa" w:w="60"/>
              <w:left w:type="dxa" w:w="90"/>
              <w:bottom w:type="dxa" w:w="60"/>
              <w:right w:type="dxa" w:w="90"/>
            </w:tcMar>
          </w:tcPr>
          <w:p>
            <w:r>
              <w:rPr>
                <w:sz w:val="18"/>
                <w:szCs w:val="18"/>
              </w:rPr>
              <w:t xml:space="preserve">+103.33</w:t>
            </w:r>
          </w:p>
        </w:tc>
        <w:tc>
          <w:tcPr>
            <w:tcW w:type="dxa" w:w="4160"/>
            <w:tcMar>
              <w:top w:type="dxa" w:w="60"/>
              <w:left w:type="dxa" w:w="90"/>
              <w:bottom w:type="dxa" w:w="60"/>
              <w:right w:type="dxa" w:w="90"/>
            </w:tcMar>
          </w:tcPr>
          <w:p>
            <w:r>
              <w:rPr>
                <w:sz w:val="18"/>
                <w:szCs w:val="18"/>
              </w:rPr>
              <w:t xml:space="preserve">—</w:t>
            </w:r>
          </w:p>
        </w:tc>
      </w:tr>
      <w:tr>
        <w:tc>
          <w:tcPr>
            <w:tcW w:type="dxa" w:w="1100"/>
            <w:shd w:fill="F4F1EC" w:color="auto" w:val="clear"/>
            <w:tcMar>
              <w:top w:type="dxa" w:w="60"/>
              <w:left w:type="dxa" w:w="90"/>
              <w:bottom w:type="dxa" w:w="60"/>
              <w:right w:type="dxa" w:w="90"/>
            </w:tcMar>
          </w:tcPr>
          <w:p>
            <w:r>
              <w:rPr>
                <w:sz w:val="18"/>
                <w:szCs w:val="18"/>
              </w:rPr>
              <w:t xml:space="preserve">R2</w:t>
            </w:r>
          </w:p>
        </w:tc>
        <w:tc>
          <w:tcPr>
            <w:tcW w:type="dxa" w:w="1900"/>
            <w:shd w:fill="F4F1EC" w:color="auto" w:val="clear"/>
            <w:tcMar>
              <w:top w:type="dxa" w:w="60"/>
              <w:left w:type="dxa" w:w="90"/>
              <w:bottom w:type="dxa" w:w="60"/>
              <w:right w:type="dxa" w:w="90"/>
            </w:tcMar>
          </w:tcPr>
          <w:p>
            <w:r>
              <w:rPr>
                <w:sz w:val="18"/>
                <w:szCs w:val="18"/>
              </w:rPr>
              <w:t xml:space="preserve">4,131.67</w:t>
            </w:r>
          </w:p>
        </w:tc>
        <w:tc>
          <w:tcPr>
            <w:tcW w:type="dxa" w:w="2200"/>
            <w:shd w:fill="F4F1EC" w:color="auto" w:val="clear"/>
            <w:tcMar>
              <w:top w:type="dxa" w:w="60"/>
              <w:left w:type="dxa" w:w="90"/>
              <w:bottom w:type="dxa" w:w="60"/>
              <w:right w:type="dxa" w:w="90"/>
            </w:tcMar>
          </w:tcPr>
          <w:p>
            <w:r>
              <w:rPr>
                <w:sz w:val="18"/>
                <w:szCs w:val="18"/>
              </w:rPr>
              <w:t xml:space="preserve">+61.67</w:t>
            </w:r>
          </w:p>
        </w:tc>
        <w:tc>
          <w:tcPr>
            <w:tcW w:type="dxa" w:w="4160"/>
            <w:shd w:fill="F4F1EC" w:color="auto" w:val="clear"/>
            <w:tcMar>
              <w:top w:type="dxa" w:w="60"/>
              <w:left w:type="dxa" w:w="90"/>
              <w:bottom w:type="dxa" w:w="60"/>
              <w:right w:type="dxa" w:w="90"/>
            </w:tcMar>
          </w:tcPr>
          <w:p>
            <w:r>
              <w:rPr>
                <w:sz w:val="18"/>
                <w:szCs w:val="18"/>
              </w:rPr>
              <w:t xml:space="preserve">5d swing high 4,132.00 — STRONG</w:t>
            </w:r>
          </w:p>
        </w:tc>
      </w:tr>
      <w:tr>
        <w:tc>
          <w:tcPr>
            <w:tcW w:type="dxa" w:w="1100"/>
            <w:tcMar>
              <w:top w:type="dxa" w:w="60"/>
              <w:left w:type="dxa" w:w="90"/>
              <w:bottom w:type="dxa" w:w="60"/>
              <w:right w:type="dxa" w:w="90"/>
            </w:tcMar>
          </w:tcPr>
          <w:p>
            <w:r>
              <w:rPr>
                <w:sz w:val="18"/>
                <w:szCs w:val="18"/>
              </w:rPr>
              <w:t xml:space="preserve">R1.5</w:t>
            </w:r>
          </w:p>
        </w:tc>
        <w:tc>
          <w:tcPr>
            <w:tcW w:type="dxa" w:w="1900"/>
            <w:tcMar>
              <w:top w:type="dxa" w:w="60"/>
              <w:left w:type="dxa" w:w="90"/>
              <w:bottom w:type="dxa" w:w="60"/>
              <w:right w:type="dxa" w:w="90"/>
            </w:tcMar>
          </w:tcPr>
          <w:p>
            <w:r>
              <w:rPr>
                <w:sz w:val="18"/>
                <w:szCs w:val="18"/>
              </w:rPr>
              <w:t xml:space="preserve">4,116.25</w:t>
            </w:r>
          </w:p>
        </w:tc>
        <w:tc>
          <w:tcPr>
            <w:tcW w:type="dxa" w:w="2200"/>
            <w:tcMar>
              <w:top w:type="dxa" w:w="60"/>
              <w:left w:type="dxa" w:w="90"/>
              <w:bottom w:type="dxa" w:w="60"/>
              <w:right w:type="dxa" w:w="90"/>
            </w:tcMar>
          </w:tcPr>
          <w:p>
            <w:r>
              <w:rPr>
                <w:sz w:val="18"/>
                <w:szCs w:val="18"/>
              </w:rPr>
              <w:t xml:space="preserve">+46.25</w:t>
            </w:r>
          </w:p>
        </w:tc>
        <w:tc>
          <w:tcPr>
            <w:tcW w:type="dxa" w:w="4160"/>
            <w:tcMar>
              <w:top w:type="dxa" w:w="60"/>
              <w:left w:type="dxa" w:w="90"/>
              <w:bottom w:type="dxa" w:w="60"/>
              <w:right w:type="dxa" w:w="90"/>
            </w:tcMar>
          </w:tcPr>
          <w:p>
            <w:r>
              <w:rPr>
                <w:sz w:val="18"/>
                <w:szCs w:val="18"/>
              </w:rPr>
              <w:t xml:space="preserve">LiteFinance R 4,114.01 — STRONG</w:t>
            </w:r>
          </w:p>
        </w:tc>
      </w:tr>
      <w:tr>
        <w:tc>
          <w:tcPr>
            <w:tcW w:type="dxa" w:w="1100"/>
            <w:shd w:fill="F4F1EC" w:color="auto" w:val="clear"/>
            <w:tcMar>
              <w:top w:type="dxa" w:w="60"/>
              <w:left w:type="dxa" w:w="90"/>
              <w:bottom w:type="dxa" w:w="60"/>
              <w:right w:type="dxa" w:w="90"/>
            </w:tcMar>
          </w:tcPr>
          <w:p>
            <w:r>
              <w:rPr>
                <w:sz w:val="18"/>
                <w:szCs w:val="18"/>
              </w:rPr>
              <w:t xml:space="preserve">R1</w:t>
            </w:r>
          </w:p>
        </w:tc>
        <w:tc>
          <w:tcPr>
            <w:tcW w:type="dxa" w:w="1900"/>
            <w:shd w:fill="F4F1EC" w:color="auto" w:val="clear"/>
            <w:tcMar>
              <w:top w:type="dxa" w:w="60"/>
              <w:left w:type="dxa" w:w="90"/>
              <w:bottom w:type="dxa" w:w="60"/>
              <w:right w:type="dxa" w:w="90"/>
            </w:tcMar>
          </w:tcPr>
          <w:p>
            <w:r>
              <w:rPr>
                <w:sz w:val="18"/>
                <w:szCs w:val="18"/>
              </w:rPr>
              <w:t xml:space="preserve">4,100.83</w:t>
            </w:r>
          </w:p>
        </w:tc>
        <w:tc>
          <w:tcPr>
            <w:tcW w:type="dxa" w:w="2200"/>
            <w:shd w:fill="F4F1EC" w:color="auto" w:val="clear"/>
            <w:tcMar>
              <w:top w:type="dxa" w:w="60"/>
              <w:left w:type="dxa" w:w="90"/>
              <w:bottom w:type="dxa" w:w="60"/>
              <w:right w:type="dxa" w:w="90"/>
            </w:tcMar>
          </w:tcPr>
          <w:p>
            <w:r>
              <w:rPr>
                <w:sz w:val="18"/>
                <w:szCs w:val="18"/>
              </w:rPr>
              <w:t xml:space="preserve">+30.83</w:t>
            </w:r>
          </w:p>
        </w:tc>
        <w:tc>
          <w:tcPr>
            <w:tcW w:type="dxa" w:w="4160"/>
            <w:shd w:fill="F4F1EC" w:color="auto" w:val="clear"/>
            <w:tcMar>
              <w:top w:type="dxa" w:w="60"/>
              <w:left w:type="dxa" w:w="90"/>
              <w:bottom w:type="dxa" w:w="60"/>
              <w:right w:type="dxa" w:w="90"/>
            </w:tcMar>
          </w:tcPr>
          <w:p>
            <w:r>
              <w:rPr>
                <w:sz w:val="18"/>
                <w:szCs w:val="18"/>
              </w:rPr>
              <w:t xml:space="preserve">Psych 4,100</w:t>
            </w:r>
          </w:p>
        </w:tc>
      </w:tr>
      <w:tr>
        <w:tc>
          <w:tcPr>
            <w:tcW w:type="dxa" w:w="1100"/>
            <w:tcMar>
              <w:top w:type="dxa" w:w="60"/>
              <w:left w:type="dxa" w:w="90"/>
              <w:bottom w:type="dxa" w:w="60"/>
              <w:right w:type="dxa" w:w="90"/>
            </w:tcMar>
          </w:tcPr>
          <w:p>
            <w:r>
              <w:rPr>
                <w:sz w:val="18"/>
                <w:szCs w:val="18"/>
              </w:rPr>
              <w:t xml:space="preserve">Pivot (P)</w:t>
            </w:r>
          </w:p>
        </w:tc>
        <w:tc>
          <w:tcPr>
            <w:tcW w:type="dxa" w:w="1900"/>
            <w:tcMar>
              <w:top w:type="dxa" w:w="60"/>
              <w:left w:type="dxa" w:w="90"/>
              <w:bottom w:type="dxa" w:w="60"/>
              <w:right w:type="dxa" w:w="90"/>
            </w:tcMar>
          </w:tcPr>
          <w:p>
            <w:r>
              <w:rPr>
                <w:sz w:val="18"/>
                <w:szCs w:val="18"/>
              </w:rPr>
              <w:t xml:space="preserve">4,059.17</w:t>
            </w:r>
          </w:p>
        </w:tc>
        <w:tc>
          <w:tcPr>
            <w:tcW w:type="dxa" w:w="2200"/>
            <w:tcMar>
              <w:top w:type="dxa" w:w="60"/>
              <w:left w:type="dxa" w:w="90"/>
              <w:bottom w:type="dxa" w:w="60"/>
              <w:right w:type="dxa" w:w="90"/>
            </w:tcMar>
          </w:tcPr>
          <w:p>
            <w:r>
              <w:rPr>
                <w:sz w:val="18"/>
                <w:szCs w:val="18"/>
              </w:rPr>
              <w:t xml:space="preserve">−10.83</w:t>
            </w:r>
          </w:p>
        </w:tc>
        <w:tc>
          <w:tcPr>
            <w:tcW w:type="dxa" w:w="4160"/>
            <w:tcMar>
              <w:top w:type="dxa" w:w="60"/>
              <w:left w:type="dxa" w:w="90"/>
              <w:bottom w:type="dxa" w:w="60"/>
              <w:right w:type="dxa" w:w="90"/>
            </w:tcMar>
          </w:tcPr>
          <w:p>
            <w:r>
              <w:rPr>
                <w:sz w:val="18"/>
                <w:szCs w:val="18"/>
              </w:rPr>
              <w:t xml:space="preserve">Fib 50% (4,058.88) — STRONG</w:t>
            </w:r>
          </w:p>
        </w:tc>
      </w:tr>
      <w:tr>
        <w:tc>
          <w:tcPr>
            <w:tcW w:type="dxa" w:w="1100"/>
            <w:shd w:fill="F4F1EC" w:color="auto" w:val="clear"/>
            <w:tcMar>
              <w:top w:type="dxa" w:w="60"/>
              <w:left w:type="dxa" w:w="90"/>
              <w:bottom w:type="dxa" w:w="60"/>
              <w:right w:type="dxa" w:w="90"/>
            </w:tcMar>
          </w:tcPr>
          <w:p>
            <w:r>
              <w:rPr>
                <w:sz w:val="18"/>
                <w:szCs w:val="18"/>
              </w:rPr>
              <w:t xml:space="preserve">S1</w:t>
            </w:r>
          </w:p>
        </w:tc>
        <w:tc>
          <w:tcPr>
            <w:tcW w:type="dxa" w:w="1900"/>
            <w:shd w:fill="F4F1EC" w:color="auto" w:val="clear"/>
            <w:tcMar>
              <w:top w:type="dxa" w:w="60"/>
              <w:left w:type="dxa" w:w="90"/>
              <w:bottom w:type="dxa" w:w="60"/>
              <w:right w:type="dxa" w:w="90"/>
            </w:tcMar>
          </w:tcPr>
          <w:p>
            <w:r>
              <w:rPr>
                <w:sz w:val="18"/>
                <w:szCs w:val="18"/>
              </w:rPr>
              <w:t xml:space="preserve">4,028.33</w:t>
            </w:r>
          </w:p>
        </w:tc>
        <w:tc>
          <w:tcPr>
            <w:tcW w:type="dxa" w:w="2200"/>
            <w:shd w:fill="F4F1EC" w:color="auto" w:val="clear"/>
            <w:tcMar>
              <w:top w:type="dxa" w:w="60"/>
              <w:left w:type="dxa" w:w="90"/>
              <w:bottom w:type="dxa" w:w="60"/>
              <w:right w:type="dxa" w:w="90"/>
            </w:tcMar>
          </w:tcPr>
          <w:p>
            <w:r>
              <w:rPr>
                <w:sz w:val="18"/>
                <w:szCs w:val="18"/>
              </w:rPr>
              <w:t xml:space="preserve">−41.67</w:t>
            </w:r>
          </w:p>
        </w:tc>
        <w:tc>
          <w:tcPr>
            <w:tcW w:type="dxa" w:w="4160"/>
            <w:shd w:fill="F4F1EC" w:color="auto" w:val="clear"/>
            <w:tcMar>
              <w:top w:type="dxa" w:w="60"/>
              <w:left w:type="dxa" w:w="90"/>
              <w:bottom w:type="dxa" w:w="60"/>
              <w:right w:type="dxa" w:w="90"/>
            </w:tcMar>
          </w:tcPr>
          <w:p>
            <w:r>
              <w:rPr>
                <w:sz w:val="18"/>
                <w:szCs w:val="18"/>
              </w:rPr>
              <w:t xml:space="preserve">FXLeaders S 4,002 zone edge</w:t>
            </w:r>
          </w:p>
        </w:tc>
      </w:tr>
      <w:tr>
        <w:tc>
          <w:tcPr>
            <w:tcW w:type="dxa" w:w="1100"/>
            <w:tcMar>
              <w:top w:type="dxa" w:w="60"/>
              <w:left w:type="dxa" w:w="90"/>
              <w:bottom w:type="dxa" w:w="60"/>
              <w:right w:type="dxa" w:w="90"/>
            </w:tcMar>
          </w:tcPr>
          <w:p>
            <w:r>
              <w:rPr>
                <w:sz w:val="18"/>
                <w:szCs w:val="18"/>
              </w:rPr>
              <w:t xml:space="preserve">S1.5</w:t>
            </w:r>
          </w:p>
        </w:tc>
        <w:tc>
          <w:tcPr>
            <w:tcW w:type="dxa" w:w="1900"/>
            <w:tcMar>
              <w:top w:type="dxa" w:w="60"/>
              <w:left w:type="dxa" w:w="90"/>
              <w:bottom w:type="dxa" w:w="60"/>
              <w:right w:type="dxa" w:w="90"/>
            </w:tcMar>
          </w:tcPr>
          <w:p>
            <w:r>
              <w:rPr>
                <w:sz w:val="18"/>
                <w:szCs w:val="18"/>
              </w:rPr>
              <w:t xml:space="preserve">4,007.50</w:t>
            </w:r>
          </w:p>
        </w:tc>
        <w:tc>
          <w:tcPr>
            <w:tcW w:type="dxa" w:w="2200"/>
            <w:tcMar>
              <w:top w:type="dxa" w:w="60"/>
              <w:left w:type="dxa" w:w="90"/>
              <w:bottom w:type="dxa" w:w="60"/>
              <w:right w:type="dxa" w:w="90"/>
            </w:tcMar>
          </w:tcPr>
          <w:p>
            <w:r>
              <w:rPr>
                <w:sz w:val="18"/>
                <w:szCs w:val="18"/>
              </w:rPr>
              <w:t xml:space="preserve">−62.50</w:t>
            </w:r>
          </w:p>
        </w:tc>
        <w:tc>
          <w:tcPr>
            <w:tcW w:type="dxa" w:w="4160"/>
            <w:tcMar>
              <w:top w:type="dxa" w:w="60"/>
              <w:left w:type="dxa" w:w="90"/>
              <w:bottom w:type="dxa" w:w="60"/>
              <w:right w:type="dxa" w:w="90"/>
            </w:tcMar>
          </w:tcPr>
          <w:p>
            <w:r>
              <w:rPr>
                <w:sz w:val="18"/>
                <w:szCs w:val="18"/>
              </w:rPr>
              <w:t xml:space="preserve">LiteFinance S 4,007.83 — STRONG</w:t>
            </w:r>
          </w:p>
        </w:tc>
      </w:tr>
      <w:tr>
        <w:tc>
          <w:tcPr>
            <w:tcW w:type="dxa" w:w="1100"/>
            <w:shd w:fill="F4F1EC" w:color="auto" w:val="clear"/>
            <w:tcMar>
              <w:top w:type="dxa" w:w="60"/>
              <w:left w:type="dxa" w:w="90"/>
              <w:bottom w:type="dxa" w:w="60"/>
              <w:right w:type="dxa" w:w="90"/>
            </w:tcMar>
          </w:tcPr>
          <w:p>
            <w:r>
              <w:rPr>
                <w:sz w:val="18"/>
                <w:szCs w:val="18"/>
              </w:rPr>
              <w:t xml:space="preserve">S2</w:t>
            </w:r>
          </w:p>
        </w:tc>
        <w:tc>
          <w:tcPr>
            <w:tcW w:type="dxa" w:w="1900"/>
            <w:shd w:fill="F4F1EC" w:color="auto" w:val="clear"/>
            <w:tcMar>
              <w:top w:type="dxa" w:w="60"/>
              <w:left w:type="dxa" w:w="90"/>
              <w:bottom w:type="dxa" w:w="60"/>
              <w:right w:type="dxa" w:w="90"/>
            </w:tcMar>
          </w:tcPr>
          <w:p>
            <w:r>
              <w:rPr>
                <w:sz w:val="18"/>
                <w:szCs w:val="18"/>
              </w:rPr>
              <w:t xml:space="preserve">3,986.67</w:t>
            </w:r>
          </w:p>
        </w:tc>
        <w:tc>
          <w:tcPr>
            <w:tcW w:type="dxa" w:w="2200"/>
            <w:shd w:fill="F4F1EC" w:color="auto" w:val="clear"/>
            <w:tcMar>
              <w:top w:type="dxa" w:w="60"/>
              <w:left w:type="dxa" w:w="90"/>
              <w:bottom w:type="dxa" w:w="60"/>
              <w:right w:type="dxa" w:w="90"/>
            </w:tcMar>
          </w:tcPr>
          <w:p>
            <w:r>
              <w:rPr>
                <w:sz w:val="18"/>
                <w:szCs w:val="18"/>
              </w:rPr>
              <w:t xml:space="preserve">−83.33</w:t>
            </w:r>
          </w:p>
        </w:tc>
        <w:tc>
          <w:tcPr>
            <w:tcW w:type="dxa" w:w="4160"/>
            <w:shd w:fill="F4F1EC" w:color="auto" w:val="clear"/>
            <w:tcMar>
              <w:top w:type="dxa" w:w="60"/>
              <w:left w:type="dxa" w:w="90"/>
              <w:bottom w:type="dxa" w:w="60"/>
              <w:right w:type="dxa" w:w="90"/>
            </w:tcMar>
          </w:tcPr>
          <w:p>
            <w:r>
              <w:rPr>
                <w:sz w:val="18"/>
                <w:szCs w:val="18"/>
              </w:rPr>
              <w:t xml:space="preserve">5d swing low 3,985.76 — VERY STRONG</w:t>
            </w:r>
          </w:p>
        </w:tc>
      </w:tr>
      <w:tr>
        <w:tc>
          <w:tcPr>
            <w:tcW w:type="dxa" w:w="1100"/>
            <w:tcMar>
              <w:top w:type="dxa" w:w="60"/>
              <w:left w:type="dxa" w:w="90"/>
              <w:bottom w:type="dxa" w:w="60"/>
              <w:right w:type="dxa" w:w="90"/>
            </w:tcMar>
          </w:tcPr>
          <w:p>
            <w:r>
              <w:rPr>
                <w:sz w:val="18"/>
                <w:szCs w:val="18"/>
              </w:rPr>
              <w:t xml:space="preserve">S3</w:t>
            </w:r>
          </w:p>
        </w:tc>
        <w:tc>
          <w:tcPr>
            <w:tcW w:type="dxa" w:w="1900"/>
            <w:tcMar>
              <w:top w:type="dxa" w:w="60"/>
              <w:left w:type="dxa" w:w="90"/>
              <w:bottom w:type="dxa" w:w="60"/>
              <w:right w:type="dxa" w:w="90"/>
            </w:tcMar>
          </w:tcPr>
          <w:p>
            <w:r>
              <w:rPr>
                <w:sz w:val="18"/>
                <w:szCs w:val="18"/>
              </w:rPr>
              <w:t xml:space="preserve">3,955.83</w:t>
            </w:r>
          </w:p>
        </w:tc>
        <w:tc>
          <w:tcPr>
            <w:tcW w:type="dxa" w:w="2200"/>
            <w:tcMar>
              <w:top w:type="dxa" w:w="60"/>
              <w:left w:type="dxa" w:w="90"/>
              <w:bottom w:type="dxa" w:w="60"/>
              <w:right w:type="dxa" w:w="90"/>
            </w:tcMar>
          </w:tcPr>
          <w:p>
            <w:r>
              <w:rPr>
                <w:sz w:val="18"/>
                <w:szCs w:val="18"/>
              </w:rPr>
              <w:t xml:space="preserve">−114.17</w:t>
            </w:r>
          </w:p>
        </w:tc>
        <w:tc>
          <w:tcPr>
            <w:tcW w:type="dxa" w:w="4160"/>
            <w:tcMar>
              <w:top w:type="dxa" w:w="60"/>
              <w:left w:type="dxa" w:w="90"/>
              <w:bottom w:type="dxa" w:w="60"/>
              <w:right w:type="dxa" w:w="90"/>
            </w:tcMar>
          </w:tcPr>
          <w:p>
            <w:r>
              <w:rPr>
                <w:sz w:val="18"/>
                <w:szCs w:val="18"/>
              </w:rPr>
              <w:t xml:space="preserve">—</w:t>
            </w:r>
          </w:p>
        </w:tc>
      </w:tr>
    </w:tbl>
    <w:p>
      <w:pPr>
        <w:spacing w:after="100"/>
      </w:pPr>
      <w:r>
        <w:rPr>
          <w:b w:val="false"/>
          <w:bCs w:val="false"/>
          <w:i w:val="false"/>
          <w:iCs w:val="false"/>
          <w:sz w:val="20"/>
          <w:szCs w:val="20"/>
        </w:rPr>
        <w:t xml:space="preserve">The pivot structure is unusually well-corroborated. Three levels show independent confluence: R2 at 4,131.67 sits within 0.33 of the 5-day swing high; S1.5 at 4,007.50 sits within 0.33 of LiteFinance's published support at 4,007.83; and S2 at 3,986.67 sits within 1 point of the twice-defended 5-day low. When a mechanically derived pivot and an independently published level land inside a dollar of each other, that level is real. The pivot itself at 4,059.17 coincides with the 50% fib of the 4-session swing at 4,058.88 — spot is currently sitting 11 points above its own pivot, which is the technical definition of a neutral-to-mildly-constructive open.</w:t>
      </w:r>
    </w:p>
    <w:p>
      <w:pPr>
        <w:spacing w:after="100"/>
      </w:pPr>
      <w:r>
        <w:rPr>
          <w:b w:val="false"/>
          <w:bCs w:val="false"/>
          <w:i/>
          <w:iCs/>
          <w:sz w:val="18"/>
          <w:szCs w:val="18"/>
        </w:rPr>
        <w:t xml:space="preserve">Corroboration flag: pivots are derived from the composite 15-Jul OHLC (H 4,090.00 / L 4,017.50 / C 4,070.00). Because the high and low are composite across venues rather than a single exchange print, all pivot levels carry SINGLE-SOURCE-INDICATIVE status and inherit that flag into the R1.5 / S1.5 midpoints per M5 §4a.</w:t>
      </w:r>
    </w:p>
    <w:p>
      <w:pPr>
        <w:pStyle w:val="Heading1"/>
        <w:spacing w:after="120" w:before="240"/>
      </w:pPr>
      <w:r>
        <w:t xml:space="preserve">§13  Fibonacci Swing Anchor (Adaptive)</w:t>
      </w:r>
    </w:p>
    <w:p>
      <w:pPr>
        <w:spacing w:after="100"/>
      </w:pPr>
      <w:r>
        <w:rPr>
          <w:b w:val="false"/>
          <w:bCs w:val="false"/>
          <w:i w:val="false"/>
          <w:iCs w:val="false"/>
          <w:sz w:val="20"/>
          <w:szCs w:val="20"/>
        </w:rPr>
        <w:t xml:space="preserve">Per M5 §4b, the default [FIB_RANGE_DAYS] = 4 lookback produced a swing of 3,985.76 → 4,132.00, magnitude 146.24 = 1.86 × ATR(14). That is below the 2 × ATR qualifying threshold. The lookback was extended in 1-session increments to 10 sessions, at which point the swing 3,985.76 → 4,310.00 qualifies with magnitude 324.24 = 4.13 × ATR(14).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7A5C2E" w:color="auto" w:val="clear"/>
            <w:tcMar>
              <w:top w:type="dxa" w:w="60"/>
              <w:left w:type="dxa" w:w="90"/>
              <w:bottom w:type="dxa" w:w="60"/>
              <w:right w:type="dxa" w:w="90"/>
            </w:tcMar>
          </w:tcPr>
          <w:p>
            <w:r>
              <w:rPr>
                <w:b/>
                <w:bCs/>
                <w:color w:val="FFFFFF"/>
                <w:sz w:val="18"/>
                <w:szCs w:val="18"/>
              </w:rPr>
              <w:t xml:space="preserve">Fib level</w:t>
            </w:r>
          </w:p>
        </w:tc>
        <w:tc>
          <w:tcPr>
            <w:tcW w:type="dxa" w:w="2600"/>
            <w:shd w:fill="7A5C2E" w:color="auto" w:val="clear"/>
            <w:tcMar>
              <w:top w:type="dxa" w:w="60"/>
              <w:left w:type="dxa" w:w="90"/>
              <w:bottom w:type="dxa" w:w="60"/>
              <w:right w:type="dxa" w:w="90"/>
            </w:tcMar>
          </w:tcPr>
          <w:p>
            <w:r>
              <w:rPr>
                <w:b/>
                <w:bCs/>
                <w:color w:val="FFFFFF"/>
                <w:sz w:val="18"/>
                <w:szCs w:val="18"/>
              </w:rPr>
              <w:t xml:space="preserve">Price (USD/oz)</w:t>
            </w:r>
          </w:p>
        </w:tc>
        <w:tc>
          <w:tcPr>
            <w:tcW w:type="dxa" w:w="4160"/>
            <w:shd w:fill="7A5C2E" w:color="auto" w:val="clear"/>
            <w:tcMar>
              <w:top w:type="dxa" w:w="60"/>
              <w:left w:type="dxa" w:w="90"/>
              <w:bottom w:type="dxa" w:w="60"/>
              <w:right w:type="dxa" w:w="90"/>
            </w:tcMar>
          </w:tcPr>
          <w:p>
            <w:r>
              <w:rPr>
                <w:b/>
                <w:bCs/>
                <w:color w:val="FFFFFF"/>
                <w:sz w:val="18"/>
                <w:szCs w:val="18"/>
              </w:rPr>
              <w:t xml:space="preserve">Position vs spot 4,070</w:t>
            </w:r>
          </w:p>
        </w:tc>
      </w:tr>
      <w:tr>
        <w:tc>
          <w:tcPr>
            <w:tcW w:type="dxa" w:w="2600"/>
            <w:tcMar>
              <w:top w:type="dxa" w:w="60"/>
              <w:left w:type="dxa" w:w="90"/>
              <w:bottom w:type="dxa" w:w="60"/>
              <w:right w:type="dxa" w:w="90"/>
            </w:tcMar>
          </w:tcPr>
          <w:p>
            <w:r>
              <w:rPr>
                <w:sz w:val="18"/>
                <w:szCs w:val="18"/>
              </w:rPr>
              <w:t xml:space="preserve">0.000 (swing high, ~02-Jul)</w:t>
            </w:r>
          </w:p>
        </w:tc>
        <w:tc>
          <w:tcPr>
            <w:tcW w:type="dxa" w:w="2600"/>
            <w:tcMar>
              <w:top w:type="dxa" w:w="60"/>
              <w:left w:type="dxa" w:w="90"/>
              <w:bottom w:type="dxa" w:w="60"/>
              <w:right w:type="dxa" w:w="90"/>
            </w:tcMar>
          </w:tcPr>
          <w:p>
            <w:r>
              <w:rPr>
                <w:sz w:val="18"/>
                <w:szCs w:val="18"/>
              </w:rPr>
              <w:t xml:space="preserve">4,310.00</w:t>
            </w:r>
          </w:p>
        </w:tc>
        <w:tc>
          <w:tcPr>
            <w:tcW w:type="dxa" w:w="4160"/>
            <w:tcMar>
              <w:top w:type="dxa" w:w="60"/>
              <w:left w:type="dxa" w:w="90"/>
              <w:bottom w:type="dxa" w:w="60"/>
              <w:right w:type="dxa" w:w="90"/>
            </w:tcMar>
          </w:tcPr>
          <w:p>
            <w:r>
              <w:rPr>
                <w:sz w:val="18"/>
                <w:szCs w:val="18"/>
              </w:rPr>
              <w:t xml:space="preserve">+240.00</w:t>
            </w:r>
          </w:p>
        </w:tc>
      </w:tr>
      <w:tr>
        <w:tc>
          <w:tcPr>
            <w:tcW w:type="dxa" w:w="2600"/>
            <w:shd w:fill="F4F1EC" w:color="auto" w:val="clear"/>
            <w:tcMar>
              <w:top w:type="dxa" w:w="60"/>
              <w:left w:type="dxa" w:w="90"/>
              <w:bottom w:type="dxa" w:w="60"/>
              <w:right w:type="dxa" w:w="90"/>
            </w:tcMar>
          </w:tcPr>
          <w:p>
            <w:r>
              <w:rPr>
                <w:sz w:val="18"/>
                <w:szCs w:val="18"/>
              </w:rPr>
              <w:t xml:space="preserve">0.236</w:t>
            </w:r>
          </w:p>
        </w:tc>
        <w:tc>
          <w:tcPr>
            <w:tcW w:type="dxa" w:w="2600"/>
            <w:shd w:fill="F4F1EC" w:color="auto" w:val="clear"/>
            <w:tcMar>
              <w:top w:type="dxa" w:w="60"/>
              <w:left w:type="dxa" w:w="90"/>
              <w:bottom w:type="dxa" w:w="60"/>
              <w:right w:type="dxa" w:w="90"/>
            </w:tcMar>
          </w:tcPr>
          <w:p>
            <w:r>
              <w:rPr>
                <w:sz w:val="18"/>
                <w:szCs w:val="18"/>
              </w:rPr>
              <w:t xml:space="preserve">4,233.48</w:t>
            </w:r>
          </w:p>
        </w:tc>
        <w:tc>
          <w:tcPr>
            <w:tcW w:type="dxa" w:w="4160"/>
            <w:shd w:fill="F4F1EC" w:color="auto" w:val="clear"/>
            <w:tcMar>
              <w:top w:type="dxa" w:w="60"/>
              <w:left w:type="dxa" w:w="90"/>
              <w:bottom w:type="dxa" w:w="60"/>
              <w:right w:type="dxa" w:w="90"/>
            </w:tcMar>
          </w:tcPr>
          <w:p>
            <w:r>
              <w:rPr>
                <w:sz w:val="18"/>
                <w:szCs w:val="18"/>
              </w:rPr>
              <w:t xml:space="preserve">+163.48</w:t>
            </w:r>
          </w:p>
        </w:tc>
      </w:tr>
      <w:tr>
        <w:tc>
          <w:tcPr>
            <w:tcW w:type="dxa" w:w="2600"/>
            <w:tcMar>
              <w:top w:type="dxa" w:w="60"/>
              <w:left w:type="dxa" w:w="90"/>
              <w:bottom w:type="dxa" w:w="60"/>
              <w:right w:type="dxa" w:w="90"/>
            </w:tcMar>
          </w:tcPr>
          <w:p>
            <w:r>
              <w:rPr>
                <w:sz w:val="18"/>
                <w:szCs w:val="18"/>
              </w:rPr>
              <w:t xml:space="preserve">0.382</w:t>
            </w:r>
          </w:p>
        </w:tc>
        <w:tc>
          <w:tcPr>
            <w:tcW w:type="dxa" w:w="2600"/>
            <w:tcMar>
              <w:top w:type="dxa" w:w="60"/>
              <w:left w:type="dxa" w:w="90"/>
              <w:bottom w:type="dxa" w:w="60"/>
              <w:right w:type="dxa" w:w="90"/>
            </w:tcMar>
          </w:tcPr>
          <w:p>
            <w:r>
              <w:rPr>
                <w:sz w:val="18"/>
                <w:szCs w:val="18"/>
              </w:rPr>
              <w:t xml:space="preserve">4,186.14</w:t>
            </w:r>
          </w:p>
        </w:tc>
        <w:tc>
          <w:tcPr>
            <w:tcW w:type="dxa" w:w="4160"/>
            <w:tcMar>
              <w:top w:type="dxa" w:w="60"/>
              <w:left w:type="dxa" w:w="90"/>
              <w:bottom w:type="dxa" w:w="60"/>
              <w:right w:type="dxa" w:w="90"/>
            </w:tcMar>
          </w:tcPr>
          <w:p>
            <w:r>
              <w:rPr>
                <w:sz w:val="18"/>
                <w:szCs w:val="18"/>
              </w:rPr>
              <w:t xml:space="preserve">+116.14</w:t>
            </w:r>
          </w:p>
        </w:tc>
      </w:tr>
      <w:tr>
        <w:tc>
          <w:tcPr>
            <w:tcW w:type="dxa" w:w="2600"/>
            <w:shd w:fill="F4F1EC" w:color="auto" w:val="clear"/>
            <w:tcMar>
              <w:top w:type="dxa" w:w="60"/>
              <w:left w:type="dxa" w:w="90"/>
              <w:bottom w:type="dxa" w:w="60"/>
              <w:right w:type="dxa" w:w="90"/>
            </w:tcMar>
          </w:tcPr>
          <w:p>
            <w:r>
              <w:rPr>
                <w:sz w:val="18"/>
                <w:szCs w:val="18"/>
              </w:rPr>
              <w:t xml:space="preserve">0.500</w:t>
            </w:r>
          </w:p>
        </w:tc>
        <w:tc>
          <w:tcPr>
            <w:tcW w:type="dxa" w:w="2600"/>
            <w:shd w:fill="F4F1EC" w:color="auto" w:val="clear"/>
            <w:tcMar>
              <w:top w:type="dxa" w:w="60"/>
              <w:left w:type="dxa" w:w="90"/>
              <w:bottom w:type="dxa" w:w="60"/>
              <w:right w:type="dxa" w:w="90"/>
            </w:tcMar>
          </w:tcPr>
          <w:p>
            <w:r>
              <w:rPr>
                <w:sz w:val="18"/>
                <w:szCs w:val="18"/>
              </w:rPr>
              <w:t xml:space="preserve">4,147.88</w:t>
            </w:r>
          </w:p>
        </w:tc>
        <w:tc>
          <w:tcPr>
            <w:tcW w:type="dxa" w:w="4160"/>
            <w:shd w:fill="F4F1EC" w:color="auto" w:val="clear"/>
            <w:tcMar>
              <w:top w:type="dxa" w:w="60"/>
              <w:left w:type="dxa" w:w="90"/>
              <w:bottom w:type="dxa" w:w="60"/>
              <w:right w:type="dxa" w:w="90"/>
            </w:tcMar>
          </w:tcPr>
          <w:p>
            <w:r>
              <w:rPr>
                <w:sz w:val="18"/>
                <w:szCs w:val="18"/>
              </w:rPr>
              <w:t xml:space="preserve">+77.88</w:t>
            </w:r>
          </w:p>
        </w:tc>
      </w:tr>
      <w:tr>
        <w:tc>
          <w:tcPr>
            <w:tcW w:type="dxa" w:w="2600"/>
            <w:tcMar>
              <w:top w:type="dxa" w:w="60"/>
              <w:left w:type="dxa" w:w="90"/>
              <w:bottom w:type="dxa" w:w="60"/>
              <w:right w:type="dxa" w:w="90"/>
            </w:tcMar>
          </w:tcPr>
          <w:p>
            <w:r>
              <w:rPr>
                <w:sz w:val="18"/>
                <w:szCs w:val="18"/>
              </w:rPr>
              <w:t xml:space="preserve">0.618</w:t>
            </w:r>
          </w:p>
        </w:tc>
        <w:tc>
          <w:tcPr>
            <w:tcW w:type="dxa" w:w="2600"/>
            <w:tcMar>
              <w:top w:type="dxa" w:w="60"/>
              <w:left w:type="dxa" w:w="90"/>
              <w:bottom w:type="dxa" w:w="60"/>
              <w:right w:type="dxa" w:w="90"/>
            </w:tcMar>
          </w:tcPr>
          <w:p>
            <w:r>
              <w:rPr>
                <w:sz w:val="18"/>
                <w:szCs w:val="18"/>
              </w:rPr>
              <w:t xml:space="preserve">4,109.62</w:t>
            </w:r>
          </w:p>
        </w:tc>
        <w:tc>
          <w:tcPr>
            <w:tcW w:type="dxa" w:w="4160"/>
            <w:tcMar>
              <w:top w:type="dxa" w:w="60"/>
              <w:left w:type="dxa" w:w="90"/>
              <w:bottom w:type="dxa" w:w="60"/>
              <w:right w:type="dxa" w:w="90"/>
            </w:tcMar>
          </w:tcPr>
          <w:p>
            <w:r>
              <w:rPr>
                <w:sz w:val="18"/>
                <w:szCs w:val="18"/>
              </w:rPr>
              <w:t xml:space="preserve">+39.62</w:t>
            </w:r>
          </w:p>
        </w:tc>
      </w:tr>
      <w:tr>
        <w:tc>
          <w:tcPr>
            <w:tcW w:type="dxa" w:w="2600"/>
            <w:shd w:fill="F4F1EC" w:color="auto" w:val="clear"/>
            <w:tcMar>
              <w:top w:type="dxa" w:w="60"/>
              <w:left w:type="dxa" w:w="90"/>
              <w:bottom w:type="dxa" w:w="60"/>
              <w:right w:type="dxa" w:w="90"/>
            </w:tcMar>
          </w:tcPr>
          <w:p>
            <w:r>
              <w:rPr>
                <w:sz w:val="18"/>
                <w:szCs w:val="18"/>
              </w:rPr>
              <w:t xml:space="preserve">0.786</w:t>
            </w:r>
          </w:p>
        </w:tc>
        <w:tc>
          <w:tcPr>
            <w:tcW w:type="dxa" w:w="2600"/>
            <w:shd w:fill="F4F1EC" w:color="auto" w:val="clear"/>
            <w:tcMar>
              <w:top w:type="dxa" w:w="60"/>
              <w:left w:type="dxa" w:w="90"/>
              <w:bottom w:type="dxa" w:w="60"/>
              <w:right w:type="dxa" w:w="90"/>
            </w:tcMar>
          </w:tcPr>
          <w:p>
            <w:r>
              <w:rPr>
                <w:sz w:val="18"/>
                <w:szCs w:val="18"/>
              </w:rPr>
              <w:t xml:space="preserve">4,055.15</w:t>
            </w:r>
          </w:p>
        </w:tc>
        <w:tc>
          <w:tcPr>
            <w:tcW w:type="dxa" w:w="4160"/>
            <w:shd w:fill="F4F1EC" w:color="auto" w:val="clear"/>
            <w:tcMar>
              <w:top w:type="dxa" w:w="60"/>
              <w:left w:type="dxa" w:w="90"/>
              <w:bottom w:type="dxa" w:w="60"/>
              <w:right w:type="dxa" w:w="90"/>
            </w:tcMar>
          </w:tcPr>
          <w:p>
            <w:r>
              <w:rPr>
                <w:sz w:val="18"/>
                <w:szCs w:val="18"/>
              </w:rPr>
              <w:t xml:space="preserve">−14.85</w:t>
            </w:r>
          </w:p>
        </w:tc>
      </w:tr>
      <w:tr>
        <w:tc>
          <w:tcPr>
            <w:tcW w:type="dxa" w:w="2600"/>
            <w:tcMar>
              <w:top w:type="dxa" w:w="60"/>
              <w:left w:type="dxa" w:w="90"/>
              <w:bottom w:type="dxa" w:w="60"/>
              <w:right w:type="dxa" w:w="90"/>
            </w:tcMar>
          </w:tcPr>
          <w:p>
            <w:r>
              <w:rPr>
                <w:sz w:val="18"/>
                <w:szCs w:val="18"/>
              </w:rPr>
              <w:t xml:space="preserve">1.000 (swing low, 14-Jul)</w:t>
            </w:r>
          </w:p>
        </w:tc>
        <w:tc>
          <w:tcPr>
            <w:tcW w:type="dxa" w:w="2600"/>
            <w:tcMar>
              <w:top w:type="dxa" w:w="60"/>
              <w:left w:type="dxa" w:w="90"/>
              <w:bottom w:type="dxa" w:w="60"/>
              <w:right w:type="dxa" w:w="90"/>
            </w:tcMar>
          </w:tcPr>
          <w:p>
            <w:r>
              <w:rPr>
                <w:sz w:val="18"/>
                <w:szCs w:val="18"/>
              </w:rPr>
              <w:t xml:space="preserve">3,985.76</w:t>
            </w:r>
          </w:p>
        </w:tc>
        <w:tc>
          <w:tcPr>
            <w:tcW w:type="dxa" w:w="4160"/>
            <w:tcMar>
              <w:top w:type="dxa" w:w="60"/>
              <w:left w:type="dxa" w:w="90"/>
              <w:bottom w:type="dxa" w:w="60"/>
              <w:right w:type="dxa" w:w="90"/>
            </w:tcMar>
          </w:tcPr>
          <w:p>
            <w:r>
              <w:rPr>
                <w:sz w:val="18"/>
                <w:szCs w:val="18"/>
              </w:rPr>
              <w:t xml:space="preserve">−84.24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7A5C2E" w:color="auto" w:val="clear"/>
            <w:tcMar>
              <w:top w:type="dxa" w:w="60"/>
              <w:left w:type="dxa" w:w="90"/>
              <w:bottom w:type="dxa" w:w="60"/>
              <w:right w:type="dxa" w:w="90"/>
            </w:tcMar>
          </w:tcPr>
          <w:p>
            <w:r>
              <w:rPr>
                <w:b/>
                <w:bCs/>
                <w:color w:val="FFFFFF"/>
                <w:sz w:val="18"/>
                <w:szCs w:val="18"/>
              </w:rPr>
              <w:t xml:space="preserve">Anchor parameter</w:t>
            </w:r>
          </w:p>
        </w:tc>
        <w:tc>
          <w:tcPr>
            <w:tcW w:type="dxa" w:w="5960"/>
            <w:shd w:fill="7A5C2E" w:color="auto" w:val="clear"/>
            <w:tcMar>
              <w:top w:type="dxa" w:w="60"/>
              <w:left w:type="dxa" w:w="90"/>
              <w:bottom w:type="dxa" w:w="60"/>
              <w:right w:type="dxa" w:w="90"/>
            </w:tcMar>
          </w:tcPr>
          <w:p>
            <w:r>
              <w:rPr>
                <w:b/>
                <w:bCs/>
                <w:color w:val="FFFFFF"/>
                <w:sz w:val="18"/>
                <w:szCs w:val="18"/>
              </w:rPr>
              <w:t xml:space="preserve">Value</w:t>
            </w:r>
          </w:p>
        </w:tc>
      </w:tr>
      <w:tr>
        <w:tc>
          <w:tcPr>
            <w:tcW w:type="dxa" w:w="3400"/>
            <w:tcMar>
              <w:top w:type="dxa" w:w="60"/>
              <w:left w:type="dxa" w:w="90"/>
              <w:bottom w:type="dxa" w:w="60"/>
              <w:right w:type="dxa" w:w="90"/>
            </w:tcMar>
          </w:tcPr>
          <w:p>
            <w:r>
              <w:rPr>
                <w:sz w:val="18"/>
                <w:szCs w:val="18"/>
              </w:rPr>
              <w:t xml:space="preserve">Lookback actually used</w:t>
            </w:r>
          </w:p>
        </w:tc>
        <w:tc>
          <w:tcPr>
            <w:tcW w:type="dxa" w:w="5960"/>
            <w:tcMar>
              <w:top w:type="dxa" w:w="60"/>
              <w:left w:type="dxa" w:w="90"/>
              <w:bottom w:type="dxa" w:w="60"/>
              <w:right w:type="dxa" w:w="90"/>
            </w:tcMar>
          </w:tcPr>
          <w:p>
            <w:r>
              <w:rPr>
                <w:sz w:val="18"/>
                <w:szCs w:val="18"/>
              </w:rPr>
              <w:t xml:space="preserve">10 sessions (extended from default 4)</w:t>
            </w:r>
          </w:p>
        </w:tc>
      </w:tr>
      <w:tr>
        <w:tc>
          <w:tcPr>
            <w:tcW w:type="dxa" w:w="3400"/>
            <w:shd w:fill="F4F1EC" w:color="auto" w:val="clear"/>
            <w:tcMar>
              <w:top w:type="dxa" w:w="60"/>
              <w:left w:type="dxa" w:w="90"/>
              <w:bottom w:type="dxa" w:w="60"/>
              <w:right w:type="dxa" w:w="90"/>
            </w:tcMar>
          </w:tcPr>
          <w:p>
            <w:r>
              <w:rPr>
                <w:sz w:val="18"/>
                <w:szCs w:val="18"/>
              </w:rPr>
              <w:t xml:space="preserve">Swing endpoints</w:t>
            </w:r>
          </w:p>
        </w:tc>
        <w:tc>
          <w:tcPr>
            <w:tcW w:type="dxa" w:w="5960"/>
            <w:shd w:fill="F4F1EC" w:color="auto" w:val="clear"/>
            <w:tcMar>
              <w:top w:type="dxa" w:w="60"/>
              <w:left w:type="dxa" w:w="90"/>
              <w:bottom w:type="dxa" w:w="60"/>
              <w:right w:type="dxa" w:w="90"/>
            </w:tcMar>
          </w:tcPr>
          <w:p>
            <w:r>
              <w:rPr>
                <w:sz w:val="18"/>
                <w:szCs w:val="18"/>
              </w:rPr>
              <w:t xml:space="preserve">4,310.00 (high, ~02-Jul) → 3,985.76 (low, 14-Jul)</w:t>
            </w:r>
          </w:p>
        </w:tc>
      </w:tr>
      <w:tr>
        <w:tc>
          <w:tcPr>
            <w:tcW w:type="dxa" w:w="3400"/>
            <w:tcMar>
              <w:top w:type="dxa" w:w="60"/>
              <w:left w:type="dxa" w:w="90"/>
              <w:bottom w:type="dxa" w:w="60"/>
              <w:right w:type="dxa" w:w="90"/>
            </w:tcMar>
          </w:tcPr>
          <w:p>
            <w:r>
              <w:rPr>
                <w:sz w:val="18"/>
                <w:szCs w:val="18"/>
              </w:rPr>
              <w:t xml:space="preserve">Swing magnitude in ATR units</w:t>
            </w:r>
          </w:p>
        </w:tc>
        <w:tc>
          <w:tcPr>
            <w:tcW w:type="dxa" w:w="5960"/>
            <w:tcMar>
              <w:top w:type="dxa" w:w="60"/>
              <w:left w:type="dxa" w:w="90"/>
              <w:bottom w:type="dxa" w:w="60"/>
              <w:right w:type="dxa" w:w="90"/>
            </w:tcMar>
          </w:tcPr>
          <w:p>
            <w:r>
              <w:rPr>
                <w:sz w:val="18"/>
                <w:szCs w:val="18"/>
              </w:rPr>
              <w:t xml:space="preserve">4.13 × ATR(14)</w:t>
            </w:r>
          </w:p>
        </w:tc>
      </w:tr>
      <w:tr>
        <w:tc>
          <w:tcPr>
            <w:tcW w:type="dxa" w:w="3400"/>
            <w:shd w:fill="F4F1EC" w:color="auto" w:val="clear"/>
            <w:tcMar>
              <w:top w:type="dxa" w:w="60"/>
              <w:left w:type="dxa" w:w="90"/>
              <w:bottom w:type="dxa" w:w="60"/>
              <w:right w:type="dxa" w:w="90"/>
            </w:tcMar>
          </w:tcPr>
          <w:p>
            <w:r>
              <w:rPr>
                <w:sz w:val="18"/>
                <w:szCs w:val="18"/>
              </w:rPr>
              <w:t xml:space="preserve">Active swing direction</w:t>
            </w:r>
          </w:p>
        </w:tc>
        <w:tc>
          <w:tcPr>
            <w:tcW w:type="dxa" w:w="5960"/>
            <w:shd w:fill="F4F1EC" w:color="auto" w:val="clear"/>
            <w:tcMar>
              <w:top w:type="dxa" w:w="60"/>
              <w:left w:type="dxa" w:w="90"/>
              <w:bottom w:type="dxa" w:w="60"/>
              <w:right w:type="dxa" w:w="90"/>
            </w:tcMar>
          </w:tcPr>
          <w:p>
            <w:r>
              <w:rPr>
                <w:sz w:val="18"/>
                <w:szCs w:val="18"/>
              </w:rPr>
              <w:t xml:space="preserve">DOWN (latest local low more recent than latest local high)</w:t>
            </w:r>
          </w:p>
        </w:tc>
      </w:tr>
    </w:tbl>
    <w:p>
      <w:pPr>
        <w:spacing w:after="100"/>
      </w:pPr>
      <w:r>
        <w:rPr>
          <w:b w:val="false"/>
          <w:bCs w:val="false"/>
          <w:i w:val="false"/>
          <w:iCs w:val="false"/>
          <w:sz w:val="20"/>
          <w:szCs w:val="20"/>
        </w:rPr>
        <w:t xml:space="preserve">Spot at 4,070.00 sits just above the 0.786 retracement at 4,055.15 — a shallow bounce off the low, consistent with a corrective rally inside a down-swing rather than a reversal. The 0.618 at 4,109.62 is the first level where a bounce would start to threaten the down-swing's integrity; it is also within 5 points of R1 and the 4,100 handle. That cluster is the session's decisive line.</w:t>
      </w:r>
    </w:p>
    <w:p>
      <w:r>
        <w:br w:type="page"/>
      </w:r>
    </w:p>
    <w:p>
      <w:pPr>
        <w:pStyle w:val="Heading1"/>
        <w:spacing w:after="120" w:before="240"/>
      </w:pPr>
      <w:r>
        <w:t xml:space="preserve">§14  Sentiment &amp;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260"/>
      </w:tblGrid>
      <w:tr>
        <w:trPr>
          <w:tblHeader/>
        </w:trPr>
        <w:tc>
          <w:tcPr>
            <w:tcW w:type="dxa" w:w="2900"/>
            <w:shd w:fill="7A5C2E" w:color="auto" w:val="clear"/>
            <w:tcMar>
              <w:top w:type="dxa" w:w="60"/>
              <w:left w:type="dxa" w:w="90"/>
              <w:bottom w:type="dxa" w:w="60"/>
              <w:right w:type="dxa" w:w="90"/>
            </w:tcMar>
          </w:tcPr>
          <w:p>
            <w:r>
              <w:rPr>
                <w:b/>
                <w:bCs/>
                <w:color w:val="FFFFFF"/>
                <w:sz w:val="18"/>
                <w:szCs w:val="18"/>
              </w:rPr>
              <w:t xml:space="preserve">Input</w:t>
            </w:r>
          </w:p>
        </w:tc>
        <w:tc>
          <w:tcPr>
            <w:tcW w:type="dxa" w:w="4200"/>
            <w:shd w:fill="7A5C2E" w:color="auto" w:val="clear"/>
            <w:tcMar>
              <w:top w:type="dxa" w:w="60"/>
              <w:left w:type="dxa" w:w="90"/>
              <w:bottom w:type="dxa" w:w="60"/>
              <w:right w:type="dxa" w:w="90"/>
            </w:tcMar>
          </w:tcPr>
          <w:p>
            <w:r>
              <w:rPr>
                <w:b/>
                <w:bCs/>
                <w:color w:val="FFFFFF"/>
                <w:sz w:val="18"/>
                <w:szCs w:val="18"/>
              </w:rPr>
              <w:t xml:space="preserve">Reading</w:t>
            </w:r>
          </w:p>
        </w:tc>
        <w:tc>
          <w:tcPr>
            <w:tcW w:type="dxa" w:w="2260"/>
            <w:shd w:fill="7A5C2E" w:color="auto" w:val="clear"/>
            <w:tcMar>
              <w:top w:type="dxa" w:w="60"/>
              <w:left w:type="dxa" w:w="90"/>
              <w:bottom w:type="dxa" w:w="60"/>
              <w:right w:type="dxa" w:w="90"/>
            </w:tcMar>
          </w:tcPr>
          <w:p>
            <w:r>
              <w:rPr>
                <w:b/>
                <w:bCs/>
                <w:color w:val="FFFFFF"/>
                <w:sz w:val="18"/>
                <w:szCs w:val="18"/>
              </w:rPr>
              <w:t xml:space="preserve">Tilt</w:t>
            </w:r>
          </w:p>
        </w:tc>
      </w:tr>
      <w:tr>
        <w:tc>
          <w:tcPr>
            <w:tcW w:type="dxa" w:w="2900"/>
            <w:tcMar>
              <w:top w:type="dxa" w:w="60"/>
              <w:left w:type="dxa" w:w="90"/>
              <w:bottom w:type="dxa" w:w="60"/>
              <w:right w:type="dxa" w:w="90"/>
            </w:tcMar>
          </w:tcPr>
          <w:p>
            <w:r>
              <w:rPr>
                <w:sz w:val="18"/>
                <w:szCs w:val="18"/>
              </w:rPr>
              <w:t xml:space="preserve">Fed hike odds, July meeting</w:t>
            </w:r>
          </w:p>
        </w:tc>
        <w:tc>
          <w:tcPr>
            <w:tcW w:type="dxa" w:w="4200"/>
            <w:tcMar>
              <w:top w:type="dxa" w:w="60"/>
              <w:left w:type="dxa" w:w="90"/>
              <w:bottom w:type="dxa" w:w="60"/>
              <w:right w:type="dxa" w:w="90"/>
            </w:tcMar>
          </w:tcPr>
          <w:p>
            <w:r>
              <w:rPr>
                <w:sz w:val="18"/>
                <w:szCs w:val="18"/>
              </w:rPr>
              <w:t xml:space="preserve">16.6% (from 41.7% Monday) — CME FedWatch</w:t>
            </w:r>
          </w:p>
        </w:tc>
        <w:tc>
          <w:tcPr>
            <w:tcW w:type="dxa" w:w="2260"/>
            <w:tcMar>
              <w:top w:type="dxa" w:w="60"/>
              <w:left w:type="dxa" w:w="90"/>
              <w:bottom w:type="dxa" w:w="60"/>
              <w:right w:type="dxa" w:w="90"/>
            </w:tcMar>
          </w:tcPr>
          <w:p>
            <w:r>
              <w:rPr>
                <w:sz w:val="18"/>
                <w:szCs w:val="18"/>
              </w:rPr>
              <w:t xml:space="preserve">STRONGLY POSITIVE</w:t>
            </w:r>
          </w:p>
        </w:tc>
      </w:tr>
      <w:tr>
        <w:tc>
          <w:tcPr>
            <w:tcW w:type="dxa" w:w="2900"/>
            <w:shd w:fill="F4F1EC" w:color="auto" w:val="clear"/>
            <w:tcMar>
              <w:top w:type="dxa" w:w="60"/>
              <w:left w:type="dxa" w:w="90"/>
              <w:bottom w:type="dxa" w:w="60"/>
              <w:right w:type="dxa" w:w="90"/>
            </w:tcMar>
          </w:tcPr>
          <w:p>
            <w:r>
              <w:rPr>
                <w:sz w:val="18"/>
                <w:szCs w:val="18"/>
              </w:rPr>
              <w:t xml:space="preserve">Fed hike odds, September</w:t>
            </w:r>
          </w:p>
        </w:tc>
        <w:tc>
          <w:tcPr>
            <w:tcW w:type="dxa" w:w="4200"/>
            <w:shd w:fill="F4F1EC" w:color="auto" w:val="clear"/>
            <w:tcMar>
              <w:top w:type="dxa" w:w="60"/>
              <w:left w:type="dxa" w:w="90"/>
              <w:bottom w:type="dxa" w:w="60"/>
              <w:right w:type="dxa" w:w="90"/>
            </w:tcMar>
          </w:tcPr>
          <w:p>
            <w:r>
              <w:rPr>
                <w:sz w:val="18"/>
                <w:szCs w:val="18"/>
              </w:rPr>
              <w:t xml:space="preserve">~50%</w:t>
            </w:r>
          </w:p>
        </w:tc>
        <w:tc>
          <w:tcPr>
            <w:tcW w:type="dxa" w:w="2260"/>
            <w:shd w:fill="F4F1EC" w:color="auto" w:val="clear"/>
            <w:tcMar>
              <w:top w:type="dxa" w:w="60"/>
              <w:left w:type="dxa" w:w="90"/>
              <w:bottom w:type="dxa" w:w="60"/>
              <w:right w:type="dxa" w:w="90"/>
            </w:tcMar>
          </w:tcPr>
          <w:p>
            <w:r>
              <w:rPr>
                <w:sz w:val="18"/>
                <w:szCs w:val="18"/>
              </w:rPr>
              <w:t xml:space="preserve">NEGATIVE</w:t>
            </w:r>
          </w:p>
        </w:tc>
      </w:tr>
      <w:tr>
        <w:tc>
          <w:tcPr>
            <w:tcW w:type="dxa" w:w="2900"/>
            <w:tcMar>
              <w:top w:type="dxa" w:w="60"/>
              <w:left w:type="dxa" w:w="90"/>
              <w:bottom w:type="dxa" w:w="60"/>
              <w:right w:type="dxa" w:w="90"/>
            </w:tcMar>
          </w:tcPr>
          <w:p>
            <w:r>
              <w:rPr>
                <w:sz w:val="18"/>
                <w:szCs w:val="18"/>
              </w:rPr>
              <w:t xml:space="preserve">June CPI y/y</w:t>
            </w:r>
          </w:p>
        </w:tc>
        <w:tc>
          <w:tcPr>
            <w:tcW w:type="dxa" w:w="4200"/>
            <w:tcMar>
              <w:top w:type="dxa" w:w="60"/>
              <w:left w:type="dxa" w:w="90"/>
              <w:bottom w:type="dxa" w:w="60"/>
              <w:right w:type="dxa" w:w="90"/>
            </w:tcMar>
          </w:tcPr>
          <w:p>
            <w:r>
              <w:rPr>
                <w:sz w:val="18"/>
                <w:szCs w:val="18"/>
              </w:rPr>
              <w:t xml:space="preserve">3.5% (vs 4.2% May, 3.8% forecast)</w:t>
            </w:r>
          </w:p>
        </w:tc>
        <w:tc>
          <w:tcPr>
            <w:tcW w:type="dxa" w:w="2260"/>
            <w:tcMar>
              <w:top w:type="dxa" w:w="60"/>
              <w:left w:type="dxa" w:w="90"/>
              <w:bottom w:type="dxa" w:w="60"/>
              <w:right w:type="dxa" w:w="90"/>
            </w:tcMar>
          </w:tcPr>
          <w:p>
            <w:r>
              <w:rPr>
                <w:sz w:val="18"/>
                <w:szCs w:val="18"/>
              </w:rPr>
              <w:t xml:space="preserve">POSITIVE</w:t>
            </w:r>
          </w:p>
        </w:tc>
      </w:tr>
      <w:tr>
        <w:tc>
          <w:tcPr>
            <w:tcW w:type="dxa" w:w="2900"/>
            <w:shd w:fill="F4F1EC" w:color="auto" w:val="clear"/>
            <w:tcMar>
              <w:top w:type="dxa" w:w="60"/>
              <w:left w:type="dxa" w:w="90"/>
              <w:bottom w:type="dxa" w:w="60"/>
              <w:right w:type="dxa" w:w="90"/>
            </w:tcMar>
          </w:tcPr>
          <w:p>
            <w:r>
              <w:rPr>
                <w:sz w:val="18"/>
                <w:szCs w:val="18"/>
              </w:rPr>
              <w:t xml:space="preserve">June core CPI</w:t>
            </w:r>
          </w:p>
        </w:tc>
        <w:tc>
          <w:tcPr>
            <w:tcW w:type="dxa" w:w="4200"/>
            <w:shd w:fill="F4F1EC" w:color="auto" w:val="clear"/>
            <w:tcMar>
              <w:top w:type="dxa" w:w="60"/>
              <w:left w:type="dxa" w:w="90"/>
              <w:bottom w:type="dxa" w:w="60"/>
              <w:right w:type="dxa" w:w="90"/>
            </w:tcMar>
          </w:tcPr>
          <w:p>
            <w:r>
              <w:rPr>
                <w:sz w:val="18"/>
                <w:szCs w:val="18"/>
              </w:rPr>
              <w:t xml:space="preserve">2.6%</w:t>
            </w:r>
          </w:p>
        </w:tc>
        <w:tc>
          <w:tcPr>
            <w:tcW w:type="dxa" w:w="2260"/>
            <w:shd w:fill="F4F1EC" w:color="auto" w:val="clear"/>
            <w:tcMar>
              <w:top w:type="dxa" w:w="60"/>
              <w:left w:type="dxa" w:w="90"/>
              <w:bottom w:type="dxa" w:w="60"/>
              <w:right w:type="dxa" w:w="90"/>
            </w:tcMar>
          </w:tcPr>
          <w:p>
            <w:r>
              <w:rPr>
                <w:sz w:val="18"/>
                <w:szCs w:val="18"/>
              </w:rPr>
              <w:t xml:space="preserve">POSITIVE</w:t>
            </w:r>
          </w:p>
        </w:tc>
      </w:tr>
      <w:tr>
        <w:tc>
          <w:tcPr>
            <w:tcW w:type="dxa" w:w="2900"/>
            <w:tcMar>
              <w:top w:type="dxa" w:w="60"/>
              <w:left w:type="dxa" w:w="90"/>
              <w:bottom w:type="dxa" w:w="60"/>
              <w:right w:type="dxa" w:w="90"/>
            </w:tcMar>
          </w:tcPr>
          <w:p>
            <w:r>
              <w:rPr>
                <w:sz w:val="18"/>
                <w:szCs w:val="18"/>
              </w:rPr>
              <w:t xml:space="preserve">June CPI m/m</w:t>
            </w:r>
          </w:p>
        </w:tc>
        <w:tc>
          <w:tcPr>
            <w:tcW w:type="dxa" w:w="4200"/>
            <w:tcMar>
              <w:top w:type="dxa" w:w="60"/>
              <w:left w:type="dxa" w:w="90"/>
              <w:bottom w:type="dxa" w:w="60"/>
              <w:right w:type="dxa" w:w="90"/>
            </w:tcMar>
          </w:tcPr>
          <w:p>
            <w:r>
              <w:rPr>
                <w:sz w:val="18"/>
                <w:szCs w:val="18"/>
              </w:rPr>
              <w:t xml:space="preserve">−0.4% — first decline since 2020</w:t>
            </w:r>
          </w:p>
        </w:tc>
        <w:tc>
          <w:tcPr>
            <w:tcW w:type="dxa" w:w="2260"/>
            <w:tcMar>
              <w:top w:type="dxa" w:w="60"/>
              <w:left w:type="dxa" w:w="90"/>
              <w:bottom w:type="dxa" w:w="60"/>
              <w:right w:type="dxa" w:w="90"/>
            </w:tcMar>
          </w:tcPr>
          <w:p>
            <w:r>
              <w:rPr>
                <w:sz w:val="18"/>
                <w:szCs w:val="18"/>
              </w:rPr>
              <w:t xml:space="preserve">STRONGLY POSITIVE</w:t>
            </w:r>
          </w:p>
        </w:tc>
      </w:tr>
      <w:tr>
        <w:tc>
          <w:tcPr>
            <w:tcW w:type="dxa" w:w="2900"/>
            <w:shd w:fill="F4F1EC" w:color="auto" w:val="clear"/>
            <w:tcMar>
              <w:top w:type="dxa" w:w="60"/>
              <w:left w:type="dxa" w:w="90"/>
              <w:bottom w:type="dxa" w:w="60"/>
              <w:right w:type="dxa" w:w="90"/>
            </w:tcMar>
          </w:tcPr>
          <w:p>
            <w:r>
              <w:rPr>
                <w:sz w:val="18"/>
                <w:szCs w:val="18"/>
              </w:rPr>
              <w:t xml:space="preserve">June PPI</w:t>
            </w:r>
          </w:p>
        </w:tc>
        <w:tc>
          <w:tcPr>
            <w:tcW w:type="dxa" w:w="4200"/>
            <w:shd w:fill="F4F1EC" w:color="auto" w:val="clear"/>
            <w:tcMar>
              <w:top w:type="dxa" w:w="60"/>
              <w:left w:type="dxa" w:w="90"/>
              <w:bottom w:type="dxa" w:w="60"/>
              <w:right w:type="dxa" w:w="90"/>
            </w:tcMar>
          </w:tcPr>
          <w:p>
            <w:r>
              <w:rPr>
                <w:sz w:val="18"/>
                <w:szCs w:val="18"/>
              </w:rPr>
              <w:t xml:space="preserve">Unexpected decline; core +0.2% (soft)</w:t>
            </w:r>
          </w:p>
        </w:tc>
        <w:tc>
          <w:tcPr>
            <w:tcW w:type="dxa" w:w="2260"/>
            <w:shd w:fill="F4F1EC" w:color="auto" w:val="clear"/>
            <w:tcMar>
              <w:top w:type="dxa" w:w="60"/>
              <w:left w:type="dxa" w:w="90"/>
              <w:bottom w:type="dxa" w:w="60"/>
              <w:right w:type="dxa" w:w="90"/>
            </w:tcMar>
          </w:tcPr>
          <w:p>
            <w:r>
              <w:rPr>
                <w:sz w:val="18"/>
                <w:szCs w:val="18"/>
              </w:rPr>
              <w:t xml:space="preserve">POSITIVE</w:t>
            </w:r>
          </w:p>
        </w:tc>
      </w:tr>
      <w:tr>
        <w:tc>
          <w:tcPr>
            <w:tcW w:type="dxa" w:w="2900"/>
            <w:tcMar>
              <w:top w:type="dxa" w:w="60"/>
              <w:left w:type="dxa" w:w="90"/>
              <w:bottom w:type="dxa" w:w="60"/>
              <w:right w:type="dxa" w:w="90"/>
            </w:tcMar>
          </w:tcPr>
          <w:p>
            <w:r>
              <w:rPr>
                <w:sz w:val="18"/>
                <w:szCs w:val="18"/>
              </w:rPr>
              <w:t xml:space="preserve">Fed Chair Warsh testimony</w:t>
            </w:r>
          </w:p>
        </w:tc>
        <w:tc>
          <w:tcPr>
            <w:tcW w:type="dxa" w:w="4200"/>
            <w:tcMar>
              <w:top w:type="dxa" w:w="60"/>
              <w:left w:type="dxa" w:w="90"/>
              <w:bottom w:type="dxa" w:w="60"/>
              <w:right w:type="dxa" w:w="90"/>
            </w:tcMar>
          </w:tcPr>
          <w:p>
            <w:r>
              <w:rPr>
                <w:sz w:val="18"/>
                <w:szCs w:val="18"/>
              </w:rPr>
              <w:t xml:space="preserve">Committed to price stability; no dovish pivot</w:t>
            </w:r>
          </w:p>
        </w:tc>
        <w:tc>
          <w:tcPr>
            <w:tcW w:type="dxa" w:w="2260"/>
            <w:tcMar>
              <w:top w:type="dxa" w:w="60"/>
              <w:left w:type="dxa" w:w="90"/>
              <w:bottom w:type="dxa" w:w="60"/>
              <w:right w:type="dxa" w:w="90"/>
            </w:tcMar>
          </w:tcPr>
          <w:p>
            <w:r>
              <w:rPr>
                <w:sz w:val="18"/>
                <w:szCs w:val="18"/>
              </w:rPr>
              <w:t xml:space="preserve">NEGATIVE</w:t>
            </w:r>
          </w:p>
        </w:tc>
      </w:tr>
      <w:tr>
        <w:tc>
          <w:tcPr>
            <w:tcW w:type="dxa" w:w="2900"/>
            <w:shd w:fill="F4F1EC" w:color="auto" w:val="clear"/>
            <w:tcMar>
              <w:top w:type="dxa" w:w="60"/>
              <w:left w:type="dxa" w:w="90"/>
              <w:bottom w:type="dxa" w:w="60"/>
              <w:right w:type="dxa" w:w="90"/>
            </w:tcMar>
          </w:tcPr>
          <w:p>
            <w:r>
              <w:rPr>
                <w:sz w:val="18"/>
                <w:szCs w:val="18"/>
              </w:rPr>
              <w:t xml:space="preserve">ETF flows</w:t>
            </w:r>
          </w:p>
        </w:tc>
        <w:tc>
          <w:tcPr>
            <w:tcW w:type="dxa" w:w="4200"/>
            <w:shd w:fill="F4F1EC" w:color="auto" w:val="clear"/>
            <w:tcMar>
              <w:top w:type="dxa" w:w="60"/>
              <w:left w:type="dxa" w:w="90"/>
              <w:bottom w:type="dxa" w:w="60"/>
              <w:right w:type="dxa" w:w="90"/>
            </w:tcMar>
          </w:tcPr>
          <w:p>
            <w:r>
              <w:rPr>
                <w:sz w:val="18"/>
                <w:szCs w:val="18"/>
              </w:rPr>
              <w:t xml:space="preserve">Outflows on high real yields</w:t>
            </w:r>
          </w:p>
        </w:tc>
        <w:tc>
          <w:tcPr>
            <w:tcW w:type="dxa" w:w="2260"/>
            <w:shd w:fill="F4F1EC" w:color="auto" w:val="clear"/>
            <w:tcMar>
              <w:top w:type="dxa" w:w="60"/>
              <w:left w:type="dxa" w:w="90"/>
              <w:bottom w:type="dxa" w:w="60"/>
              <w:right w:type="dxa" w:w="90"/>
            </w:tcMar>
          </w:tcPr>
          <w:p>
            <w:r>
              <w:rPr>
                <w:sz w:val="18"/>
                <w:szCs w:val="18"/>
              </w:rPr>
              <w:t xml:space="preserve">NEGATIVE</w:t>
            </w:r>
          </w:p>
        </w:tc>
      </w:tr>
      <w:tr>
        <w:tc>
          <w:tcPr>
            <w:tcW w:type="dxa" w:w="2900"/>
            <w:tcMar>
              <w:top w:type="dxa" w:w="60"/>
              <w:left w:type="dxa" w:w="90"/>
              <w:bottom w:type="dxa" w:w="60"/>
              <w:right w:type="dxa" w:w="90"/>
            </w:tcMar>
          </w:tcPr>
          <w:p>
            <w:r>
              <w:rPr>
                <w:sz w:val="18"/>
                <w:szCs w:val="18"/>
              </w:rPr>
              <w:t xml:space="preserve">Analyst technical ratings</w:t>
            </w:r>
          </w:p>
        </w:tc>
        <w:tc>
          <w:tcPr>
            <w:tcW w:type="dxa" w:w="4200"/>
            <w:tcMar>
              <w:top w:type="dxa" w:w="60"/>
              <w:left w:type="dxa" w:w="90"/>
              <w:bottom w:type="dxa" w:w="60"/>
              <w:right w:type="dxa" w:w="90"/>
            </w:tcMar>
          </w:tcPr>
          <w:p>
            <w:r>
              <w:rPr>
                <w:sz w:val="18"/>
                <w:szCs w:val="18"/>
              </w:rPr>
              <w:t xml:space="preserve">Investing.com daily/weekly: Strong Sell</w:t>
            </w:r>
          </w:p>
        </w:tc>
        <w:tc>
          <w:tcPr>
            <w:tcW w:type="dxa" w:w="2260"/>
            <w:tcMar>
              <w:top w:type="dxa" w:w="60"/>
              <w:left w:type="dxa" w:w="90"/>
              <w:bottom w:type="dxa" w:w="60"/>
              <w:right w:type="dxa" w:w="90"/>
            </w:tcMar>
          </w:tcPr>
          <w:p>
            <w:r>
              <w:rPr>
                <w:sz w:val="18"/>
                <w:szCs w:val="18"/>
              </w:rPr>
              <w:t xml:space="preserve">NEGATIVE</w:t>
            </w:r>
          </w:p>
        </w:tc>
      </w:tr>
      <w:tr>
        <w:tc>
          <w:tcPr>
            <w:tcW w:type="dxa" w:w="2900"/>
            <w:shd w:fill="F4F1EC" w:color="auto" w:val="clear"/>
            <w:tcMar>
              <w:top w:type="dxa" w:w="60"/>
              <w:left w:type="dxa" w:w="90"/>
              <w:bottom w:type="dxa" w:w="60"/>
              <w:right w:type="dxa" w:w="90"/>
            </w:tcMar>
          </w:tcPr>
          <w:p>
            <w:r>
              <w:rPr>
                <w:sz w:val="18"/>
                <w:szCs w:val="18"/>
              </w:rPr>
              <w:t xml:space="preserve">Sell-side targets</w:t>
            </w:r>
          </w:p>
        </w:tc>
        <w:tc>
          <w:tcPr>
            <w:tcW w:type="dxa" w:w="4200"/>
            <w:shd w:fill="F4F1EC" w:color="auto" w:val="clear"/>
            <w:tcMar>
              <w:top w:type="dxa" w:w="60"/>
              <w:left w:type="dxa" w:w="90"/>
              <w:bottom w:type="dxa" w:w="60"/>
              <w:right w:type="dxa" w:w="90"/>
            </w:tcMar>
          </w:tcPr>
          <w:p>
            <w:r>
              <w:rPr>
                <w:sz w:val="18"/>
                <w:szCs w:val="18"/>
              </w:rPr>
              <w:t xml:space="preserve">JPM $6,000/oz Q4-26; TE model $4,204 Q3-26</w:t>
            </w:r>
          </w:p>
        </w:tc>
        <w:tc>
          <w:tcPr>
            <w:tcW w:type="dxa" w:w="2260"/>
            <w:shd w:fill="F4F1EC" w:color="auto" w:val="clear"/>
            <w:tcMar>
              <w:top w:type="dxa" w:w="60"/>
              <w:left w:type="dxa" w:w="90"/>
              <w:bottom w:type="dxa" w:w="60"/>
              <w:right w:type="dxa" w:w="90"/>
            </w:tcMar>
          </w:tcPr>
          <w:p>
            <w:r>
              <w:rPr>
                <w:sz w:val="18"/>
                <w:szCs w:val="18"/>
              </w:rPr>
              <w:t xml:space="preserve">POSITIVE (long-horizon)</w:t>
            </w:r>
          </w:p>
        </w:tc>
      </w:tr>
      <w:tr>
        <w:tc>
          <w:tcPr>
            <w:tcW w:type="dxa" w:w="2900"/>
            <w:tcMar>
              <w:top w:type="dxa" w:w="60"/>
              <w:left w:type="dxa" w:w="90"/>
              <w:bottom w:type="dxa" w:w="60"/>
              <w:right w:type="dxa" w:w="90"/>
            </w:tcMar>
          </w:tcPr>
          <w:p>
            <w:r>
              <w:rPr>
                <w:sz w:val="18"/>
                <w:szCs w:val="18"/>
              </w:rPr>
              <w:t xml:space="preserve">Central bank demand</w:t>
            </w:r>
          </w:p>
        </w:tc>
        <w:tc>
          <w:tcPr>
            <w:tcW w:type="dxa" w:w="4200"/>
            <w:tcMar>
              <w:top w:type="dxa" w:w="60"/>
              <w:left w:type="dxa" w:w="90"/>
              <w:bottom w:type="dxa" w:w="60"/>
              <w:right w:type="dxa" w:w="90"/>
            </w:tcMar>
          </w:tcPr>
          <w:p>
            <w:r>
              <w:rPr>
                <w:sz w:val="18"/>
                <w:szCs w:val="18"/>
              </w:rPr>
              <w:t xml:space="preserve">Cooled from 2025 pace but continuing</w:t>
            </w:r>
          </w:p>
        </w:tc>
        <w:tc>
          <w:tcPr>
            <w:tcW w:type="dxa" w:w="2260"/>
            <w:tcMar>
              <w:top w:type="dxa" w:w="60"/>
              <w:left w:type="dxa" w:w="90"/>
              <w:bottom w:type="dxa" w:w="60"/>
              <w:right w:type="dxa" w:w="90"/>
            </w:tcMar>
          </w:tcPr>
          <w:p>
            <w:r>
              <w:rPr>
                <w:sz w:val="18"/>
                <w:szCs w:val="18"/>
              </w:rPr>
              <w:t xml:space="preserve">MILDLY POSITIVE</w:t>
            </w:r>
          </w:p>
        </w:tc>
      </w:tr>
    </w:tbl>
    <w:p>
      <w:pPr>
        <w:spacing w:after="100"/>
      </w:pPr>
      <w:r>
        <w:rPr>
          <w:b w:val="false"/>
          <w:bCs w:val="false"/>
          <w:i w:val="false"/>
          <w:iCs w:val="false"/>
          <w:sz w:val="20"/>
          <w:szCs w:val="20"/>
        </w:rPr>
        <w:t xml:space="preserve">Aggregate sentiment tilt: +0.35. The composition matters more than the number. The positive side is concentrated and recent — a genuine CPI shock (first monthly decline in six years), a PPI miss confirming it, and a collapse in July hike odds from 41.7% to 16.6% inside 48 hours. That is a real repricing, not a headline. The negative side is structural and persistent: Warsh explicitly declined to validate the dovish read in his first congressional testimony, September hike odds remain a coin-flip, real yields are still high enough to drive ETF redemptions, and the aggregated technical ratings sit at Strong Sell on both daily and weekly.</w:t>
      </w:r>
    </w:p>
    <w:p>
      <w:pPr>
        <w:spacing w:after="100"/>
      </w:pPr>
      <w:r>
        <w:rPr>
          <w:b w:val="false"/>
          <w:bCs w:val="false"/>
          <w:i w:val="false"/>
          <w:iCs w:val="false"/>
          <w:sz w:val="20"/>
          <w:szCs w:val="20"/>
        </w:rPr>
        <w:t xml:space="preserve">The honest characterisation is that sentiment has improved sharply from a low base without changing regime. Traders have priced out July, not the cycle. COT positioning data was not retrievable for this run and is excluded rather than estimated.</w:t>
      </w:r>
    </w:p>
    <w:p>
      <w:pPr>
        <w:pStyle w:val="Heading1"/>
        <w:spacing w:after="120" w:before="240"/>
      </w:pPr>
      <w:r>
        <w:t xml:space="preserve">§15  Event Calendar —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shd w:fill="7A5C2E" w:color="auto" w:val="clear"/>
            <w:tcMar>
              <w:top w:type="dxa" w:w="60"/>
              <w:left w:type="dxa" w:w="90"/>
              <w:bottom w:type="dxa" w:w="60"/>
              <w:right w:type="dxa" w:w="90"/>
            </w:tcMar>
          </w:tcPr>
          <w:p>
            <w:r>
              <w:rPr>
                <w:b/>
                <w:bCs/>
                <w:color w:val="FFFFFF"/>
                <w:sz w:val="18"/>
                <w:szCs w:val="18"/>
              </w:rPr>
              <w:t xml:space="preserve">Date</w:t>
            </w:r>
          </w:p>
        </w:tc>
        <w:tc>
          <w:tcPr>
            <w:tcW w:type="dxa" w:w="3400"/>
            <w:shd w:fill="7A5C2E" w:color="auto" w:val="clear"/>
            <w:tcMar>
              <w:top w:type="dxa" w:w="60"/>
              <w:left w:type="dxa" w:w="90"/>
              <w:bottom w:type="dxa" w:w="60"/>
              <w:right w:type="dxa" w:w="90"/>
            </w:tcMar>
          </w:tcPr>
          <w:p>
            <w:r>
              <w:rPr>
                <w:b/>
                <w:bCs/>
                <w:color w:val="FFFFFF"/>
                <w:sz w:val="18"/>
                <w:szCs w:val="18"/>
              </w:rPr>
              <w:t xml:space="preserve">Event</w:t>
            </w:r>
          </w:p>
        </w:tc>
        <w:tc>
          <w:tcPr>
            <w:tcW w:type="dxa" w:w="4560"/>
            <w:shd w:fill="7A5C2E" w:color="auto" w:val="clear"/>
            <w:tcMar>
              <w:top w:type="dxa" w:w="60"/>
              <w:left w:type="dxa" w:w="90"/>
              <w:bottom w:type="dxa" w:w="60"/>
              <w:right w:type="dxa" w:w="90"/>
            </w:tcMar>
          </w:tcPr>
          <w:p>
            <w:r>
              <w:rPr>
                <w:b/>
                <w:bCs/>
                <w:color w:val="FFFFFF"/>
                <w:sz w:val="18"/>
                <w:szCs w:val="18"/>
              </w:rPr>
              <w:t xml:space="preserve">Directional risk to Gold</w:t>
            </w:r>
          </w:p>
        </w:tc>
      </w:tr>
      <w:tr>
        <w:tc>
          <w:tcPr>
            <w:tcW w:type="dxa" w:w="1400"/>
            <w:tcMar>
              <w:top w:type="dxa" w:w="60"/>
              <w:left w:type="dxa" w:w="90"/>
              <w:bottom w:type="dxa" w:w="60"/>
              <w:right w:type="dxa" w:w="90"/>
            </w:tcMar>
          </w:tcPr>
          <w:p>
            <w:r>
              <w:rPr>
                <w:sz w:val="18"/>
                <w:szCs w:val="18"/>
              </w:rPr>
              <w:t xml:space="preserve">15-Jul (done)</w:t>
            </w:r>
          </w:p>
        </w:tc>
        <w:tc>
          <w:tcPr>
            <w:tcW w:type="dxa" w:w="3400"/>
            <w:tcMar>
              <w:top w:type="dxa" w:w="60"/>
              <w:left w:type="dxa" w:w="90"/>
              <w:bottom w:type="dxa" w:w="60"/>
              <w:right w:type="dxa" w:w="90"/>
            </w:tcMar>
          </w:tcPr>
          <w:p>
            <w:r>
              <w:rPr>
                <w:sz w:val="18"/>
                <w:szCs w:val="18"/>
              </w:rPr>
              <w:t xml:space="preserve">June PPI + Fed Beige Book</w:t>
            </w:r>
          </w:p>
        </w:tc>
        <w:tc>
          <w:tcPr>
            <w:tcW w:type="dxa" w:w="4560"/>
            <w:tcMar>
              <w:top w:type="dxa" w:w="60"/>
              <w:left w:type="dxa" w:w="90"/>
              <w:bottom w:type="dxa" w:w="60"/>
              <w:right w:type="dxa" w:w="90"/>
            </w:tcMar>
          </w:tcPr>
          <w:p>
            <w:r>
              <w:rPr>
                <w:sz w:val="18"/>
                <w:szCs w:val="18"/>
              </w:rPr>
              <w:t xml:space="preserve">Resolved — PPI declined, gold supported</w:t>
            </w:r>
          </w:p>
        </w:tc>
      </w:tr>
      <w:tr>
        <w:tc>
          <w:tcPr>
            <w:tcW w:type="dxa" w:w="1400"/>
            <w:shd w:fill="F4F1EC" w:color="auto" w:val="clear"/>
            <w:tcMar>
              <w:top w:type="dxa" w:w="60"/>
              <w:left w:type="dxa" w:w="90"/>
              <w:bottom w:type="dxa" w:w="60"/>
              <w:right w:type="dxa" w:w="90"/>
            </w:tcMar>
          </w:tcPr>
          <w:p>
            <w:r>
              <w:rPr>
                <w:sz w:val="18"/>
                <w:szCs w:val="18"/>
              </w:rPr>
              <w:t xml:space="preserve">16-Jul</w:t>
            </w:r>
          </w:p>
        </w:tc>
        <w:tc>
          <w:tcPr>
            <w:tcW w:type="dxa" w:w="3400"/>
            <w:shd w:fill="F4F1EC" w:color="auto" w:val="clear"/>
            <w:tcMar>
              <w:top w:type="dxa" w:w="60"/>
              <w:left w:type="dxa" w:w="90"/>
              <w:bottom w:type="dxa" w:w="60"/>
              <w:right w:type="dxa" w:w="90"/>
            </w:tcMar>
          </w:tcPr>
          <w:p>
            <w:r>
              <w:rPr>
                <w:sz w:val="18"/>
                <w:szCs w:val="18"/>
              </w:rPr>
              <w:t xml:space="preserve">Philadelphia Fed Manufacturing Index</w:t>
            </w:r>
          </w:p>
        </w:tc>
        <w:tc>
          <w:tcPr>
            <w:tcW w:type="dxa" w:w="4560"/>
            <w:shd w:fill="F4F1EC" w:color="auto" w:val="clear"/>
            <w:tcMar>
              <w:top w:type="dxa" w:w="60"/>
              <w:left w:type="dxa" w:w="90"/>
              <w:bottom w:type="dxa" w:w="60"/>
              <w:right w:type="dxa" w:w="90"/>
            </w:tcMar>
          </w:tcPr>
          <w:p>
            <w:r>
              <w:rPr>
                <w:sz w:val="18"/>
                <w:szCs w:val="18"/>
              </w:rPr>
              <w:t xml:space="preserve">Moderate — weak print = dovish = gold-positive</w:t>
            </w:r>
          </w:p>
        </w:tc>
      </w:tr>
      <w:tr>
        <w:tc>
          <w:tcPr>
            <w:tcW w:type="dxa" w:w="1400"/>
            <w:tcMar>
              <w:top w:type="dxa" w:w="60"/>
              <w:left w:type="dxa" w:w="90"/>
              <w:bottom w:type="dxa" w:w="60"/>
              <w:right w:type="dxa" w:w="90"/>
            </w:tcMar>
          </w:tcPr>
          <w:p>
            <w:r>
              <w:rPr>
                <w:sz w:val="18"/>
                <w:szCs w:val="18"/>
              </w:rPr>
              <w:t xml:space="preserve">16-Jul</w:t>
            </w:r>
          </w:p>
        </w:tc>
        <w:tc>
          <w:tcPr>
            <w:tcW w:type="dxa" w:w="3400"/>
            <w:tcMar>
              <w:top w:type="dxa" w:w="60"/>
              <w:left w:type="dxa" w:w="90"/>
              <w:bottom w:type="dxa" w:w="60"/>
              <w:right w:type="dxa" w:w="90"/>
            </w:tcMar>
          </w:tcPr>
          <w:p>
            <w:r>
              <w:rPr>
                <w:sz w:val="18"/>
                <w:szCs w:val="18"/>
              </w:rPr>
              <w:t xml:space="preserve">Initial jobless claims</w:t>
            </w:r>
          </w:p>
        </w:tc>
        <w:tc>
          <w:tcPr>
            <w:tcW w:type="dxa" w:w="4560"/>
            <w:tcMar>
              <w:top w:type="dxa" w:w="60"/>
              <w:left w:type="dxa" w:w="90"/>
              <w:bottom w:type="dxa" w:w="60"/>
              <w:right w:type="dxa" w:w="90"/>
            </w:tcMar>
          </w:tcPr>
          <w:p>
            <w:r>
              <w:rPr>
                <w:sz w:val="18"/>
                <w:szCs w:val="18"/>
              </w:rPr>
              <w:t xml:space="preserve">Moderate — a soft labour read compounds the CPI/PPI dovish case</w:t>
            </w:r>
          </w:p>
        </w:tc>
      </w:tr>
      <w:tr>
        <w:tc>
          <w:tcPr>
            <w:tcW w:type="dxa" w:w="1400"/>
            <w:shd w:fill="F4F1EC" w:color="auto" w:val="clear"/>
            <w:tcMar>
              <w:top w:type="dxa" w:w="60"/>
              <w:left w:type="dxa" w:w="90"/>
              <w:bottom w:type="dxa" w:w="60"/>
              <w:right w:type="dxa" w:w="90"/>
            </w:tcMar>
          </w:tcPr>
          <w:p>
            <w:r>
              <w:rPr>
                <w:sz w:val="18"/>
                <w:szCs w:val="18"/>
              </w:rPr>
              <w:t xml:space="preserve">17-Jul</w:t>
            </w:r>
          </w:p>
        </w:tc>
        <w:tc>
          <w:tcPr>
            <w:tcW w:type="dxa" w:w="3400"/>
            <w:shd w:fill="F4F1EC" w:color="auto" w:val="clear"/>
            <w:tcMar>
              <w:top w:type="dxa" w:w="60"/>
              <w:left w:type="dxa" w:w="90"/>
              <w:bottom w:type="dxa" w:w="60"/>
              <w:right w:type="dxa" w:w="90"/>
            </w:tcMar>
          </w:tcPr>
          <w:p>
            <w:r>
              <w:rPr>
                <w:sz w:val="18"/>
                <w:szCs w:val="18"/>
              </w:rPr>
              <w:t xml:space="preserve">Univ. of Michigan inflation expectations</w:t>
            </w:r>
          </w:p>
        </w:tc>
        <w:tc>
          <w:tcPr>
            <w:tcW w:type="dxa" w:w="4560"/>
            <w:shd w:fill="F4F1EC" w:color="auto" w:val="clear"/>
            <w:tcMar>
              <w:top w:type="dxa" w:w="60"/>
              <w:left w:type="dxa" w:w="90"/>
              <w:bottom w:type="dxa" w:w="60"/>
              <w:right w:type="dxa" w:w="90"/>
            </w:tcMar>
          </w:tcPr>
          <w:p>
            <w:r>
              <w:rPr>
                <w:sz w:val="18"/>
                <w:szCs w:val="18"/>
              </w:rPr>
              <w:t xml:space="preserve">HIGH — the live risk. A hot expectations print re-arms the Sept hike case and directly hits gold</w:t>
            </w:r>
          </w:p>
        </w:tc>
      </w:tr>
      <w:tr>
        <w:tc>
          <w:tcPr>
            <w:tcW w:type="dxa" w:w="1400"/>
            <w:tcMar>
              <w:top w:type="dxa" w:w="60"/>
              <w:left w:type="dxa" w:w="90"/>
              <w:bottom w:type="dxa" w:w="60"/>
              <w:right w:type="dxa" w:w="90"/>
            </w:tcMar>
          </w:tcPr>
          <w:p>
            <w:r>
              <w:rPr>
                <w:sz w:val="18"/>
                <w:szCs w:val="18"/>
              </w:rPr>
              <w:t xml:space="preserve">Ongoing</w:t>
            </w:r>
          </w:p>
        </w:tc>
        <w:tc>
          <w:tcPr>
            <w:tcW w:type="dxa" w:w="3400"/>
            <w:tcMar>
              <w:top w:type="dxa" w:w="60"/>
              <w:left w:type="dxa" w:w="90"/>
              <w:bottom w:type="dxa" w:w="60"/>
              <w:right w:type="dxa" w:w="90"/>
            </w:tcMar>
          </w:tcPr>
          <w:p>
            <w:r>
              <w:rPr>
                <w:sz w:val="18"/>
                <w:szCs w:val="18"/>
              </w:rPr>
              <w:t xml:space="preserve">US–Iran strikes / Strait of Hormuz blockade</w:t>
            </w:r>
          </w:p>
        </w:tc>
        <w:tc>
          <w:tcPr>
            <w:tcW w:type="dxa" w:w="4560"/>
            <w:tcMar>
              <w:top w:type="dxa" w:w="60"/>
              <w:left w:type="dxa" w:w="90"/>
              <w:bottom w:type="dxa" w:w="60"/>
              <w:right w:type="dxa" w:w="90"/>
            </w:tcMar>
          </w:tcPr>
          <w:p>
            <w:r>
              <w:rPr>
                <w:sz w:val="18"/>
                <w:szCs w:val="18"/>
              </w:rPr>
              <w:t xml:space="preserve">Two-sided — safe-haven bid vs energy-inflation-driven hawkishness</w:t>
            </w:r>
          </w:p>
        </w:tc>
      </w:tr>
      <w:tr>
        <w:tc>
          <w:tcPr>
            <w:tcW w:type="dxa" w:w="1400"/>
            <w:shd w:fill="F4F1EC" w:color="auto" w:val="clear"/>
            <w:tcMar>
              <w:top w:type="dxa" w:w="60"/>
              <w:left w:type="dxa" w:w="90"/>
              <w:bottom w:type="dxa" w:w="60"/>
              <w:right w:type="dxa" w:w="90"/>
            </w:tcMar>
          </w:tcPr>
          <w:p>
            <w:r>
              <w:rPr>
                <w:sz w:val="18"/>
                <w:szCs w:val="18"/>
              </w:rPr>
              <w:t xml:space="preserve">Ongoing</w:t>
            </w:r>
          </w:p>
        </w:tc>
        <w:tc>
          <w:tcPr>
            <w:tcW w:type="dxa" w:w="3400"/>
            <w:shd w:fill="F4F1EC" w:color="auto" w:val="clear"/>
            <w:tcMar>
              <w:top w:type="dxa" w:w="60"/>
              <w:left w:type="dxa" w:w="90"/>
              <w:bottom w:type="dxa" w:w="60"/>
              <w:right w:type="dxa" w:w="90"/>
            </w:tcMar>
          </w:tcPr>
          <w:p>
            <w:r>
              <w:rPr>
                <w:sz w:val="18"/>
                <w:szCs w:val="18"/>
              </w:rPr>
              <w:t xml:space="preserve">Central bank purchases (PBoC, RBI)</w:t>
            </w:r>
          </w:p>
        </w:tc>
        <w:tc>
          <w:tcPr>
            <w:tcW w:type="dxa" w:w="4560"/>
            <w:shd w:fill="F4F1EC" w:color="auto" w:val="clear"/>
            <w:tcMar>
              <w:top w:type="dxa" w:w="60"/>
              <w:left w:type="dxa" w:w="90"/>
              <w:bottom w:type="dxa" w:w="60"/>
              <w:right w:type="dxa" w:w="90"/>
            </w:tcMar>
          </w:tcPr>
          <w:p>
            <w:r>
              <w:rPr>
                <w:sz w:val="18"/>
                <w:szCs w:val="18"/>
              </w:rPr>
              <w:t xml:space="preserve">Slow-burn support; PBoC reserves 2,313.46t (Mar-26), still accumulating</w:t>
            </w:r>
          </w:p>
        </w:tc>
      </w:tr>
    </w:tbl>
    <w:p>
      <w:pPr>
        <w:spacing w:after="100"/>
      </w:pPr>
      <w:r>
        <w:rPr>
          <w:b w:val="false"/>
          <w:bCs w:val="false"/>
          <w:i w:val="false"/>
          <w:iCs w:val="false"/>
          <w:sz w:val="20"/>
          <w:szCs w:val="20"/>
        </w:rPr>
        <w:t xml:space="preserve">The 16-Jul session itself is data-light — Philly Fed and claims are second-tier. The asymmetry sits on 17-Jul with the Michigan inflation-expectations print. Gold's entire two-day rally is built on the premise that inflation is decelerating; a hot expectations number is the single cleanest way to falsify that premise, and it lands the session after this report's horizon. Trades held into 17-Jul carry event risk that the 16-Jul technical picture does not price.</w:t>
      </w:r>
    </w:p>
    <w:p>
      <w:pPr>
        <w:pStyle w:val="Heading1"/>
        <w:spacing w:after="120" w:before="240"/>
      </w:pPr>
      <w:r>
        <w:t xml:space="preserve">§16  Scenarios — Next 5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400"/>
        <w:gridCol w:w="2600"/>
        <w:gridCol w:w="860"/>
      </w:tblGrid>
      <w:tr>
        <w:trPr>
          <w:tblHeader/>
        </w:trPr>
        <w:tc>
          <w:tcPr>
            <w:tcW w:type="dxa" w:w="2200"/>
            <w:shd w:fill="7A5C2E" w:color="auto" w:val="clear"/>
            <w:tcMar>
              <w:top w:type="dxa" w:w="60"/>
              <w:left w:type="dxa" w:w="90"/>
              <w:bottom w:type="dxa" w:w="60"/>
              <w:right w:type="dxa" w:w="90"/>
            </w:tcMar>
          </w:tcPr>
          <w:p>
            <w:r>
              <w:rPr>
                <w:b/>
                <w:bCs/>
                <w:color w:val="FFFFFF"/>
                <w:sz w:val="18"/>
                <w:szCs w:val="18"/>
              </w:rPr>
              <w:t xml:space="preserve">Scenario</w:t>
            </w:r>
          </w:p>
        </w:tc>
        <w:tc>
          <w:tcPr>
            <w:tcW w:type="dxa" w:w="1300"/>
            <w:shd w:fill="7A5C2E" w:color="auto" w:val="clear"/>
            <w:tcMar>
              <w:top w:type="dxa" w:w="60"/>
              <w:left w:type="dxa" w:w="90"/>
              <w:bottom w:type="dxa" w:w="60"/>
              <w:right w:type="dxa" w:w="90"/>
            </w:tcMar>
          </w:tcPr>
          <w:p>
            <w:r>
              <w:rPr>
                <w:b/>
                <w:bCs/>
                <w:color w:val="FFFFFF"/>
                <w:sz w:val="18"/>
                <w:szCs w:val="18"/>
              </w:rPr>
              <w:t xml:space="preserve">Probability</w:t>
            </w:r>
          </w:p>
        </w:tc>
        <w:tc>
          <w:tcPr>
            <w:tcW w:type="dxa" w:w="2400"/>
            <w:shd w:fill="7A5C2E" w:color="auto" w:val="clear"/>
            <w:tcMar>
              <w:top w:type="dxa" w:w="60"/>
              <w:left w:type="dxa" w:w="90"/>
              <w:bottom w:type="dxa" w:w="60"/>
              <w:right w:type="dxa" w:w="90"/>
            </w:tcMar>
          </w:tcPr>
          <w:p>
            <w:r>
              <w:rPr>
                <w:b/>
                <w:bCs/>
                <w:color w:val="FFFFFF"/>
                <w:sz w:val="18"/>
                <w:szCs w:val="18"/>
              </w:rPr>
              <w:t xml:space="preserve">Path</w:t>
            </w:r>
          </w:p>
        </w:tc>
        <w:tc>
          <w:tcPr>
            <w:tcW w:type="dxa" w:w="2600"/>
            <w:shd w:fill="7A5C2E" w:color="auto" w:val="clear"/>
            <w:tcMar>
              <w:top w:type="dxa" w:w="60"/>
              <w:left w:type="dxa" w:w="90"/>
              <w:bottom w:type="dxa" w:w="60"/>
              <w:right w:type="dxa" w:w="90"/>
            </w:tcMar>
          </w:tcPr>
          <w:p>
            <w:r>
              <w:rPr>
                <w:b/>
                <w:bCs/>
                <w:color w:val="FFFFFF"/>
                <w:sz w:val="18"/>
                <w:szCs w:val="18"/>
              </w:rPr>
              <w:t xml:space="preserve">Trigger</w:t>
            </w:r>
          </w:p>
        </w:tc>
        <w:tc>
          <w:tcPr>
            <w:tcW w:type="dxa" w:w="860"/>
            <w:shd w:fill="7A5C2E" w:color="auto" w:val="clear"/>
            <w:tcMar>
              <w:top w:type="dxa" w:w="60"/>
              <w:left w:type="dxa" w:w="90"/>
              <w:bottom w:type="dxa" w:w="60"/>
              <w:right w:type="dxa" w:w="90"/>
            </w:tcMar>
          </w:tcPr>
          <w:p>
            <w:r>
              <w:rPr>
                <w:b/>
                <w:bCs/>
                <w:color w:val="FFFFFF"/>
                <w:sz w:val="18"/>
                <w:szCs w:val="18"/>
              </w:rPr>
              <w:t xml:space="preserve">Confidence</w:t>
            </w:r>
          </w:p>
        </w:tc>
      </w:tr>
      <w:tr>
        <w:tc>
          <w:tcPr>
            <w:tcW w:type="dxa" w:w="2200"/>
            <w:tcMar>
              <w:top w:type="dxa" w:w="60"/>
              <w:left w:type="dxa" w:w="90"/>
              <w:bottom w:type="dxa" w:w="60"/>
              <w:right w:type="dxa" w:w="90"/>
            </w:tcMar>
          </w:tcPr>
          <w:p>
            <w:r>
              <w:rPr>
                <w:sz w:val="18"/>
                <w:szCs w:val="18"/>
              </w:rPr>
              <w:t xml:space="preserve">Base — range persistence</w:t>
            </w:r>
          </w:p>
        </w:tc>
        <w:tc>
          <w:tcPr>
            <w:tcW w:type="dxa" w:w="1300"/>
            <w:tcMar>
              <w:top w:type="dxa" w:w="60"/>
              <w:left w:type="dxa" w:w="90"/>
              <w:bottom w:type="dxa" w:w="60"/>
              <w:right w:type="dxa" w:w="90"/>
            </w:tcMar>
          </w:tcPr>
          <w:p>
            <w:r>
              <w:rPr>
                <w:sz w:val="18"/>
                <w:szCs w:val="18"/>
              </w:rPr>
              <w:t xml:space="preserve">50%</w:t>
            </w:r>
          </w:p>
        </w:tc>
        <w:tc>
          <w:tcPr>
            <w:tcW w:type="dxa" w:w="2400"/>
            <w:tcMar>
              <w:top w:type="dxa" w:w="60"/>
              <w:left w:type="dxa" w:w="90"/>
              <w:bottom w:type="dxa" w:w="60"/>
              <w:right w:type="dxa" w:w="90"/>
            </w:tcMar>
          </w:tcPr>
          <w:p>
            <w:r>
              <w:rPr>
                <w:sz w:val="18"/>
                <w:szCs w:val="18"/>
              </w:rPr>
              <w:t xml:space="preserve">Chop 4,007–4,132; no resolution</w:t>
            </w:r>
          </w:p>
        </w:tc>
        <w:tc>
          <w:tcPr>
            <w:tcW w:type="dxa" w:w="2600"/>
            <w:tcMar>
              <w:top w:type="dxa" w:w="60"/>
              <w:left w:type="dxa" w:w="90"/>
              <w:bottom w:type="dxa" w:w="60"/>
              <w:right w:type="dxa" w:w="90"/>
            </w:tcMar>
          </w:tcPr>
          <w:p>
            <w:r>
              <w:rPr>
                <w:sz w:val="18"/>
                <w:szCs w:val="18"/>
              </w:rPr>
              <w:t xml:space="preserve">Data stays mixed; Michigan in line</w:t>
            </w:r>
          </w:p>
        </w:tc>
        <w:tc>
          <w:tcPr>
            <w:tcW w:type="dxa" w:w="860"/>
            <w:tcMar>
              <w:top w:type="dxa" w:w="60"/>
              <w:left w:type="dxa" w:w="90"/>
              <w:bottom w:type="dxa" w:w="60"/>
              <w:right w:type="dxa" w:w="90"/>
            </w:tcMar>
          </w:tcPr>
          <w:p>
            <w:r>
              <w:rPr>
                <w:sz w:val="18"/>
                <w:szCs w:val="18"/>
              </w:rPr>
              <w:t xml:space="preserve">M</w:t>
            </w:r>
          </w:p>
        </w:tc>
      </w:tr>
      <w:tr>
        <w:tc>
          <w:tcPr>
            <w:tcW w:type="dxa" w:w="2200"/>
            <w:shd w:fill="F4F1EC" w:color="auto" w:val="clear"/>
            <w:tcMar>
              <w:top w:type="dxa" w:w="60"/>
              <w:left w:type="dxa" w:w="90"/>
              <w:bottom w:type="dxa" w:w="60"/>
              <w:right w:type="dxa" w:w="90"/>
            </w:tcMar>
          </w:tcPr>
          <w:p>
            <w:r>
              <w:rPr>
                <w:sz w:val="18"/>
                <w:szCs w:val="18"/>
              </w:rPr>
              <w:t xml:space="preserve">Bull — dovish extension</w:t>
            </w:r>
          </w:p>
        </w:tc>
        <w:tc>
          <w:tcPr>
            <w:tcW w:type="dxa" w:w="1300"/>
            <w:shd w:fill="F4F1EC" w:color="auto" w:val="clear"/>
            <w:tcMar>
              <w:top w:type="dxa" w:w="60"/>
              <w:left w:type="dxa" w:w="90"/>
              <w:bottom w:type="dxa" w:w="60"/>
              <w:right w:type="dxa" w:w="90"/>
            </w:tcMar>
          </w:tcPr>
          <w:p>
            <w:r>
              <w:rPr>
                <w:sz w:val="18"/>
                <w:szCs w:val="18"/>
              </w:rPr>
              <w:t xml:space="preserve">28%</w:t>
            </w:r>
          </w:p>
        </w:tc>
        <w:tc>
          <w:tcPr>
            <w:tcW w:type="dxa" w:w="2400"/>
            <w:shd w:fill="F4F1EC" w:color="auto" w:val="clear"/>
            <w:tcMar>
              <w:top w:type="dxa" w:w="60"/>
              <w:left w:type="dxa" w:w="90"/>
              <w:bottom w:type="dxa" w:w="60"/>
              <w:right w:type="dxa" w:w="90"/>
            </w:tcMar>
          </w:tcPr>
          <w:p>
            <w:r>
              <w:rPr>
                <w:sz w:val="18"/>
                <w:szCs w:val="18"/>
              </w:rPr>
              <w:t xml:space="preserve">Break 4,109.62 → 4,132 → 4,186</w:t>
            </w:r>
          </w:p>
        </w:tc>
        <w:tc>
          <w:tcPr>
            <w:tcW w:type="dxa" w:w="2600"/>
            <w:shd w:fill="F4F1EC" w:color="auto" w:val="clear"/>
            <w:tcMar>
              <w:top w:type="dxa" w:w="60"/>
              <w:left w:type="dxa" w:w="90"/>
              <w:bottom w:type="dxa" w:w="60"/>
              <w:right w:type="dxa" w:w="90"/>
            </w:tcMar>
          </w:tcPr>
          <w:p>
            <w:r>
              <w:rPr>
                <w:sz w:val="18"/>
                <w:szCs w:val="18"/>
              </w:rPr>
              <w:t xml:space="preserve">Soft Philly Fed + soft Michigan; USDX breaks 100.25</w:t>
            </w:r>
          </w:p>
        </w:tc>
        <w:tc>
          <w:tcPr>
            <w:tcW w:type="dxa" w:w="860"/>
            <w:shd w:fill="F4F1EC" w:color="auto" w:val="clear"/>
            <w:tcMar>
              <w:top w:type="dxa" w:w="60"/>
              <w:left w:type="dxa" w:w="90"/>
              <w:bottom w:type="dxa" w:w="60"/>
              <w:right w:type="dxa" w:w="90"/>
            </w:tcMar>
          </w:tcPr>
          <w:p>
            <w:r>
              <w:rPr>
                <w:sz w:val="18"/>
                <w:szCs w:val="18"/>
              </w:rPr>
              <w:t xml:space="preserve">M</w:t>
            </w:r>
          </w:p>
        </w:tc>
      </w:tr>
      <w:tr>
        <w:tc>
          <w:tcPr>
            <w:tcW w:type="dxa" w:w="2200"/>
            <w:tcMar>
              <w:top w:type="dxa" w:w="60"/>
              <w:left w:type="dxa" w:w="90"/>
              <w:bottom w:type="dxa" w:w="60"/>
              <w:right w:type="dxa" w:w="90"/>
            </w:tcMar>
          </w:tcPr>
          <w:p>
            <w:r>
              <w:rPr>
                <w:sz w:val="18"/>
                <w:szCs w:val="18"/>
              </w:rPr>
              <w:t xml:space="preserve">Bear — structural resumption</w:t>
            </w:r>
          </w:p>
        </w:tc>
        <w:tc>
          <w:tcPr>
            <w:tcW w:type="dxa" w:w="1300"/>
            <w:tcMar>
              <w:top w:type="dxa" w:w="60"/>
              <w:left w:type="dxa" w:w="90"/>
              <w:bottom w:type="dxa" w:w="60"/>
              <w:right w:type="dxa" w:w="90"/>
            </w:tcMar>
          </w:tcPr>
          <w:p>
            <w:r>
              <w:rPr>
                <w:sz w:val="18"/>
                <w:szCs w:val="18"/>
              </w:rPr>
              <w:t xml:space="preserve">22%</w:t>
            </w:r>
          </w:p>
        </w:tc>
        <w:tc>
          <w:tcPr>
            <w:tcW w:type="dxa" w:w="2400"/>
            <w:tcMar>
              <w:top w:type="dxa" w:w="60"/>
              <w:left w:type="dxa" w:w="90"/>
              <w:bottom w:type="dxa" w:w="60"/>
              <w:right w:type="dxa" w:w="90"/>
            </w:tcMar>
          </w:tcPr>
          <w:p>
            <w:r>
              <w:rPr>
                <w:sz w:val="18"/>
                <w:szCs w:val="18"/>
              </w:rPr>
              <w:t xml:space="preserve">Break 3,985.76 → 3,951 → 3,894</w:t>
            </w:r>
          </w:p>
        </w:tc>
        <w:tc>
          <w:tcPr>
            <w:tcW w:type="dxa" w:w="2600"/>
            <w:tcMar>
              <w:top w:type="dxa" w:w="60"/>
              <w:left w:type="dxa" w:w="90"/>
              <w:bottom w:type="dxa" w:w="60"/>
              <w:right w:type="dxa" w:w="90"/>
            </w:tcMar>
          </w:tcPr>
          <w:p>
            <w:r>
              <w:rPr>
                <w:sz w:val="18"/>
                <w:szCs w:val="18"/>
              </w:rPr>
              <w:t xml:space="preserve">Hot Michigan; Sept hike odds &gt;60%; USDX reclaims 100.835</w:t>
            </w:r>
          </w:p>
        </w:tc>
        <w:tc>
          <w:tcPr>
            <w:tcW w:type="dxa" w:w="860"/>
            <w:tcMar>
              <w:top w:type="dxa" w:w="60"/>
              <w:left w:type="dxa" w:w="90"/>
              <w:bottom w:type="dxa" w:w="60"/>
              <w:right w:type="dxa" w:w="90"/>
            </w:tcMar>
          </w:tcPr>
          <w:p>
            <w:r>
              <w:rPr>
                <w:sz w:val="18"/>
                <w:szCs w:val="18"/>
              </w:rPr>
              <w:t xml:space="preserve">M</w:t>
            </w:r>
          </w:p>
        </w:tc>
      </w:tr>
    </w:tbl>
    <w:p>
      <w:pPr>
        <w:spacing w:after="100"/>
      </w:pPr>
      <w:r>
        <w:rPr>
          <w:b w:val="false"/>
          <w:bCs w:val="false"/>
          <w:i w:val="false"/>
          <w:iCs w:val="false"/>
          <w:sz w:val="20"/>
          <w:szCs w:val="20"/>
        </w:rPr>
        <w:t xml:space="preserve">The base case is deliberately the largest. KER of 0.117 says this market is not trending, ATR is contracting session-on-session, and the range boundaries at 4,132 and 3,985.76 have both been tested and held within the last five sessions. Ranges that have proven both edges tend to require an exogenous catalyst to break, and the only catalyst of that magnitude in the window (Michigan) falls on 17-Jul.</w:t>
      </w:r>
    </w:p>
    <w:p>
      <w:pPr>
        <w:spacing w:after="100"/>
      </w:pPr>
      <w:r>
        <w:rPr>
          <w:b w:val="false"/>
          <w:bCs w:val="false"/>
          <w:i w:val="false"/>
          <w:iCs w:val="false"/>
          <w:sz w:val="20"/>
          <w:szCs w:val="20"/>
        </w:rPr>
        <w:t xml:space="preserve">The bull case is given the edge over the bear case for the 5-day horizon on a specific mechanism: the dollar. USDX below both its 50- and 200-period MAs with a daily sell signal is the most technically damaged of any instrument in the counter set, and gold's inverse-dollar link is its most reliable transmission channel. The bear case is smaller in probability but larger in magnitude — a break of 3,985.76 has no meaningful structural support until 3,951.68, and the 3,900 zone below that is where multiple sources flag risk of deeper correction.</w:t>
      </w:r>
    </w:p>
    <w:p>
      <w:pPr>
        <w:pStyle w:val="Heading1"/>
        <w:spacing w:after="120" w:before="240"/>
      </w:pPr>
      <w:r>
        <w:t xml:space="preserve">§17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shd w:fill="7A5C2E" w:color="auto" w:val="clear"/>
            <w:tcMar>
              <w:top w:type="dxa" w:w="60"/>
              <w:left w:type="dxa" w:w="90"/>
              <w:bottom w:type="dxa" w:w="60"/>
              <w:right w:type="dxa" w:w="90"/>
            </w:tcMar>
          </w:tcPr>
          <w:p>
            <w:r>
              <w:rPr>
                <w:b/>
                <w:bCs/>
                <w:color w:val="FFFFFF"/>
                <w:sz w:val="18"/>
                <w:szCs w:val="18"/>
              </w:rPr>
              <w:t xml:space="preserve">Horizon</w:t>
            </w:r>
          </w:p>
        </w:tc>
        <w:tc>
          <w:tcPr>
            <w:tcW w:type="dxa" w:w="2400"/>
            <w:shd w:fill="7A5C2E" w:color="auto" w:val="clear"/>
            <w:tcMar>
              <w:top w:type="dxa" w:w="60"/>
              <w:left w:type="dxa" w:w="90"/>
              <w:bottom w:type="dxa" w:w="60"/>
              <w:right w:type="dxa" w:w="90"/>
            </w:tcMar>
          </w:tcPr>
          <w:p>
            <w:r>
              <w:rPr>
                <w:b/>
                <w:bCs/>
                <w:color w:val="FFFFFF"/>
                <w:sz w:val="18"/>
                <w:szCs w:val="18"/>
              </w:rPr>
              <w:t xml:space="preserve">Central estimate</w:t>
            </w:r>
          </w:p>
        </w:tc>
        <w:tc>
          <w:tcPr>
            <w:tcW w:type="dxa" w:w="2400"/>
            <w:shd w:fill="7A5C2E" w:color="auto" w:val="clear"/>
            <w:tcMar>
              <w:top w:type="dxa" w:w="60"/>
              <w:left w:type="dxa" w:w="90"/>
              <w:bottom w:type="dxa" w:w="60"/>
              <w:right w:type="dxa" w:w="90"/>
            </w:tcMar>
          </w:tcPr>
          <w:p>
            <w:r>
              <w:rPr>
                <w:b/>
                <w:bCs/>
                <w:color w:val="FFFFFF"/>
                <w:sz w:val="18"/>
                <w:szCs w:val="18"/>
              </w:rPr>
              <w:t xml:space="preserve">Range</w:t>
            </w:r>
          </w:p>
        </w:tc>
        <w:tc>
          <w:tcPr>
            <w:tcW w:type="dxa" w:w="2160"/>
            <w:shd w:fill="7A5C2E" w:color="auto" w:val="clear"/>
            <w:tcMar>
              <w:top w:type="dxa" w:w="60"/>
              <w:left w:type="dxa" w:w="90"/>
              <w:bottom w:type="dxa" w:w="60"/>
              <w:right w:type="dxa" w:w="90"/>
            </w:tcMar>
          </w:tcPr>
          <w:p>
            <w:r>
              <w:rPr>
                <w:b/>
                <w:bCs/>
                <w:color w:val="FFFFFF"/>
                <w:sz w:val="18"/>
                <w:szCs w:val="18"/>
              </w:rPr>
              <w:t xml:space="preserve">Confidence</w:t>
            </w:r>
          </w:p>
        </w:tc>
      </w:tr>
      <w:tr>
        <w:tc>
          <w:tcPr>
            <w:tcW w:type="dxa" w:w="2400"/>
            <w:tcMar>
              <w:top w:type="dxa" w:w="60"/>
              <w:left w:type="dxa" w:w="90"/>
              <w:bottom w:type="dxa" w:w="60"/>
              <w:right w:type="dxa" w:w="90"/>
            </w:tcMar>
          </w:tcPr>
          <w:p>
            <w:r>
              <w:rPr>
                <w:sz w:val="18"/>
                <w:szCs w:val="18"/>
              </w:rPr>
              <w:t xml:space="preserve">16-Jul-2026 close</w:t>
            </w:r>
          </w:p>
        </w:tc>
        <w:tc>
          <w:tcPr>
            <w:tcW w:type="dxa" w:w="2400"/>
            <w:tcMar>
              <w:top w:type="dxa" w:w="60"/>
              <w:left w:type="dxa" w:w="90"/>
              <w:bottom w:type="dxa" w:w="60"/>
              <w:right w:type="dxa" w:w="90"/>
            </w:tcMar>
          </w:tcPr>
          <w:p>
            <w:r>
              <w:rPr>
                <w:sz w:val="18"/>
                <w:szCs w:val="18"/>
              </w:rPr>
              <w:t xml:space="preserve">4,075</w:t>
            </w:r>
          </w:p>
        </w:tc>
        <w:tc>
          <w:tcPr>
            <w:tcW w:type="dxa" w:w="2400"/>
            <w:tcMar>
              <w:top w:type="dxa" w:w="60"/>
              <w:left w:type="dxa" w:w="90"/>
              <w:bottom w:type="dxa" w:w="60"/>
              <w:right w:type="dxa" w:w="90"/>
            </w:tcMar>
          </w:tcPr>
          <w:p>
            <w:r>
              <w:rPr>
                <w:sz w:val="18"/>
                <w:szCs w:val="18"/>
              </w:rPr>
              <w:t xml:space="preserve">4,020 – 4,130</w:t>
            </w:r>
          </w:p>
        </w:tc>
        <w:tc>
          <w:tcPr>
            <w:tcW w:type="dxa" w:w="2160"/>
            <w:tcMar>
              <w:top w:type="dxa" w:w="60"/>
              <w:left w:type="dxa" w:w="90"/>
              <w:bottom w:type="dxa" w:w="60"/>
              <w:right w:type="dxa" w:w="90"/>
            </w:tcMar>
          </w:tcPr>
          <w:p>
            <w:r>
              <w:rPr>
                <w:sz w:val="18"/>
                <w:szCs w:val="18"/>
              </w:rPr>
              <w:t xml:space="preserve">M</w:t>
            </w:r>
          </w:p>
        </w:tc>
      </w:tr>
      <w:tr>
        <w:tc>
          <w:tcPr>
            <w:tcW w:type="dxa" w:w="2400"/>
            <w:shd w:fill="F4F1EC" w:color="auto" w:val="clear"/>
            <w:tcMar>
              <w:top w:type="dxa" w:w="60"/>
              <w:left w:type="dxa" w:w="90"/>
              <w:bottom w:type="dxa" w:w="60"/>
              <w:right w:type="dxa" w:w="90"/>
            </w:tcMar>
          </w:tcPr>
          <w:p>
            <w:r>
              <w:rPr>
                <w:sz w:val="18"/>
                <w:szCs w:val="18"/>
              </w:rPr>
              <w:t xml:space="preserve">5 sessions (22-Jul-2026)</w:t>
            </w:r>
          </w:p>
        </w:tc>
        <w:tc>
          <w:tcPr>
            <w:tcW w:type="dxa" w:w="2400"/>
            <w:shd w:fill="F4F1EC" w:color="auto" w:val="clear"/>
            <w:tcMar>
              <w:top w:type="dxa" w:w="60"/>
              <w:left w:type="dxa" w:w="90"/>
              <w:bottom w:type="dxa" w:w="60"/>
              <w:right w:type="dxa" w:w="90"/>
            </w:tcMar>
          </w:tcPr>
          <w:p>
            <w:r>
              <w:rPr>
                <w:sz w:val="18"/>
                <w:szCs w:val="18"/>
              </w:rPr>
              <w:t xml:space="preserve">4,085</w:t>
            </w:r>
          </w:p>
        </w:tc>
        <w:tc>
          <w:tcPr>
            <w:tcW w:type="dxa" w:w="2400"/>
            <w:shd w:fill="F4F1EC" w:color="auto" w:val="clear"/>
            <w:tcMar>
              <w:top w:type="dxa" w:w="60"/>
              <w:left w:type="dxa" w:w="90"/>
              <w:bottom w:type="dxa" w:w="60"/>
              <w:right w:type="dxa" w:w="90"/>
            </w:tcMar>
          </w:tcPr>
          <w:p>
            <w:r>
              <w:rPr>
                <w:sz w:val="18"/>
                <w:szCs w:val="18"/>
              </w:rPr>
              <w:t xml:space="preserve">3,950 – 4,190</w:t>
            </w:r>
          </w:p>
        </w:tc>
        <w:tc>
          <w:tcPr>
            <w:tcW w:type="dxa" w:w="2160"/>
            <w:shd w:fill="F4F1EC" w:color="auto" w:val="clear"/>
            <w:tcMar>
              <w:top w:type="dxa" w:w="60"/>
              <w:left w:type="dxa" w:w="90"/>
              <w:bottom w:type="dxa" w:w="60"/>
              <w:right w:type="dxa" w:w="90"/>
            </w:tcMar>
          </w:tcPr>
          <w:p>
            <w:r>
              <w:rPr>
                <w:sz w:val="18"/>
                <w:szCs w:val="18"/>
              </w:rPr>
              <w:t xml:space="preserve">L</w:t>
            </w:r>
          </w:p>
        </w:tc>
      </w:tr>
    </w:tbl>
    <w:p>
      <w:pPr>
        <w:spacing w:after="100"/>
      </w:pPr>
      <w:r>
        <w:rPr>
          <w:b w:val="false"/>
          <w:bCs w:val="false"/>
          <w:i w:val="false"/>
          <w:iCs w:val="false"/>
          <w:sz w:val="20"/>
          <w:szCs w:val="20"/>
        </w:rPr>
        <w:t xml:space="preserve">The 5-day central estimate of 4,085 sits 15 points above spot and is, in substance, a call for continued consolidation with a marginal upward drift. Confidence is LOW at the 5-day horizon and MEDIUM at the next-session horizon, and that gap is the honest expression of the Michigan risk on 17-Jul. Directionally the forecast leans mildly constructive; structurally it does not contradict the bearish medium regime, because a 15-point drift inside a 240-point range from the 10-session swing high is consolidation, not reversal.</w:t>
      </w:r>
    </w:p>
    <w:p>
      <w:pPr>
        <w:spacing w:after="100"/>
      </w:pPr>
      <w:r>
        <w:rPr>
          <w:b w:val="false"/>
          <w:bCs w:val="false"/>
          <w:i/>
          <w:iCs/>
          <w:sz w:val="18"/>
          <w:szCs w:val="18"/>
        </w:rPr>
        <w:t xml:space="preserve">Conflict check against §21a: the forecast leans mildly LONG; the direction score is +0.05, i.e. effectively NEUTRAL but positive-signed. These are consistent in sign. No conflict flag raised.</w:t>
      </w:r>
    </w:p>
    <w:p>
      <w:r>
        <w:br w:type="page"/>
      </w:r>
    </w:p>
    <w:p>
      <w:pPr>
        <w:pStyle w:val="Heading1"/>
        <w:spacing w:after="120" w:before="240"/>
      </w:pPr>
      <w:r>
        <w:t xml:space="preserve">§18  Macro Narrative</w:t>
      </w:r>
    </w:p>
    <w:p>
      <w:pPr>
        <w:spacing w:after="100"/>
      </w:pPr>
      <w:r>
        <w:rPr>
          <w:b w:val="false"/>
          <w:bCs w:val="false"/>
          <w:i w:val="false"/>
          <w:iCs w:val="false"/>
          <w:sz w:val="20"/>
          <w:szCs w:val="20"/>
        </w:rPr>
        <w:t xml:space="preserve">Real yields and the Fed. This remains the dominant channel. The US 10Y sits at 4.587%, easing marginally, with fed funds at 3.75% and CPI at 3.5% — a real policy rate near zero but a real long-yield still meaningfully positive. That is the arithmetic behind the ETF outflows: a non-yielding asset competes badly against a positive real long rate. June's CPI and PPI both undershot, which lowers the near-term hike premium (July odds 16.6%), but Warsh's refusal to signal a dovish pivot means the September question (≈50%) stays open. Cross-referencing §10: the 10Y easing is a mild gold positive and does not contradict the USDX read.</w:t>
      </w:r>
    </w:p>
    <w:p>
      <w:pPr>
        <w:spacing w:after="100"/>
      </w:pPr>
      <w:r>
        <w:rPr>
          <w:b w:val="false"/>
          <w:bCs w:val="false"/>
          <w:i w:val="false"/>
          <w:iCs w:val="false"/>
          <w:sz w:val="20"/>
          <w:szCs w:val="20"/>
        </w:rPr>
        <w:t xml:space="preserve">Dollar liquidity. USDX at ~100.76–100.90, off early-July highs near 101.39, below its 50- and 200-period MAs, daily signal Sell. Mechanism for gold: direct and inverse — a weaker dollar mechanically raises the USD price of a globally-priced hard asset and lowers the hurdle for non-US buyers. This is the single most gold-supportive input on the board and is the reason the composite score is positive rather than negative.</w:t>
      </w:r>
    </w:p>
    <w:p>
      <w:pPr>
        <w:spacing w:after="100"/>
      </w:pPr>
      <w:r>
        <w:rPr>
          <w:b w:val="false"/>
          <w:bCs w:val="false"/>
          <w:i w:val="false"/>
          <w:iCs w:val="false"/>
          <w:sz w:val="20"/>
          <w:szCs w:val="20"/>
        </w:rPr>
        <w:t xml:space="preserve">Energy and inflation. WTI $79.87 (+2.22%) and Brent $85.28 (+2.38%) at one-month highs on renewed US strikes against Iran and the reinstated naval blockade near the Strait of Hormuz, with vessel transits reportedly down more than half week-on-week. This is genuinely two-sided for gold and must not be resolved silently: energy-driven inflation strengthens the hard-asset hedge case (positive) while simultaneously raising the odds the Fed must respond with hikes (negative). Shearer's framing — that hike worries have pushed gold to the back burner for most investors — captures why the second effect has been dominating the first.</w:t>
      </w:r>
    </w:p>
    <w:p>
      <w:pPr>
        <w:spacing w:after="100"/>
      </w:pPr>
      <w:r>
        <w:rPr>
          <w:b w:val="false"/>
          <w:bCs w:val="false"/>
          <w:i w:val="false"/>
          <w:iCs w:val="false"/>
          <w:sz w:val="20"/>
          <w:szCs w:val="20"/>
        </w:rPr>
        <w:t xml:space="preserve">Positioning and flows. ETF outflows on high real yields; central bank demand cooled from its 2025 pace but not stopped, with PBoC at 2,313.46t as of Mar-26 (up from 2,306.30t). COT data unavailable this run. VIX at 15.88 (−3.75%) — a benign risk backdrop, which is a mild safe-haven negative.</w:t>
      </w:r>
    </w:p>
    <w:p>
      <w:pPr>
        <w:spacing w:after="100"/>
      </w:pPr>
      <w:r>
        <w:rPr>
          <w:b w:val="false"/>
          <w:bCs w:val="false"/>
          <w:i/>
          <w:iCs/>
          <w:sz w:val="18"/>
          <w:szCs w:val="18"/>
        </w:rPr>
        <w:t xml:space="preserve">Contradiction flag (mandatory per M4 §12): the macro narrative here is net constructive (dollar down, real yields easing, energy inflation live), while §10's equity counters read risk-on and §9's structural regime reads firmly bearish. These are not reconciled. The report carries the contradiction forward into the near-zero direction score rather than resolving it by preference.</w:t>
      </w:r>
    </w:p>
    <w:p>
      <w:pPr>
        <w:pStyle w:val="Heading1"/>
        <w:spacing w:after="120" w:before="240"/>
      </w:pPr>
      <w:r>
        <w:t xml:space="preserve">§19  Key Risks</w:t>
      </w:r>
    </w:p>
    <w:p>
      <w:pPr>
        <w:pStyle w:val="ListParagraph"/>
        <w:numPr>
          <w:ilvl w:val="0"/>
          <w:numId w:val="1"/>
        </w:numPr>
        <w:spacing w:after="60"/>
      </w:pPr>
      <w:r>
        <w:rPr>
          <w:sz w:val="20"/>
          <w:szCs w:val="20"/>
        </w:rPr>
        <w:t xml:space="preserve">Michigan inflation expectations (17-Jul) prints hot — re-arms the September hike case, breaks the entire dovish premise of the current bounce. Highest-probability single source of a bearish gap.</w:t>
      </w:r>
    </w:p>
    <w:p>
      <w:pPr>
        <w:pStyle w:val="ListParagraph"/>
        <w:numPr>
          <w:ilvl w:val="0"/>
          <w:numId w:val="1"/>
        </w:numPr>
        <w:spacing w:after="60"/>
      </w:pPr>
      <w:r>
        <w:rPr>
          <w:sz w:val="20"/>
          <w:szCs w:val="20"/>
        </w:rPr>
        <w:t xml:space="preserve">Warsh or another FOMC member delivers explicit hawkish guidance intra-session — USDX reclaims 100.835, gold loses 4,007.50 support.</w:t>
      </w:r>
    </w:p>
    <w:p>
      <w:pPr>
        <w:pStyle w:val="ListParagraph"/>
        <w:numPr>
          <w:ilvl w:val="0"/>
          <w:numId w:val="1"/>
        </w:numPr>
        <w:spacing w:after="60"/>
      </w:pPr>
      <w:r>
        <w:rPr>
          <w:sz w:val="20"/>
          <w:szCs w:val="20"/>
        </w:rPr>
        <w:t xml:space="preserve">Strait of Hormuz escalates to actual supply interruption — two-sided, but the first move is almost certainly a safe-haven spike, stopping shorts before the inflation-hawkish second-order effect arrives.</w:t>
      </w:r>
    </w:p>
    <w:p>
      <w:pPr>
        <w:pStyle w:val="ListParagraph"/>
        <w:numPr>
          <w:ilvl w:val="0"/>
          <w:numId w:val="1"/>
        </w:numPr>
        <w:spacing w:after="60"/>
      </w:pPr>
      <w:r>
        <w:rPr>
          <w:sz w:val="20"/>
          <w:szCs w:val="20"/>
        </w:rPr>
        <w:t xml:space="preserve">Break below 3,985.76 with conviction — the twice-defended low fails, opening 3,951.68 and then the 3,900 zone where multiple sources flag deeper-correction risk.</w:t>
      </w:r>
    </w:p>
    <w:p>
      <w:pPr>
        <w:pStyle w:val="ListParagraph"/>
        <w:numPr>
          <w:ilvl w:val="0"/>
          <w:numId w:val="1"/>
        </w:numPr>
        <w:spacing w:after="60"/>
      </w:pPr>
      <w:r>
        <w:rPr>
          <w:sz w:val="20"/>
          <w:szCs w:val="20"/>
        </w:rPr>
        <w:t xml:space="preserve">ATR(14) is estimated at 78.50, not computed from a full tick series. Every stop distance and target below scales off it. A 5% error moves R by ±4 points.</w:t>
      </w:r>
    </w:p>
    <w:p>
      <w:pPr>
        <w:pStyle w:val="ListParagraph"/>
        <w:numPr>
          <w:ilvl w:val="0"/>
          <w:numId w:val="1"/>
        </w:numPr>
        <w:spacing w:after="60"/>
      </w:pPr>
      <w:r>
        <w:rPr>
          <w:sz w:val="20"/>
          <w:szCs w:val="20"/>
        </w:rPr>
        <w:t xml:space="preserve">All OHLC extremes and therefore all pivots are composite across venues. Levels are indicative to roughly ±$5.</w:t>
      </w:r>
    </w:p>
    <w:p>
      <w:pPr>
        <w:pStyle w:val="ListParagraph"/>
        <w:numPr>
          <w:ilvl w:val="0"/>
          <w:numId w:val="1"/>
        </w:numPr>
        <w:spacing w:after="60"/>
      </w:pPr>
      <w:r>
        <w:rPr>
          <w:sz w:val="20"/>
          <w:szCs w:val="20"/>
        </w:rPr>
        <w:t xml:space="preserve">RSI(2) is unavailable and excluded — the short-tech input is running on structural read alone, degrading the highest-weighted axis in the model (0.25).</w:t>
      </w:r>
    </w:p>
    <w:p>
      <w:pPr>
        <w:pStyle w:val="Heading1"/>
        <w:spacing w:after="120" w:before="240"/>
      </w:pPr>
      <w:r>
        <w:t xml:space="preserve">§20  Agent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shd w:fill="7A5C2E" w:color="auto" w:val="clear"/>
            <w:tcMar>
              <w:top w:type="dxa" w:w="60"/>
              <w:left w:type="dxa" w:w="90"/>
              <w:bottom w:type="dxa" w:w="60"/>
              <w:right w:type="dxa" w:w="90"/>
            </w:tcMar>
          </w:tcPr>
          <w:p>
            <w:r>
              <w:rPr>
                <w:b/>
                <w:bCs/>
                <w:color w:val="FFFFFF"/>
                <w:sz w:val="18"/>
                <w:szCs w:val="18"/>
              </w:rPr>
              <w:t xml:space="preserve">#</w:t>
            </w:r>
          </w:p>
        </w:tc>
        <w:tc>
          <w:tcPr>
            <w:tcW w:type="dxa" w:w="8860"/>
            <w:shd w:fill="7A5C2E" w:color="auto" w:val="clear"/>
            <w:tcMar>
              <w:top w:type="dxa" w:w="60"/>
              <w:left w:type="dxa" w:w="90"/>
              <w:bottom w:type="dxa" w:w="60"/>
              <w:right w:type="dxa" w:w="90"/>
            </w:tcMar>
          </w:tcPr>
          <w:p>
            <w:r>
              <w:rPr>
                <w:b/>
                <w:bCs/>
                <w:color w:val="FFFFFF"/>
                <w:sz w:val="18"/>
                <w:szCs w:val="18"/>
              </w:rPr>
              <w:t xml:space="preserve">Entry</w:t>
            </w:r>
          </w:p>
        </w:tc>
      </w:tr>
      <w:tr>
        <w:tc>
          <w:tcPr>
            <w:tcW w:type="dxa" w:w="500"/>
            <w:tcMar>
              <w:top w:type="dxa" w:w="60"/>
              <w:left w:type="dxa" w:w="90"/>
              <w:bottom w:type="dxa" w:w="60"/>
              <w:right w:type="dxa" w:w="90"/>
            </w:tcMar>
          </w:tcPr>
          <w:p>
            <w:r>
              <w:rPr>
                <w:sz w:val="18"/>
                <w:szCs w:val="18"/>
              </w:rPr>
              <w:t xml:space="preserve">1</w:t>
            </w:r>
          </w:p>
        </w:tc>
        <w:tc>
          <w:tcPr>
            <w:tcW w:type="dxa" w:w="8860"/>
            <w:tcMar>
              <w:top w:type="dxa" w:w="60"/>
              <w:left w:type="dxa" w:w="90"/>
              <w:bottom w:type="dxa" w:w="60"/>
              <w:right w:type="dxa" w:w="90"/>
            </w:tcMar>
          </w:tcPr>
          <w:p>
            <w:r>
              <w:rPr>
                <w:sz w:val="18"/>
                <w:szCs w:val="18"/>
              </w:rPr>
              <w:t xml:space="preserve">[AS_OF_DATE] overridden from M1 value 29-Apr-2026 to 16-Jul-2026 per user instruction.</w:t>
            </w:r>
          </w:p>
        </w:tc>
      </w:tr>
      <w:tr>
        <w:tc>
          <w:tcPr>
            <w:tcW w:type="dxa" w:w="500"/>
            <w:shd w:fill="F4F1EC" w:color="auto" w:val="clear"/>
            <w:tcMar>
              <w:top w:type="dxa" w:w="60"/>
              <w:left w:type="dxa" w:w="90"/>
              <w:bottom w:type="dxa" w:w="60"/>
              <w:right w:type="dxa" w:w="90"/>
            </w:tcMar>
          </w:tcPr>
          <w:p>
            <w:r>
              <w:rPr>
                <w:sz w:val="18"/>
                <w:szCs w:val="18"/>
              </w:rPr>
              <w:t xml:space="preserve">2</w:t>
            </w:r>
          </w:p>
        </w:tc>
        <w:tc>
          <w:tcPr>
            <w:tcW w:type="dxa" w:w="8860"/>
            <w:shd w:fill="F4F1EC" w:color="auto" w:val="clear"/>
            <w:tcMar>
              <w:top w:type="dxa" w:w="60"/>
              <w:left w:type="dxa" w:w="90"/>
              <w:bottom w:type="dxa" w:w="60"/>
              <w:right w:type="dxa" w:w="90"/>
            </w:tcMar>
          </w:tcPr>
          <w:p>
            <w:r>
              <w:rPr>
                <w:sz w:val="18"/>
                <w:szCs w:val="18"/>
              </w:rPr>
              <w:t xml:space="preserve">[DAILY_OPEN_ANCHOR] override instructed. M1 value = 00:00 UK. Permitted values under PATCHES P5 are 00:00 UK / 07:00 UK only. P6 requires the anchor to match the asset's trading session; gold trades 23+ hours and 07:00 UK is mid-London-session, not a reset. Anchor explicitly re-affirmed and locked at 00:00 UK. Action logged as an override event with no net value change.</w:t>
            </w:r>
          </w:p>
        </w:tc>
      </w:tr>
      <w:tr>
        <w:tc>
          <w:tcPr>
            <w:tcW w:type="dxa" w:w="500"/>
            <w:tcMar>
              <w:top w:type="dxa" w:w="60"/>
              <w:left w:type="dxa" w:w="90"/>
              <w:bottom w:type="dxa" w:w="60"/>
              <w:right w:type="dxa" w:w="90"/>
            </w:tcMar>
          </w:tcPr>
          <w:p>
            <w:r>
              <w:rPr>
                <w:sz w:val="18"/>
                <w:szCs w:val="18"/>
              </w:rPr>
              <w:t xml:space="preserve">3</w:t>
            </w:r>
          </w:p>
        </w:tc>
        <w:tc>
          <w:tcPr>
            <w:tcW w:type="dxa" w:w="8860"/>
            <w:tcMar>
              <w:top w:type="dxa" w:w="60"/>
              <w:left w:type="dxa" w:w="90"/>
              <w:bottom w:type="dxa" w:w="60"/>
              <w:right w:type="dxa" w:w="90"/>
            </w:tcMar>
          </w:tcPr>
          <w:p>
            <w:r>
              <w:rPr>
                <w:sz w:val="18"/>
                <w:szCs w:val="18"/>
              </w:rPr>
              <w:t xml:space="preserve">Corroboration posture set to LENIENT per explicit user instruction. Strategies NOT suppressed despite PARTIAL corroboration on price sources. Lenient-corroboration flag carried on all three trade cards.</w:t>
            </w:r>
          </w:p>
        </w:tc>
      </w:tr>
      <w:tr>
        <w:tc>
          <w:tcPr>
            <w:tcW w:type="dxa" w:w="500"/>
            <w:shd w:fill="F4F1EC" w:color="auto" w:val="clear"/>
            <w:tcMar>
              <w:top w:type="dxa" w:w="60"/>
              <w:left w:type="dxa" w:w="90"/>
              <w:bottom w:type="dxa" w:w="60"/>
              <w:right w:type="dxa" w:w="90"/>
            </w:tcMar>
          </w:tcPr>
          <w:p>
            <w:r>
              <w:rPr>
                <w:sz w:val="18"/>
                <w:szCs w:val="18"/>
              </w:rPr>
              <w:t xml:space="preserve">4</w:t>
            </w:r>
          </w:p>
        </w:tc>
        <w:tc>
          <w:tcPr>
            <w:tcW w:type="dxa" w:w="8860"/>
            <w:shd w:fill="F4F1EC" w:color="auto" w:val="clear"/>
            <w:tcMar>
              <w:top w:type="dxa" w:w="60"/>
              <w:left w:type="dxa" w:w="90"/>
              <w:bottom w:type="dxa" w:w="60"/>
              <w:right w:type="dxa" w:w="90"/>
            </w:tcMar>
          </w:tcPr>
          <w:p>
            <w:r>
              <w:rPr>
                <w:sz w:val="18"/>
                <w:szCs w:val="18"/>
              </w:rPr>
              <w:t xml:space="preserve">LBMA AM/PM Fix and discrete CME GC=F 15-Jul settlement not independently retrievable. TradingEconomics OTC benchmark and TradingView composite substituted as proxies. Benchmark set degraded from 6 specified to 4 obtained + 2 proxied; [MINIMUM_SOURCE_COUNT] of 6 still met on total independent sources (8).</w:t>
            </w:r>
          </w:p>
        </w:tc>
      </w:tr>
      <w:tr>
        <w:tc>
          <w:tcPr>
            <w:tcW w:type="dxa" w:w="500"/>
            <w:tcMar>
              <w:top w:type="dxa" w:w="60"/>
              <w:left w:type="dxa" w:w="90"/>
              <w:bottom w:type="dxa" w:w="60"/>
              <w:right w:type="dxa" w:w="90"/>
            </w:tcMar>
          </w:tcPr>
          <w:p>
            <w:r>
              <w:rPr>
                <w:sz w:val="18"/>
                <w:szCs w:val="18"/>
              </w:rPr>
              <w:t xml:space="preserve">5</w:t>
            </w:r>
          </w:p>
        </w:tc>
        <w:tc>
          <w:tcPr>
            <w:tcW w:type="dxa" w:w="8860"/>
            <w:tcMar>
              <w:top w:type="dxa" w:w="60"/>
              <w:left w:type="dxa" w:w="90"/>
              <w:bottom w:type="dxa" w:w="60"/>
              <w:right w:type="dxa" w:w="90"/>
            </w:tcMar>
          </w:tcPr>
          <w:p>
            <w:r>
              <w:rPr>
                <w:sz w:val="18"/>
                <w:szCs w:val="18"/>
              </w:rPr>
              <w:t xml:space="preserve">RSI(2) unavailable from all consulted sources and not reconstructible from composite OHLC. Excluded from §8 rather than fabricated. [W_SHORT_TECH] (0.25) is running on M3 §2a structural read alone.</w:t>
            </w:r>
          </w:p>
        </w:tc>
      </w:tr>
      <w:tr>
        <w:tc>
          <w:tcPr>
            <w:tcW w:type="dxa" w:w="500"/>
            <w:shd w:fill="F4F1EC" w:color="auto" w:val="clear"/>
            <w:tcMar>
              <w:top w:type="dxa" w:w="60"/>
              <w:left w:type="dxa" w:w="90"/>
              <w:bottom w:type="dxa" w:w="60"/>
              <w:right w:type="dxa" w:w="90"/>
            </w:tcMar>
          </w:tcPr>
          <w:p>
            <w:r>
              <w:rPr>
                <w:sz w:val="18"/>
                <w:szCs w:val="18"/>
              </w:rPr>
              <w:t xml:space="preserve">6</w:t>
            </w:r>
          </w:p>
        </w:tc>
        <w:tc>
          <w:tcPr>
            <w:tcW w:type="dxa" w:w="8860"/>
            <w:shd w:fill="F4F1EC" w:color="auto" w:val="clear"/>
            <w:tcMar>
              <w:top w:type="dxa" w:w="60"/>
              <w:left w:type="dxa" w:w="90"/>
              <w:bottom w:type="dxa" w:w="60"/>
              <w:right w:type="dxa" w:w="90"/>
            </w:tcMar>
          </w:tcPr>
          <w:p>
            <w:r>
              <w:rPr>
                <w:sz w:val="18"/>
                <w:szCs w:val="18"/>
              </w:rPr>
              <w:t xml:space="preserve">ATR(14) estimated at 78.50 (anchored to observed ATR(5) = 84.16 and the prevailing ~1.9% daily-range regime). Not computed from a full 14-session series. Confidence ±5%.</w:t>
            </w:r>
          </w:p>
        </w:tc>
      </w:tr>
      <w:tr>
        <w:tc>
          <w:tcPr>
            <w:tcW w:type="dxa" w:w="500"/>
            <w:tcMar>
              <w:top w:type="dxa" w:w="60"/>
              <w:left w:type="dxa" w:w="90"/>
              <w:bottom w:type="dxa" w:w="60"/>
              <w:right w:type="dxa" w:w="90"/>
            </w:tcMar>
          </w:tcPr>
          <w:p>
            <w:r>
              <w:rPr>
                <w:sz w:val="18"/>
                <w:szCs w:val="18"/>
              </w:rPr>
              <w:t xml:space="preserve">7</w:t>
            </w:r>
          </w:p>
        </w:tc>
        <w:tc>
          <w:tcPr>
            <w:tcW w:type="dxa" w:w="8860"/>
            <w:tcMar>
              <w:top w:type="dxa" w:w="60"/>
              <w:left w:type="dxa" w:w="90"/>
              <w:bottom w:type="dxa" w:w="60"/>
              <w:right w:type="dxa" w:w="90"/>
            </w:tcMar>
          </w:tcPr>
          <w:p>
            <w:r>
              <w:rPr>
                <w:sz w:val="18"/>
                <w:szCs w:val="18"/>
              </w:rPr>
              <w:t xml:space="preserve">COT positioning data not retrievable. Excluded from §14 sentiment aggregate rather than estimated.</w:t>
            </w:r>
          </w:p>
        </w:tc>
      </w:tr>
      <w:tr>
        <w:tc>
          <w:tcPr>
            <w:tcW w:type="dxa" w:w="500"/>
            <w:shd w:fill="F4F1EC" w:color="auto" w:val="clear"/>
            <w:tcMar>
              <w:top w:type="dxa" w:w="60"/>
              <w:left w:type="dxa" w:w="90"/>
              <w:bottom w:type="dxa" w:w="60"/>
              <w:right w:type="dxa" w:w="90"/>
            </w:tcMar>
          </w:tcPr>
          <w:p>
            <w:r>
              <w:rPr>
                <w:sz w:val="18"/>
                <w:szCs w:val="18"/>
              </w:rPr>
              <w:t xml:space="preserve">8</w:t>
            </w:r>
          </w:p>
        </w:tc>
        <w:tc>
          <w:tcPr>
            <w:tcW w:type="dxa" w:w="8860"/>
            <w:shd w:fill="F4F1EC" w:color="auto" w:val="clear"/>
            <w:tcMar>
              <w:top w:type="dxa" w:w="60"/>
              <w:left w:type="dxa" w:w="90"/>
              <w:bottom w:type="dxa" w:w="60"/>
              <w:right w:type="dxa" w:w="90"/>
            </w:tcMar>
          </w:tcPr>
          <w:p>
            <w:r>
              <w:rPr>
                <w:sz w:val="18"/>
                <w:szCs w:val="18"/>
              </w:rPr>
              <w:t xml:space="preserve">Fib swing anchor: default [FIB_RANGE_DAYS] = 4 produced magnitude 1.86 × ATR, below the 2 × ATR threshold. Lookback extended per M5 §4b to 10 sessions; qualifying swing found at 4.13 × ATR. Lookback actually used = 10.</w:t>
            </w:r>
          </w:p>
        </w:tc>
      </w:tr>
      <w:tr>
        <w:tc>
          <w:tcPr>
            <w:tcW w:type="dxa" w:w="500"/>
            <w:tcMar>
              <w:top w:type="dxa" w:w="60"/>
              <w:left w:type="dxa" w:w="90"/>
              <w:bottom w:type="dxa" w:w="60"/>
              <w:right w:type="dxa" w:w="90"/>
            </w:tcMar>
          </w:tcPr>
          <w:p>
            <w:r>
              <w:rPr>
                <w:sz w:val="18"/>
                <w:szCs w:val="18"/>
              </w:rPr>
              <w:t xml:space="preserve">9</w:t>
            </w:r>
          </w:p>
        </w:tc>
        <w:tc>
          <w:tcPr>
            <w:tcW w:type="dxa" w:w="8860"/>
            <w:tcMar>
              <w:top w:type="dxa" w:w="60"/>
              <w:left w:type="dxa" w:w="90"/>
              <w:bottom w:type="dxa" w:w="60"/>
              <w:right w:type="dxa" w:w="90"/>
            </w:tcMar>
          </w:tcPr>
          <w:p>
            <w:r>
              <w:rPr>
                <w:sz w:val="18"/>
                <w:szCs w:val="18"/>
              </w:rPr>
              <w:t xml:space="preserve">Direction score = +0.05, below [CONVICTION_THRESHOLD] = 0.25. Trade 1 SUPPRESSED per M5 §5.1. Trades 2 and 3 produce regardless — they are regime-driven, not conviction-gated. A strategy is therefore delivered as instructed.</w:t>
            </w:r>
          </w:p>
        </w:tc>
      </w:tr>
      <w:tr>
        <w:tc>
          <w:tcPr>
            <w:tcW w:type="dxa" w:w="500"/>
            <w:shd w:fill="F4F1EC" w:color="auto" w:val="clear"/>
            <w:tcMar>
              <w:top w:type="dxa" w:w="60"/>
              <w:left w:type="dxa" w:w="90"/>
              <w:bottom w:type="dxa" w:w="60"/>
              <w:right w:type="dxa" w:w="90"/>
            </w:tcMar>
          </w:tcPr>
          <w:p>
            <w:r>
              <w:rPr>
                <w:sz w:val="18"/>
                <w:szCs w:val="18"/>
              </w:rPr>
              <w:t xml:space="preserve">10</w:t>
            </w:r>
          </w:p>
        </w:tc>
        <w:tc>
          <w:tcPr>
            <w:tcW w:type="dxa" w:w="8860"/>
            <w:shd w:fill="F4F1EC" w:color="auto" w:val="clear"/>
            <w:tcMar>
              <w:top w:type="dxa" w:w="60"/>
              <w:left w:type="dxa" w:w="90"/>
              <w:bottom w:type="dxa" w:w="60"/>
              <w:right w:type="dxa" w:w="90"/>
            </w:tcMar>
          </w:tcPr>
          <w:p>
            <w:r>
              <w:rPr>
                <w:sz w:val="18"/>
                <w:szCs w:val="18"/>
              </w:rPr>
              <w:t xml:space="preserve">Direction-scoring weights at v2.1 defaults. No tuning applied. Forward-test session 1 of 20 — weights locked.</w:t>
            </w:r>
          </w:p>
        </w:tc>
      </w:tr>
      <w:tr>
        <w:tc>
          <w:tcPr>
            <w:tcW w:type="dxa" w:w="500"/>
            <w:tcMar>
              <w:top w:type="dxa" w:w="60"/>
              <w:left w:type="dxa" w:w="90"/>
              <w:bottom w:type="dxa" w:w="60"/>
              <w:right w:type="dxa" w:w="90"/>
            </w:tcMar>
          </w:tcPr>
          <w:p>
            <w:r>
              <w:rPr>
                <w:sz w:val="18"/>
                <w:szCs w:val="18"/>
              </w:rPr>
              <w:t xml:space="preserve">11</w:t>
            </w:r>
          </w:p>
        </w:tc>
        <w:tc>
          <w:tcPr>
            <w:tcW w:type="dxa" w:w="8860"/>
            <w:tcMar>
              <w:top w:type="dxa" w:w="60"/>
              <w:left w:type="dxa" w:w="90"/>
              <w:bottom w:type="dxa" w:w="60"/>
              <w:right w:type="dxa" w:w="90"/>
            </w:tcMar>
          </w:tcPr>
          <w:p>
            <w:r>
              <w:rPr>
                <w:sz w:val="18"/>
                <w:szCs w:val="18"/>
              </w:rPr>
              <w:t xml:space="preserve">5-session OHLC reconstructed from composite multi-source reads. Rows 09-Jul and 10-Jul flagged SINGLE-SOURCE-INDICATIVE. All derived pivots inherit the flag per M5 §4a.</w:t>
            </w:r>
          </w:p>
        </w:tc>
      </w:tr>
    </w:tbl>
    <w:p>
      <w:r>
        <w:br w:type="page"/>
      </w:r>
    </w:p>
    <w:p>
      <w:pPr>
        <w:pStyle w:val="Heading1"/>
        <w:spacing w:after="120" w:before="240"/>
      </w:pPr>
      <w:r>
        <w:t xml:space="preserve">§21  Strategy Recommendations (M5 Integration)</w:t>
      </w:r>
    </w:p>
    <w:p>
      <w:pPr>
        <w:pStyle w:val="Heading2"/>
        <w:spacing w:after="120" w:before="240"/>
      </w:pPr>
      <w:r>
        <w:t xml:space="preserve">§21a  Directional Conviction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800"/>
        <w:gridCol w:w="3160"/>
      </w:tblGrid>
      <w:tr>
        <w:trPr>
          <w:tblHeader/>
        </w:trPr>
        <w:tc>
          <w:tcPr>
            <w:tcW w:type="dxa" w:w="3000"/>
            <w:shd w:fill="7A5C2E" w:color="auto" w:val="clear"/>
            <w:tcMar>
              <w:top w:type="dxa" w:w="60"/>
              <w:left w:type="dxa" w:w="90"/>
              <w:bottom w:type="dxa" w:w="60"/>
              <w:right w:type="dxa" w:w="90"/>
            </w:tcMar>
          </w:tcPr>
          <w:p>
            <w:r>
              <w:rPr>
                <w:b/>
                <w:bCs/>
                <w:color w:val="FFFFFF"/>
                <w:sz w:val="18"/>
                <w:szCs w:val="18"/>
              </w:rPr>
              <w:t xml:space="preserve">Axis</w:t>
            </w:r>
          </w:p>
        </w:tc>
        <w:tc>
          <w:tcPr>
            <w:tcW w:type="dxa" w:w="1400"/>
            <w:shd w:fill="7A5C2E" w:color="auto" w:val="clear"/>
            <w:tcMar>
              <w:top w:type="dxa" w:w="60"/>
              <w:left w:type="dxa" w:w="90"/>
              <w:bottom w:type="dxa" w:w="60"/>
              <w:right w:type="dxa" w:w="90"/>
            </w:tcMar>
          </w:tcPr>
          <w:p>
            <w:r>
              <w:rPr>
                <w:b/>
                <w:bCs/>
                <w:color w:val="FFFFFF"/>
                <w:sz w:val="18"/>
                <w:szCs w:val="18"/>
              </w:rPr>
              <w:t xml:space="preserve">Weight</w:t>
            </w:r>
          </w:p>
        </w:tc>
        <w:tc>
          <w:tcPr>
            <w:tcW w:type="dxa" w:w="1800"/>
            <w:shd w:fill="7A5C2E" w:color="auto" w:val="clear"/>
            <w:tcMar>
              <w:top w:type="dxa" w:w="60"/>
              <w:left w:type="dxa" w:w="90"/>
              <w:bottom w:type="dxa" w:w="60"/>
              <w:right w:type="dxa" w:w="90"/>
            </w:tcMar>
          </w:tcPr>
          <w:p>
            <w:r>
              <w:rPr>
                <w:b/>
                <w:bCs/>
                <w:color w:val="FFFFFF"/>
                <w:sz w:val="18"/>
                <w:szCs w:val="18"/>
              </w:rPr>
              <w:t xml:space="preserve">Signal</w:t>
            </w:r>
          </w:p>
        </w:tc>
        <w:tc>
          <w:tcPr>
            <w:tcW w:type="dxa" w:w="3160"/>
            <w:shd w:fill="7A5C2E" w:color="auto" w:val="clear"/>
            <w:tcMar>
              <w:top w:type="dxa" w:w="60"/>
              <w:left w:type="dxa" w:w="90"/>
              <w:bottom w:type="dxa" w:w="60"/>
              <w:right w:type="dxa" w:w="90"/>
            </w:tcMar>
          </w:tcPr>
          <w:p>
            <w:r>
              <w:rPr>
                <w:b/>
                <w:bCs/>
                <w:color w:val="FFFFFF"/>
                <w:sz w:val="18"/>
                <w:szCs w:val="18"/>
              </w:rPr>
              <w:t xml:space="preserve">Contribution</w:t>
            </w:r>
          </w:p>
        </w:tc>
      </w:tr>
      <w:tr>
        <w:tc>
          <w:tcPr>
            <w:tcW w:type="dxa" w:w="3000"/>
            <w:tcMar>
              <w:top w:type="dxa" w:w="60"/>
              <w:left w:type="dxa" w:w="90"/>
              <w:bottom w:type="dxa" w:w="60"/>
              <w:right w:type="dxa" w:w="90"/>
            </w:tcMar>
          </w:tcPr>
          <w:p>
            <w:r>
              <w:rPr>
                <w:sz w:val="18"/>
                <w:szCs w:val="18"/>
              </w:rPr>
              <w:t xml:space="preserve">Short-term technical (§7–8)</w:t>
            </w:r>
          </w:p>
        </w:tc>
        <w:tc>
          <w:tcPr>
            <w:tcW w:type="dxa" w:w="1400"/>
            <w:tcMar>
              <w:top w:type="dxa" w:w="60"/>
              <w:left w:type="dxa" w:w="90"/>
              <w:bottom w:type="dxa" w:w="60"/>
              <w:right w:type="dxa" w:w="90"/>
            </w:tcMar>
          </w:tcPr>
          <w:p>
            <w:r>
              <w:rPr>
                <w:sz w:val="18"/>
                <w:szCs w:val="18"/>
              </w:rPr>
              <w:t xml:space="preserve">0.25</w:t>
            </w:r>
          </w:p>
        </w:tc>
        <w:tc>
          <w:tcPr>
            <w:tcW w:type="dxa" w:w="1800"/>
            <w:tcMar>
              <w:top w:type="dxa" w:w="60"/>
              <w:left w:type="dxa" w:w="90"/>
              <w:bottom w:type="dxa" w:w="60"/>
              <w:right w:type="dxa" w:w="90"/>
            </w:tcMar>
          </w:tcPr>
          <w:p>
            <w:r>
              <w:rPr>
                <w:sz w:val="18"/>
                <w:szCs w:val="18"/>
              </w:rPr>
              <w:t xml:space="preserve">+0.30</w:t>
            </w:r>
          </w:p>
        </w:tc>
        <w:tc>
          <w:tcPr>
            <w:tcW w:type="dxa" w:w="3160"/>
            <w:tcMar>
              <w:top w:type="dxa" w:w="60"/>
              <w:left w:type="dxa" w:w="90"/>
              <w:bottom w:type="dxa" w:w="60"/>
              <w:right w:type="dxa" w:w="90"/>
            </w:tcMar>
          </w:tcPr>
          <w:p>
            <w:r>
              <w:rPr>
                <w:sz w:val="18"/>
                <w:szCs w:val="18"/>
              </w:rPr>
              <w:t xml:space="preserve">+0.075</w:t>
            </w:r>
          </w:p>
        </w:tc>
      </w:tr>
      <w:tr>
        <w:tc>
          <w:tcPr>
            <w:tcW w:type="dxa" w:w="3000"/>
            <w:shd w:fill="F4F1EC" w:color="auto" w:val="clear"/>
            <w:tcMar>
              <w:top w:type="dxa" w:w="60"/>
              <w:left w:type="dxa" w:w="90"/>
              <w:bottom w:type="dxa" w:w="60"/>
              <w:right w:type="dxa" w:w="90"/>
            </w:tcMar>
          </w:tcPr>
          <w:p>
            <w:r>
              <w:rPr>
                <w:sz w:val="18"/>
                <w:szCs w:val="18"/>
              </w:rPr>
              <w:t xml:space="preserve">Medium-term regime (§9)</w:t>
            </w:r>
          </w:p>
        </w:tc>
        <w:tc>
          <w:tcPr>
            <w:tcW w:type="dxa" w:w="1400"/>
            <w:shd w:fill="F4F1EC" w:color="auto" w:val="clear"/>
            <w:tcMar>
              <w:top w:type="dxa" w:w="60"/>
              <w:left w:type="dxa" w:w="90"/>
              <w:bottom w:type="dxa" w:w="60"/>
              <w:right w:type="dxa" w:w="90"/>
            </w:tcMar>
          </w:tcPr>
          <w:p>
            <w:r>
              <w:rPr>
                <w:sz w:val="18"/>
                <w:szCs w:val="18"/>
              </w:rPr>
              <w:t xml:space="preserve">0.20</w:t>
            </w:r>
          </w:p>
        </w:tc>
        <w:tc>
          <w:tcPr>
            <w:tcW w:type="dxa" w:w="1800"/>
            <w:shd w:fill="F4F1EC" w:color="auto" w:val="clear"/>
            <w:tcMar>
              <w:top w:type="dxa" w:w="60"/>
              <w:left w:type="dxa" w:w="90"/>
              <w:bottom w:type="dxa" w:w="60"/>
              <w:right w:type="dxa" w:w="90"/>
            </w:tcMar>
          </w:tcPr>
          <w:p>
            <w:r>
              <w:rPr>
                <w:sz w:val="18"/>
                <w:szCs w:val="18"/>
              </w:rPr>
              <w:t xml:space="preserve">−0.55</w:t>
            </w:r>
          </w:p>
        </w:tc>
        <w:tc>
          <w:tcPr>
            <w:tcW w:type="dxa" w:w="3160"/>
            <w:shd w:fill="F4F1EC" w:color="auto" w:val="clear"/>
            <w:tcMar>
              <w:top w:type="dxa" w:w="60"/>
              <w:left w:type="dxa" w:w="90"/>
              <w:bottom w:type="dxa" w:w="60"/>
              <w:right w:type="dxa" w:w="90"/>
            </w:tcMar>
          </w:tcPr>
          <w:p>
            <w:r>
              <w:rPr>
                <w:sz w:val="18"/>
                <w:szCs w:val="18"/>
              </w:rPr>
              <w:t xml:space="preserve">−0.110</w:t>
            </w:r>
          </w:p>
        </w:tc>
      </w:tr>
      <w:tr>
        <w:tc>
          <w:tcPr>
            <w:tcW w:type="dxa" w:w="3000"/>
            <w:tcMar>
              <w:top w:type="dxa" w:w="60"/>
              <w:left w:type="dxa" w:w="90"/>
              <w:bottom w:type="dxa" w:w="60"/>
              <w:right w:type="dxa" w:w="90"/>
            </w:tcMar>
          </w:tcPr>
          <w:p>
            <w:r>
              <w:rPr>
                <w:sz w:val="18"/>
                <w:szCs w:val="18"/>
              </w:rPr>
              <w:t xml:space="preserve">VOLator (§11)</w:t>
            </w:r>
          </w:p>
        </w:tc>
        <w:tc>
          <w:tcPr>
            <w:tcW w:type="dxa" w:w="1400"/>
            <w:tcMar>
              <w:top w:type="dxa" w:w="60"/>
              <w:left w:type="dxa" w:w="90"/>
              <w:bottom w:type="dxa" w:w="60"/>
              <w:right w:type="dxa" w:w="90"/>
            </w:tcMar>
          </w:tcPr>
          <w:p>
            <w:r>
              <w:rPr>
                <w:sz w:val="18"/>
                <w:szCs w:val="18"/>
              </w:rPr>
              <w:t xml:space="preserve">0.10</w:t>
            </w:r>
          </w:p>
        </w:tc>
        <w:tc>
          <w:tcPr>
            <w:tcW w:type="dxa" w:w="1800"/>
            <w:tcMar>
              <w:top w:type="dxa" w:w="60"/>
              <w:left w:type="dxa" w:w="90"/>
              <w:bottom w:type="dxa" w:w="60"/>
              <w:right w:type="dxa" w:w="90"/>
            </w:tcMar>
          </w:tcPr>
          <w:p>
            <w:r>
              <w:rPr>
                <w:sz w:val="18"/>
                <w:szCs w:val="18"/>
              </w:rPr>
              <w:t xml:space="preserve">−0.20</w:t>
            </w:r>
          </w:p>
        </w:tc>
        <w:tc>
          <w:tcPr>
            <w:tcW w:type="dxa" w:w="3160"/>
            <w:tcMar>
              <w:top w:type="dxa" w:w="60"/>
              <w:left w:type="dxa" w:w="90"/>
              <w:bottom w:type="dxa" w:w="60"/>
              <w:right w:type="dxa" w:w="90"/>
            </w:tcMar>
          </w:tcPr>
          <w:p>
            <w:r>
              <w:rPr>
                <w:sz w:val="18"/>
                <w:szCs w:val="18"/>
              </w:rPr>
              <w:t xml:space="preserve">−0.020</w:t>
            </w:r>
          </w:p>
        </w:tc>
      </w:tr>
      <w:tr>
        <w:tc>
          <w:tcPr>
            <w:tcW w:type="dxa" w:w="3000"/>
            <w:shd w:fill="F4F1EC" w:color="auto" w:val="clear"/>
            <w:tcMar>
              <w:top w:type="dxa" w:w="60"/>
              <w:left w:type="dxa" w:w="90"/>
              <w:bottom w:type="dxa" w:w="60"/>
              <w:right w:type="dxa" w:w="90"/>
            </w:tcMar>
          </w:tcPr>
          <w:p>
            <w:r>
              <w:rPr>
                <w:sz w:val="18"/>
                <w:szCs w:val="18"/>
              </w:rPr>
              <w:t xml:space="preserve">Kaufman KER (§11)</w:t>
            </w:r>
          </w:p>
        </w:tc>
        <w:tc>
          <w:tcPr>
            <w:tcW w:type="dxa" w:w="1400"/>
            <w:shd w:fill="F4F1EC" w:color="auto" w:val="clear"/>
            <w:tcMar>
              <w:top w:type="dxa" w:w="60"/>
              <w:left w:type="dxa" w:w="90"/>
              <w:bottom w:type="dxa" w:w="60"/>
              <w:right w:type="dxa" w:w="90"/>
            </w:tcMar>
          </w:tcPr>
          <w:p>
            <w:r>
              <w:rPr>
                <w:sz w:val="18"/>
                <w:szCs w:val="18"/>
              </w:rPr>
              <w:t xml:space="preserve">0.15</w:t>
            </w:r>
          </w:p>
        </w:tc>
        <w:tc>
          <w:tcPr>
            <w:tcW w:type="dxa" w:w="1800"/>
            <w:shd w:fill="F4F1EC" w:color="auto" w:val="clear"/>
            <w:tcMar>
              <w:top w:type="dxa" w:w="60"/>
              <w:left w:type="dxa" w:w="90"/>
              <w:bottom w:type="dxa" w:w="60"/>
              <w:right w:type="dxa" w:w="90"/>
            </w:tcMar>
          </w:tcPr>
          <w:p>
            <w:r>
              <w:rPr>
                <w:sz w:val="18"/>
                <w:szCs w:val="18"/>
              </w:rPr>
              <w:t xml:space="preserve">−0.10</w:t>
            </w:r>
          </w:p>
        </w:tc>
        <w:tc>
          <w:tcPr>
            <w:tcW w:type="dxa" w:w="3160"/>
            <w:shd w:fill="F4F1EC" w:color="auto" w:val="clear"/>
            <w:tcMar>
              <w:top w:type="dxa" w:w="60"/>
              <w:left w:type="dxa" w:w="90"/>
              <w:bottom w:type="dxa" w:w="60"/>
              <w:right w:type="dxa" w:w="90"/>
            </w:tcMar>
          </w:tcPr>
          <w:p>
            <w:r>
              <w:rPr>
                <w:sz w:val="18"/>
                <w:szCs w:val="18"/>
              </w:rPr>
              <w:t xml:space="preserve">−0.015</w:t>
            </w:r>
          </w:p>
        </w:tc>
      </w:tr>
      <w:tr>
        <w:tc>
          <w:tcPr>
            <w:tcW w:type="dxa" w:w="3000"/>
            <w:tcMar>
              <w:top w:type="dxa" w:w="60"/>
              <w:left w:type="dxa" w:w="90"/>
              <w:bottom w:type="dxa" w:w="60"/>
              <w:right w:type="dxa" w:w="90"/>
            </w:tcMar>
          </w:tcPr>
          <w:p>
            <w:r>
              <w:rPr>
                <w:sz w:val="18"/>
                <w:szCs w:val="18"/>
              </w:rPr>
              <w:t xml:space="preserve">Sentiment (§14)</w:t>
            </w:r>
          </w:p>
        </w:tc>
        <w:tc>
          <w:tcPr>
            <w:tcW w:type="dxa" w:w="1400"/>
            <w:tcMar>
              <w:top w:type="dxa" w:w="60"/>
              <w:left w:type="dxa" w:w="90"/>
              <w:bottom w:type="dxa" w:w="60"/>
              <w:right w:type="dxa" w:w="90"/>
            </w:tcMar>
          </w:tcPr>
          <w:p>
            <w:r>
              <w:rPr>
                <w:sz w:val="18"/>
                <w:szCs w:val="18"/>
              </w:rPr>
              <w:t xml:space="preserve">0.15</w:t>
            </w:r>
          </w:p>
        </w:tc>
        <w:tc>
          <w:tcPr>
            <w:tcW w:type="dxa" w:w="1800"/>
            <w:tcMar>
              <w:top w:type="dxa" w:w="60"/>
              <w:left w:type="dxa" w:w="90"/>
              <w:bottom w:type="dxa" w:w="60"/>
              <w:right w:type="dxa" w:w="90"/>
            </w:tcMar>
          </w:tcPr>
          <w:p>
            <w:r>
              <w:rPr>
                <w:sz w:val="18"/>
                <w:szCs w:val="18"/>
              </w:rPr>
              <w:t xml:space="preserve">+0.35</w:t>
            </w:r>
          </w:p>
        </w:tc>
        <w:tc>
          <w:tcPr>
            <w:tcW w:type="dxa" w:w="3160"/>
            <w:tcMar>
              <w:top w:type="dxa" w:w="60"/>
              <w:left w:type="dxa" w:w="90"/>
              <w:bottom w:type="dxa" w:w="60"/>
              <w:right w:type="dxa" w:w="90"/>
            </w:tcMar>
          </w:tcPr>
          <w:p>
            <w:r>
              <w:rPr>
                <w:sz w:val="18"/>
                <w:szCs w:val="18"/>
              </w:rPr>
              <w:t xml:space="preserve">+0.053</w:t>
            </w:r>
          </w:p>
        </w:tc>
      </w:tr>
      <w:tr>
        <w:tc>
          <w:tcPr>
            <w:tcW w:type="dxa" w:w="3000"/>
            <w:shd w:fill="F4F1EC" w:color="auto" w:val="clear"/>
            <w:tcMar>
              <w:top w:type="dxa" w:w="60"/>
              <w:left w:type="dxa" w:w="90"/>
              <w:bottom w:type="dxa" w:w="60"/>
              <w:right w:type="dxa" w:w="90"/>
            </w:tcMar>
          </w:tcPr>
          <w:p>
            <w:r>
              <w:rPr>
                <w:sz w:val="18"/>
                <w:szCs w:val="18"/>
              </w:rPr>
              <w:t xml:space="preserve">Cross-asset (§10)</w:t>
            </w:r>
          </w:p>
        </w:tc>
        <w:tc>
          <w:tcPr>
            <w:tcW w:type="dxa" w:w="1400"/>
            <w:shd w:fill="F4F1EC" w:color="auto" w:val="clear"/>
            <w:tcMar>
              <w:top w:type="dxa" w:w="60"/>
              <w:left w:type="dxa" w:w="90"/>
              <w:bottom w:type="dxa" w:w="60"/>
              <w:right w:type="dxa" w:w="90"/>
            </w:tcMar>
          </w:tcPr>
          <w:p>
            <w:r>
              <w:rPr>
                <w:sz w:val="18"/>
                <w:szCs w:val="18"/>
              </w:rPr>
              <w:t xml:space="preserve">0.15</w:t>
            </w:r>
          </w:p>
        </w:tc>
        <w:tc>
          <w:tcPr>
            <w:tcW w:type="dxa" w:w="1800"/>
            <w:shd w:fill="F4F1EC" w:color="auto" w:val="clear"/>
            <w:tcMar>
              <w:top w:type="dxa" w:w="60"/>
              <w:left w:type="dxa" w:w="90"/>
              <w:bottom w:type="dxa" w:w="60"/>
              <w:right w:type="dxa" w:w="90"/>
            </w:tcMar>
          </w:tcPr>
          <w:p>
            <w:r>
              <w:rPr>
                <w:sz w:val="18"/>
                <w:szCs w:val="18"/>
              </w:rPr>
              <w:t xml:space="preserve">+0.45</w:t>
            </w:r>
          </w:p>
        </w:tc>
        <w:tc>
          <w:tcPr>
            <w:tcW w:type="dxa" w:w="3160"/>
            <w:shd w:fill="F4F1EC" w:color="auto" w:val="clear"/>
            <w:tcMar>
              <w:top w:type="dxa" w:w="60"/>
              <w:left w:type="dxa" w:w="90"/>
              <w:bottom w:type="dxa" w:w="60"/>
              <w:right w:type="dxa" w:w="90"/>
            </w:tcMar>
          </w:tcPr>
          <w:p>
            <w:r>
              <w:rPr>
                <w:sz w:val="18"/>
                <w:szCs w:val="18"/>
              </w:rPr>
              <w:t xml:space="preserve">+0.068</w:t>
            </w:r>
          </w:p>
        </w:tc>
      </w:tr>
      <w:tr>
        <w:tc>
          <w:tcPr>
            <w:tcW w:type="dxa" w:w="3000"/>
            <w:tcMar>
              <w:top w:type="dxa" w:w="60"/>
              <w:left w:type="dxa" w:w="90"/>
              <w:bottom w:type="dxa" w:w="60"/>
              <w:right w:type="dxa" w:w="90"/>
            </w:tcMar>
          </w:tcPr>
          <w:p>
            <w:r>
              <w:rPr>
                <w:sz w:val="18"/>
                <w:szCs w:val="18"/>
              </w:rPr>
              <w:t xml:space="preserve">COMPOSITE</w:t>
            </w:r>
          </w:p>
        </w:tc>
        <w:tc>
          <w:tcPr>
            <w:tcW w:type="dxa" w:w="1400"/>
            <w:tcMar>
              <w:top w:type="dxa" w:w="60"/>
              <w:left w:type="dxa" w:w="90"/>
              <w:bottom w:type="dxa" w:w="60"/>
              <w:right w:type="dxa" w:w="90"/>
            </w:tcMar>
          </w:tcPr>
          <w:p>
            <w:r>
              <w:rPr>
                <w:sz w:val="18"/>
                <w:szCs w:val="18"/>
              </w:rPr>
              <w:t xml:space="preserve">1.00</w:t>
            </w:r>
          </w:p>
        </w:tc>
        <w:tc>
          <w:tcPr>
            <w:tcW w:type="dxa" w:w="1800"/>
            <w:tcMar>
              <w:top w:type="dxa" w:w="60"/>
              <w:left w:type="dxa" w:w="90"/>
              <w:bottom w:type="dxa" w:w="60"/>
              <w:right w:type="dxa" w:w="90"/>
            </w:tcMar>
          </w:tcPr>
          <w:p>
            <w:r>
              <w:rPr>
                <w:sz w:val="18"/>
                <w:szCs w:val="18"/>
              </w:rPr>
              <w:t xml:space="preserve">—</w:t>
            </w:r>
          </w:p>
        </w:tc>
        <w:tc>
          <w:tcPr>
            <w:tcW w:type="dxa" w:w="3160"/>
            <w:tcMar>
              <w:top w:type="dxa" w:w="60"/>
              <w:left w:type="dxa" w:w="90"/>
              <w:bottom w:type="dxa" w:w="60"/>
              <w:right w:type="dxa" w:w="90"/>
            </w:tcMar>
          </w:tcPr>
          <w:p>
            <w:r>
              <w:rPr>
                <w:sz w:val="18"/>
                <w:szCs w:val="18"/>
              </w:rPr>
              <w:t xml:space="preserve">+0.05</w:t>
            </w:r>
          </w:p>
        </w:tc>
      </w:tr>
    </w:tbl>
    <w:p>
      <w:pPr>
        <w:spacing w:after="100"/>
      </w:pPr>
      <w:r>
        <w:rPr>
          <w:b w:val="false"/>
          <w:bCs w:val="false"/>
          <w:i w:val="false"/>
          <w:iCs w:val="false"/>
          <w:sz w:val="20"/>
          <w:szCs w:val="20"/>
        </w:rPr>
        <w:t xml:space="preserve">Direction: NEUTRAL (score +0.05, positive-signed). Weights basis: defaults.</w:t>
      </w:r>
    </w:p>
    <w:p>
      <w:pPr>
        <w:spacing w:after="100"/>
      </w:pPr>
      <w:r>
        <w:rPr>
          <w:b w:val="false"/>
          <w:bCs w:val="false"/>
          <w:i w:val="false"/>
          <w:iCs w:val="false"/>
          <w:sz w:val="20"/>
          <w:szCs w:val="20"/>
        </w:rPr>
        <w:t xml:space="preserve">The score of +0.05 is not a weak signal — it is the accurate measurement of a genuinely balanced book. Three of the six axes are positive and three are negative, and the two largest single contributors point in opposite directions: the medium-term structural regime at −0.110 and the cross-asset dollar read at +0.068, with sentiment at +0.053 close behind. The three highest-weighted contributing signals are the medium-term regime (§9, −0.110), the short-term technical bias (§7–8, +0.075) and cross-asset confirmation (§10, +0.068).</w:t>
      </w:r>
    </w:p>
    <w:p>
      <w:pPr>
        <w:spacing w:after="100"/>
      </w:pPr>
      <w:r>
        <w:rPr>
          <w:b w:val="false"/>
          <w:bCs w:val="false"/>
          <w:i w:val="false"/>
          <w:iCs w:val="false"/>
          <w:sz w:val="20"/>
          <w:szCs w:val="20"/>
        </w:rPr>
        <w:t xml:space="preserve">|0.05| &lt; [CONVICTION_THRESHOLD] 0.25. Trade 1 is SUPPRESSED per M5 §5.1. This is the model working correctly: it declines to take a directional bet in a market with KER of 0.117, contradictory drivers, and a binary event two sessions out. Trades 2 and 3 are regime-driven and produce regardless — they are constructed below and are the actionable output of this report.</w:t>
      </w:r>
    </w:p>
    <w:p>
      <w:pPr>
        <w:spacing w:after="100"/>
      </w:pPr>
      <w:r>
        <w:rPr>
          <w:b w:val="false"/>
          <w:bCs w:val="false"/>
          <w:i/>
          <w:iCs/>
          <w:sz w:val="18"/>
          <w:szCs w:val="18"/>
        </w:rPr>
        <w:t xml:space="preserve">Conflict flag: §17 Forecast leans mildly LONG; the direction score is NEUTRAL but positive-signed. Consistent in sign, no material conflict. Neither output has been changed.</w:t>
      </w:r>
    </w:p>
    <w:p>
      <w:pPr>
        <w:pStyle w:val="Heading2"/>
        <w:spacing w:after="120" w:before="240"/>
      </w:pPr>
      <w:r>
        <w:t xml:space="preserve">§21b  Trade Cards</w:t>
      </w:r>
    </w:p>
    <w:p>
      <w:pPr>
        <w:spacing w:after="100"/>
      </w:pPr>
      <w:r>
        <w:rPr>
          <w:b/>
          <w:bCs/>
          <w:i w:val="false"/>
          <w:iCs w:val="false"/>
          <w:color w:val="9B2C2C"/>
          <w:sz w:val="20"/>
          <w:szCs w:val="20"/>
        </w:rPr>
        <w:t xml:space="preserve">TRADE 1 — Daily Directional  ·  SUPPRESSED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7A5C2E" w:color="auto" w:val="clear"/>
            <w:tcMar>
              <w:top w:type="dxa" w:w="60"/>
              <w:left w:type="dxa" w:w="90"/>
              <w:bottom w:type="dxa" w:w="60"/>
              <w:right w:type="dxa" w:w="90"/>
            </w:tcMar>
          </w:tcPr>
          <w:p>
            <w:r>
              <w:rPr>
                <w:b/>
                <w:bCs/>
                <w:color w:val="FFFFFF"/>
                <w:sz w:val="18"/>
                <w:szCs w:val="18"/>
              </w:rPr>
              <w:t xml:space="preserve">Element</w:t>
            </w:r>
          </w:p>
        </w:tc>
        <w:tc>
          <w:tcPr>
            <w:tcW w:type="dxa" w:w="6360"/>
            <w:shd w:fill="7A5C2E" w:color="auto" w:val="clear"/>
            <w:tcMar>
              <w:top w:type="dxa" w:w="60"/>
              <w:left w:type="dxa" w:w="90"/>
              <w:bottom w:type="dxa" w:w="60"/>
              <w:right w:type="dxa" w:w="90"/>
            </w:tcMar>
          </w:tcPr>
          <w:p>
            <w:r>
              <w:rPr>
                <w:b/>
                <w:bCs/>
                <w:color w:val="FFFFFF"/>
                <w:sz w:val="18"/>
                <w:szCs w:val="18"/>
              </w:rPr>
              <w:t xml:space="preserve">Value</w:t>
            </w:r>
          </w:p>
        </w:tc>
      </w:tr>
      <w:tr>
        <w:tc>
          <w:tcPr>
            <w:tcW w:type="dxa" w:w="3000"/>
            <w:tcMar>
              <w:top w:type="dxa" w:w="60"/>
              <w:left w:type="dxa" w:w="90"/>
              <w:bottom w:type="dxa" w:w="60"/>
              <w:right w:type="dxa" w:w="90"/>
            </w:tcMar>
          </w:tcPr>
          <w:p>
            <w:r>
              <w:rPr>
                <w:sz w:val="18"/>
                <w:szCs w:val="18"/>
              </w:rPr>
              <w:t xml:space="preserve">Status</w:t>
            </w:r>
          </w:p>
        </w:tc>
        <w:tc>
          <w:tcPr>
            <w:tcW w:type="dxa" w:w="6360"/>
            <w:tcMar>
              <w:top w:type="dxa" w:w="60"/>
              <w:left w:type="dxa" w:w="90"/>
              <w:bottom w:type="dxa" w:w="60"/>
              <w:right w:type="dxa" w:w="90"/>
            </w:tcMar>
          </w:tcPr>
          <w:p>
            <w:r>
              <w:rPr>
                <w:sz w:val="18"/>
                <w:szCs w:val="18"/>
              </w:rPr>
              <w:t xml:space="preserve">SUPPRESSED — conviction threshold not met</w:t>
            </w:r>
          </w:p>
        </w:tc>
      </w:tr>
      <w:tr>
        <w:tc>
          <w:tcPr>
            <w:tcW w:type="dxa" w:w="3000"/>
            <w:shd w:fill="F4F1EC" w:color="auto" w:val="clear"/>
            <w:tcMar>
              <w:top w:type="dxa" w:w="60"/>
              <w:left w:type="dxa" w:w="90"/>
              <w:bottom w:type="dxa" w:w="60"/>
              <w:right w:type="dxa" w:w="90"/>
            </w:tcMar>
          </w:tcPr>
          <w:p>
            <w:r>
              <w:rPr>
                <w:sz w:val="18"/>
                <w:szCs w:val="18"/>
              </w:rPr>
              <w:t xml:space="preserve">Direction score</w:t>
            </w:r>
          </w:p>
        </w:tc>
        <w:tc>
          <w:tcPr>
            <w:tcW w:type="dxa" w:w="6360"/>
            <w:shd w:fill="F4F1EC" w:color="auto" w:val="clear"/>
            <w:tcMar>
              <w:top w:type="dxa" w:w="60"/>
              <w:left w:type="dxa" w:w="90"/>
              <w:bottom w:type="dxa" w:w="60"/>
              <w:right w:type="dxa" w:w="90"/>
            </w:tcMar>
          </w:tcPr>
          <w:p>
            <w:r>
              <w:rPr>
                <w:sz w:val="18"/>
                <w:szCs w:val="18"/>
              </w:rPr>
              <w:t xml:space="preserve">+0.05 vs threshold 0.25</w:t>
            </w:r>
          </w:p>
        </w:tc>
      </w:tr>
      <w:tr>
        <w:tc>
          <w:tcPr>
            <w:tcW w:type="dxa" w:w="3000"/>
            <w:tcMar>
              <w:top w:type="dxa" w:w="60"/>
              <w:left w:type="dxa" w:w="90"/>
              <w:bottom w:type="dxa" w:w="60"/>
              <w:right w:type="dxa" w:w="90"/>
            </w:tcMar>
          </w:tcPr>
          <w:p>
            <w:r>
              <w:rPr>
                <w:sz w:val="18"/>
                <w:szCs w:val="18"/>
              </w:rPr>
              <w:t xml:space="preserve">Rule invoked</w:t>
            </w:r>
          </w:p>
        </w:tc>
        <w:tc>
          <w:tcPr>
            <w:tcW w:type="dxa" w:w="6360"/>
            <w:tcMar>
              <w:top w:type="dxa" w:w="60"/>
              <w:left w:type="dxa" w:w="90"/>
              <w:bottom w:type="dxa" w:w="60"/>
              <w:right w:type="dxa" w:w="90"/>
            </w:tcMar>
          </w:tcPr>
          <w:p>
            <w:r>
              <w:rPr>
                <w:sz w:val="18"/>
                <w:szCs w:val="18"/>
              </w:rPr>
              <w:t xml:space="preserve">M5 §5.1 — 'Suppressed if §2 score is NEUTRAL'</w:t>
            </w:r>
          </w:p>
        </w:tc>
      </w:tr>
      <w:tr>
        <w:tc>
          <w:tcPr>
            <w:tcW w:type="dxa" w:w="3000"/>
            <w:shd w:fill="F4F1EC" w:color="auto" w:val="clear"/>
            <w:tcMar>
              <w:top w:type="dxa" w:w="60"/>
              <w:left w:type="dxa" w:w="90"/>
              <w:bottom w:type="dxa" w:w="60"/>
              <w:right w:type="dxa" w:w="90"/>
            </w:tcMar>
          </w:tcPr>
          <w:p>
            <w:r>
              <w:rPr>
                <w:sz w:val="18"/>
                <w:szCs w:val="18"/>
              </w:rPr>
              <w:t xml:space="preserve">Reference construction (not actionable)</w:t>
            </w:r>
          </w:p>
        </w:tc>
        <w:tc>
          <w:tcPr>
            <w:tcW w:type="dxa" w:w="6360"/>
            <w:shd w:fill="F4F1EC" w:color="auto" w:val="clear"/>
            <w:tcMar>
              <w:top w:type="dxa" w:w="60"/>
              <w:left w:type="dxa" w:w="90"/>
              <w:bottom w:type="dxa" w:w="60"/>
              <w:right w:type="dxa" w:w="90"/>
            </w:tcMar>
          </w:tcPr>
          <w:p>
            <w:r>
              <w:rPr>
                <w:sz w:val="18"/>
                <w:szCs w:val="18"/>
              </w:rPr>
              <w:t xml:space="preserve">LONG @ 4,070.00 · SL 3,988.20 · R = 81.80 (8,180 ticks) · TP1 4,151.80 · TP2 4,233.59 · TP3 4,305.50</w:t>
            </w:r>
          </w:p>
        </w:tc>
      </w:tr>
      <w:tr>
        <w:tc>
          <w:tcPr>
            <w:tcW w:type="dxa" w:w="3000"/>
            <w:tcMar>
              <w:top w:type="dxa" w:w="60"/>
              <w:left w:type="dxa" w:w="90"/>
              <w:bottom w:type="dxa" w:w="60"/>
              <w:right w:type="dxa" w:w="90"/>
            </w:tcMar>
          </w:tcPr>
          <w:p>
            <w:r>
              <w:rPr>
                <w:sz w:val="18"/>
                <w:szCs w:val="18"/>
              </w:rPr>
              <w:t xml:space="preserve">Reference caveats</w:t>
            </w:r>
          </w:p>
        </w:tc>
        <w:tc>
          <w:tcPr>
            <w:tcW w:type="dxa" w:w="6360"/>
            <w:tcMar>
              <w:top w:type="dxa" w:w="60"/>
              <w:left w:type="dxa" w:w="90"/>
              <w:bottom w:type="dxa" w:w="60"/>
              <w:right w:type="dxa" w:w="90"/>
            </w:tcMar>
          </w:tcPr>
          <w:p>
            <w:r>
              <w:rPr>
                <w:sz w:val="18"/>
                <w:szCs w:val="18"/>
              </w:rPr>
              <w:t xml:space="preserve">'wide stop (R &gt; 1 ATR)' would have flagged — R 81.80 vs ATR 78.50</w:t>
            </w:r>
          </w:p>
        </w:tc>
      </w:tr>
      <w:tr>
        <w:tc>
          <w:tcPr>
            <w:tcW w:type="dxa" w:w="3000"/>
            <w:shd w:fill="F4F1EC" w:color="auto" w:val="clear"/>
            <w:tcMar>
              <w:top w:type="dxa" w:w="60"/>
              <w:left w:type="dxa" w:w="90"/>
              <w:bottom w:type="dxa" w:w="60"/>
              <w:right w:type="dxa" w:w="90"/>
            </w:tcMar>
          </w:tcPr>
          <w:p>
            <w:r>
              <w:rPr>
                <w:sz w:val="18"/>
                <w:szCs w:val="18"/>
              </w:rPr>
              <w:t xml:space="preserve">Note</w:t>
            </w:r>
          </w:p>
        </w:tc>
        <w:tc>
          <w:tcPr>
            <w:tcW w:type="dxa" w:w="6360"/>
            <w:shd w:fill="F4F1EC" w:color="auto" w:val="clear"/>
            <w:tcMar>
              <w:top w:type="dxa" w:w="60"/>
              <w:left w:type="dxa" w:w="90"/>
              <w:bottom w:type="dxa" w:w="60"/>
              <w:right w:type="dxa" w:w="90"/>
            </w:tcMar>
          </w:tcPr>
          <w:p>
            <w:r>
              <w:rPr>
                <w:sz w:val="18"/>
                <w:szCs w:val="18"/>
              </w:rPr>
              <w:t xml:space="preserve">Shown for audit transparency only. Do not execute. Trades 2 and 3 below are the actionable cards.</w:t>
            </w:r>
          </w:p>
        </w:tc>
      </w:tr>
    </w:tbl>
    <w:p>
      <w:pPr>
        <w:spacing w:after="100"/>
      </w:pPr>
      <w:r>
        <w:rPr>
          <w:b w:val="false"/>
          <w:bCs w:val="false"/>
          <w:i w:val="false"/>
          <w:iCs w:val="false"/>
          <w:sz w:val="20"/>
          <w:szCs w:val="20"/>
        </w:rPr>
        <w:t xml:space="preserve"/>
      </w:r>
    </w:p>
    <w:p>
      <w:pPr>
        <w:spacing w:after="100"/>
      </w:pPr>
      <w:r>
        <w:rPr>
          <w:b/>
          <w:bCs/>
          <w:i w:val="false"/>
          <w:iCs w:val="false"/>
          <w:color w:val="2C6E49"/>
          <w:sz w:val="20"/>
          <w:szCs w:val="20"/>
        </w:rPr>
        <w:t xml:space="preserve">TRADE 2 — Regime-Aware Pivot  ·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7A5C2E" w:color="auto" w:val="clear"/>
            <w:tcMar>
              <w:top w:type="dxa" w:w="60"/>
              <w:left w:type="dxa" w:w="90"/>
              <w:bottom w:type="dxa" w:w="60"/>
              <w:right w:type="dxa" w:w="90"/>
            </w:tcMar>
          </w:tcPr>
          <w:p>
            <w:r>
              <w:rPr>
                <w:b/>
                <w:bCs/>
                <w:color w:val="FFFFFF"/>
                <w:sz w:val="18"/>
                <w:szCs w:val="18"/>
              </w:rPr>
              <w:t xml:space="preserve">Element</w:t>
            </w:r>
          </w:p>
        </w:tc>
        <w:tc>
          <w:tcPr>
            <w:tcW w:type="dxa" w:w="6360"/>
            <w:shd w:fill="7A5C2E" w:color="auto" w:val="clear"/>
            <w:tcMar>
              <w:top w:type="dxa" w:w="60"/>
              <w:left w:type="dxa" w:w="90"/>
              <w:bottom w:type="dxa" w:w="60"/>
              <w:right w:type="dxa" w:w="90"/>
            </w:tcMar>
          </w:tcPr>
          <w:p>
            <w:r>
              <w:rPr>
                <w:b/>
                <w:bCs/>
                <w:color w:val="FFFFFF"/>
                <w:sz w:val="18"/>
                <w:szCs w:val="18"/>
              </w:rPr>
              <w:t xml:space="preserve">Value</w:t>
            </w:r>
          </w:p>
        </w:tc>
      </w:tr>
      <w:tr>
        <w:tc>
          <w:tcPr>
            <w:tcW w:type="dxa" w:w="3000"/>
            <w:tcMar>
              <w:top w:type="dxa" w:w="60"/>
              <w:left w:type="dxa" w:w="90"/>
              <w:bottom w:type="dxa" w:w="60"/>
              <w:right w:type="dxa" w:w="90"/>
            </w:tcMar>
          </w:tcPr>
          <w:p>
            <w:r>
              <w:rPr>
                <w:sz w:val="18"/>
                <w:szCs w:val="18"/>
              </w:rPr>
              <w:t xml:space="preserve">Regime input</w:t>
            </w:r>
          </w:p>
        </w:tc>
        <w:tc>
          <w:tcPr>
            <w:tcW w:type="dxa" w:w="6360"/>
            <w:tcMar>
              <w:top w:type="dxa" w:w="60"/>
              <w:left w:type="dxa" w:w="90"/>
              <w:bottom w:type="dxa" w:w="60"/>
              <w:right w:type="dxa" w:w="90"/>
            </w:tcMar>
          </w:tcPr>
          <w:p>
            <w:r>
              <w:rPr>
                <w:sz w:val="18"/>
                <w:szCs w:val="18"/>
              </w:rPr>
              <w:t xml:space="preserve">RANGING (KER 0.117, below 0.13 trend threshold; upper sub-band)</w:t>
            </w:r>
          </w:p>
        </w:tc>
      </w:tr>
      <w:tr>
        <w:tc>
          <w:tcPr>
            <w:tcW w:type="dxa" w:w="3000"/>
            <w:shd w:fill="F4F1EC" w:color="auto" w:val="clear"/>
            <w:tcMar>
              <w:top w:type="dxa" w:w="60"/>
              <w:left w:type="dxa" w:w="90"/>
              <w:bottom w:type="dxa" w:w="60"/>
              <w:right w:type="dxa" w:w="90"/>
            </w:tcMar>
          </w:tcPr>
          <w:p>
            <w:r>
              <w:rPr>
                <w:sz w:val="18"/>
                <w:szCs w:val="18"/>
              </w:rPr>
              <w:t xml:space="preserve">Expression</w:t>
            </w:r>
          </w:p>
        </w:tc>
        <w:tc>
          <w:tcPr>
            <w:tcW w:type="dxa" w:w="6360"/>
            <w:shd w:fill="F4F1EC" w:color="auto" w:val="clear"/>
            <w:tcMar>
              <w:top w:type="dxa" w:w="60"/>
              <w:left w:type="dxa" w:w="90"/>
              <w:bottom w:type="dxa" w:w="60"/>
              <w:right w:type="dxa" w:w="90"/>
            </w:tcMar>
          </w:tcPr>
          <w:p>
            <w:r>
              <w:rPr>
                <w:sz w:val="18"/>
                <w:szCs w:val="18"/>
              </w:rPr>
              <w:t xml:space="preserve">Fade the range edges. In a ranging regime the pivot trade is mean-reversion, not breakout.</w:t>
            </w:r>
          </w:p>
        </w:tc>
      </w:tr>
      <w:tr>
        <w:tc>
          <w:tcPr>
            <w:tcW w:type="dxa" w:w="3000"/>
            <w:tcMar>
              <w:top w:type="dxa" w:w="60"/>
              <w:left w:type="dxa" w:w="90"/>
              <w:bottom w:type="dxa" w:w="60"/>
              <w:right w:type="dxa" w:w="90"/>
            </w:tcMar>
          </w:tcPr>
          <w:p>
            <w:r>
              <w:rPr>
                <w:sz w:val="18"/>
                <w:szCs w:val="18"/>
              </w:rPr>
              <w:t xml:space="preserve">Structure</w:t>
            </w:r>
          </w:p>
        </w:tc>
        <w:tc>
          <w:tcPr>
            <w:tcW w:type="dxa" w:w="6360"/>
            <w:tcMar>
              <w:top w:type="dxa" w:w="60"/>
              <w:left w:type="dxa" w:w="90"/>
              <w:bottom w:type="dxa" w:w="60"/>
              <w:right w:type="dxa" w:w="90"/>
            </w:tcMar>
          </w:tcPr>
          <w:p>
            <w:r>
              <w:rPr>
                <w:sz w:val="18"/>
                <w:szCs w:val="18"/>
              </w:rPr>
              <w:t xml:space="preserve">Two independent legs. Both may be live simultaneously — [MAX_SIMULTANEOUS_LONG_SHORT] = YES.</w:t>
            </w:r>
          </w:p>
        </w:tc>
      </w:tr>
    </w:tbl>
    <w:p>
      <w:pPr>
        <w:spacing w:after="100"/>
      </w:pPr>
      <w:r>
        <w:rPr>
          <w:b/>
          <w:bCs/>
          <w:i w:val="false"/>
          <w:iCs w:val="false"/>
          <w:sz w:val="19"/>
          <w:szCs w:val="19"/>
        </w:rPr>
        <w:t xml:space="preserve">Leg A — SHORT from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4660"/>
      </w:tblGrid>
      <w:tr>
        <w:trPr>
          <w:tblHeader/>
        </w:trPr>
        <w:tc>
          <w:tcPr>
            <w:tcW w:type="dxa" w:w="1900"/>
            <w:shd w:fill="7A5C2E" w:color="auto" w:val="clear"/>
            <w:tcMar>
              <w:top w:type="dxa" w:w="60"/>
              <w:left w:type="dxa" w:w="90"/>
              <w:bottom w:type="dxa" w:w="60"/>
              <w:right w:type="dxa" w:w="90"/>
            </w:tcMar>
          </w:tcPr>
          <w:p>
            <w:r>
              <w:rPr>
                <w:b/>
                <w:bCs/>
                <w:color w:val="FFFFFF"/>
                <w:sz w:val="18"/>
                <w:szCs w:val="18"/>
              </w:rPr>
              <w:t xml:space="preserve">Element</w:t>
            </w:r>
          </w:p>
        </w:tc>
        <w:tc>
          <w:tcPr>
            <w:tcW w:type="dxa" w:w="1500"/>
            <w:shd w:fill="7A5C2E" w:color="auto" w:val="clear"/>
            <w:tcMar>
              <w:top w:type="dxa" w:w="60"/>
              <w:left w:type="dxa" w:w="90"/>
              <w:bottom w:type="dxa" w:w="60"/>
              <w:right w:type="dxa" w:w="90"/>
            </w:tcMar>
          </w:tcPr>
          <w:p>
            <w:r>
              <w:rPr>
                <w:b/>
                <w:bCs/>
                <w:color w:val="FFFFFF"/>
                <w:sz w:val="18"/>
                <w:szCs w:val="18"/>
              </w:rPr>
              <w:t xml:space="preserve">Price (USD/oz)</w:t>
            </w:r>
          </w:p>
        </w:tc>
        <w:tc>
          <w:tcPr>
            <w:tcW w:type="dxa" w:w="1300"/>
            <w:shd w:fill="7A5C2E" w:color="auto" w:val="clear"/>
            <w:tcMar>
              <w:top w:type="dxa" w:w="60"/>
              <w:left w:type="dxa" w:w="90"/>
              <w:bottom w:type="dxa" w:w="60"/>
              <w:right w:type="dxa" w:w="90"/>
            </w:tcMar>
          </w:tcPr>
          <w:p>
            <w:r>
              <w:rPr>
                <w:b/>
                <w:bCs/>
                <w:color w:val="FFFFFF"/>
                <w:sz w:val="18"/>
                <w:szCs w:val="18"/>
              </w:rPr>
              <w:t xml:space="preserve">Native (ticks)</w:t>
            </w:r>
          </w:p>
        </w:tc>
        <w:tc>
          <w:tcPr>
            <w:tcW w:type="dxa" w:w="4660"/>
            <w:shd w:fill="7A5C2E" w:color="auto" w:val="clear"/>
            <w:tcMar>
              <w:top w:type="dxa" w:w="60"/>
              <w:left w:type="dxa" w:w="90"/>
              <w:bottom w:type="dxa" w:w="60"/>
              <w:right w:type="dxa" w:w="90"/>
            </w:tcMar>
          </w:tcPr>
          <w:p>
            <w:r>
              <w:rPr>
                <w:b/>
                <w:bCs/>
                <w:color w:val="FFFFFF"/>
                <w:sz w:val="18"/>
                <w:szCs w:val="18"/>
              </w:rPr>
              <w:t xml:space="preserve">Note</w:t>
            </w:r>
          </w:p>
        </w:tc>
      </w:tr>
      <w:tr>
        <w:tc>
          <w:tcPr>
            <w:tcW w:type="dxa" w:w="1900"/>
            <w:tcMar>
              <w:top w:type="dxa" w:w="60"/>
              <w:left w:type="dxa" w:w="90"/>
              <w:bottom w:type="dxa" w:w="60"/>
              <w:right w:type="dxa" w:w="90"/>
            </w:tcMar>
          </w:tcPr>
          <w:p>
            <w:r>
              <w:rPr>
                <w:sz w:val="18"/>
                <w:szCs w:val="18"/>
              </w:rPr>
              <w:t xml:space="preserve">Entry (limit)</w:t>
            </w:r>
          </w:p>
        </w:tc>
        <w:tc>
          <w:tcPr>
            <w:tcW w:type="dxa" w:w="1500"/>
            <w:tcMar>
              <w:top w:type="dxa" w:w="60"/>
              <w:left w:type="dxa" w:w="90"/>
              <w:bottom w:type="dxa" w:w="60"/>
              <w:right w:type="dxa" w:w="90"/>
            </w:tcMar>
          </w:tcPr>
          <w:p>
            <w:r>
              <w:rPr>
                <w:sz w:val="18"/>
                <w:szCs w:val="18"/>
              </w:rPr>
              <w:t xml:space="preserve">4,116.25</w:t>
            </w:r>
          </w:p>
        </w:tc>
        <w:tc>
          <w:tcPr>
            <w:tcW w:type="dxa" w:w="1300"/>
            <w:tcMar>
              <w:top w:type="dxa" w:w="60"/>
              <w:left w:type="dxa" w:w="90"/>
              <w:bottom w:type="dxa" w:w="60"/>
              <w:right w:type="dxa" w:w="90"/>
            </w:tcMar>
          </w:tcPr>
          <w:p>
            <w:r>
              <w:rPr>
                <w:sz w:val="18"/>
                <w:szCs w:val="18"/>
              </w:rPr>
              <w:t xml:space="preserve">—</w:t>
            </w:r>
          </w:p>
        </w:tc>
        <w:tc>
          <w:tcPr>
            <w:tcW w:type="dxa" w:w="4660"/>
            <w:tcMar>
              <w:top w:type="dxa" w:w="60"/>
              <w:left w:type="dxa" w:w="90"/>
              <w:bottom w:type="dxa" w:w="60"/>
              <w:right w:type="dxa" w:w="90"/>
            </w:tcMar>
          </w:tcPr>
          <w:p>
            <w:r>
              <w:rPr>
                <w:sz w:val="18"/>
                <w:szCs w:val="18"/>
              </w:rPr>
              <w:t xml:space="preserve">R1.5 · confluence with published R 4,114.01</w:t>
            </w:r>
          </w:p>
        </w:tc>
      </w:tr>
      <w:tr>
        <w:tc>
          <w:tcPr>
            <w:tcW w:type="dxa" w:w="1900"/>
            <w:shd w:fill="F4F1EC" w:color="auto" w:val="clear"/>
            <w:tcMar>
              <w:top w:type="dxa" w:w="60"/>
              <w:left w:type="dxa" w:w="90"/>
              <w:bottom w:type="dxa" w:w="60"/>
              <w:right w:type="dxa" w:w="90"/>
            </w:tcMar>
          </w:tcPr>
          <w:p>
            <w:r>
              <w:rPr>
                <w:sz w:val="18"/>
                <w:szCs w:val="18"/>
              </w:rPr>
              <w:t xml:space="preserve">Stop loss</w:t>
            </w:r>
          </w:p>
        </w:tc>
        <w:tc>
          <w:tcPr>
            <w:tcW w:type="dxa" w:w="1500"/>
            <w:shd w:fill="F4F1EC" w:color="auto" w:val="clear"/>
            <w:tcMar>
              <w:top w:type="dxa" w:w="60"/>
              <w:left w:type="dxa" w:w="90"/>
              <w:bottom w:type="dxa" w:w="60"/>
              <w:right w:type="dxa" w:w="90"/>
            </w:tcMar>
          </w:tcPr>
          <w:p>
            <w:r>
              <w:rPr>
                <w:sz w:val="18"/>
                <w:szCs w:val="18"/>
              </w:rPr>
              <w:t xml:space="preserve">4,151.88</w:t>
            </w:r>
          </w:p>
        </w:tc>
        <w:tc>
          <w:tcPr>
            <w:tcW w:type="dxa" w:w="1300"/>
            <w:shd w:fill="F4F1EC" w:color="auto" w:val="clear"/>
            <w:tcMar>
              <w:top w:type="dxa" w:w="60"/>
              <w:left w:type="dxa" w:w="90"/>
              <w:bottom w:type="dxa" w:w="60"/>
              <w:right w:type="dxa" w:w="90"/>
            </w:tcMar>
          </w:tcPr>
          <w:p>
            <w:r>
              <w:rPr>
                <w:sz w:val="18"/>
                <w:szCs w:val="18"/>
              </w:rPr>
              <w:t xml:space="preserve">3,563 ticks</w:t>
            </w:r>
          </w:p>
        </w:tc>
        <w:tc>
          <w:tcPr>
            <w:tcW w:type="dxa" w:w="4660"/>
            <w:shd w:fill="F4F1EC" w:color="auto" w:val="clear"/>
            <w:tcMar>
              <w:top w:type="dxa" w:w="60"/>
              <w:left w:type="dxa" w:w="90"/>
              <w:bottom w:type="dxa" w:w="60"/>
              <w:right w:type="dxa" w:w="90"/>
            </w:tcMar>
          </w:tcPr>
          <w:p>
            <w:r>
              <w:rPr>
                <w:sz w:val="18"/>
                <w:szCs w:val="18"/>
              </w:rPr>
              <w:t xml:space="preserve">R2 4,131.67 + 0.25 × ATR (19.63) → 4,151.30, rounded to swing-high cover</w:t>
            </w:r>
          </w:p>
        </w:tc>
      </w:tr>
      <w:tr>
        <w:tc>
          <w:tcPr>
            <w:tcW w:type="dxa" w:w="1900"/>
            <w:tcMar>
              <w:top w:type="dxa" w:w="60"/>
              <w:left w:type="dxa" w:w="90"/>
              <w:bottom w:type="dxa" w:w="60"/>
              <w:right w:type="dxa" w:w="90"/>
            </w:tcMar>
          </w:tcPr>
          <w:p>
            <w:r>
              <w:rPr>
                <w:sz w:val="18"/>
                <w:szCs w:val="18"/>
              </w:rPr>
              <w:t xml:space="preserve">R (risk)</w:t>
            </w:r>
          </w:p>
        </w:tc>
        <w:tc>
          <w:tcPr>
            <w:tcW w:type="dxa" w:w="1500"/>
            <w:tcMar>
              <w:top w:type="dxa" w:w="60"/>
              <w:left w:type="dxa" w:w="90"/>
              <w:bottom w:type="dxa" w:w="60"/>
              <w:right w:type="dxa" w:w="90"/>
            </w:tcMar>
          </w:tcPr>
          <w:p>
            <w:r>
              <w:rPr>
                <w:sz w:val="18"/>
                <w:szCs w:val="18"/>
              </w:rPr>
              <w:t xml:space="preserve">35.63</w:t>
            </w:r>
          </w:p>
        </w:tc>
        <w:tc>
          <w:tcPr>
            <w:tcW w:type="dxa" w:w="1300"/>
            <w:tcMar>
              <w:top w:type="dxa" w:w="60"/>
              <w:left w:type="dxa" w:w="90"/>
              <w:bottom w:type="dxa" w:w="60"/>
              <w:right w:type="dxa" w:w="90"/>
            </w:tcMar>
          </w:tcPr>
          <w:p>
            <w:r>
              <w:rPr>
                <w:sz w:val="18"/>
                <w:szCs w:val="18"/>
              </w:rPr>
              <w:t xml:space="preserve">3,563</w:t>
            </w:r>
          </w:p>
        </w:tc>
        <w:tc>
          <w:tcPr>
            <w:tcW w:type="dxa" w:w="4660"/>
            <w:tcMar>
              <w:top w:type="dxa" w:w="60"/>
              <w:left w:type="dxa" w:w="90"/>
              <w:bottom w:type="dxa" w:w="60"/>
              <w:right w:type="dxa" w:w="90"/>
            </w:tcMar>
          </w:tcPr>
          <w:p>
            <w:r>
              <w:rPr>
                <w:sz w:val="18"/>
                <w:szCs w:val="18"/>
              </w:rPr>
              <w:t xml:space="preserve">0.45 × ATR — tight, structurally justified</w:t>
            </w:r>
          </w:p>
        </w:tc>
      </w:tr>
      <w:tr>
        <w:tc>
          <w:tcPr>
            <w:tcW w:type="dxa" w:w="1900"/>
            <w:shd w:fill="F4F1EC" w:color="auto" w:val="clear"/>
            <w:tcMar>
              <w:top w:type="dxa" w:w="60"/>
              <w:left w:type="dxa" w:w="90"/>
              <w:bottom w:type="dxa" w:w="60"/>
              <w:right w:type="dxa" w:w="90"/>
            </w:tcMar>
          </w:tcPr>
          <w:p>
            <w:r>
              <w:rPr>
                <w:sz w:val="18"/>
                <w:szCs w:val="18"/>
              </w:rPr>
              <w:t xml:space="preserve">TP1 (Unit 1)</w:t>
            </w:r>
          </w:p>
        </w:tc>
        <w:tc>
          <w:tcPr>
            <w:tcW w:type="dxa" w:w="1500"/>
            <w:shd w:fill="F4F1EC" w:color="auto" w:val="clear"/>
            <w:tcMar>
              <w:top w:type="dxa" w:w="60"/>
              <w:left w:type="dxa" w:w="90"/>
              <w:bottom w:type="dxa" w:w="60"/>
              <w:right w:type="dxa" w:w="90"/>
            </w:tcMar>
          </w:tcPr>
          <w:p>
            <w:r>
              <w:rPr>
                <w:sz w:val="18"/>
                <w:szCs w:val="18"/>
              </w:rPr>
              <w:t xml:space="preserve">4,080.62</w:t>
            </w:r>
          </w:p>
        </w:tc>
        <w:tc>
          <w:tcPr>
            <w:tcW w:type="dxa" w:w="1300"/>
            <w:shd w:fill="F4F1EC" w:color="auto" w:val="clear"/>
            <w:tcMar>
              <w:top w:type="dxa" w:w="60"/>
              <w:left w:type="dxa" w:w="90"/>
              <w:bottom w:type="dxa" w:w="60"/>
              <w:right w:type="dxa" w:w="90"/>
            </w:tcMar>
          </w:tcPr>
          <w:p>
            <w:r>
              <w:rPr>
                <w:sz w:val="18"/>
                <w:szCs w:val="18"/>
              </w:rPr>
              <w:t xml:space="preserve">3,563</w:t>
            </w:r>
          </w:p>
        </w:tc>
        <w:tc>
          <w:tcPr>
            <w:tcW w:type="dxa" w:w="4660"/>
            <w:shd w:fill="F4F1EC" w:color="auto" w:val="clear"/>
            <w:tcMar>
              <w:top w:type="dxa" w:w="60"/>
              <w:left w:type="dxa" w:w="90"/>
              <w:bottom w:type="dxa" w:w="60"/>
              <w:right w:type="dxa" w:w="90"/>
            </w:tcMar>
          </w:tcPr>
          <w:p>
            <w:r>
              <w:rPr>
                <w:sz w:val="18"/>
                <w:szCs w:val="18"/>
              </w:rPr>
              <w:t xml:space="preserve">1 × R</w:t>
            </w:r>
          </w:p>
        </w:tc>
      </w:tr>
      <w:tr>
        <w:tc>
          <w:tcPr>
            <w:tcW w:type="dxa" w:w="1900"/>
            <w:tcMar>
              <w:top w:type="dxa" w:w="60"/>
              <w:left w:type="dxa" w:w="90"/>
              <w:bottom w:type="dxa" w:w="60"/>
              <w:right w:type="dxa" w:w="90"/>
            </w:tcMar>
          </w:tcPr>
          <w:p>
            <w:r>
              <w:rPr>
                <w:sz w:val="18"/>
                <w:szCs w:val="18"/>
              </w:rPr>
              <w:t xml:space="preserve">TP2 (Unit 2)</w:t>
            </w:r>
          </w:p>
        </w:tc>
        <w:tc>
          <w:tcPr>
            <w:tcW w:type="dxa" w:w="1500"/>
            <w:tcMar>
              <w:top w:type="dxa" w:w="60"/>
              <w:left w:type="dxa" w:w="90"/>
              <w:bottom w:type="dxa" w:w="60"/>
              <w:right w:type="dxa" w:w="90"/>
            </w:tcMar>
          </w:tcPr>
          <w:p>
            <w:r>
              <w:rPr>
                <w:sz w:val="18"/>
                <w:szCs w:val="18"/>
              </w:rPr>
              <w:t xml:space="preserve">4,045.00</w:t>
            </w:r>
          </w:p>
        </w:tc>
        <w:tc>
          <w:tcPr>
            <w:tcW w:type="dxa" w:w="1300"/>
            <w:tcMar>
              <w:top w:type="dxa" w:w="60"/>
              <w:left w:type="dxa" w:w="90"/>
              <w:bottom w:type="dxa" w:w="60"/>
              <w:right w:type="dxa" w:w="90"/>
            </w:tcMar>
          </w:tcPr>
          <w:p>
            <w:r>
              <w:rPr>
                <w:sz w:val="18"/>
                <w:szCs w:val="18"/>
              </w:rPr>
              <w:t xml:space="preserve">7,125</w:t>
            </w:r>
          </w:p>
        </w:tc>
        <w:tc>
          <w:tcPr>
            <w:tcW w:type="dxa" w:w="4660"/>
            <w:tcMar>
              <w:top w:type="dxa" w:w="60"/>
              <w:left w:type="dxa" w:w="90"/>
              <w:bottom w:type="dxa" w:w="60"/>
              <w:right w:type="dxa" w:w="90"/>
            </w:tcMar>
          </w:tcPr>
          <w:p>
            <w:r>
              <w:rPr>
                <w:sz w:val="18"/>
                <w:szCs w:val="18"/>
              </w:rPr>
              <w:t xml:space="preserve">2 × R · near pivot 4,059.17 / fib 50%</w:t>
            </w:r>
          </w:p>
        </w:tc>
      </w:tr>
      <w:tr>
        <w:tc>
          <w:tcPr>
            <w:tcW w:type="dxa" w:w="1900"/>
            <w:shd w:fill="F4F1EC" w:color="auto" w:val="clear"/>
            <w:tcMar>
              <w:top w:type="dxa" w:w="60"/>
              <w:left w:type="dxa" w:w="90"/>
              <w:bottom w:type="dxa" w:w="60"/>
              <w:right w:type="dxa" w:w="90"/>
            </w:tcMar>
          </w:tcPr>
          <w:p>
            <w:r>
              <w:rPr>
                <w:sz w:val="18"/>
                <w:szCs w:val="18"/>
              </w:rPr>
              <w:t xml:space="preserve">TP3 (Unit 3, runner)</w:t>
            </w:r>
          </w:p>
        </w:tc>
        <w:tc>
          <w:tcPr>
            <w:tcW w:type="dxa" w:w="1500"/>
            <w:shd w:fill="F4F1EC" w:color="auto" w:val="clear"/>
            <w:tcMar>
              <w:top w:type="dxa" w:w="60"/>
              <w:left w:type="dxa" w:w="90"/>
              <w:bottom w:type="dxa" w:w="60"/>
              <w:right w:type="dxa" w:w="90"/>
            </w:tcMar>
          </w:tcPr>
          <w:p>
            <w:r>
              <w:rPr>
                <w:sz w:val="18"/>
                <w:szCs w:val="18"/>
              </w:rPr>
              <w:t xml:space="preserve">4,009.38</w:t>
            </w:r>
          </w:p>
        </w:tc>
        <w:tc>
          <w:tcPr>
            <w:tcW w:type="dxa" w:w="1300"/>
            <w:shd w:fill="F4F1EC" w:color="auto" w:val="clear"/>
            <w:tcMar>
              <w:top w:type="dxa" w:w="60"/>
              <w:left w:type="dxa" w:w="90"/>
              <w:bottom w:type="dxa" w:w="60"/>
              <w:right w:type="dxa" w:w="90"/>
            </w:tcMar>
          </w:tcPr>
          <w:p>
            <w:r>
              <w:rPr>
                <w:sz w:val="18"/>
                <w:szCs w:val="18"/>
              </w:rPr>
              <w:t xml:space="preserve">10,688</w:t>
            </w:r>
          </w:p>
        </w:tc>
        <w:tc>
          <w:tcPr>
            <w:tcW w:type="dxa" w:w="4660"/>
            <w:shd w:fill="F4F1EC" w:color="auto" w:val="clear"/>
            <w:tcMar>
              <w:top w:type="dxa" w:w="60"/>
              <w:left w:type="dxa" w:w="90"/>
              <w:bottom w:type="dxa" w:w="60"/>
              <w:right w:type="dxa" w:w="90"/>
            </w:tcMar>
          </w:tcPr>
          <w:p>
            <w:r>
              <w:rPr>
                <w:sz w:val="18"/>
                <w:szCs w:val="18"/>
              </w:rPr>
              <w:t xml:space="preserve">3 × R · at S1.5 4,007.50 confluence</w:t>
            </w:r>
          </w:p>
        </w:tc>
      </w:tr>
      <w:tr>
        <w:tc>
          <w:tcPr>
            <w:tcW w:type="dxa" w:w="1900"/>
            <w:tcMar>
              <w:top w:type="dxa" w:w="60"/>
              <w:left w:type="dxa" w:w="90"/>
              <w:bottom w:type="dxa" w:w="60"/>
              <w:right w:type="dxa" w:w="90"/>
            </w:tcMar>
          </w:tcPr>
          <w:p>
            <w:r>
              <w:rPr>
                <w:sz w:val="18"/>
                <w:szCs w:val="18"/>
              </w:rPr>
              <w:t xml:space="preserve">Tranche management</w:t>
            </w:r>
          </w:p>
        </w:tc>
        <w:tc>
          <w:tcPr>
            <w:tcW w:type="dxa" w:w="1500"/>
            <w:tcMar>
              <w:top w:type="dxa" w:w="60"/>
              <w:left w:type="dxa" w:w="90"/>
              <w:bottom w:type="dxa" w:w="60"/>
              <w:right w:type="dxa" w:w="90"/>
            </w:tcMar>
          </w:tcPr>
          <w:p>
            <w:r>
              <w:rPr>
                <w:sz w:val="18"/>
                <w:szCs w:val="18"/>
              </w:rPr>
              <w:t xml:space="preserve">3 equal units</w:t>
            </w:r>
          </w:p>
        </w:tc>
        <w:tc>
          <w:tcPr>
            <w:tcW w:type="dxa" w:w="1300"/>
            <w:tcMar>
              <w:top w:type="dxa" w:w="60"/>
              <w:left w:type="dxa" w:w="90"/>
              <w:bottom w:type="dxa" w:w="60"/>
              <w:right w:type="dxa" w:w="90"/>
            </w:tcMar>
          </w:tcPr>
          <w:p>
            <w:r>
              <w:rPr>
                <w:sz w:val="18"/>
                <w:szCs w:val="18"/>
              </w:rPr>
              <w:t xml:space="preserve">—</w:t>
            </w:r>
          </w:p>
        </w:tc>
        <w:tc>
          <w:tcPr>
            <w:tcW w:type="dxa" w:w="4660"/>
            <w:tcMar>
              <w:top w:type="dxa" w:w="60"/>
              <w:left w:type="dxa" w:w="90"/>
              <w:bottom w:type="dxa" w:w="60"/>
              <w:right w:type="dxa" w:w="90"/>
            </w:tcMar>
          </w:tcPr>
          <w:p>
            <w:r>
              <w:rPr>
                <w:sz w:val="18"/>
                <w:szCs w:val="18"/>
              </w:rPr>
              <w:t xml:space="preserve">U1 at TP1; U2 at TP2; on U2 fill, U3 SL → entry − 0.2 × R = 4,109.12</w:t>
            </w:r>
          </w:p>
        </w:tc>
      </w:tr>
      <w:tr>
        <w:tc>
          <w:tcPr>
            <w:tcW w:type="dxa" w:w="1900"/>
            <w:shd w:fill="F4F1EC" w:color="auto" w:val="clear"/>
            <w:tcMar>
              <w:top w:type="dxa" w:w="60"/>
              <w:left w:type="dxa" w:w="90"/>
              <w:bottom w:type="dxa" w:w="60"/>
              <w:right w:type="dxa" w:w="90"/>
            </w:tcMar>
          </w:tcPr>
          <w:p>
            <w:r>
              <w:rPr>
                <w:sz w:val="18"/>
                <w:szCs w:val="18"/>
              </w:rPr>
              <w:t xml:space="preserve">Thesis invalidation</w:t>
            </w:r>
          </w:p>
        </w:tc>
        <w:tc>
          <w:tcPr>
            <w:tcW w:type="dxa" w:w="1500"/>
            <w:shd w:fill="F4F1EC" w:color="auto" w:val="clear"/>
            <w:tcMar>
              <w:top w:type="dxa" w:w="60"/>
              <w:left w:type="dxa" w:w="90"/>
              <w:bottom w:type="dxa" w:w="60"/>
              <w:right w:type="dxa" w:w="90"/>
            </w:tcMar>
          </w:tcPr>
          <w:p>
            <w:r>
              <w:rPr>
                <w:sz w:val="18"/>
                <w:szCs w:val="18"/>
              </w:rPr>
              <w:t xml:space="preserve">4,151.88</w:t>
            </w:r>
          </w:p>
        </w:tc>
        <w:tc>
          <w:tcPr>
            <w:tcW w:type="dxa" w:w="1300"/>
            <w:shd w:fill="F4F1EC" w:color="auto" w:val="clear"/>
            <w:tcMar>
              <w:top w:type="dxa" w:w="60"/>
              <w:left w:type="dxa" w:w="90"/>
              <w:bottom w:type="dxa" w:w="60"/>
              <w:right w:type="dxa" w:w="90"/>
            </w:tcMar>
          </w:tcPr>
          <w:p>
            <w:r>
              <w:rPr>
                <w:sz w:val="18"/>
                <w:szCs w:val="18"/>
              </w:rPr>
              <w:t xml:space="preserve">—</w:t>
            </w:r>
          </w:p>
        </w:tc>
        <w:tc>
          <w:tcPr>
            <w:tcW w:type="dxa" w:w="4660"/>
            <w:shd w:fill="F4F1EC" w:color="auto" w:val="clear"/>
            <w:tcMar>
              <w:top w:type="dxa" w:w="60"/>
              <w:left w:type="dxa" w:w="90"/>
              <w:bottom w:type="dxa" w:w="60"/>
              <w:right w:type="dxa" w:w="90"/>
            </w:tcMar>
          </w:tcPr>
          <w:p>
            <w:r>
              <w:rPr>
                <w:sz w:val="18"/>
                <w:szCs w:val="18"/>
              </w:rPr>
              <w:t xml:space="preserve">Coincides with SL. A close above 4,132 breaks the range top and voids the fade.</w:t>
            </w:r>
          </w:p>
        </w:tc>
      </w:tr>
    </w:tbl>
    <w:p>
      <w:pPr>
        <w:spacing w:after="100"/>
      </w:pPr>
      <w:r>
        <w:rPr>
          <w:b/>
          <w:bCs/>
          <w:i w:val="false"/>
          <w:iCs w:val="false"/>
          <w:sz w:val="19"/>
          <w:szCs w:val="19"/>
        </w:rPr>
        <w:t xml:space="preserve">Leg B — LONG from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4660"/>
      </w:tblGrid>
      <w:tr>
        <w:trPr>
          <w:tblHeader/>
        </w:trPr>
        <w:tc>
          <w:tcPr>
            <w:tcW w:type="dxa" w:w="1900"/>
            <w:shd w:fill="7A5C2E" w:color="auto" w:val="clear"/>
            <w:tcMar>
              <w:top w:type="dxa" w:w="60"/>
              <w:left w:type="dxa" w:w="90"/>
              <w:bottom w:type="dxa" w:w="60"/>
              <w:right w:type="dxa" w:w="90"/>
            </w:tcMar>
          </w:tcPr>
          <w:p>
            <w:r>
              <w:rPr>
                <w:b/>
                <w:bCs/>
                <w:color w:val="FFFFFF"/>
                <w:sz w:val="18"/>
                <w:szCs w:val="18"/>
              </w:rPr>
              <w:t xml:space="preserve">Element</w:t>
            </w:r>
          </w:p>
        </w:tc>
        <w:tc>
          <w:tcPr>
            <w:tcW w:type="dxa" w:w="1500"/>
            <w:shd w:fill="7A5C2E" w:color="auto" w:val="clear"/>
            <w:tcMar>
              <w:top w:type="dxa" w:w="60"/>
              <w:left w:type="dxa" w:w="90"/>
              <w:bottom w:type="dxa" w:w="60"/>
              <w:right w:type="dxa" w:w="90"/>
            </w:tcMar>
          </w:tcPr>
          <w:p>
            <w:r>
              <w:rPr>
                <w:b/>
                <w:bCs/>
                <w:color w:val="FFFFFF"/>
                <w:sz w:val="18"/>
                <w:szCs w:val="18"/>
              </w:rPr>
              <w:t xml:space="preserve">Price (USD/oz)</w:t>
            </w:r>
          </w:p>
        </w:tc>
        <w:tc>
          <w:tcPr>
            <w:tcW w:type="dxa" w:w="1300"/>
            <w:shd w:fill="7A5C2E" w:color="auto" w:val="clear"/>
            <w:tcMar>
              <w:top w:type="dxa" w:w="60"/>
              <w:left w:type="dxa" w:w="90"/>
              <w:bottom w:type="dxa" w:w="60"/>
              <w:right w:type="dxa" w:w="90"/>
            </w:tcMar>
          </w:tcPr>
          <w:p>
            <w:r>
              <w:rPr>
                <w:b/>
                <w:bCs/>
                <w:color w:val="FFFFFF"/>
                <w:sz w:val="18"/>
                <w:szCs w:val="18"/>
              </w:rPr>
              <w:t xml:space="preserve">Native (ticks)</w:t>
            </w:r>
          </w:p>
        </w:tc>
        <w:tc>
          <w:tcPr>
            <w:tcW w:type="dxa" w:w="4660"/>
            <w:shd w:fill="7A5C2E" w:color="auto" w:val="clear"/>
            <w:tcMar>
              <w:top w:type="dxa" w:w="60"/>
              <w:left w:type="dxa" w:w="90"/>
              <w:bottom w:type="dxa" w:w="60"/>
              <w:right w:type="dxa" w:w="90"/>
            </w:tcMar>
          </w:tcPr>
          <w:p>
            <w:r>
              <w:rPr>
                <w:b/>
                <w:bCs/>
                <w:color w:val="FFFFFF"/>
                <w:sz w:val="18"/>
                <w:szCs w:val="18"/>
              </w:rPr>
              <w:t xml:space="preserve">Note</w:t>
            </w:r>
          </w:p>
        </w:tc>
      </w:tr>
      <w:tr>
        <w:tc>
          <w:tcPr>
            <w:tcW w:type="dxa" w:w="1900"/>
            <w:tcMar>
              <w:top w:type="dxa" w:w="60"/>
              <w:left w:type="dxa" w:w="90"/>
              <w:bottom w:type="dxa" w:w="60"/>
              <w:right w:type="dxa" w:w="90"/>
            </w:tcMar>
          </w:tcPr>
          <w:p>
            <w:r>
              <w:rPr>
                <w:sz w:val="18"/>
                <w:szCs w:val="18"/>
              </w:rPr>
              <w:t xml:space="preserve">Entry (limit)</w:t>
            </w:r>
          </w:p>
        </w:tc>
        <w:tc>
          <w:tcPr>
            <w:tcW w:type="dxa" w:w="1500"/>
            <w:tcMar>
              <w:top w:type="dxa" w:w="60"/>
              <w:left w:type="dxa" w:w="90"/>
              <w:bottom w:type="dxa" w:w="60"/>
              <w:right w:type="dxa" w:w="90"/>
            </w:tcMar>
          </w:tcPr>
          <w:p>
            <w:r>
              <w:rPr>
                <w:sz w:val="18"/>
                <w:szCs w:val="18"/>
              </w:rPr>
              <w:t xml:space="preserve">4,007.50</w:t>
            </w:r>
          </w:p>
        </w:tc>
        <w:tc>
          <w:tcPr>
            <w:tcW w:type="dxa" w:w="1300"/>
            <w:tcMar>
              <w:top w:type="dxa" w:w="60"/>
              <w:left w:type="dxa" w:w="90"/>
              <w:bottom w:type="dxa" w:w="60"/>
              <w:right w:type="dxa" w:w="90"/>
            </w:tcMar>
          </w:tcPr>
          <w:p>
            <w:r>
              <w:rPr>
                <w:sz w:val="18"/>
                <w:szCs w:val="18"/>
              </w:rPr>
              <w:t xml:space="preserve">—</w:t>
            </w:r>
          </w:p>
        </w:tc>
        <w:tc>
          <w:tcPr>
            <w:tcW w:type="dxa" w:w="4660"/>
            <w:tcMar>
              <w:top w:type="dxa" w:w="60"/>
              <w:left w:type="dxa" w:w="90"/>
              <w:bottom w:type="dxa" w:w="60"/>
              <w:right w:type="dxa" w:w="90"/>
            </w:tcMar>
          </w:tcPr>
          <w:p>
            <w:r>
              <w:rPr>
                <w:sz w:val="18"/>
                <w:szCs w:val="18"/>
              </w:rPr>
              <w:t xml:space="preserve">S1.5 · confluence with published S 4,007.83</w:t>
            </w:r>
          </w:p>
        </w:tc>
      </w:tr>
      <w:tr>
        <w:tc>
          <w:tcPr>
            <w:tcW w:type="dxa" w:w="1900"/>
            <w:shd w:fill="F4F1EC" w:color="auto" w:val="clear"/>
            <w:tcMar>
              <w:top w:type="dxa" w:w="60"/>
              <w:left w:type="dxa" w:w="90"/>
              <w:bottom w:type="dxa" w:w="60"/>
              <w:right w:type="dxa" w:w="90"/>
            </w:tcMar>
          </w:tcPr>
          <w:p>
            <w:r>
              <w:rPr>
                <w:sz w:val="18"/>
                <w:szCs w:val="18"/>
              </w:rPr>
              <w:t xml:space="preserve">Stop loss</w:t>
            </w:r>
          </w:p>
        </w:tc>
        <w:tc>
          <w:tcPr>
            <w:tcW w:type="dxa" w:w="1500"/>
            <w:shd w:fill="F4F1EC" w:color="auto" w:val="clear"/>
            <w:tcMar>
              <w:top w:type="dxa" w:w="60"/>
              <w:left w:type="dxa" w:w="90"/>
              <w:bottom w:type="dxa" w:w="60"/>
              <w:right w:type="dxa" w:w="90"/>
            </w:tcMar>
          </w:tcPr>
          <w:p>
            <w:r>
              <w:rPr>
                <w:sz w:val="18"/>
                <w:szCs w:val="18"/>
              </w:rPr>
              <w:t xml:space="preserve">3,966.13</w:t>
            </w:r>
          </w:p>
        </w:tc>
        <w:tc>
          <w:tcPr>
            <w:tcW w:type="dxa" w:w="1300"/>
            <w:shd w:fill="F4F1EC" w:color="auto" w:val="clear"/>
            <w:tcMar>
              <w:top w:type="dxa" w:w="60"/>
              <w:left w:type="dxa" w:w="90"/>
              <w:bottom w:type="dxa" w:w="60"/>
              <w:right w:type="dxa" w:w="90"/>
            </w:tcMar>
          </w:tcPr>
          <w:p>
            <w:r>
              <w:rPr>
                <w:sz w:val="18"/>
                <w:szCs w:val="18"/>
              </w:rPr>
              <w:t xml:space="preserve">4,137 ticks</w:t>
            </w:r>
          </w:p>
        </w:tc>
        <w:tc>
          <w:tcPr>
            <w:tcW w:type="dxa" w:w="4660"/>
            <w:shd w:fill="F4F1EC" w:color="auto" w:val="clear"/>
            <w:tcMar>
              <w:top w:type="dxa" w:w="60"/>
              <w:left w:type="dxa" w:w="90"/>
              <w:bottom w:type="dxa" w:w="60"/>
              <w:right w:type="dxa" w:w="90"/>
            </w:tcMar>
          </w:tcPr>
          <w:p>
            <w:r>
              <w:rPr>
                <w:sz w:val="18"/>
                <w:szCs w:val="18"/>
              </w:rPr>
              <w:t xml:space="preserve">S2 3,986.67 − 0.25 × ATR (19.63) → 3,967.04, set below twice-defended low 3,985.76</w:t>
            </w:r>
          </w:p>
        </w:tc>
      </w:tr>
      <w:tr>
        <w:tc>
          <w:tcPr>
            <w:tcW w:type="dxa" w:w="1900"/>
            <w:tcMar>
              <w:top w:type="dxa" w:w="60"/>
              <w:left w:type="dxa" w:w="90"/>
              <w:bottom w:type="dxa" w:w="60"/>
              <w:right w:type="dxa" w:w="90"/>
            </w:tcMar>
          </w:tcPr>
          <w:p>
            <w:r>
              <w:rPr>
                <w:sz w:val="18"/>
                <w:szCs w:val="18"/>
              </w:rPr>
              <w:t xml:space="preserve">R (risk)</w:t>
            </w:r>
          </w:p>
        </w:tc>
        <w:tc>
          <w:tcPr>
            <w:tcW w:type="dxa" w:w="1500"/>
            <w:tcMar>
              <w:top w:type="dxa" w:w="60"/>
              <w:left w:type="dxa" w:w="90"/>
              <w:bottom w:type="dxa" w:w="60"/>
              <w:right w:type="dxa" w:w="90"/>
            </w:tcMar>
          </w:tcPr>
          <w:p>
            <w:r>
              <w:rPr>
                <w:sz w:val="18"/>
                <w:szCs w:val="18"/>
              </w:rPr>
              <w:t xml:space="preserve">41.37</w:t>
            </w:r>
          </w:p>
        </w:tc>
        <w:tc>
          <w:tcPr>
            <w:tcW w:type="dxa" w:w="1300"/>
            <w:tcMar>
              <w:top w:type="dxa" w:w="60"/>
              <w:left w:type="dxa" w:w="90"/>
              <w:bottom w:type="dxa" w:w="60"/>
              <w:right w:type="dxa" w:w="90"/>
            </w:tcMar>
          </w:tcPr>
          <w:p>
            <w:r>
              <w:rPr>
                <w:sz w:val="18"/>
                <w:szCs w:val="18"/>
              </w:rPr>
              <w:t xml:space="preserve">4,137</w:t>
            </w:r>
          </w:p>
        </w:tc>
        <w:tc>
          <w:tcPr>
            <w:tcW w:type="dxa" w:w="4660"/>
            <w:tcMar>
              <w:top w:type="dxa" w:w="60"/>
              <w:left w:type="dxa" w:w="90"/>
              <w:bottom w:type="dxa" w:w="60"/>
              <w:right w:type="dxa" w:w="90"/>
            </w:tcMar>
          </w:tcPr>
          <w:p>
            <w:r>
              <w:rPr>
                <w:sz w:val="18"/>
                <w:szCs w:val="18"/>
              </w:rPr>
              <w:t xml:space="preserve">0.53 × ATR</w:t>
            </w:r>
          </w:p>
        </w:tc>
      </w:tr>
      <w:tr>
        <w:tc>
          <w:tcPr>
            <w:tcW w:type="dxa" w:w="1900"/>
            <w:shd w:fill="F4F1EC" w:color="auto" w:val="clear"/>
            <w:tcMar>
              <w:top w:type="dxa" w:w="60"/>
              <w:left w:type="dxa" w:w="90"/>
              <w:bottom w:type="dxa" w:w="60"/>
              <w:right w:type="dxa" w:w="90"/>
            </w:tcMar>
          </w:tcPr>
          <w:p>
            <w:r>
              <w:rPr>
                <w:sz w:val="18"/>
                <w:szCs w:val="18"/>
              </w:rPr>
              <w:t xml:space="preserve">TP1 (Unit 1)</w:t>
            </w:r>
          </w:p>
        </w:tc>
        <w:tc>
          <w:tcPr>
            <w:tcW w:type="dxa" w:w="1500"/>
            <w:shd w:fill="F4F1EC" w:color="auto" w:val="clear"/>
            <w:tcMar>
              <w:top w:type="dxa" w:w="60"/>
              <w:left w:type="dxa" w:w="90"/>
              <w:bottom w:type="dxa" w:w="60"/>
              <w:right w:type="dxa" w:w="90"/>
            </w:tcMar>
          </w:tcPr>
          <w:p>
            <w:r>
              <w:rPr>
                <w:sz w:val="18"/>
                <w:szCs w:val="18"/>
              </w:rPr>
              <w:t xml:space="preserve">4,048.87</w:t>
            </w:r>
          </w:p>
        </w:tc>
        <w:tc>
          <w:tcPr>
            <w:tcW w:type="dxa" w:w="1300"/>
            <w:shd w:fill="F4F1EC" w:color="auto" w:val="clear"/>
            <w:tcMar>
              <w:top w:type="dxa" w:w="60"/>
              <w:left w:type="dxa" w:w="90"/>
              <w:bottom w:type="dxa" w:w="60"/>
              <w:right w:type="dxa" w:w="90"/>
            </w:tcMar>
          </w:tcPr>
          <w:p>
            <w:r>
              <w:rPr>
                <w:sz w:val="18"/>
                <w:szCs w:val="18"/>
              </w:rPr>
              <w:t xml:space="preserve">4,137</w:t>
            </w:r>
          </w:p>
        </w:tc>
        <w:tc>
          <w:tcPr>
            <w:tcW w:type="dxa" w:w="4660"/>
            <w:shd w:fill="F4F1EC" w:color="auto" w:val="clear"/>
            <w:tcMar>
              <w:top w:type="dxa" w:w="60"/>
              <w:left w:type="dxa" w:w="90"/>
              <w:bottom w:type="dxa" w:w="60"/>
              <w:right w:type="dxa" w:w="90"/>
            </w:tcMar>
          </w:tcPr>
          <w:p>
            <w:r>
              <w:rPr>
                <w:sz w:val="18"/>
                <w:szCs w:val="18"/>
              </w:rPr>
              <w:t xml:space="preserve">1 × R</w:t>
            </w:r>
          </w:p>
        </w:tc>
      </w:tr>
      <w:tr>
        <w:tc>
          <w:tcPr>
            <w:tcW w:type="dxa" w:w="1900"/>
            <w:tcMar>
              <w:top w:type="dxa" w:w="60"/>
              <w:left w:type="dxa" w:w="90"/>
              <w:bottom w:type="dxa" w:w="60"/>
              <w:right w:type="dxa" w:w="90"/>
            </w:tcMar>
          </w:tcPr>
          <w:p>
            <w:r>
              <w:rPr>
                <w:sz w:val="18"/>
                <w:szCs w:val="18"/>
              </w:rPr>
              <w:t xml:space="preserve">TP2 (Unit 2)</w:t>
            </w:r>
          </w:p>
        </w:tc>
        <w:tc>
          <w:tcPr>
            <w:tcW w:type="dxa" w:w="1500"/>
            <w:tcMar>
              <w:top w:type="dxa" w:w="60"/>
              <w:left w:type="dxa" w:w="90"/>
              <w:bottom w:type="dxa" w:w="60"/>
              <w:right w:type="dxa" w:w="90"/>
            </w:tcMar>
          </w:tcPr>
          <w:p>
            <w:r>
              <w:rPr>
                <w:sz w:val="18"/>
                <w:szCs w:val="18"/>
              </w:rPr>
              <w:t xml:space="preserve">4,090.24</w:t>
            </w:r>
          </w:p>
        </w:tc>
        <w:tc>
          <w:tcPr>
            <w:tcW w:type="dxa" w:w="1300"/>
            <w:tcMar>
              <w:top w:type="dxa" w:w="60"/>
              <w:left w:type="dxa" w:w="90"/>
              <w:bottom w:type="dxa" w:w="60"/>
              <w:right w:type="dxa" w:w="90"/>
            </w:tcMar>
          </w:tcPr>
          <w:p>
            <w:r>
              <w:rPr>
                <w:sz w:val="18"/>
                <w:szCs w:val="18"/>
              </w:rPr>
              <w:t xml:space="preserve">8,274</w:t>
            </w:r>
          </w:p>
        </w:tc>
        <w:tc>
          <w:tcPr>
            <w:tcW w:type="dxa" w:w="4660"/>
            <w:tcMar>
              <w:top w:type="dxa" w:w="60"/>
              <w:left w:type="dxa" w:w="90"/>
              <w:bottom w:type="dxa" w:w="60"/>
              <w:right w:type="dxa" w:w="90"/>
            </w:tcMar>
          </w:tcPr>
          <w:p>
            <w:r>
              <w:rPr>
                <w:sz w:val="18"/>
                <w:szCs w:val="18"/>
              </w:rPr>
              <w:t xml:space="preserve">2 × R · at 15-Jul session high</w:t>
            </w:r>
          </w:p>
        </w:tc>
      </w:tr>
      <w:tr>
        <w:tc>
          <w:tcPr>
            <w:tcW w:type="dxa" w:w="1900"/>
            <w:shd w:fill="F4F1EC" w:color="auto" w:val="clear"/>
            <w:tcMar>
              <w:top w:type="dxa" w:w="60"/>
              <w:left w:type="dxa" w:w="90"/>
              <w:bottom w:type="dxa" w:w="60"/>
              <w:right w:type="dxa" w:w="90"/>
            </w:tcMar>
          </w:tcPr>
          <w:p>
            <w:r>
              <w:rPr>
                <w:sz w:val="18"/>
                <w:szCs w:val="18"/>
              </w:rPr>
              <w:t xml:space="preserve">TP3 (Unit 3, runner)</w:t>
            </w:r>
          </w:p>
        </w:tc>
        <w:tc>
          <w:tcPr>
            <w:tcW w:type="dxa" w:w="1500"/>
            <w:shd w:fill="F4F1EC" w:color="auto" w:val="clear"/>
            <w:tcMar>
              <w:top w:type="dxa" w:w="60"/>
              <w:left w:type="dxa" w:w="90"/>
              <w:bottom w:type="dxa" w:w="60"/>
              <w:right w:type="dxa" w:w="90"/>
            </w:tcMar>
          </w:tcPr>
          <w:p>
            <w:r>
              <w:rPr>
                <w:sz w:val="18"/>
                <w:szCs w:val="18"/>
              </w:rPr>
              <w:t xml:space="preserve">4,131.61</w:t>
            </w:r>
          </w:p>
        </w:tc>
        <w:tc>
          <w:tcPr>
            <w:tcW w:type="dxa" w:w="1300"/>
            <w:shd w:fill="F4F1EC" w:color="auto" w:val="clear"/>
            <w:tcMar>
              <w:top w:type="dxa" w:w="60"/>
              <w:left w:type="dxa" w:w="90"/>
              <w:bottom w:type="dxa" w:w="60"/>
              <w:right w:type="dxa" w:w="90"/>
            </w:tcMar>
          </w:tcPr>
          <w:p>
            <w:r>
              <w:rPr>
                <w:sz w:val="18"/>
                <w:szCs w:val="18"/>
              </w:rPr>
              <w:t xml:space="preserve">12,411</w:t>
            </w:r>
          </w:p>
        </w:tc>
        <w:tc>
          <w:tcPr>
            <w:tcW w:type="dxa" w:w="4660"/>
            <w:shd w:fill="F4F1EC" w:color="auto" w:val="clear"/>
            <w:tcMar>
              <w:top w:type="dxa" w:w="60"/>
              <w:left w:type="dxa" w:w="90"/>
              <w:bottom w:type="dxa" w:w="60"/>
              <w:right w:type="dxa" w:w="90"/>
            </w:tcMar>
          </w:tcPr>
          <w:p>
            <w:r>
              <w:rPr>
                <w:sz w:val="18"/>
                <w:szCs w:val="18"/>
              </w:rPr>
              <w:t xml:space="preserve">3 × R · at R2 / 5d swing high 4,132.00</w:t>
            </w:r>
          </w:p>
        </w:tc>
      </w:tr>
      <w:tr>
        <w:tc>
          <w:tcPr>
            <w:tcW w:type="dxa" w:w="1900"/>
            <w:tcMar>
              <w:top w:type="dxa" w:w="60"/>
              <w:left w:type="dxa" w:w="90"/>
              <w:bottom w:type="dxa" w:w="60"/>
              <w:right w:type="dxa" w:w="90"/>
            </w:tcMar>
          </w:tcPr>
          <w:p>
            <w:r>
              <w:rPr>
                <w:sz w:val="18"/>
                <w:szCs w:val="18"/>
              </w:rPr>
              <w:t xml:space="preserve">Tranche management</w:t>
            </w:r>
          </w:p>
        </w:tc>
        <w:tc>
          <w:tcPr>
            <w:tcW w:type="dxa" w:w="1500"/>
            <w:tcMar>
              <w:top w:type="dxa" w:w="60"/>
              <w:left w:type="dxa" w:w="90"/>
              <w:bottom w:type="dxa" w:w="60"/>
              <w:right w:type="dxa" w:w="90"/>
            </w:tcMar>
          </w:tcPr>
          <w:p>
            <w:r>
              <w:rPr>
                <w:sz w:val="18"/>
                <w:szCs w:val="18"/>
              </w:rPr>
              <w:t xml:space="preserve">3 equal units</w:t>
            </w:r>
          </w:p>
        </w:tc>
        <w:tc>
          <w:tcPr>
            <w:tcW w:type="dxa" w:w="1300"/>
            <w:tcMar>
              <w:top w:type="dxa" w:w="60"/>
              <w:left w:type="dxa" w:w="90"/>
              <w:bottom w:type="dxa" w:w="60"/>
              <w:right w:type="dxa" w:w="90"/>
            </w:tcMar>
          </w:tcPr>
          <w:p>
            <w:r>
              <w:rPr>
                <w:sz w:val="18"/>
                <w:szCs w:val="18"/>
              </w:rPr>
              <w:t xml:space="preserve">—</w:t>
            </w:r>
          </w:p>
        </w:tc>
        <w:tc>
          <w:tcPr>
            <w:tcW w:type="dxa" w:w="4660"/>
            <w:tcMar>
              <w:top w:type="dxa" w:w="60"/>
              <w:left w:type="dxa" w:w="90"/>
              <w:bottom w:type="dxa" w:w="60"/>
              <w:right w:type="dxa" w:w="90"/>
            </w:tcMar>
          </w:tcPr>
          <w:p>
            <w:r>
              <w:rPr>
                <w:sz w:val="18"/>
                <w:szCs w:val="18"/>
              </w:rPr>
              <w:t xml:space="preserve">U1 at TP1; U2 at TP2; on U2 fill, U3 SL → entry + 0.2 × R = 4,015.77</w:t>
            </w:r>
          </w:p>
        </w:tc>
      </w:tr>
      <w:tr>
        <w:tc>
          <w:tcPr>
            <w:tcW w:type="dxa" w:w="1900"/>
            <w:shd w:fill="F4F1EC" w:color="auto" w:val="clear"/>
            <w:tcMar>
              <w:top w:type="dxa" w:w="60"/>
              <w:left w:type="dxa" w:w="90"/>
              <w:bottom w:type="dxa" w:w="60"/>
              <w:right w:type="dxa" w:w="90"/>
            </w:tcMar>
          </w:tcPr>
          <w:p>
            <w:r>
              <w:rPr>
                <w:sz w:val="18"/>
                <w:szCs w:val="18"/>
              </w:rPr>
              <w:t xml:space="preserve">Thesis invalidation</w:t>
            </w:r>
          </w:p>
        </w:tc>
        <w:tc>
          <w:tcPr>
            <w:tcW w:type="dxa" w:w="1500"/>
            <w:shd w:fill="F4F1EC" w:color="auto" w:val="clear"/>
            <w:tcMar>
              <w:top w:type="dxa" w:w="60"/>
              <w:left w:type="dxa" w:w="90"/>
              <w:bottom w:type="dxa" w:w="60"/>
              <w:right w:type="dxa" w:w="90"/>
            </w:tcMar>
          </w:tcPr>
          <w:p>
            <w:r>
              <w:rPr>
                <w:sz w:val="18"/>
                <w:szCs w:val="18"/>
              </w:rPr>
              <w:t xml:space="preserve">3,966.13</w:t>
            </w:r>
          </w:p>
        </w:tc>
        <w:tc>
          <w:tcPr>
            <w:tcW w:type="dxa" w:w="1300"/>
            <w:shd w:fill="F4F1EC" w:color="auto" w:val="clear"/>
            <w:tcMar>
              <w:top w:type="dxa" w:w="60"/>
              <w:left w:type="dxa" w:w="90"/>
              <w:bottom w:type="dxa" w:w="60"/>
              <w:right w:type="dxa" w:w="90"/>
            </w:tcMar>
          </w:tcPr>
          <w:p>
            <w:r>
              <w:rPr>
                <w:sz w:val="18"/>
                <w:szCs w:val="18"/>
              </w:rPr>
              <w:t xml:space="preserve">—</w:t>
            </w:r>
          </w:p>
        </w:tc>
        <w:tc>
          <w:tcPr>
            <w:tcW w:type="dxa" w:w="4660"/>
            <w:shd w:fill="F4F1EC" w:color="auto" w:val="clear"/>
            <w:tcMar>
              <w:top w:type="dxa" w:w="60"/>
              <w:left w:type="dxa" w:w="90"/>
              <w:bottom w:type="dxa" w:w="60"/>
              <w:right w:type="dxa" w:w="90"/>
            </w:tcMar>
          </w:tcPr>
          <w:p>
            <w:r>
              <w:rPr>
                <w:sz w:val="18"/>
                <w:szCs w:val="18"/>
              </w:rPr>
              <w:t xml:space="preserve">Coincides with SL. Loss of 3,985.76 opens 3,951.68 — range thesis dead.</w:t>
            </w:r>
          </w:p>
        </w:tc>
      </w:tr>
    </w:tbl>
    <w:p>
      <w:pPr>
        <w:spacing w:after="100"/>
      </w:pPr>
      <w:r>
        <w:rPr>
          <w:b w:val="false"/>
          <w:bCs w:val="false"/>
          <w:i w:val="false"/>
          <w:iCs w:val="false"/>
          <w:sz w:val="20"/>
          <w:szCs w:val="20"/>
        </w:rPr>
        <w:t xml:space="preserve">Trade 2 rationale. This is the highest-quality setup in the report and it is not a directional call. The range edges are exceptionally well-corroborated: S1.5 at 4,007.50 lands within 0.33 of an independently published support at 4,007.83, and R1.5 at 4,116.25 sits within 2.24 of a published resistance at 4,114.01. Both fade legs risk under 0.55 × ATR to target 3 × R at the opposite range boundary — a structurally favourable geometry that exists precisely because KER is telling us this market reverts rather than trends. Leg B carries the better location: it sits above a low defended twice within four cents, with the dollar broken below its own moving averages providing tailwind.</w:t>
      </w:r>
    </w:p>
    <w:p>
      <w:pPr>
        <w:spacing w:after="100"/>
      </w:pPr>
      <w:r>
        <w:rPr>
          <w:b w:val="false"/>
          <w:bCs w:val="false"/>
          <w:i w:val="false"/>
          <w:iCs w:val="false"/>
          <w:sz w:val="20"/>
          <w:szCs w:val="20"/>
        </w:rPr>
        <w:t xml:space="preserve"/>
      </w:r>
    </w:p>
    <w:p>
      <w:pPr>
        <w:spacing w:after="100"/>
      </w:pPr>
      <w:r>
        <w:rPr>
          <w:b/>
          <w:bCs/>
          <w:i w:val="false"/>
          <w:iCs w:val="false"/>
          <w:color w:val="2C6E49"/>
          <w:sz w:val="20"/>
          <w:szCs w:val="20"/>
        </w:rPr>
        <w:t xml:space="preserve">TRADE 3 — Regime-Driven Complex  ·  FORK: 3C (Breakout)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7A5C2E" w:color="auto" w:val="clear"/>
            <w:tcMar>
              <w:top w:type="dxa" w:w="60"/>
              <w:left w:type="dxa" w:w="90"/>
              <w:bottom w:type="dxa" w:w="60"/>
              <w:right w:type="dxa" w:w="90"/>
            </w:tcMar>
          </w:tcPr>
          <w:p>
            <w:r>
              <w:rPr>
                <w:b/>
                <w:bCs/>
                <w:color w:val="FFFFFF"/>
                <w:sz w:val="18"/>
                <w:szCs w:val="18"/>
              </w:rPr>
              <w:t xml:space="preserve">Element</w:t>
            </w:r>
          </w:p>
        </w:tc>
        <w:tc>
          <w:tcPr>
            <w:tcW w:type="dxa" w:w="6360"/>
            <w:shd w:fill="7A5C2E" w:color="auto" w:val="clear"/>
            <w:tcMar>
              <w:top w:type="dxa" w:w="60"/>
              <w:left w:type="dxa" w:w="90"/>
              <w:bottom w:type="dxa" w:w="60"/>
              <w:right w:type="dxa" w:w="90"/>
            </w:tcMar>
          </w:tcPr>
          <w:p>
            <w:r>
              <w:rPr>
                <w:b/>
                <w:bCs/>
                <w:color w:val="FFFFFF"/>
                <w:sz w:val="18"/>
                <w:szCs w:val="18"/>
              </w:rPr>
              <w:t xml:space="preserve">Value</w:t>
            </w:r>
          </w:p>
        </w:tc>
      </w:tr>
      <w:tr>
        <w:tc>
          <w:tcPr>
            <w:tcW w:type="dxa" w:w="3000"/>
            <w:tcMar>
              <w:top w:type="dxa" w:w="60"/>
              <w:left w:type="dxa" w:w="90"/>
              <w:bottom w:type="dxa" w:w="60"/>
              <w:right w:type="dxa" w:w="90"/>
            </w:tcMar>
          </w:tcPr>
          <w:p>
            <w:r>
              <w:rPr>
                <w:sz w:val="18"/>
                <w:szCs w:val="18"/>
              </w:rPr>
              <w:t xml:space="preserve">Fork selection</w:t>
            </w:r>
          </w:p>
        </w:tc>
        <w:tc>
          <w:tcPr>
            <w:tcW w:type="dxa" w:w="6360"/>
            <w:tcMar>
              <w:top w:type="dxa" w:w="60"/>
              <w:left w:type="dxa" w:w="90"/>
              <w:bottom w:type="dxa" w:w="60"/>
              <w:right w:type="dxa" w:w="90"/>
            </w:tcMar>
          </w:tcPr>
          <w:p>
            <w:r>
              <w:rPr>
                <w:sz w:val="18"/>
                <w:szCs w:val="18"/>
              </w:rPr>
              <w:t xml:space="preserve">3C — Range Breakout. Regime is RANGING (KER 0.117), so 3A/3B trend-continuation forks do not apply. 3C's anchor is the 25-day range boundary, not the fib swing.</w:t>
            </w:r>
          </w:p>
        </w:tc>
      </w:tr>
      <w:tr>
        <w:tc>
          <w:tcPr>
            <w:tcW w:type="dxa" w:w="3000"/>
            <w:shd w:fill="F4F1EC" w:color="auto" w:val="clear"/>
            <w:tcMar>
              <w:top w:type="dxa" w:w="60"/>
              <w:left w:type="dxa" w:w="90"/>
              <w:bottom w:type="dxa" w:w="60"/>
              <w:right w:type="dxa" w:w="90"/>
            </w:tcMar>
          </w:tcPr>
          <w:p>
            <w:r>
              <w:rPr>
                <w:sz w:val="18"/>
                <w:szCs w:val="18"/>
              </w:rPr>
              <w:t xml:space="preserve">Range boundaries (M5 §4d)</w:t>
            </w:r>
          </w:p>
        </w:tc>
        <w:tc>
          <w:tcPr>
            <w:tcW w:type="dxa" w:w="6360"/>
            <w:shd w:fill="F4F1EC" w:color="auto" w:val="clear"/>
            <w:tcMar>
              <w:top w:type="dxa" w:w="60"/>
              <w:left w:type="dxa" w:w="90"/>
              <w:bottom w:type="dxa" w:w="60"/>
              <w:right w:type="dxa" w:w="90"/>
            </w:tcMar>
          </w:tcPr>
          <w:p>
            <w:r>
              <w:rPr>
                <w:sz w:val="18"/>
                <w:szCs w:val="18"/>
              </w:rPr>
              <w:t xml:space="preserve">swing_high_25d ≈ 4,310.00 · swing_low_25d = 3,985.76</w:t>
            </w:r>
          </w:p>
        </w:tc>
      </w:tr>
      <w:tr>
        <w:tc>
          <w:tcPr>
            <w:tcW w:type="dxa" w:w="3000"/>
            <w:tcMar>
              <w:top w:type="dxa" w:w="60"/>
              <w:left w:type="dxa" w:w="90"/>
              <w:bottom w:type="dxa" w:w="60"/>
              <w:right w:type="dxa" w:w="90"/>
            </w:tcMar>
          </w:tcPr>
          <w:p>
            <w:r>
              <w:rPr>
                <w:sz w:val="18"/>
                <w:szCs w:val="18"/>
              </w:rPr>
              <w:t xml:space="preserve">Confirmed-break requirement</w:t>
            </w:r>
          </w:p>
        </w:tc>
        <w:tc>
          <w:tcPr>
            <w:tcW w:type="dxa" w:w="6360"/>
            <w:tcMar>
              <w:top w:type="dxa" w:w="60"/>
              <w:left w:type="dxa" w:w="90"/>
              <w:bottom w:type="dxa" w:w="60"/>
              <w:right w:type="dxa" w:w="90"/>
            </w:tcMar>
          </w:tcPr>
          <w:p>
            <w:r>
              <w:rPr>
                <w:sz w:val="18"/>
                <w:szCs w:val="18"/>
              </w:rPr>
              <w:t xml:space="preserve">Daily close beyond boundary by ≥ 0.25 × ATR(14) = 19.63</w:t>
            </w:r>
          </w:p>
        </w:tc>
      </w:tr>
      <w:tr>
        <w:tc>
          <w:tcPr>
            <w:tcW w:type="dxa" w:w="3000"/>
            <w:shd w:fill="F4F1EC" w:color="auto" w:val="clear"/>
            <w:tcMar>
              <w:top w:type="dxa" w:w="60"/>
              <w:left w:type="dxa" w:w="90"/>
              <w:bottom w:type="dxa" w:w="60"/>
              <w:right w:type="dxa" w:w="90"/>
            </w:tcMar>
          </w:tcPr>
          <w:p>
            <w:r>
              <w:rPr>
                <w:sz w:val="18"/>
                <w:szCs w:val="18"/>
              </w:rPr>
              <w:t xml:space="preserve">Eligibility</w:t>
            </w:r>
          </w:p>
        </w:tc>
        <w:tc>
          <w:tcPr>
            <w:tcW w:type="dxa" w:w="6360"/>
            <w:shd w:fill="F4F1EC" w:color="auto" w:val="clear"/>
            <w:tcMar>
              <w:top w:type="dxa" w:w="60"/>
              <w:left w:type="dxa" w:w="90"/>
              <w:bottom w:type="dxa" w:w="60"/>
              <w:right w:type="dxa" w:w="90"/>
            </w:tcMar>
          </w:tcPr>
          <w:p>
            <w:r>
              <w:rPr>
                <w:sz w:val="18"/>
                <w:szCs w:val="18"/>
              </w:rPr>
              <w:t xml:space="preserve">CONDITIONAL — no confirming close exists at time of writing. The trade is armed, not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300"/>
        <w:gridCol w:w="1500"/>
        <w:gridCol w:w="1020"/>
        <w:gridCol w:w="1020"/>
        <w:gridCol w:w="1020"/>
      </w:tblGrid>
      <w:tr>
        <w:trPr>
          <w:tblHeader/>
        </w:trPr>
        <w:tc>
          <w:tcPr>
            <w:tcW w:type="dxa" w:w="1100"/>
            <w:shd w:fill="7A5C2E" w:color="auto" w:val="clear"/>
            <w:tcMar>
              <w:top w:type="dxa" w:w="60"/>
              <w:left w:type="dxa" w:w="90"/>
              <w:bottom w:type="dxa" w:w="60"/>
              <w:right w:type="dxa" w:w="90"/>
            </w:tcMar>
          </w:tcPr>
          <w:p>
            <w:r>
              <w:rPr>
                <w:b/>
                <w:bCs/>
                <w:color w:val="FFFFFF"/>
                <w:sz w:val="18"/>
                <w:szCs w:val="18"/>
              </w:rPr>
              <w:t xml:space="preserve">Direction</w:t>
            </w:r>
          </w:p>
        </w:tc>
        <w:tc>
          <w:tcPr>
            <w:tcW w:type="dxa" w:w="2400"/>
            <w:shd w:fill="7A5C2E" w:color="auto" w:val="clear"/>
            <w:tcMar>
              <w:top w:type="dxa" w:w="60"/>
              <w:left w:type="dxa" w:w="90"/>
              <w:bottom w:type="dxa" w:w="60"/>
              <w:right w:type="dxa" w:w="90"/>
            </w:tcMar>
          </w:tcPr>
          <w:p>
            <w:r>
              <w:rPr>
                <w:b/>
                <w:bCs/>
                <w:color w:val="FFFFFF"/>
                <w:sz w:val="18"/>
                <w:szCs w:val="18"/>
              </w:rPr>
              <w:t xml:space="preserve">Trigger (confirmed daily close)</w:t>
            </w:r>
          </w:p>
        </w:tc>
        <w:tc>
          <w:tcPr>
            <w:tcW w:type="dxa" w:w="1300"/>
            <w:shd w:fill="7A5C2E" w:color="auto" w:val="clear"/>
            <w:tcMar>
              <w:top w:type="dxa" w:w="60"/>
              <w:left w:type="dxa" w:w="90"/>
              <w:bottom w:type="dxa" w:w="60"/>
              <w:right w:type="dxa" w:w="90"/>
            </w:tcMar>
          </w:tcPr>
          <w:p>
            <w:r>
              <w:rPr>
                <w:b/>
                <w:bCs/>
                <w:color w:val="FFFFFF"/>
                <w:sz w:val="18"/>
                <w:szCs w:val="18"/>
              </w:rPr>
              <w:t xml:space="preserve">Entry</w:t>
            </w:r>
          </w:p>
        </w:tc>
        <w:tc>
          <w:tcPr>
            <w:tcW w:type="dxa" w:w="1500"/>
            <w:shd w:fill="7A5C2E" w:color="auto" w:val="clear"/>
            <w:tcMar>
              <w:top w:type="dxa" w:w="60"/>
              <w:left w:type="dxa" w:w="90"/>
              <w:bottom w:type="dxa" w:w="60"/>
              <w:right w:type="dxa" w:w="90"/>
            </w:tcMar>
          </w:tcPr>
          <w:p>
            <w:r>
              <w:rPr>
                <w:b/>
                <w:bCs/>
                <w:color w:val="FFFFFF"/>
                <w:sz w:val="18"/>
                <w:szCs w:val="18"/>
              </w:rPr>
              <w:t xml:space="preserve">Stop loss</w:t>
            </w:r>
          </w:p>
        </w:tc>
        <w:tc>
          <w:tcPr>
            <w:tcW w:type="dxa" w:w="1020"/>
            <w:shd w:fill="7A5C2E" w:color="auto" w:val="clear"/>
            <w:tcMar>
              <w:top w:type="dxa" w:w="60"/>
              <w:left w:type="dxa" w:w="90"/>
              <w:bottom w:type="dxa" w:w="60"/>
              <w:right w:type="dxa" w:w="90"/>
            </w:tcMar>
          </w:tcPr>
          <w:p>
            <w:r>
              <w:rPr>
                <w:b/>
                <w:bCs/>
                <w:color w:val="FFFFFF"/>
                <w:sz w:val="18"/>
                <w:szCs w:val="18"/>
              </w:rPr>
              <w:t xml:space="preserve">TP1</w:t>
            </w:r>
          </w:p>
        </w:tc>
        <w:tc>
          <w:tcPr>
            <w:tcW w:type="dxa" w:w="1020"/>
            <w:shd w:fill="7A5C2E" w:color="auto" w:val="clear"/>
            <w:tcMar>
              <w:top w:type="dxa" w:w="60"/>
              <w:left w:type="dxa" w:w="90"/>
              <w:bottom w:type="dxa" w:w="60"/>
              <w:right w:type="dxa" w:w="90"/>
            </w:tcMar>
          </w:tcPr>
          <w:p>
            <w:r>
              <w:rPr>
                <w:b/>
                <w:bCs/>
                <w:color w:val="FFFFFF"/>
                <w:sz w:val="18"/>
                <w:szCs w:val="18"/>
              </w:rPr>
              <w:t xml:space="preserve">TP2</w:t>
            </w:r>
          </w:p>
        </w:tc>
        <w:tc>
          <w:tcPr>
            <w:tcW w:type="dxa" w:w="1020"/>
            <w:shd w:fill="7A5C2E" w:color="auto" w:val="clear"/>
            <w:tcMar>
              <w:top w:type="dxa" w:w="60"/>
              <w:left w:type="dxa" w:w="90"/>
              <w:bottom w:type="dxa" w:w="60"/>
              <w:right w:type="dxa" w:w="90"/>
            </w:tcMar>
          </w:tcPr>
          <w:p>
            <w:r>
              <w:rPr>
                <w:b/>
                <w:bCs/>
                <w:color w:val="FFFFFF"/>
                <w:sz w:val="18"/>
                <w:szCs w:val="18"/>
              </w:rPr>
              <w:t xml:space="preserve">TP3</w:t>
            </w:r>
          </w:p>
        </w:tc>
      </w:tr>
      <w:tr>
        <w:tc>
          <w:tcPr>
            <w:tcW w:type="dxa" w:w="1100"/>
            <w:tcMar>
              <w:top w:type="dxa" w:w="60"/>
              <w:left w:type="dxa" w:w="90"/>
              <w:bottom w:type="dxa" w:w="60"/>
              <w:right w:type="dxa" w:w="90"/>
            </w:tcMar>
          </w:tcPr>
          <w:p>
            <w:r>
              <w:rPr>
                <w:sz w:val="18"/>
                <w:szCs w:val="18"/>
              </w:rPr>
              <w:t xml:space="preserve">Upside</w:t>
            </w:r>
          </w:p>
        </w:tc>
        <w:tc>
          <w:tcPr>
            <w:tcW w:type="dxa" w:w="2400"/>
            <w:tcMar>
              <w:top w:type="dxa" w:w="60"/>
              <w:left w:type="dxa" w:w="90"/>
              <w:bottom w:type="dxa" w:w="60"/>
              <w:right w:type="dxa" w:w="90"/>
            </w:tcMar>
          </w:tcPr>
          <w:p>
            <w:r>
              <w:rPr>
                <w:sz w:val="18"/>
                <w:szCs w:val="18"/>
              </w:rPr>
              <w:t xml:space="preserve">Close &gt; 4,329.63</w:t>
            </w:r>
          </w:p>
        </w:tc>
        <w:tc>
          <w:tcPr>
            <w:tcW w:type="dxa" w:w="1300"/>
            <w:tcMar>
              <w:top w:type="dxa" w:w="60"/>
              <w:left w:type="dxa" w:w="90"/>
              <w:bottom w:type="dxa" w:w="60"/>
              <w:right w:type="dxa" w:w="90"/>
            </w:tcMar>
          </w:tcPr>
          <w:p>
            <w:r>
              <w:rPr>
                <w:sz w:val="18"/>
                <w:szCs w:val="18"/>
              </w:rPr>
              <w:t xml:space="preserve">4,329.63</w:t>
            </w:r>
          </w:p>
        </w:tc>
        <w:tc>
          <w:tcPr>
            <w:tcW w:type="dxa" w:w="1500"/>
            <w:tcMar>
              <w:top w:type="dxa" w:w="60"/>
              <w:left w:type="dxa" w:w="90"/>
              <w:bottom w:type="dxa" w:w="60"/>
              <w:right w:type="dxa" w:w="90"/>
            </w:tcMar>
          </w:tcPr>
          <w:p>
            <w:r>
              <w:rPr>
                <w:sz w:val="18"/>
                <w:szCs w:val="18"/>
              </w:rPr>
              <w:t xml:space="preserve">4,251.13 (1 × ATR)</w:t>
            </w:r>
          </w:p>
        </w:tc>
        <w:tc>
          <w:tcPr>
            <w:tcW w:type="dxa" w:w="1020"/>
            <w:tcMar>
              <w:top w:type="dxa" w:w="60"/>
              <w:left w:type="dxa" w:w="90"/>
              <w:bottom w:type="dxa" w:w="60"/>
              <w:right w:type="dxa" w:w="90"/>
            </w:tcMar>
          </w:tcPr>
          <w:p>
            <w:r>
              <w:rPr>
                <w:sz w:val="18"/>
                <w:szCs w:val="18"/>
              </w:rPr>
              <w:t xml:space="preserve">4,408.13</w:t>
            </w:r>
          </w:p>
        </w:tc>
        <w:tc>
          <w:tcPr>
            <w:tcW w:type="dxa" w:w="1020"/>
            <w:tcMar>
              <w:top w:type="dxa" w:w="60"/>
              <w:left w:type="dxa" w:w="90"/>
              <w:bottom w:type="dxa" w:w="60"/>
              <w:right w:type="dxa" w:w="90"/>
            </w:tcMar>
          </w:tcPr>
          <w:p>
            <w:r>
              <w:rPr>
                <w:sz w:val="18"/>
                <w:szCs w:val="18"/>
              </w:rPr>
              <w:t xml:space="preserve">4,486.63</w:t>
            </w:r>
          </w:p>
        </w:tc>
        <w:tc>
          <w:tcPr>
            <w:tcW w:type="dxa" w:w="1020"/>
            <w:tcMar>
              <w:top w:type="dxa" w:w="60"/>
              <w:left w:type="dxa" w:w="90"/>
              <w:bottom w:type="dxa" w:w="60"/>
              <w:right w:type="dxa" w:w="90"/>
            </w:tcMar>
          </w:tcPr>
          <w:p>
            <w:r>
              <w:rPr>
                <w:sz w:val="18"/>
                <w:szCs w:val="18"/>
              </w:rPr>
              <w:t xml:space="preserve">4,565.13</w:t>
            </w:r>
          </w:p>
        </w:tc>
      </w:tr>
      <w:tr>
        <w:tc>
          <w:tcPr>
            <w:tcW w:type="dxa" w:w="1100"/>
            <w:shd w:fill="F4F1EC" w:color="auto" w:val="clear"/>
            <w:tcMar>
              <w:top w:type="dxa" w:w="60"/>
              <w:left w:type="dxa" w:w="90"/>
              <w:bottom w:type="dxa" w:w="60"/>
              <w:right w:type="dxa" w:w="90"/>
            </w:tcMar>
          </w:tcPr>
          <w:p>
            <w:r>
              <w:rPr>
                <w:sz w:val="18"/>
                <w:szCs w:val="18"/>
              </w:rPr>
              <w:t xml:space="preserve">Downside</w:t>
            </w:r>
          </w:p>
        </w:tc>
        <w:tc>
          <w:tcPr>
            <w:tcW w:type="dxa" w:w="2400"/>
            <w:shd w:fill="F4F1EC" w:color="auto" w:val="clear"/>
            <w:tcMar>
              <w:top w:type="dxa" w:w="60"/>
              <w:left w:type="dxa" w:w="90"/>
              <w:bottom w:type="dxa" w:w="60"/>
              <w:right w:type="dxa" w:w="90"/>
            </w:tcMar>
          </w:tcPr>
          <w:p>
            <w:r>
              <w:rPr>
                <w:sz w:val="18"/>
                <w:szCs w:val="18"/>
              </w:rPr>
              <w:t xml:space="preserve">Close &lt; 3,966.13</w:t>
            </w:r>
          </w:p>
        </w:tc>
        <w:tc>
          <w:tcPr>
            <w:tcW w:type="dxa" w:w="1300"/>
            <w:shd w:fill="F4F1EC" w:color="auto" w:val="clear"/>
            <w:tcMar>
              <w:top w:type="dxa" w:w="60"/>
              <w:left w:type="dxa" w:w="90"/>
              <w:bottom w:type="dxa" w:w="60"/>
              <w:right w:type="dxa" w:w="90"/>
            </w:tcMar>
          </w:tcPr>
          <w:p>
            <w:r>
              <w:rPr>
                <w:sz w:val="18"/>
                <w:szCs w:val="18"/>
              </w:rPr>
              <w:t xml:space="preserve">3,966.13</w:t>
            </w:r>
          </w:p>
        </w:tc>
        <w:tc>
          <w:tcPr>
            <w:tcW w:type="dxa" w:w="1500"/>
            <w:shd w:fill="F4F1EC" w:color="auto" w:val="clear"/>
            <w:tcMar>
              <w:top w:type="dxa" w:w="60"/>
              <w:left w:type="dxa" w:w="90"/>
              <w:bottom w:type="dxa" w:w="60"/>
              <w:right w:type="dxa" w:w="90"/>
            </w:tcMar>
          </w:tcPr>
          <w:p>
            <w:r>
              <w:rPr>
                <w:sz w:val="18"/>
                <w:szCs w:val="18"/>
              </w:rPr>
              <w:t xml:space="preserve">4,044.63 (1 × ATR)</w:t>
            </w:r>
          </w:p>
        </w:tc>
        <w:tc>
          <w:tcPr>
            <w:tcW w:type="dxa" w:w="1020"/>
            <w:shd w:fill="F4F1EC" w:color="auto" w:val="clear"/>
            <w:tcMar>
              <w:top w:type="dxa" w:w="60"/>
              <w:left w:type="dxa" w:w="90"/>
              <w:bottom w:type="dxa" w:w="60"/>
              <w:right w:type="dxa" w:w="90"/>
            </w:tcMar>
          </w:tcPr>
          <w:p>
            <w:r>
              <w:rPr>
                <w:sz w:val="18"/>
                <w:szCs w:val="18"/>
              </w:rPr>
              <w:t xml:space="preserve">3,887.63</w:t>
            </w:r>
          </w:p>
        </w:tc>
        <w:tc>
          <w:tcPr>
            <w:tcW w:type="dxa" w:w="1020"/>
            <w:shd w:fill="F4F1EC" w:color="auto" w:val="clear"/>
            <w:tcMar>
              <w:top w:type="dxa" w:w="60"/>
              <w:left w:type="dxa" w:w="90"/>
              <w:bottom w:type="dxa" w:w="60"/>
              <w:right w:type="dxa" w:w="90"/>
            </w:tcMar>
          </w:tcPr>
          <w:p>
            <w:r>
              <w:rPr>
                <w:sz w:val="18"/>
                <w:szCs w:val="18"/>
              </w:rPr>
              <w:t xml:space="preserve">3,809.13</w:t>
            </w:r>
          </w:p>
        </w:tc>
        <w:tc>
          <w:tcPr>
            <w:tcW w:type="dxa" w:w="1020"/>
            <w:shd w:fill="F4F1EC" w:color="auto" w:val="clear"/>
            <w:tcMar>
              <w:top w:type="dxa" w:w="60"/>
              <w:left w:type="dxa" w:w="90"/>
              <w:bottom w:type="dxa" w:w="60"/>
              <w:right w:type="dxa" w:w="90"/>
            </w:tcMar>
          </w:tcPr>
          <w:p>
            <w:r>
              <w:rPr>
                <w:sz w:val="18"/>
                <w:szCs w:val="18"/>
              </w:rPr>
              <w:t xml:space="preserve">3,730.63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7A5C2E" w:color="auto" w:val="clear"/>
            <w:tcMar>
              <w:top w:type="dxa" w:w="60"/>
              <w:left w:type="dxa" w:w="90"/>
              <w:bottom w:type="dxa" w:w="60"/>
              <w:right w:type="dxa" w:w="90"/>
            </w:tcMar>
          </w:tcPr>
          <w:p>
            <w:r>
              <w:rPr>
                <w:b/>
                <w:bCs/>
                <w:color w:val="FFFFFF"/>
                <w:sz w:val="18"/>
                <w:szCs w:val="18"/>
              </w:rPr>
              <w:t xml:space="preserve">Element</w:t>
            </w:r>
          </w:p>
        </w:tc>
        <w:tc>
          <w:tcPr>
            <w:tcW w:type="dxa" w:w="6360"/>
            <w:shd w:fill="7A5C2E" w:color="auto" w:val="clear"/>
            <w:tcMar>
              <w:top w:type="dxa" w:w="60"/>
              <w:left w:type="dxa" w:w="90"/>
              <w:bottom w:type="dxa" w:w="60"/>
              <w:right w:type="dxa" w:w="90"/>
            </w:tcMar>
          </w:tcPr>
          <w:p>
            <w:r>
              <w:rPr>
                <w:b/>
                <w:bCs/>
                <w:color w:val="FFFFFF"/>
                <w:sz w:val="18"/>
                <w:szCs w:val="18"/>
              </w:rPr>
              <w:t xml:space="preserve">Value</w:t>
            </w:r>
          </w:p>
        </w:tc>
      </w:tr>
      <w:tr>
        <w:tc>
          <w:tcPr>
            <w:tcW w:type="dxa" w:w="3000"/>
            <w:tcMar>
              <w:top w:type="dxa" w:w="60"/>
              <w:left w:type="dxa" w:w="90"/>
              <w:bottom w:type="dxa" w:w="60"/>
              <w:right w:type="dxa" w:w="90"/>
            </w:tcMar>
          </w:tcPr>
          <w:p>
            <w:r>
              <w:rPr>
                <w:sz w:val="18"/>
                <w:szCs w:val="18"/>
              </w:rPr>
              <w:t xml:space="preserve">R (both directions)</w:t>
            </w:r>
          </w:p>
        </w:tc>
        <w:tc>
          <w:tcPr>
            <w:tcW w:type="dxa" w:w="6360"/>
            <w:tcMar>
              <w:top w:type="dxa" w:w="60"/>
              <w:left w:type="dxa" w:w="90"/>
              <w:bottom w:type="dxa" w:w="60"/>
              <w:right w:type="dxa" w:w="90"/>
            </w:tcMar>
          </w:tcPr>
          <w:p>
            <w:r>
              <w:rPr>
                <w:sz w:val="18"/>
                <w:szCs w:val="18"/>
              </w:rPr>
              <w:t xml:space="preserve">78.50 (7,850 ticks) = 1 × ATR(14)</w:t>
            </w:r>
          </w:p>
        </w:tc>
      </w:tr>
      <w:tr>
        <w:tc>
          <w:tcPr>
            <w:tcW w:type="dxa" w:w="3000"/>
            <w:shd w:fill="F4F1EC" w:color="auto" w:val="clear"/>
            <w:tcMar>
              <w:top w:type="dxa" w:w="60"/>
              <w:left w:type="dxa" w:w="90"/>
              <w:bottom w:type="dxa" w:w="60"/>
              <w:right w:type="dxa" w:w="90"/>
            </w:tcMar>
          </w:tcPr>
          <w:p>
            <w:r>
              <w:rPr>
                <w:sz w:val="18"/>
                <w:szCs w:val="18"/>
              </w:rPr>
              <w:t xml:space="preserve">Tranche management</w:t>
            </w:r>
          </w:p>
        </w:tc>
        <w:tc>
          <w:tcPr>
            <w:tcW w:type="dxa" w:w="6360"/>
            <w:shd w:fill="F4F1EC" w:color="auto" w:val="clear"/>
            <w:tcMar>
              <w:top w:type="dxa" w:w="60"/>
              <w:left w:type="dxa" w:w="90"/>
              <w:bottom w:type="dxa" w:w="60"/>
              <w:right w:type="dxa" w:w="90"/>
            </w:tcMar>
          </w:tcPr>
          <w:p>
            <w:r>
              <w:rPr>
                <w:sz w:val="18"/>
                <w:szCs w:val="18"/>
              </w:rPr>
              <w:t xml:space="preserve">3 equal units. U1 at TP1 (1 × R); U2 at TP2 (2 × R); on U2 fill, U3 SL → entry ± 0.2 × R (15.70).</w:t>
            </w:r>
          </w:p>
        </w:tc>
      </w:tr>
      <w:tr>
        <w:tc>
          <w:tcPr>
            <w:tcW w:type="dxa" w:w="3000"/>
            <w:tcMar>
              <w:top w:type="dxa" w:w="60"/>
              <w:left w:type="dxa" w:w="90"/>
              <w:bottom w:type="dxa" w:w="60"/>
              <w:right w:type="dxa" w:w="90"/>
            </w:tcMar>
          </w:tcPr>
          <w:p>
            <w:r>
              <w:rPr>
                <w:sz w:val="18"/>
                <w:szCs w:val="18"/>
              </w:rPr>
              <w:t xml:space="preserve">Thesis invalidation</w:t>
            </w:r>
          </w:p>
        </w:tc>
        <w:tc>
          <w:tcPr>
            <w:tcW w:type="dxa" w:w="6360"/>
            <w:tcMar>
              <w:top w:type="dxa" w:w="60"/>
              <w:left w:type="dxa" w:w="90"/>
              <w:bottom w:type="dxa" w:w="60"/>
              <w:right w:type="dxa" w:w="90"/>
            </w:tcMar>
          </w:tcPr>
          <w:p>
            <w:r>
              <w:rPr>
                <w:sz w:val="18"/>
                <w:szCs w:val="18"/>
              </w:rPr>
              <w:t xml:space="preserve">Re-entry into the prior range — i.e. a close back inside 3,985.76 – 4,310.00 voids the breakout regardless of stop.</w:t>
            </w:r>
          </w:p>
        </w:tc>
      </w:tr>
      <w:tr>
        <w:tc>
          <w:tcPr>
            <w:tcW w:type="dxa" w:w="3000"/>
            <w:shd w:fill="F4F1EC" w:color="auto" w:val="clear"/>
            <w:tcMar>
              <w:top w:type="dxa" w:w="60"/>
              <w:left w:type="dxa" w:w="90"/>
              <w:bottom w:type="dxa" w:w="60"/>
              <w:right w:type="dxa" w:w="90"/>
            </w:tcMar>
          </w:tcPr>
          <w:p>
            <w:r>
              <w:rPr>
                <w:sz w:val="18"/>
                <w:szCs w:val="18"/>
              </w:rPr>
              <w:t xml:space="preserve">Near-term realism</w:t>
            </w:r>
          </w:p>
        </w:tc>
        <w:tc>
          <w:tcPr>
            <w:tcW w:type="dxa" w:w="6360"/>
            <w:shd w:fill="F4F1EC" w:color="auto" w:val="clear"/>
            <w:tcMar>
              <w:top w:type="dxa" w:w="60"/>
              <w:left w:type="dxa" w:w="90"/>
              <w:bottom w:type="dxa" w:w="60"/>
              <w:right w:type="dxa" w:w="90"/>
            </w:tcMar>
          </w:tcPr>
          <w:p>
            <w:r>
              <w:rPr>
                <w:sz w:val="18"/>
                <w:szCs w:val="18"/>
              </w:rPr>
              <w:t xml:space="preserve">The downside trigger at 3,966.13 sits 104 points below spot; the upside trigger at 4,329.63 sits 260 points above. Neither is a plausible 16-Jul close (ATR 78.50). This card is a 5-day contingency, most likely armed by the 17-Jul Michigan print.</w:t>
            </w:r>
          </w:p>
        </w:tc>
      </w:tr>
    </w:tbl>
    <w:p>
      <w:pPr>
        <w:spacing w:after="100"/>
      </w:pPr>
      <w:r>
        <w:rPr>
          <w:b w:val="false"/>
          <w:bCs w:val="false"/>
          <w:i w:val="false"/>
          <w:iCs w:val="false"/>
          <w:sz w:val="20"/>
          <w:szCs w:val="20"/>
        </w:rPr>
        <w:t xml:space="preserve">Trade 3 rationale. 3C is the correct fork and it is honest about being conditional. The engine will not manufacture a breakout in a market with 11.7% efficiency. What 3C does is pre-commit the response: if Michigan re-arms the September hike case and gold loses 3,985.76 on a close, the downside leg fires into a level with no structural support until 3,951.68 and a documented risk zone at 3,900. The asymmetry in trigger distance — 104 points down versus 260 points up — is itself informative: the range's floor is far closer than its ceiling, which is the geometry of a bear-trend consolidation.</w:t>
      </w:r>
    </w:p>
    <w:p>
      <w:pPr>
        <w:pStyle w:val="Heading2"/>
        <w:spacing w:after="120" w:before="240"/>
      </w:pPr>
      <w:r>
        <w:t xml:space="preserve">§21c  No-Leakage Backtest — 5 Sessions</w:t>
      </w:r>
    </w:p>
    <w:p>
      <w:pPr>
        <w:spacing w:after="100"/>
      </w:pPr>
      <w:r>
        <w:rPr>
          <w:b w:val="false"/>
          <w:bCs w:val="false"/>
          <w:i w:val="false"/>
          <w:iCs w:val="false"/>
          <w:sz w:val="20"/>
          <w:szCs w:val="20"/>
        </w:rPr>
        <w:t xml:space="preserve">[BACKTEST_LOOKBACK_DAYS] = 5. Each session replayed using only information available at that session's 00:00 UK anchor. No forward data used in any signal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760"/>
        <w:gridCol w:w="2800"/>
        <w:gridCol w:w="1200"/>
      </w:tblGrid>
      <w:tr>
        <w:trPr>
          <w:tblHeader/>
        </w:trPr>
        <w:tc>
          <w:tcPr>
            <w:tcW w:type="dxa" w:w="1100"/>
            <w:shd w:fill="7A5C2E" w:color="auto" w:val="clear"/>
            <w:tcMar>
              <w:top w:type="dxa" w:w="60"/>
              <w:left w:type="dxa" w:w="90"/>
              <w:bottom w:type="dxa" w:w="60"/>
              <w:right w:type="dxa" w:w="90"/>
            </w:tcMar>
          </w:tcPr>
          <w:p>
            <w:r>
              <w:rPr>
                <w:b/>
                <w:bCs/>
                <w:color w:val="FFFFFF"/>
                <w:sz w:val="18"/>
                <w:szCs w:val="18"/>
              </w:rPr>
              <w:t xml:space="preserve">Session</w:t>
            </w:r>
          </w:p>
        </w:tc>
        <w:tc>
          <w:tcPr>
            <w:tcW w:type="dxa" w:w="1500"/>
            <w:shd w:fill="7A5C2E" w:color="auto" w:val="clear"/>
            <w:tcMar>
              <w:top w:type="dxa" w:w="60"/>
              <w:left w:type="dxa" w:w="90"/>
              <w:bottom w:type="dxa" w:w="60"/>
              <w:right w:type="dxa" w:w="90"/>
            </w:tcMar>
          </w:tcPr>
          <w:p>
            <w:r>
              <w:rPr>
                <w:b/>
                <w:bCs/>
                <w:color w:val="FFFFFF"/>
                <w:sz w:val="18"/>
                <w:szCs w:val="18"/>
              </w:rPr>
              <w:t xml:space="preserve">Anchor entry</w:t>
            </w:r>
          </w:p>
        </w:tc>
        <w:tc>
          <w:tcPr>
            <w:tcW w:type="dxa" w:w="2760"/>
            <w:shd w:fill="7A5C2E" w:color="auto" w:val="clear"/>
            <w:tcMar>
              <w:top w:type="dxa" w:w="60"/>
              <w:left w:type="dxa" w:w="90"/>
              <w:bottom w:type="dxa" w:w="60"/>
              <w:right w:type="dxa" w:w="90"/>
            </w:tcMar>
          </w:tcPr>
          <w:p>
            <w:r>
              <w:rPr>
                <w:b/>
                <w:bCs/>
                <w:color w:val="FFFFFF"/>
                <w:sz w:val="18"/>
                <w:szCs w:val="18"/>
              </w:rPr>
              <w:t xml:space="preserve">Signal state</w:t>
            </w:r>
          </w:p>
        </w:tc>
        <w:tc>
          <w:tcPr>
            <w:tcW w:type="dxa" w:w="2800"/>
            <w:shd w:fill="7A5C2E" w:color="auto" w:val="clear"/>
            <w:tcMar>
              <w:top w:type="dxa" w:w="60"/>
              <w:left w:type="dxa" w:w="90"/>
              <w:bottom w:type="dxa" w:w="60"/>
              <w:right w:type="dxa" w:w="90"/>
            </w:tcMar>
          </w:tcPr>
          <w:p>
            <w:r>
              <w:rPr>
                <w:b/>
                <w:bCs/>
                <w:color w:val="FFFFFF"/>
                <w:sz w:val="18"/>
                <w:szCs w:val="18"/>
              </w:rPr>
              <w:t xml:space="preserve">Outcome</w:t>
            </w:r>
          </w:p>
        </w:tc>
        <w:tc>
          <w:tcPr>
            <w:tcW w:type="dxa" w:w="1200"/>
            <w:shd w:fill="7A5C2E" w:color="auto" w:val="clear"/>
            <w:tcMar>
              <w:top w:type="dxa" w:w="60"/>
              <w:left w:type="dxa" w:w="90"/>
              <w:bottom w:type="dxa" w:w="60"/>
              <w:right w:type="dxa" w:w="90"/>
            </w:tcMar>
          </w:tcPr>
          <w:p>
            <w:r>
              <w:rPr>
                <w:b/>
                <w:bCs/>
                <w:color w:val="FFFFFF"/>
                <w:sz w:val="18"/>
                <w:szCs w:val="18"/>
              </w:rPr>
              <w:t xml:space="preserve">R result</w:t>
            </w:r>
          </w:p>
        </w:tc>
      </w:tr>
      <w:tr>
        <w:tc>
          <w:tcPr>
            <w:tcW w:type="dxa" w:w="1100"/>
            <w:tcMar>
              <w:top w:type="dxa" w:w="60"/>
              <w:left w:type="dxa" w:w="90"/>
              <w:bottom w:type="dxa" w:w="60"/>
              <w:right w:type="dxa" w:w="90"/>
            </w:tcMar>
          </w:tcPr>
          <w:p>
            <w:r>
              <w:rPr>
                <w:sz w:val="18"/>
                <w:szCs w:val="18"/>
              </w:rPr>
              <w:t xml:space="preserve">09-Jul</w:t>
            </w:r>
          </w:p>
        </w:tc>
        <w:tc>
          <w:tcPr>
            <w:tcW w:type="dxa" w:w="1500"/>
            <w:tcMar>
              <w:top w:type="dxa" w:w="60"/>
              <w:left w:type="dxa" w:w="90"/>
              <w:bottom w:type="dxa" w:w="60"/>
              <w:right w:type="dxa" w:w="90"/>
            </w:tcMar>
          </w:tcPr>
          <w:p>
            <w:r>
              <w:rPr>
                <w:sz w:val="18"/>
                <w:szCs w:val="18"/>
              </w:rPr>
              <w:t xml:space="preserve">4,105.00</w:t>
            </w:r>
          </w:p>
        </w:tc>
        <w:tc>
          <w:tcPr>
            <w:tcW w:type="dxa" w:w="2760"/>
            <w:tcMar>
              <w:top w:type="dxa" w:w="60"/>
              <w:left w:type="dxa" w:w="90"/>
              <w:bottom w:type="dxa" w:w="60"/>
              <w:right w:type="dxa" w:w="90"/>
            </w:tcMar>
          </w:tcPr>
          <w:p>
            <w:r>
              <w:rPr>
                <w:sz w:val="18"/>
                <w:szCs w:val="18"/>
              </w:rPr>
              <w:t xml:space="preserve">Trade 1 LONG (score est. +0.31)</w:t>
            </w:r>
          </w:p>
        </w:tc>
        <w:tc>
          <w:tcPr>
            <w:tcW w:type="dxa" w:w="2800"/>
            <w:tcMar>
              <w:top w:type="dxa" w:w="60"/>
              <w:left w:type="dxa" w:w="90"/>
              <w:bottom w:type="dxa" w:w="60"/>
              <w:right w:type="dxa" w:w="90"/>
            </w:tcMar>
          </w:tcPr>
          <w:p>
            <w:r>
              <w:rPr>
                <w:sz w:val="18"/>
                <w:szCs w:val="18"/>
              </w:rPr>
              <w:t xml:space="preserve">Closed 4,088.00 — adverse</w:t>
            </w:r>
          </w:p>
        </w:tc>
        <w:tc>
          <w:tcPr>
            <w:tcW w:type="dxa" w:w="1200"/>
            <w:tcMar>
              <w:top w:type="dxa" w:w="60"/>
              <w:left w:type="dxa" w:w="90"/>
              <w:bottom w:type="dxa" w:w="60"/>
              <w:right w:type="dxa" w:w="90"/>
            </w:tcMar>
          </w:tcPr>
          <w:p>
            <w:r>
              <w:rPr>
                <w:sz w:val="18"/>
                <w:szCs w:val="18"/>
              </w:rPr>
              <w:t xml:space="preserve">−0.4R</w:t>
            </w:r>
          </w:p>
        </w:tc>
      </w:tr>
      <w:tr>
        <w:tc>
          <w:tcPr>
            <w:tcW w:type="dxa" w:w="1100"/>
            <w:shd w:fill="F4F1EC" w:color="auto" w:val="clear"/>
            <w:tcMar>
              <w:top w:type="dxa" w:w="60"/>
              <w:left w:type="dxa" w:w="90"/>
              <w:bottom w:type="dxa" w:w="60"/>
              <w:right w:type="dxa" w:w="90"/>
            </w:tcMar>
          </w:tcPr>
          <w:p>
            <w:r>
              <w:rPr>
                <w:sz w:val="18"/>
                <w:szCs w:val="18"/>
              </w:rPr>
              <w:t xml:space="preserve">10-Jul</w:t>
            </w:r>
          </w:p>
        </w:tc>
        <w:tc>
          <w:tcPr>
            <w:tcW w:type="dxa" w:w="1500"/>
            <w:shd w:fill="F4F1EC" w:color="auto" w:val="clear"/>
            <w:tcMar>
              <w:top w:type="dxa" w:w="60"/>
              <w:left w:type="dxa" w:w="90"/>
              <w:bottom w:type="dxa" w:w="60"/>
              <w:right w:type="dxa" w:w="90"/>
            </w:tcMar>
          </w:tcPr>
          <w:p>
            <w:r>
              <w:rPr>
                <w:sz w:val="18"/>
                <w:szCs w:val="18"/>
              </w:rPr>
              <w:t xml:space="preserve">4,088.00</w:t>
            </w:r>
          </w:p>
        </w:tc>
        <w:tc>
          <w:tcPr>
            <w:tcW w:type="dxa" w:w="2760"/>
            <w:shd w:fill="F4F1EC" w:color="auto" w:val="clear"/>
            <w:tcMar>
              <w:top w:type="dxa" w:w="60"/>
              <w:left w:type="dxa" w:w="90"/>
              <w:bottom w:type="dxa" w:w="60"/>
              <w:right w:type="dxa" w:w="90"/>
            </w:tcMar>
          </w:tcPr>
          <w:p>
            <w:r>
              <w:rPr>
                <w:sz w:val="18"/>
                <w:szCs w:val="18"/>
              </w:rPr>
              <w:t xml:space="preserve">Trade 1 SHORT (score est. −0.28)</w:t>
            </w:r>
          </w:p>
        </w:tc>
        <w:tc>
          <w:tcPr>
            <w:tcW w:type="dxa" w:w="2800"/>
            <w:shd w:fill="F4F1EC" w:color="auto" w:val="clear"/>
            <w:tcMar>
              <w:top w:type="dxa" w:w="60"/>
              <w:left w:type="dxa" w:w="90"/>
              <w:bottom w:type="dxa" w:w="60"/>
              <w:right w:type="dxa" w:w="90"/>
            </w:tcMar>
          </w:tcPr>
          <w:p>
            <w:r>
              <w:rPr>
                <w:sz w:val="18"/>
                <w:szCs w:val="18"/>
              </w:rPr>
              <w:t xml:space="preserve">Closed 4,044.00 — favourable</w:t>
            </w:r>
          </w:p>
        </w:tc>
        <w:tc>
          <w:tcPr>
            <w:tcW w:type="dxa" w:w="1200"/>
            <w:shd w:fill="F4F1EC" w:color="auto" w:val="clear"/>
            <w:tcMar>
              <w:top w:type="dxa" w:w="60"/>
              <w:left w:type="dxa" w:w="90"/>
              <w:bottom w:type="dxa" w:w="60"/>
              <w:right w:type="dxa" w:w="90"/>
            </w:tcMar>
          </w:tcPr>
          <w:p>
            <w:r>
              <w:rPr>
                <w:sz w:val="18"/>
                <w:szCs w:val="18"/>
              </w:rPr>
              <w:t xml:space="preserve">+0.9R</w:t>
            </w:r>
          </w:p>
        </w:tc>
      </w:tr>
      <w:tr>
        <w:tc>
          <w:tcPr>
            <w:tcW w:type="dxa" w:w="1100"/>
            <w:tcMar>
              <w:top w:type="dxa" w:w="60"/>
              <w:left w:type="dxa" w:w="90"/>
              <w:bottom w:type="dxa" w:w="60"/>
              <w:right w:type="dxa" w:w="90"/>
            </w:tcMar>
          </w:tcPr>
          <w:p>
            <w:r>
              <w:rPr>
                <w:sz w:val="18"/>
                <w:szCs w:val="18"/>
              </w:rPr>
              <w:t xml:space="preserve">13-Jul</w:t>
            </w:r>
          </w:p>
        </w:tc>
        <w:tc>
          <w:tcPr>
            <w:tcW w:type="dxa" w:w="1500"/>
            <w:tcMar>
              <w:top w:type="dxa" w:w="60"/>
              <w:left w:type="dxa" w:w="90"/>
              <w:bottom w:type="dxa" w:w="60"/>
              <w:right w:type="dxa" w:w="90"/>
            </w:tcMar>
          </w:tcPr>
          <w:p>
            <w:r>
              <w:rPr>
                <w:sz w:val="18"/>
                <w:szCs w:val="18"/>
              </w:rPr>
              <w:t xml:space="preserve">4,044.00</w:t>
            </w:r>
          </w:p>
        </w:tc>
        <w:tc>
          <w:tcPr>
            <w:tcW w:type="dxa" w:w="2760"/>
            <w:tcMar>
              <w:top w:type="dxa" w:w="60"/>
              <w:left w:type="dxa" w:w="90"/>
              <w:bottom w:type="dxa" w:w="60"/>
              <w:right w:type="dxa" w:w="90"/>
            </w:tcMar>
          </w:tcPr>
          <w:p>
            <w:r>
              <w:rPr>
                <w:sz w:val="18"/>
                <w:szCs w:val="18"/>
              </w:rPr>
              <w:t xml:space="preserve">Trade 1 SHORT (score est. −0.34)</w:t>
            </w:r>
          </w:p>
        </w:tc>
        <w:tc>
          <w:tcPr>
            <w:tcW w:type="dxa" w:w="2800"/>
            <w:tcMar>
              <w:top w:type="dxa" w:w="60"/>
              <w:left w:type="dxa" w:w="90"/>
              <w:bottom w:type="dxa" w:w="60"/>
              <w:right w:type="dxa" w:w="90"/>
            </w:tcMar>
          </w:tcPr>
          <w:p>
            <w:r>
              <w:rPr>
                <w:sz w:val="18"/>
                <w:szCs w:val="18"/>
              </w:rPr>
              <w:t xml:space="preserve">Closed 4,001.79 — favourable, TP1 hit</w:t>
            </w:r>
          </w:p>
        </w:tc>
        <w:tc>
          <w:tcPr>
            <w:tcW w:type="dxa" w:w="1200"/>
            <w:tcMar>
              <w:top w:type="dxa" w:w="60"/>
              <w:left w:type="dxa" w:w="90"/>
              <w:bottom w:type="dxa" w:w="60"/>
              <w:right w:type="dxa" w:w="90"/>
            </w:tcMar>
          </w:tcPr>
          <w:p>
            <w:r>
              <w:rPr>
                <w:sz w:val="18"/>
                <w:szCs w:val="18"/>
              </w:rPr>
              <w:t xml:space="preserve">+1.0R</w:t>
            </w:r>
          </w:p>
        </w:tc>
      </w:tr>
      <w:tr>
        <w:tc>
          <w:tcPr>
            <w:tcW w:type="dxa" w:w="1100"/>
            <w:shd w:fill="F4F1EC" w:color="auto" w:val="clear"/>
            <w:tcMar>
              <w:top w:type="dxa" w:w="60"/>
              <w:left w:type="dxa" w:w="90"/>
              <w:bottom w:type="dxa" w:w="60"/>
              <w:right w:type="dxa" w:w="90"/>
            </w:tcMar>
          </w:tcPr>
          <w:p>
            <w:r>
              <w:rPr>
                <w:sz w:val="18"/>
                <w:szCs w:val="18"/>
              </w:rPr>
              <w:t xml:space="preserve">14-Jul</w:t>
            </w:r>
          </w:p>
        </w:tc>
        <w:tc>
          <w:tcPr>
            <w:tcW w:type="dxa" w:w="1500"/>
            <w:shd w:fill="F4F1EC" w:color="auto" w:val="clear"/>
            <w:tcMar>
              <w:top w:type="dxa" w:w="60"/>
              <w:left w:type="dxa" w:w="90"/>
              <w:bottom w:type="dxa" w:w="60"/>
              <w:right w:type="dxa" w:w="90"/>
            </w:tcMar>
          </w:tcPr>
          <w:p>
            <w:r>
              <w:rPr>
                <w:sz w:val="18"/>
                <w:szCs w:val="18"/>
              </w:rPr>
              <w:t xml:space="preserve">4,001.13</w:t>
            </w:r>
          </w:p>
        </w:tc>
        <w:tc>
          <w:tcPr>
            <w:tcW w:type="dxa" w:w="2760"/>
            <w:shd w:fill="F4F1EC" w:color="auto" w:val="clear"/>
            <w:tcMar>
              <w:top w:type="dxa" w:w="60"/>
              <w:left w:type="dxa" w:w="90"/>
              <w:bottom w:type="dxa" w:w="60"/>
              <w:right w:type="dxa" w:w="90"/>
            </w:tcMar>
          </w:tcPr>
          <w:p>
            <w:r>
              <w:rPr>
                <w:sz w:val="18"/>
                <w:szCs w:val="18"/>
              </w:rPr>
              <w:t xml:space="preserve">SUPPRESSED (score est. +0.09)</w:t>
            </w:r>
          </w:p>
        </w:tc>
        <w:tc>
          <w:tcPr>
            <w:tcW w:type="dxa" w:w="2800"/>
            <w:shd w:fill="F4F1EC" w:color="auto" w:val="clear"/>
            <w:tcMar>
              <w:top w:type="dxa" w:w="60"/>
              <w:left w:type="dxa" w:w="90"/>
              <w:bottom w:type="dxa" w:w="60"/>
              <w:right w:type="dxa" w:w="90"/>
            </w:tcMar>
          </w:tcPr>
          <w:p>
            <w:r>
              <w:rPr>
                <w:sz w:val="18"/>
                <w:szCs w:val="18"/>
              </w:rPr>
              <w:t xml:space="preserve">Would have been LONG; closed 4,053.56</w:t>
            </w:r>
          </w:p>
        </w:tc>
        <w:tc>
          <w:tcPr>
            <w:tcW w:type="dxa" w:w="1200"/>
            <w:shd w:fill="F4F1EC" w:color="auto" w:val="clear"/>
            <w:tcMar>
              <w:top w:type="dxa" w:w="60"/>
              <w:left w:type="dxa" w:w="90"/>
              <w:bottom w:type="dxa" w:w="60"/>
              <w:right w:type="dxa" w:w="90"/>
            </w:tcMar>
          </w:tcPr>
          <w:p>
            <w:r>
              <w:rPr>
                <w:sz w:val="18"/>
                <w:szCs w:val="18"/>
              </w:rPr>
              <w:t xml:space="preserve">0.0R (missed +1.3R)</w:t>
            </w:r>
          </w:p>
        </w:tc>
      </w:tr>
      <w:tr>
        <w:tc>
          <w:tcPr>
            <w:tcW w:type="dxa" w:w="1100"/>
            <w:tcMar>
              <w:top w:type="dxa" w:w="60"/>
              <w:left w:type="dxa" w:w="90"/>
              <w:bottom w:type="dxa" w:w="60"/>
              <w:right w:type="dxa" w:w="90"/>
            </w:tcMar>
          </w:tcPr>
          <w:p>
            <w:r>
              <w:rPr>
                <w:sz w:val="18"/>
                <w:szCs w:val="18"/>
              </w:rPr>
              <w:t xml:space="preserve">15-Jul</w:t>
            </w:r>
          </w:p>
        </w:tc>
        <w:tc>
          <w:tcPr>
            <w:tcW w:type="dxa" w:w="1500"/>
            <w:tcMar>
              <w:top w:type="dxa" w:w="60"/>
              <w:left w:type="dxa" w:w="90"/>
              <w:bottom w:type="dxa" w:w="60"/>
              <w:right w:type="dxa" w:w="90"/>
            </w:tcMar>
          </w:tcPr>
          <w:p>
            <w:r>
              <w:rPr>
                <w:sz w:val="18"/>
                <w:szCs w:val="18"/>
              </w:rPr>
              <w:t xml:space="preserve">4,052.96</w:t>
            </w:r>
          </w:p>
        </w:tc>
        <w:tc>
          <w:tcPr>
            <w:tcW w:type="dxa" w:w="2760"/>
            <w:tcMar>
              <w:top w:type="dxa" w:w="60"/>
              <w:left w:type="dxa" w:w="90"/>
              <w:bottom w:type="dxa" w:w="60"/>
              <w:right w:type="dxa" w:w="90"/>
            </w:tcMar>
          </w:tcPr>
          <w:p>
            <w:r>
              <w:rPr>
                <w:sz w:val="18"/>
                <w:szCs w:val="18"/>
              </w:rPr>
              <w:t xml:space="preserve">SUPPRESSED (score est. +0.12)</w:t>
            </w:r>
          </w:p>
        </w:tc>
        <w:tc>
          <w:tcPr>
            <w:tcW w:type="dxa" w:w="2800"/>
            <w:tcMar>
              <w:top w:type="dxa" w:w="60"/>
              <w:left w:type="dxa" w:w="90"/>
              <w:bottom w:type="dxa" w:w="60"/>
              <w:right w:type="dxa" w:w="90"/>
            </w:tcMar>
          </w:tcPr>
          <w:p>
            <w:r>
              <w:rPr>
                <w:sz w:val="18"/>
                <w:szCs w:val="18"/>
              </w:rPr>
              <w:t xml:space="preserve">Would have been LONG; closed 4,070.00</w:t>
            </w:r>
          </w:p>
        </w:tc>
        <w:tc>
          <w:tcPr>
            <w:tcW w:type="dxa" w:w="1200"/>
            <w:tcMar>
              <w:top w:type="dxa" w:w="60"/>
              <w:left w:type="dxa" w:w="90"/>
              <w:bottom w:type="dxa" w:w="60"/>
              <w:right w:type="dxa" w:w="90"/>
            </w:tcMar>
          </w:tcPr>
          <w:p>
            <w:r>
              <w:rPr>
                <w:sz w:val="18"/>
                <w:szCs w:val="18"/>
              </w:rPr>
              <w:t xml:space="preserve">0.0R (missed +0.2R)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7A5C2E" w:color="auto" w:val="clear"/>
            <w:tcMar>
              <w:top w:type="dxa" w:w="60"/>
              <w:left w:type="dxa" w:w="90"/>
              <w:bottom w:type="dxa" w:w="60"/>
              <w:right w:type="dxa" w:w="90"/>
            </w:tcMar>
          </w:tcPr>
          <w:p>
            <w:r>
              <w:rPr>
                <w:b/>
                <w:bCs/>
                <w:color w:val="FFFFFF"/>
                <w:sz w:val="18"/>
                <w:szCs w:val="18"/>
              </w:rPr>
              <w:t xml:space="preserve">Metric</w:t>
            </w:r>
          </w:p>
        </w:tc>
        <w:tc>
          <w:tcPr>
            <w:tcW w:type="dxa" w:w="6360"/>
            <w:shd w:fill="7A5C2E" w:color="auto" w:val="clear"/>
            <w:tcMar>
              <w:top w:type="dxa" w:w="60"/>
              <w:left w:type="dxa" w:w="90"/>
              <w:bottom w:type="dxa" w:w="60"/>
              <w:right w:type="dxa" w:w="90"/>
            </w:tcMar>
          </w:tcPr>
          <w:p>
            <w:r>
              <w:rPr>
                <w:b/>
                <w:bCs/>
                <w:color w:val="FFFFFF"/>
                <w:sz w:val="18"/>
                <w:szCs w:val="18"/>
              </w:rPr>
              <w:t xml:space="preserve">Value</w:t>
            </w:r>
          </w:p>
        </w:tc>
      </w:tr>
      <w:tr>
        <w:tc>
          <w:tcPr>
            <w:tcW w:type="dxa" w:w="3000"/>
            <w:tcMar>
              <w:top w:type="dxa" w:w="60"/>
              <w:left w:type="dxa" w:w="90"/>
              <w:bottom w:type="dxa" w:w="60"/>
              <w:right w:type="dxa" w:w="90"/>
            </w:tcMar>
          </w:tcPr>
          <w:p>
            <w:r>
              <w:rPr>
                <w:sz w:val="18"/>
                <w:szCs w:val="18"/>
              </w:rPr>
              <w:t xml:space="preserve">Sessions traded</w:t>
            </w:r>
          </w:p>
        </w:tc>
        <w:tc>
          <w:tcPr>
            <w:tcW w:type="dxa" w:w="6360"/>
            <w:tcMar>
              <w:top w:type="dxa" w:w="60"/>
              <w:left w:type="dxa" w:w="90"/>
              <w:bottom w:type="dxa" w:w="60"/>
              <w:right w:type="dxa" w:w="90"/>
            </w:tcMar>
          </w:tcPr>
          <w:p>
            <w:r>
              <w:rPr>
                <w:sz w:val="18"/>
                <w:szCs w:val="18"/>
              </w:rPr>
              <w:t xml:space="preserve">3 of 5 (2 suppressed on conviction)</w:t>
            </w:r>
          </w:p>
        </w:tc>
      </w:tr>
      <w:tr>
        <w:tc>
          <w:tcPr>
            <w:tcW w:type="dxa" w:w="3000"/>
            <w:shd w:fill="F4F1EC" w:color="auto" w:val="clear"/>
            <w:tcMar>
              <w:top w:type="dxa" w:w="60"/>
              <w:left w:type="dxa" w:w="90"/>
              <w:bottom w:type="dxa" w:w="60"/>
              <w:right w:type="dxa" w:w="90"/>
            </w:tcMar>
          </w:tcPr>
          <w:p>
            <w:r>
              <w:rPr>
                <w:sz w:val="18"/>
                <w:szCs w:val="18"/>
              </w:rPr>
              <w:t xml:space="preserve">Wins / losses</w:t>
            </w:r>
          </w:p>
        </w:tc>
        <w:tc>
          <w:tcPr>
            <w:tcW w:type="dxa" w:w="6360"/>
            <w:shd w:fill="F4F1EC" w:color="auto" w:val="clear"/>
            <w:tcMar>
              <w:top w:type="dxa" w:w="60"/>
              <w:left w:type="dxa" w:w="90"/>
              <w:bottom w:type="dxa" w:w="60"/>
              <w:right w:type="dxa" w:w="90"/>
            </w:tcMar>
          </w:tcPr>
          <w:p>
            <w:r>
              <w:rPr>
                <w:sz w:val="18"/>
                <w:szCs w:val="18"/>
              </w:rPr>
              <w:t xml:space="preserve">2 / 1</w:t>
            </w:r>
          </w:p>
        </w:tc>
      </w:tr>
      <w:tr>
        <w:tc>
          <w:tcPr>
            <w:tcW w:type="dxa" w:w="3000"/>
            <w:tcMar>
              <w:top w:type="dxa" w:w="60"/>
              <w:left w:type="dxa" w:w="90"/>
              <w:bottom w:type="dxa" w:w="60"/>
              <w:right w:type="dxa" w:w="90"/>
            </w:tcMar>
          </w:tcPr>
          <w:p>
            <w:r>
              <w:rPr>
                <w:sz w:val="18"/>
                <w:szCs w:val="18"/>
              </w:rPr>
              <w:t xml:space="preserve">Cumulative R (traded only)</w:t>
            </w:r>
          </w:p>
        </w:tc>
        <w:tc>
          <w:tcPr>
            <w:tcW w:type="dxa" w:w="6360"/>
            <w:tcMar>
              <w:top w:type="dxa" w:w="60"/>
              <w:left w:type="dxa" w:w="90"/>
              <w:bottom w:type="dxa" w:w="60"/>
              <w:right w:type="dxa" w:w="90"/>
            </w:tcMar>
          </w:tcPr>
          <w:p>
            <w:r>
              <w:rPr>
                <w:sz w:val="18"/>
                <w:szCs w:val="18"/>
              </w:rPr>
              <w:t xml:space="preserve">+1.5R</w:t>
            </w:r>
          </w:p>
        </w:tc>
      </w:tr>
      <w:tr>
        <w:tc>
          <w:tcPr>
            <w:tcW w:type="dxa" w:w="3000"/>
            <w:shd w:fill="F4F1EC" w:color="auto" w:val="clear"/>
            <w:tcMar>
              <w:top w:type="dxa" w:w="60"/>
              <w:left w:type="dxa" w:w="90"/>
              <w:bottom w:type="dxa" w:w="60"/>
              <w:right w:type="dxa" w:w="90"/>
            </w:tcMar>
          </w:tcPr>
          <w:p>
            <w:r>
              <w:rPr>
                <w:sz w:val="18"/>
                <w:szCs w:val="18"/>
              </w:rPr>
              <w:t xml:space="preserve">Win rate (traded)</w:t>
            </w:r>
          </w:p>
        </w:tc>
        <w:tc>
          <w:tcPr>
            <w:tcW w:type="dxa" w:w="6360"/>
            <w:shd w:fill="F4F1EC" w:color="auto" w:val="clear"/>
            <w:tcMar>
              <w:top w:type="dxa" w:w="60"/>
              <w:left w:type="dxa" w:w="90"/>
              <w:bottom w:type="dxa" w:w="60"/>
              <w:right w:type="dxa" w:w="90"/>
            </w:tcMar>
          </w:tcPr>
          <w:p>
            <w:r>
              <w:rPr>
                <w:sz w:val="18"/>
                <w:szCs w:val="18"/>
              </w:rPr>
              <w:t xml:space="preserve">66.7%</w:t>
            </w:r>
          </w:p>
        </w:tc>
      </w:tr>
      <w:tr>
        <w:tc>
          <w:tcPr>
            <w:tcW w:type="dxa" w:w="3000"/>
            <w:tcMar>
              <w:top w:type="dxa" w:w="60"/>
              <w:left w:type="dxa" w:w="90"/>
              <w:bottom w:type="dxa" w:w="60"/>
              <w:right w:type="dxa" w:w="90"/>
            </w:tcMar>
          </w:tcPr>
          <w:p>
            <w:r>
              <w:rPr>
                <w:sz w:val="18"/>
                <w:szCs w:val="18"/>
              </w:rPr>
              <w:t xml:space="preserve">Suppression cost</w:t>
            </w:r>
          </w:p>
        </w:tc>
        <w:tc>
          <w:tcPr>
            <w:tcW w:type="dxa" w:w="6360"/>
            <w:tcMar>
              <w:top w:type="dxa" w:w="60"/>
              <w:left w:type="dxa" w:w="90"/>
              <w:bottom w:type="dxa" w:w="60"/>
              <w:right w:type="dxa" w:w="90"/>
            </w:tcMar>
          </w:tcPr>
          <w:p>
            <w:r>
              <w:rPr>
                <w:sz w:val="18"/>
                <w:szCs w:val="18"/>
              </w:rPr>
              <w:t xml:space="preserve">−1.5R of forgone gain across 2 suppressed sessions</w:t>
            </w:r>
          </w:p>
        </w:tc>
      </w:tr>
      <w:tr>
        <w:tc>
          <w:tcPr>
            <w:tcW w:type="dxa" w:w="3000"/>
            <w:shd w:fill="F4F1EC" w:color="auto" w:val="clear"/>
            <w:tcMar>
              <w:top w:type="dxa" w:w="60"/>
              <w:left w:type="dxa" w:w="90"/>
              <w:bottom w:type="dxa" w:w="60"/>
              <w:right w:type="dxa" w:w="90"/>
            </w:tcMar>
          </w:tcPr>
          <w:p>
            <w:r>
              <w:rPr>
                <w:sz w:val="18"/>
                <w:szCs w:val="18"/>
              </w:rPr>
              <w:t xml:space="preserve">Net including forgone</w:t>
            </w:r>
          </w:p>
        </w:tc>
        <w:tc>
          <w:tcPr>
            <w:tcW w:type="dxa" w:w="6360"/>
            <w:shd w:fill="F4F1EC" w:color="auto" w:val="clear"/>
            <w:tcMar>
              <w:top w:type="dxa" w:w="60"/>
              <w:left w:type="dxa" w:w="90"/>
              <w:bottom w:type="dxa" w:w="60"/>
              <w:right w:type="dxa" w:w="90"/>
            </w:tcMar>
          </w:tcPr>
          <w:p>
            <w:r>
              <w:rPr>
                <w:sz w:val="18"/>
                <w:szCs w:val="18"/>
              </w:rPr>
              <w:t xml:space="preserve">+1.5R realised vs +3.0R theoretical maximum</w:t>
            </w:r>
          </w:p>
        </w:tc>
      </w:tr>
    </w:tbl>
    <w:p>
      <w:pPr>
        <w:spacing w:after="100"/>
      </w:pPr>
      <w:r>
        <w:rPr>
          <w:b w:val="false"/>
          <w:bCs w:val="false"/>
          <w:i/>
          <w:iCs/>
          <w:sz w:val="18"/>
          <w:szCs w:val="18"/>
        </w:rPr>
        <w:t xml:space="preserve">Backtest caveat: signal states for prior sessions are reconstructed estimates, not logged live outputs — this is forward-test session 1, so no prior session logs exist. Scores are re-derived from the OHLC and the macro state as it stood at each anchor. Treat the R figures as indicative of model behaviour, not as an audited track record.</w:t>
      </w:r>
    </w:p>
    <w:p>
      <w:pPr>
        <w:pStyle w:val="Heading2"/>
        <w:spacing w:after="120" w:before="240"/>
      </w:pPr>
      <w:r>
        <w:t xml:space="preserve">§21d  What Is Working</w:t>
      </w:r>
    </w:p>
    <w:p>
      <w:pPr>
        <w:pStyle w:val="ListParagraph"/>
        <w:numPr>
          <w:ilvl w:val="0"/>
          <w:numId w:val="1"/>
        </w:numPr>
        <w:spacing w:after="60"/>
      </w:pPr>
      <w:r>
        <w:rPr>
          <w:sz w:val="20"/>
          <w:szCs w:val="20"/>
        </w:rPr>
        <w:t xml:space="preserve">Conviction gating cost 1.5R of forgone gain across the two suppressed sessions (14-Jul and 15-Jul), both of which would have been profitable longs. Two observations is not a sample. But the direction of the error is worth logging: the gate is currently suppressing on the same low-conviction readings that immediately preceded the CPI-driven bounce. If this pattern repeats across sessions 3–8, the threshold — not the weights — is the parameter to examine at session 20.</w:t>
      </w:r>
    </w:p>
    <w:p>
      <w:pPr>
        <w:pStyle w:val="ListParagraph"/>
        <w:numPr>
          <w:ilvl w:val="0"/>
          <w:numId w:val="1"/>
        </w:numPr>
        <w:spacing w:after="60"/>
      </w:pPr>
      <w:r>
        <w:rPr>
          <w:sz w:val="20"/>
          <w:szCs w:val="20"/>
        </w:rPr>
        <w:t xml:space="preserve">Short-side Trade 1 signals worked (10-Jul +0.9R, 13-Jul +1.0R) and the long-side signal did not (09-Jul −0.4R). That is consistent with the bearish medium regime dominating the sample and argues the model's [W_MEDIUM_REGIME] axis is correctly signed.</w:t>
      </w:r>
    </w:p>
    <w:p>
      <w:pPr>
        <w:pStyle w:val="ListParagraph"/>
        <w:numPr>
          <w:ilvl w:val="0"/>
          <w:numId w:val="1"/>
        </w:numPr>
        <w:spacing w:after="60"/>
      </w:pPr>
      <w:r>
        <w:rPr>
          <w:sz w:val="20"/>
          <w:szCs w:val="20"/>
        </w:rPr>
        <w:t xml:space="preserve">Pivot-level corroboration is the standout technical positive this session: mechanically derived R1.5 and S1.5 landed within 2.24 and 0.33 respectively of independently published levels. That confluence is what makes Trade 2's geometry defensible despite the composite-OHLC caveat.</w:t>
      </w:r>
    </w:p>
    <w:p>
      <w:pPr>
        <w:pStyle w:val="ListParagraph"/>
        <w:numPr>
          <w:ilvl w:val="0"/>
          <w:numId w:val="1"/>
        </w:numPr>
        <w:spacing w:after="60"/>
      </w:pPr>
      <w:r>
        <w:rPr>
          <w:sz w:val="20"/>
          <w:szCs w:val="20"/>
        </w:rPr>
        <w:t xml:space="preserve">Weights remain at v2.1 defaults and locked. 19 sessions remain before any tuning is permitted under the §H.3 lock rule.</w:t>
      </w:r>
    </w:p>
    <w:p>
      <w:pPr>
        <w:pBdr>
          <w:top w:val="single" w:color="7A5C2E" w:sz="8" w:space="6"/>
        </w:pBdr>
        <w:spacing w:before="300"/>
      </w:pPr>
      <w:r>
        <w:rPr>
          <w:sz w:val="2"/>
          <w:szCs w:val="2"/>
        </w:rPr>
        <w:t xml:space="preserve"/>
      </w:r>
    </w:p>
    <w:p>
      <w:pPr>
        <w:spacing w:after="100"/>
      </w:pPr>
      <w:r>
        <w:rPr>
          <w:b w:val="false"/>
          <w:bCs w:val="false"/>
          <w:i/>
          <w:iCs/>
          <w:sz w:val="16"/>
          <w:szCs w:val="16"/>
        </w:rPr>
        <w:t xml:space="preserve">Disclaimer. This report is a forward-test output of an automated analytical framework and is provided for research and risk-review purposes. It is not investment advice, and it is not a recommendation to buy or sell any instrument. Price data is composite across venues and indicative; ATR(14), RSI(2), COT positioning and LBMA/GC=F benchmark values were unavailable or estimated as documented in §20. Corroboration posture was set to LENIENT at the user's explicit instruction, meaning trade cards were produced despite only PARTIAL price-source corroboration — the resulting levels carry correspondingly wider uncertainty than a fully corroborated run. Anyone acting on this material does so at their own risk and should size positions accordingly.</w:t>
      </w:r>
    </w:p>
    <w:p>
      <w:pPr>
        <w:spacing w:after="100"/>
        <w:jc w:val="center"/>
      </w:pPr>
      <w:r>
        <w:rPr>
          <w:b w:val="false"/>
          <w:bCs w:val="false"/>
          <w:i w:val="false"/>
          <w:iCs w:val="false"/>
          <w:color w:val="888888"/>
          <w:sz w:val="15"/>
          <w:szCs w:val="15"/>
        </w:rPr>
        <w:t xml:space="preserve">Modular Prompt Architecture v2.1 · M1 Gold (Spot) instance · Report date 16 July 2026 · Forward-test session 1 of 20</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7A5C2E"/>
      <w:sz w:val="28"/>
      <w:szCs w:val="28"/>
    </w:rPr>
  </w:style>
  <w:style w:type="paragraph" w:styleId="Heading2">
    <w:name w:val="Heading 2"/>
    <w:basedOn w:val="Normal"/>
    <w:next w:val="Normal"/>
    <w:qFormat/>
    <w:pPr>
      <w:spacing w:after="100" w:before="200"/>
    </w:pPr>
    <w:rPr>
      <w:rFonts w:ascii="Calibri" w:cs="Calibri" w:eastAsia="Calibri" w:hAnsi="Calibri"/>
      <w:b/>
      <w:bCs/>
      <w:color w:val="3A3A3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(Spot) Daily Technical &amp; Strategy Report — 16 July 2026</dc:title>
  <dc:creator>Senior Commodities Analyst — Precious Metals</dc:creator>
  <cp:lastModifiedBy>Un-named</cp:lastModifiedBy>
  <cp:revision>1</cp:revision>
  <dcterms:created xsi:type="dcterms:W3CDTF">2026-07-15T21:31:51.708Z</dcterms:created>
  <dcterms:modified xsi:type="dcterms:W3CDTF">2026-07-15T21:31:51.726Z</dcterms:modified>
</cp:coreProperties>
</file>

<file path=docProps/custom.xml><?xml version="1.0" encoding="utf-8"?>
<Properties xmlns="http://schemas.openxmlformats.org/officeDocument/2006/custom-properties" xmlns:vt="http://schemas.openxmlformats.org/officeDocument/2006/docPropsVTypes"/>
</file>