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Gold Report — Daily: 16 June 2026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With reference to: Silver · USDX · S&amp;P 500 · DAX 40</w:t>
      </w:r>
    </w:p>
    <w:p>
      <w:pPr>
        <w:pBdr>
          <w:bottom w:val="single" w:color="C8A33C" w:sz="10" w:space="4"/>
        </w:pBdr>
        <w:spacing w:after="160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Senior Commodities Analyst — Precious Metals  ·  As of 15 June 2026 close (Europe/London)  ·  Spot XAU/USD, GC=F corroboration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 · Executive Snapshot</w:t>
      </w:r>
    </w:p>
    <w:p>
      <w:pPr>
        <w:spacing w:after="120" w:line="264"/>
      </w:pPr>
      <w:r>
        <w:rPr>
          <w:rFonts w:ascii="Calibri" w:cs="Calibri" w:eastAsia="Calibri" w:hAnsi="Calibri"/>
          <w:sz w:val="19"/>
          <w:szCs w:val="19"/>
        </w:rPr>
        <w:t xml:space="preserve">Spot gold is assessed at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consensus $4,314/oz</w:t>
      </w:r>
      <w:r>
        <w:rPr>
          <w:rFonts w:ascii="Calibri" w:cs="Calibri" w:eastAsia="Calibri" w:hAnsi="Calibri"/>
          <w:sz w:val="19"/>
          <w:szCs w:val="19"/>
        </w:rPr>
        <w:t xml:space="preserve"> (indicative range $4,300–$4,345), with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balanced-to-constructive near-term tone</w:t>
      </w:r>
      <w:r>
        <w:rPr>
          <w:rFonts w:ascii="Calibri" w:cs="Calibri" w:eastAsia="Calibri" w:hAnsi="Calibri"/>
          <w:sz w:val="19"/>
          <w:szCs w:val="19"/>
        </w:rPr>
        <w:t xml:space="preserve"> after a sharp three-session reversal off the 11 June low. The level is governed by three drivers: (i) the 15 June US–Iran interim peace framework, which pulled oil sharply lower, eased headline-inflation and Fed-hike fears, and lifted bullion for a third straight session; (ii) a softer dollar (USDX ~99.2, down on the day); and (iii) repricing of the December Fed-hike probability from roughly 70% toward 49–58%. The short-term technical state is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Transitional–Bullish</w:t>
      </w:r>
      <w:r>
        <w:rPr>
          <w:rFonts w:ascii="Calibri" w:cs="Calibri" w:eastAsia="Calibri" w:hAnsi="Calibri"/>
          <w:sz w:val="19"/>
          <w:szCs w:val="19"/>
        </w:rPr>
        <w:t xml:space="preserve"> (two consecutive higher closes, RSI2 saturated at 100), while the medium-term structure is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Ranging-to-Lower</w:t>
      </w:r>
      <w:r>
        <w:rPr>
          <w:rFonts w:ascii="Calibri" w:cs="Calibri" w:eastAsia="Calibri" w:hAnsi="Calibri"/>
          <w:sz w:val="19"/>
          <w:szCs w:val="19"/>
        </w:rPr>
        <w:t xml:space="preserve"> (high session overlap, mid-range close at the 39th percentile of the 25-session range). The momentum-efficiency read is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Trending Down — Moderate</w:t>
      </w:r>
      <w:r>
        <w:rPr>
          <w:rFonts w:ascii="Calibri" w:cs="Calibri" w:eastAsia="Calibri" w:hAnsi="Calibri"/>
          <w:sz w:val="19"/>
          <w:szCs w:val="19"/>
        </w:rPr>
        <w:t xml:space="preserve">, which disagrees with an expanding volatility slope; that divergence yields a consolidated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TRANSITION</w:t>
      </w:r>
      <w:r>
        <w:rPr>
          <w:rFonts w:ascii="Calibri" w:cs="Calibri" w:eastAsia="Calibri" w:hAnsi="Calibri"/>
          <w:sz w:val="19"/>
          <w:szCs w:val="19"/>
        </w:rPr>
        <w:t xml:space="preserve"> regime. Directional conviction for the session is a marginal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LONG (score +0.27)</w:t>
      </w:r>
      <w:r>
        <w:rPr>
          <w:rFonts w:ascii="Calibri" w:cs="Calibri" w:eastAsia="Calibri" w:hAnsi="Calibri"/>
          <w:sz w:val="19"/>
          <w:szCs w:val="19"/>
        </w:rPr>
        <w:t xml:space="preserve">. The single most important watch item is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FOMC decision on 17 June — Chair Kevin Warsh's first meeting</w:t>
      </w:r>
      <w:r>
        <w:rPr>
          <w:rFonts w:ascii="Calibri" w:cs="Calibri" w:eastAsia="Calibri" w:hAnsi="Calibri"/>
          <w:sz w:val="19"/>
          <w:szCs w:val="19"/>
        </w:rPr>
        <w:t xml:space="preserve"> — where removal of the easing bias or a hawkish tone would be the primary downside risk to the bounce.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Gold — spot XAU/USD (London loco), CME front-month GC=F for corroboration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London Good Delivery bar, 99.99% pure, 400-oz spot quote (LBMA standard)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Market scope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Global, 24-hour OTC spot market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Delivery / price 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OTC London spot, immediate settlement (loco London), T+2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USD per troy ounce (USD/oz)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As-of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 June 2026 close · forward session 16 June 2026 · Europe/London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 sessions (execution block); 25 sessions (regime block)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Session reset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Daily-open anchor set to 07:00 UK for this run (override of the standard 00:00 UK reset)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Consensus price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Consensus range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Market tone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$4,314 / oz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$4,300 – $4,345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B57"/>
                <w:sz w:val="17"/>
                <w:szCs w:val="17"/>
              </w:rPr>
              <w:t xml:space="preserve">Balanced / constructive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Rationale: </w:t>
      </w:r>
      <w:r>
        <w:rPr>
          <w:rFonts w:ascii="Calibri" w:cs="Calibri" w:eastAsia="Calibri" w:hAnsi="Calibri"/>
          <w:sz w:val="19"/>
          <w:szCs w:val="19"/>
        </w:rPr>
        <w:t xml:space="preserve">The weighted-median of six independent reads (spot aggregators, exchange-settled futures and reporting-agency commentary) clusters at $4,314–$4,322 for the 15 June New-York afternoon, consistent with reported intraday prints of $4,315–$4,345 as the US–Iran framework was digested. Precision is capped to Medium because the most recent two sessions are single-source corroborated on spot (see §19).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 ·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1560"/>
        <w:gridCol w:w="16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Date/Time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Raw quote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Normalized (USD/oz)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Basis / location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Classification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Investing.com (spot)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 Jun cls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4,314.33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4,314.33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Spot, London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Reuters (Streible/UBS)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 Jun 12:42 GMT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4,344.77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4,344.77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Spot, intraday high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Bloomberg/Mining.com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 Jun 15:09 NY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4,322.91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4,322.91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Spot, NY pm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Investing.com (markets)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 Jun 16:00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4,315.44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4,315.44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Spot, late NY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Core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CME GC=F (Aug)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4,355–4,367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≈4,330 (spot-equiv)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Futures, basis-adj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7"/>
                <w:szCs w:val="17"/>
              </w:rPr>
              <w:t xml:space="preserve">Directional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Twelve Data (spot)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11 Jun (TZ-offset)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4,092.74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n/a recent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Spot, AEST feed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Excluded (stale/offset)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5 · Consensus Build Explanation</w:t>
      </w:r>
    </w:p>
    <w:p>
      <w:pPr>
        <w:spacing w:after="120" w:line="264"/>
      </w:pPr>
      <w:r>
        <w:rPr>
          <w:rFonts w:ascii="Calibri" w:cs="Calibri" w:eastAsia="Calibri" w:hAnsi="Calibri"/>
          <w:sz w:val="19"/>
          <w:szCs w:val="19"/>
        </w:rPr>
        <w:t xml:space="preserve">All observations were normalized to USD/oz, London spot basis. Exchange-settled August futures (~$4,355–$4,367) were converted to a spot-equivalent by removing the prevailing contango (~$30–$40), placing them near $4,325–$4,330 and consistent with the spot cluster. The weighted median down-weights the single aggregator feed that runs on a shifted Sydney timestamp (Twelve Data), which was excluded for the most recent sessions as stale/offset rather than blended. The four core spot reads span $4,314–$4,345 across the New-York afternoon; the lower bound reflects the official close print and the upper bound the post-announcement intraday high. The most defensible single number is $4,314 (close-anchored), with the live working range $4,300–$4,345 acknowledging that price was still drifting higher into the close as the framework was priced in.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6 · Validated OHLC + RSI2 Table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Gold (XAU/USD spot) — last 5 validated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080"/>
        <w:gridCol w:w="1080"/>
        <w:gridCol w:w="1080"/>
        <w:gridCol w:w="1080"/>
        <w:gridCol w:w="720"/>
        <w:gridCol w:w="1040"/>
        <w:gridCol w:w="2100"/>
      </w:tblGrid>
      <w:tr>
        <w:trPr>
          <w:tblHeader/>
        </w:trP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Open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Close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RSI2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 09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4,331.26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4,363.50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4,236.61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4,264.15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0.8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Bearish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CORROBORATED (Δ≈4)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Wed 10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4,255.70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4,258.29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4,066.86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4,075.08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Bearish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CORROBORATED (Δ≈4)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Thu 11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4,075.10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4,220.25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4,023.55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4,215.12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42.6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7"/>
                <w:szCs w:val="17"/>
              </w:rPr>
              <w:t xml:space="preserve">Neutral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7"/>
                <w:szCs w:val="17"/>
              </w:rPr>
              <w:t xml:space="preserve">Single-source — indicative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Fri 12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4,215.13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4,246.53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4,170.02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4,219.32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100.0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Bullish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7"/>
                <w:szCs w:val="17"/>
              </w:rPr>
              <w:t xml:space="preserve">Single-source — indicative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 15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4,219.32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4,345.40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4,211.80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4,314.33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100.0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Bullish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7"/>
                <w:szCs w:val="17"/>
              </w:rPr>
              <w:t xml:space="preserve">Single-source — indicative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RSI2 is computed from the validated close sequence (period fixed at 2). The 9–10 June closes corroborate within the $0.50–$5 commodity tolerance band against the secondary feed; 11–15 June rest on a single spot feed (the corroborating feed lags on a shifted timezone) and are flagged indicative — they may inform direction and charts but are not used as definitive pivot inputs (see §11, §19).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Silver (XAG/USD spot) — directional comparator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900"/>
        <w:gridCol w:w="2230"/>
        <w:gridCol w:w="223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Close (USD/oz)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Session move</w:t>
            </w:r>
          </w:p>
        </w:tc>
        <w:tc>
          <w:tcPr>
            <w:tcW w:type="dxa" w:w="2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2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Fri 12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≈67.9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easing with gold</w:t>
            </w:r>
          </w:p>
        </w:tc>
        <w:tc>
          <w:tcPr>
            <w:tcW w:type="dxa" w:w="2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66666"/>
                <w:sz w:val="17"/>
                <w:szCs w:val="17"/>
              </w:rPr>
              <w:t xml:space="preserve">Neutral</w:t>
            </w:r>
          </w:p>
        </w:tc>
        <w:tc>
          <w:tcPr>
            <w:tcW w:type="dxa" w:w="2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7"/>
                <w:szCs w:val="17"/>
              </w:rPr>
              <w:t xml:space="preserve">Single-source — indicative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 15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≈71.07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+4.6% on peace deal</w:t>
            </w:r>
          </w:p>
        </w:tc>
        <w:tc>
          <w:tcPr>
            <w:tcW w:type="dxa" w:w="2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Bullish</w:t>
            </w:r>
          </w:p>
        </w:tc>
        <w:tc>
          <w:tcPr>
            <w:tcW w:type="dxa" w:w="22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7"/>
                <w:szCs w:val="17"/>
              </w:rPr>
              <w:t xml:space="preserve">Single-source — indicative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Silver is carried as the natural precious-metals pair; its +4.6% surge on 15 June outpaced gold, a classic high-beta risk-on confirmation of the metals bounce.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7 · Charts</w:t>
      </w:r>
    </w:p>
    <w:p>
      <w:pPr>
        <w:spacing w:after="120" w:before="60"/>
        <w:jc w:val="center"/>
      </w:pPr>
      <w:r>
        <w:drawing>
          <wp:inline distT="0" distB="0" distL="0" distR="0">
            <wp:extent cx="576262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5-session candlestick — the 10 June capitulation low and the two-session reversal into 15 June.</w:t>
      </w:r>
    </w:p>
    <w:p>
      <w:pPr>
        <w:spacing w:after="120" w:before="60"/>
        <w:jc w:val="center"/>
      </w:pPr>
      <w:r>
        <w:drawing>
          <wp:inline distT="0" distB="0" distL="0" distR="0">
            <wp:extent cx="576262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Distance-from-open — 15 June shows the largest positive close-vs-open travel of the window.</w:t>
      </w:r>
    </w:p>
    <w:p>
      <w:pPr>
        <w:spacing w:after="120" w:before="60"/>
        <w:jc w:val="center"/>
      </w:pPr>
      <w:r>
        <w:drawing>
          <wp:inline distT="0" distB="0" distL="0" distR="0">
            <wp:extent cx="5762625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25-session structure — the May plateau, the early-June break lower, and the late bounce.</w:t>
      </w:r>
    </w:p>
    <w:p>
      <w:pPr>
        <w:spacing w:after="120" w:before="60"/>
        <w:jc w:val="center"/>
      </w:pPr>
      <w:r>
        <w:drawing>
          <wp:inline distT="0" distB="0" distL="0" distR="0">
            <wp:extent cx="5762625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Comparative volatility (ATR / historical z-score) for gold; slope is mildly positive (expansion).</w:t>
      </w:r>
    </w:p>
    <w:p>
      <w:pPr>
        <w:spacing w:after="120" w:before="60"/>
        <w:jc w:val="center"/>
      </w:pPr>
      <w:r>
        <w:drawing>
          <wp:inline distT="0" distB="0" distL="0" distR="0">
            <wp:extent cx="5762625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Pivot structure — daily levels (blue) cluster around price; weekly levels (purple) frame the wider band. Current week candle in gold.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8 · Short-Term Technical Analysis</w:t>
      </w:r>
    </w:p>
    <w:p>
      <w:pPr>
        <w:spacing w:after="120" w:line="264"/>
      </w:pPr>
      <w:r>
        <w:rPr>
          <w:rFonts w:ascii="Calibri" w:cs="Calibri" w:eastAsia="Calibri" w:hAnsi="Calibri"/>
          <w:sz w:val="19"/>
          <w:szCs w:val="19"/>
        </w:rPr>
        <w:t xml:space="preserve">Reading the five validated sessions (see §6) candle by candle: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09 Jun — </w:t>
      </w:r>
      <w:r>
        <w:rPr>
          <w:rFonts w:ascii="Calibri" w:cs="Calibri" w:eastAsia="Calibri" w:hAnsi="Calibri"/>
          <w:sz w:val="19"/>
          <w:szCs w:val="19"/>
        </w:rPr>
        <w:t xml:space="preserve">bearish body, close near the lows (close 22% of range); RSI2 ~0.8 confirms downside exhaustion building but momentum still falling.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10 Jun — </w:t>
      </w:r>
      <w:r>
        <w:rPr>
          <w:rFonts w:ascii="Calibri" w:cs="Calibri" w:eastAsia="Calibri" w:hAnsi="Calibri"/>
          <w:sz w:val="19"/>
          <w:szCs w:val="19"/>
        </w:rPr>
        <w:t xml:space="preserve">wide-range capitulation bar (high 4,258 → low 4,067), a 4.4% down day; lower wick modest, close near the low. This is the swing-low anchor for the window.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11 Jun — </w:t>
      </w:r>
      <w:r>
        <w:rPr>
          <w:rFonts w:ascii="Calibri" w:cs="Calibri" w:eastAsia="Calibri" w:hAnsi="Calibri"/>
          <w:sz w:val="19"/>
          <w:szCs w:val="19"/>
        </w:rPr>
        <w:t xml:space="preserve">bullish reversal: a long lower wick into 4,023.55 (the 5-day swing low) then a strong recovery to 4,215; close 96% of range — a textbook demand-zone rejection.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12 Jun — </w:t>
      </w:r>
      <w:r>
        <w:rPr>
          <w:rFonts w:ascii="Calibri" w:cs="Calibri" w:eastAsia="Calibri" w:hAnsi="Calibri"/>
          <w:sz w:val="19"/>
          <w:szCs w:val="19"/>
        </w:rPr>
        <w:t xml:space="preserve">narrow inside-ish consolidation, close 4,219; RSI2 saturates at 100 as a second up-close registers.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15 Jun — </w:t>
      </w:r>
      <w:r>
        <w:rPr>
          <w:rFonts w:ascii="Calibri" w:cs="Calibri" w:eastAsia="Calibri" w:hAnsi="Calibri"/>
          <w:sz w:val="19"/>
          <w:szCs w:val="19"/>
        </w:rPr>
        <w:t xml:space="preserve">peace-deal gap-and-go: high 4,345, close 4,314, close 75% of range; the third consecutive higher close.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Sequence assessment: </w:t>
      </w:r>
      <w:r>
        <w:rPr>
          <w:rFonts w:ascii="Calibri" w:cs="Calibri" w:eastAsia="Calibri" w:hAnsi="Calibri"/>
          <w:sz w:val="19"/>
          <w:szCs w:val="19"/>
        </w:rPr>
        <w:t xml:space="preserve">the window is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V-reversal / transition</w:t>
      </w:r>
      <w:r>
        <w:rPr>
          <w:rFonts w:ascii="Calibri" w:cs="Calibri" w:eastAsia="Calibri" w:hAnsi="Calibri"/>
          <w:sz w:val="19"/>
          <w:szCs w:val="19"/>
        </w:rPr>
        <w:t xml:space="preserve"> — capitulation on 10 June, demand rejection on 11 June, and continuation on 12–15 June. Overlap is now declining and closes are travelling up, but the move is only two-and-a-half sessions old and RSI2 at 100 signals an overbought short-term condition vulnerable to a pause. Nearest support is the 11–12 June reaction shelf at $4,170–$4,177; nearest resistance is the 9 June swing high at $4,363, then the prior breakdown zone near $4,475.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9 · Medium-Term Regime &amp; VOLator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Reading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Overlap ratio (25-session)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0.60 — high overlap, range-bound bias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Directional persistence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0.46 — below the trending threshold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Range position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38.8th percentile — mid-range, slight lower-half lean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Momentum-efficiency (KER)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−0.276 → Trending Down — Moderate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Volatility slope (VOLator)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+0.07 → mild expansion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Consolidated regime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TRANSITION (efficiency says down, volatility says expanding — gates disagree)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sz w:val="19"/>
          <w:szCs w:val="19"/>
        </w:rPr>
        <w:t xml:space="preserve">The medium-term picture is a market that spent May plateauing near $4,500–$4,570, broke lower in early June to a $4,023 trough, and is now rebounding. The high overlap and sub-trend persistence argue against a clean trend; the negative efficiency ratio still tilts the structural bias down, but the positive volatility slope and the fresh reversal prevent a clean RANGE label. The synthesis is therefore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Transitional</w:t>
      </w:r>
      <w:r>
        <w:rPr>
          <w:rFonts w:ascii="Calibri" w:cs="Calibri" w:eastAsia="Calibri" w:hAnsi="Calibri"/>
          <w:sz w:val="19"/>
          <w:szCs w:val="19"/>
        </w:rPr>
        <w:t xml:space="preserve"> — the regime that treats the next confirmed break as the higher-probability move, while flagging the current bounce as a counter-trend recovery until proven otherwise.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10 ·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3760"/>
        <w:gridCol w:w="26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Counter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5-day dir.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Mechanism to gold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 vs regime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USDX (Dollar Index)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Falling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Weaker dollar lowers the cost of gold for non-USD buyers and signals easier conditions — supportive.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Confirms (bull bounce)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S&amp;P 500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Rising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Risk-on equity rally competes with safe-haven demand; mildly negative for the haven bid but reflects the same easing-fear impulse.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7"/>
                <w:szCs w:val="17"/>
              </w:rPr>
              <w:t xml:space="preserve">Mixed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DAX 40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Rising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European risk-on confirms the global easing-of-fear read; not a direct gold driver.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7"/>
                <w:szCs w:val="17"/>
              </w:rPr>
              <w:t xml:space="preserve">Mixed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Aggregate cross-asset read: </w:t>
      </w: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MIXED. </w:t>
      </w:r>
      <w:r>
        <w:rPr>
          <w:rFonts w:ascii="Calibri" w:cs="Calibri" w:eastAsia="Calibri" w:hAnsi="Calibri"/>
          <w:sz w:val="19"/>
          <w:szCs w:val="19"/>
        </w:rPr>
        <w:t xml:space="preserve">The falling dollar confirms the near-term bullish bounce, but rising equities pull the other way on the pure safe-haven channel. The shared driver — collapsing oil and falling Fed-hike odds — explains why gold and equities rose together: both are responding to lower implied inflation and lower expected rates rather than to a classic risk-off impulse.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11 · Floor Pivot Analysis</w:t>
      </w:r>
    </w:p>
    <w:p>
      <w:pPr>
        <w:spacing w:after="120" w:line="264"/>
      </w:pPr>
      <w:r>
        <w:rPr>
          <w:rFonts w:ascii="Calibri" w:cs="Calibri" w:eastAsia="Calibri" w:hAnsi="Calibri"/>
          <w:sz w:val="19"/>
          <w:szCs w:val="19"/>
        </w:rPr>
        <w:t xml:space="preserve">Pivots are computed from prior-period high/low/close. Per the source discipline, the prior daily and weekly high/low/close rest on a single corroborated-then-indicative spot feed for 11–15 June; the levels below are therefore marked </w:t>
      </w: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single-source — indicative</w:t>
      </w:r>
      <w:r>
        <w:rPr>
          <w:rFonts w:ascii="Calibri" w:cs="Calibri" w:eastAsia="Calibri" w:hAnsi="Calibri"/>
          <w:sz w:val="19"/>
          <w:szCs w:val="19"/>
        </w:rPr>
        <w:t xml:space="preserve"> and are used for context and chart framing, not as definitive limit-order levels.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Daily (prior session 12 Jun) · Weekly (W/E 12 Jun) · Monthly (May)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Daily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Weekly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4,330.40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4,720.65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5,160.13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4,288.47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4,542.07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4,966.82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4,253.89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4,380.70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4,753.04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4,211.96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4,202.12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4,559.73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4,177.38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4,040.75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4,345.95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4,135.45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3,862.17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4,152.64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4,100.87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3,700.80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3,938.86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Position narrative: </w:t>
      </w:r>
      <w:r>
        <w:rPr>
          <w:rFonts w:ascii="Calibri" w:cs="Calibri" w:eastAsia="Calibri" w:hAnsi="Calibri"/>
          <w:sz w:val="19"/>
          <w:szCs w:val="19"/>
        </w:rPr>
        <w:t xml:space="preserve">the 15 June close ($4,314) sits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above both the daily pivot ($4,212) and the weekly pivot ($4,202)</w:t>
      </w:r>
      <w:r>
        <w:rPr>
          <w:rFonts w:ascii="Calibri" w:cs="Calibri" w:eastAsia="Calibri" w:hAnsi="Calibri"/>
          <w:sz w:val="19"/>
          <w:szCs w:val="19"/>
        </w:rPr>
        <w:t xml:space="preserve">, and is pressing the daily R3 ($4,330) — a bullish short-term posture. It remains well below the monthly pivot ($4,560), confirming the medium-term structure is still recovering from a deeper breakdown. The daily R1–R3 band ($4,254–$4,330) is the immediate overhead supply shelf; the weekly P/S1 zone ($4,041–$4,202) is the structural floor on any pullback.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12 · Key Market Considerations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Demand &amp; safe-haven flows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color w:val="2E8B57"/>
          <w:sz w:val="19"/>
          <w:szCs w:val="19"/>
        </w:rPr>
        <w:t xml:space="preserve">Supportive (structural). </w:t>
      </w:r>
      <w:r>
        <w:rPr>
          <w:rFonts w:ascii="Calibri" w:cs="Calibri" w:eastAsia="Calibri" w:hAnsi="Calibri"/>
          <w:sz w:val="19"/>
          <w:szCs w:val="19"/>
        </w:rPr>
        <w:t xml:space="preserve">Central-bank accumulation (PBoC, RBI and others), currency-debasement hedging and fiscal-deficit concerns across the G7 remain intact and were not resolved by a Middle-East framework. Singapore announced an OTC gold clearing system and central-bank vaulting services, a structural deepening of Asian bullion infrastructure.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Policy &amp; rates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Mixed / pivotal. </w:t>
      </w:r>
      <w:r>
        <w:rPr>
          <w:rFonts w:ascii="Calibri" w:cs="Calibri" w:eastAsia="Calibri" w:hAnsi="Calibri"/>
          <w:sz w:val="19"/>
          <w:szCs w:val="19"/>
        </w:rPr>
        <w:t xml:space="preserve">The collapse in oil from ~$110 to ~$80 cut implied inflation and pushed December Fed-hike odds down from ~70% to 49–58%. Lower expected rates reduce the opportunity cost of non-yielding gold — supportive. But the ECB raised rates on 11 June and US producer prices ran +6.5% y/y in May, keeping a hawkish tail alive. The 17 June FOMC under new Chair Warsh is the swing factor (see §13d).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Macro &amp; market structure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color w:val="2E8B57"/>
          <w:sz w:val="19"/>
          <w:szCs w:val="19"/>
        </w:rPr>
        <w:t xml:space="preserve">Supportive near-term. </w:t>
      </w:r>
      <w:r>
        <w:rPr>
          <w:rFonts w:ascii="Calibri" w:cs="Calibri" w:eastAsia="Calibri" w:hAnsi="Calibri"/>
          <w:sz w:val="19"/>
          <w:szCs w:val="19"/>
        </w:rPr>
        <w:t xml:space="preserve">A softer dollar and falling Treasury yields removed two cross-asset headwinds simultaneously. The reopening of the Strait of Hormuz is the mechanism transmitting lower oil into lower inflation expectations.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Substitution &amp; spreads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Neutral-to-supportive. </w:t>
      </w:r>
      <w:r>
        <w:rPr>
          <w:rFonts w:ascii="Calibri" w:cs="Calibri" w:eastAsia="Calibri" w:hAnsi="Calibri"/>
          <w:sz w:val="19"/>
          <w:szCs w:val="19"/>
        </w:rPr>
        <w:t xml:space="preserve">Silver (+4.6%), platinum (+4.6%) and palladium (+5.1%) all outran gold on 15 June, a high-beta confirmation that the bid is broad-based across precious metals rather than gold-specific.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13 · Sentiment, News &amp; Calendar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13a ·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400"/>
        <w:gridCol w:w="14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Sentiment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Derivation quote (≤15 words)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Reuters (Streible, Blue Line)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Institutional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Bullish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“market is moving past the conflict and pricing it out”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UBS (Staunovo)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Institutional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Bullish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“pricing out rate hikes… lifting the yellow metal”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Bloomberg (Wong, OCBC)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Institutional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7"/>
                <w:szCs w:val="17"/>
              </w:rPr>
              <w:t xml:space="preserve">Mixed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“need… softer yields, softer oil… for stronger upside”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Vital Knowledge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Institutional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Bearish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“easing bias will be removed from the FOMC statement”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Phemex / market outlook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Trade Press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Bullish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0.7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“institutions remain constructive… targets $5,243 to $6,300”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DailyForex (Lewis)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7"/>
                <w:szCs w:val="17"/>
              </w:rPr>
              <w:t xml:space="preserve">Mixed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“approaching an area of demand near the $4,500 level”</w:t>
            </w:r>
          </w:p>
        </w:tc>
      </w:tr>
    </w:tbl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13b · Aggregate sentiment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color w:val="2E8B57"/>
          <w:sz w:val="19"/>
          <w:szCs w:val="19"/>
        </w:rPr>
        <w:t xml:space="preserve">Predominantly Bullish (tilt = +0.46). </w:t>
      </w:r>
      <w:r>
        <w:rPr>
          <w:rFonts w:ascii="Calibri" w:cs="Calibri" w:eastAsia="Calibri" w:hAnsi="Calibri"/>
          <w:sz w:val="19"/>
          <w:szCs w:val="19"/>
        </w:rPr>
        <w:t xml:space="preserve">Counts: 3 Bullish (2 institutional, 1 trade press), 2 Mixed (1 institutional, 1 media), 1 Bearish (institutional). Weighted score Σw·s = (1.0+1.0+0.7) − (1.0) + 0 + 0 = +1.7 over Σw = 4.2 → +0.40; nudged to +0.46 reflecting the explicit one-directional lean of the two bullish institutional notes. The lone bearish institutional read (easing-bias removal at the FOMC) is the principal counterweight. No divergence flag: aggregate bullish sentiment agrees with the rising price.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13c · Previous-period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6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Implication for gold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Thu 11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ECB rate hike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First hike since 2023; inflation forecasts revised up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Hawkish G-region tone — pressured gold mid-week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Fri 12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 PPI (May) +6.5% y/y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Energy-shock inflation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Reinforced hike fears — capped the bounce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Fri 12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Iran-deal optimism builds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Trump signals weekend deal possible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Oil eased; gold held gains below $4,200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 15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US–Iran interim framework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Strait of Hormuz to reopen; oil $110→$80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Gold +2.3–3%, third up session; hike odds fell</w:t>
            </w:r>
          </w:p>
        </w:tc>
      </w:tr>
    </w:tbl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13d · Upcoming-period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6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Assessment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Mechanism for gold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Wed 17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FOMC decision — Warsh's first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Removal of easing bias / hawkish tone → gold down; dovish hold → bounce extends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Tue 16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RBA &amp; BoJ decisions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BoJ hike supports yen; marginal USD channel to gold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Fri 19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US–Iran deal formal signing (Switzerland)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Confirmation removes residual risk premium; could fade haven bid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Wk of 16 Jun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Fed FedWatch repricing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Further hike-odds decline below 45% is the bull trigger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Highest-impact event: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the 17 June FOMC. </w:t>
      </w:r>
      <w:r>
        <w:rPr>
          <w:rFonts w:ascii="Calibri" w:cs="Calibri" w:eastAsia="Calibri" w:hAnsi="Calibri"/>
          <w:sz w:val="19"/>
          <w:szCs w:val="19"/>
        </w:rPr>
        <w:t xml:space="preserve">Mechanism — with the market already pricing out hikes on the oil collapse, a statement that removes the easing bias or a hawkish Warsh press conference would re-introduce rate-driven downside to non-yielding gold and could invalidate the three-session bounce; a neutral-to-dovish hold would let the recovery extend toward the daily R-band and beyond.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14 · Macro Context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Rates &amp; inflation: </w:t>
      </w:r>
      <w:r>
        <w:rPr>
          <w:rFonts w:ascii="Calibri" w:cs="Calibri" w:eastAsia="Calibri" w:hAnsi="Calibri"/>
          <w:sz w:val="19"/>
          <w:szCs w:val="19"/>
        </w:rPr>
        <w:t xml:space="preserve">the dominant macro pivot is the re-rating of the Fed path. Pre-deal, sticky inflation (PPI +6.5% y/y) and the energy shock had markets pricing ~70% odds of a December hike; the oil collapse cut that to roughly half. Treasury yields fell alongside oil (US 10Y ~4.43%). 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Liquidity &amp; FX: </w:t>
      </w:r>
      <w:r>
        <w:rPr>
          <w:rFonts w:ascii="Calibri" w:cs="Calibri" w:eastAsia="Calibri" w:hAnsi="Calibri"/>
          <w:sz w:val="19"/>
          <w:szCs w:val="19"/>
        </w:rPr>
        <w:t xml:space="preserve">the dollar eased (USDX ~99.2, see §10), removing a headwind. 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Positioning: </w:t>
      </w:r>
      <w:r>
        <w:rPr>
          <w:rFonts w:ascii="Calibri" w:cs="Calibri" w:eastAsia="Calibri" w:hAnsi="Calibri"/>
          <w:sz w:val="19"/>
          <w:szCs w:val="19"/>
        </w:rPr>
        <w:t xml:space="preserve">commentary notes short-covering running well ahead of fresh long-buying, implying the bounce is partly a squeeze rather than pure new conviction — a reason to treat the move as transitional until the FOMC (a §13d watch item) clarifies the rate path.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15 · Bull / Bear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Upside risks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Downside risks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Dovish/neutral FOMC hold (17 Jun) lets the bounce extend through daily R3 ($4,330) toward $4,475.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Hawkish FOMC / easing-bias removal re-prices rates higher; gold rejects the daily R-band.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Further Fed-hike-odds decline below 45% as oil stays low.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Formal deal signing (19 Jun) fully removes the war risk premium — haven bid fades.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Continued central-bank / Asian structural demand (Singapore clearing hub).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Sticky PPI / ECB-style hawkishness revives the inflation-hike narrative.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8B57"/>
                <w:sz w:val="17"/>
                <w:szCs w:val="17"/>
              </w:rPr>
              <w:t xml:space="preserve">Close holds above weekly P ($4,202) — structure stays constructive.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RSI2 at 100 signals overbought; a daily close back below S1 ($4,177) breaks the bounce.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Balance: </w:t>
      </w:r>
      <w:r>
        <w:rPr>
          <w:rFonts w:ascii="Calibri" w:cs="Calibri" w:eastAsia="Calibri" w:hAnsi="Calibri"/>
          <w:sz w:val="19"/>
          <w:szCs w:val="19"/>
        </w:rPr>
        <w:t xml:space="preserve">the near-term tape is constructive (price above daily and weekly pivots, broad metals strength), but the risk is event-binary into the 17 June FOMC and the close sits in the lower half of the 25-session range. Net read is balanced-with-an-upside-lean for the session, contingent on the Fed.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16 · Forward View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Expected direction (next 5 sessions): </w:t>
      </w:r>
      <w:r>
        <w:rPr>
          <w:rFonts w:ascii="Calibri" w:cs="Calibri" w:eastAsia="Calibri" w:hAnsi="Calibri"/>
          <w:sz w:val="19"/>
          <w:szCs w:val="19"/>
        </w:rPr>
        <w:t xml:space="preserve">mildly higher but capped, with the FOMC as the gate. Working range $4,170–$4,475. The base case is a hold-and-grind above the weekly pivot ($4,202) with resistance at the daily R-band ($4,254–$4,330) and then the early-June breakdown zone near $4,475.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This respects the consolidated Transitional regime</w:t>
      </w:r>
      <w:r>
        <w:rPr>
          <w:rFonts w:ascii="Calibri" w:cs="Calibri" w:eastAsia="Calibri" w:hAnsi="Calibri"/>
          <w:sz w:val="19"/>
          <w:szCs w:val="19"/>
        </w:rPr>
        <w:t xml:space="preserve"> — it does not assert a clean trend. Base-case invalidation: a daily close back below $4,170 (the 11–12 June shelf and daily S1 region) would negate the reversal and re-expose the $4,023 swing low.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17 · Forecast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Gold likely extends its recovery modestly toward the $4,330–$4,360 resistance shelf over the coming sessions, provided the 17 June FOMC does not turn hawkish, with a daily close below $4,170 negating the bounce.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18 · Final Analyst Judgement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Judgement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Consensus price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$4,314 / oz (range $4,300–$4,345)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Confidence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 — recent spot sessions single-source corroborated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Reason 1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US–Iran framework cut oil and Fed-hike odds, lifting gold three straight sessions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Reason 2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Softer dollar and falling yields removed two cross-asset headwinds at once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Reason 3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Price reclaimed daily and weekly pivots; broad precious-metals strength confirms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Single watch item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17 June FOMC (Warsh's first) — easing-bias / tone is the swing factor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19 · Source Discipline Note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Live vs indicative: </w:t>
      </w:r>
      <w:r>
        <w:rPr>
          <w:rFonts w:ascii="Calibri" w:cs="Calibri" w:eastAsia="Calibri" w:hAnsi="Calibri"/>
          <w:sz w:val="19"/>
          <w:szCs w:val="19"/>
        </w:rPr>
        <w:t xml:space="preserve">9–10 June OHLC corroborated across two independent feeds within the commodity tolerance band (documented assumption: ±$0.50 strict on close, widened where a corroborating feed runs on a shifted timezone). 11–15 June rest on a single spot feed and are flagged single-source — indicative.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Pivot corroboration: </w:t>
      </w:r>
      <w:r>
        <w:rPr>
          <w:rFonts w:ascii="Calibri" w:cs="Calibri" w:eastAsia="Calibri" w:hAnsi="Calibri"/>
          <w:sz w:val="19"/>
          <w:szCs w:val="19"/>
        </w:rPr>
        <w:t xml:space="preserve">all daily and weekly pivot levels derive from single-source-indicative prior-period high/low/close and carry the indicative flag; they are used for context and chart framing, not as definitive entry/stop levels. Monthly pivots (May) rest on the corroborated portion of the window.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Normalization: </w:t>
      </w:r>
      <w:r>
        <w:rPr>
          <w:rFonts w:ascii="Calibri" w:cs="Calibri" w:eastAsia="Calibri" w:hAnsi="Calibri"/>
          <w:sz w:val="19"/>
          <w:szCs w:val="19"/>
        </w:rPr>
        <w:t xml:space="preserve">futures (GC=F Aug) converted to spot-equivalent by removing ~$30–$40 contango. The Sydney-timezone aggregator feed was excluded for recent sessions as stale/offset rather than blended.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Per the run instruction, trade strategies are produced despite the partial single-source corroboration; corroboration leniency is applied and every affected level carries the indicative qualifier into §21.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20 · Agent Log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sz w:val="19"/>
          <w:szCs w:val="19"/>
        </w:rPr>
        <w:t xml:space="preserve">Sources attempted for spot OHLC: Investing.com primary-corroborated; Twelve Data corroborated for early June but stale and timezone-offset for recent sessions; Barchart reference points only (52-week high 5,595); Stooq robots-blocked. Corroboration achieved 9 to 10 Jun; 11 to 15 Jun single-source.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sz w:val="19"/>
          <w:szCs w:val="19"/>
        </w:rPr>
        <w:t xml:space="preserve">Validation method: two-source close agreement within commodity tolerance; weekend/duplicate rows rejected (near-zero-change AEST artefacts from the secondary feed removed).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sz w:val="19"/>
          <w:szCs w:val="19"/>
        </w:rPr>
        <w:t xml:space="preserve">Sentiment derivation: six articles, source-class weighted; tilt +0.46 (Predominantly Bullish). All classifications carry a sub-15-word derivation quote.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sz w:val="19"/>
          <w:szCs w:val="19"/>
        </w:rPr>
        <w:t xml:space="preserve">Strategy trace: direction weights at locked defaults (0.25/0.20/0.10/0.15/0.15/0.15). Score +0.273 yields LONG (threshold 0.25). Regime consolidated to TRANSITION (efficiency-ratio negative vs positive volatility slope, a dual-gate disagreement). Trade 3C suppressed (no confirmed daily close beyond the 25-session boundary). Daily-open anchor overridden to 07:00 UK for this run.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sz w:val="19"/>
          <w:szCs w:val="19"/>
        </w:rPr>
        <w:t xml:space="preserve">Backtest: 5 sessions reconstructed at each prior close with no forward leakage; sentiment frozen per session; resolution on actual next-session OHLC with SL-first tick priority.</w:t>
      </w:r>
    </w:p>
    <w:p>
      <w:pPr>
        <w:pStyle w:val="ListParagraph"/>
        <w:numPr>
          <w:ilvl w:val="0"/>
          <w:numId w:val="1"/>
        </w:numPr>
        <w:spacing w:after="70" w:line="256"/>
      </w:pPr>
      <w:r>
        <w:rPr>
          <w:rFonts w:ascii="Calibri" w:cs="Calibri" w:eastAsia="Calibri" w:hAnsi="Calibri"/>
          <w:sz w:val="19"/>
          <w:szCs w:val="19"/>
        </w:rPr>
        <w:t xml:space="preserve">Anomalies: RSI2 saturated at 100 on two consecutive up-closes (expected after a sharp reversal); single-source-indicative flag propagated to all pivot-based levels. Timestamp: 16 Jun 2026, 07:00 UK.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21 · Strategy Recommendations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21a · Directional Conviction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Session direction: </w:t>
      </w:r>
      <w:r>
        <w:rPr>
          <w:rFonts w:ascii="Calibri" w:cs="Calibri" w:eastAsia="Calibri" w:hAnsi="Calibri"/>
          <w:b/>
          <w:bCs/>
          <w:color w:val="2E8B57"/>
          <w:sz w:val="19"/>
          <w:szCs w:val="19"/>
        </w:rPr>
        <w:t xml:space="preserve">LONG, score +0.27 </w:t>
      </w:r>
      <w:r>
        <w:rPr>
          <w:rFonts w:ascii="Calibri" w:cs="Calibri" w:eastAsia="Calibri" w:hAnsi="Calibri"/>
          <w:sz w:val="19"/>
          <w:szCs w:val="19"/>
        </w:rPr>
        <w:t xml:space="preserve">(just above the 0.25 conviction threshold). The three highest-weighted contributors are the short-term technical bias (+0.25, two bullish closes / RSI2 100), the sentiment tilt (+0.07, predominantly bullish post-deal), and the volatility-expansion read (+0.05). These are partly offset by the medium-term down-structure (−0.10) and the negative efficiency ratio (−0.04). The conviction is marginal and event-gated. No conflict with the §17 forecast — both lean modestly higher; the forecast remains independent of the trade-card direction.</w:t>
      </w:r>
    </w:p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21b · Trade Cards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Trade 1 — Daily Directional (LONG)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Direction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LONG — marginal conviction in a TRANSITION regime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Entry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Market at 07:00 UK open ≈ $4,314.33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Stop loss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$4,146.57 — 167.8 USD below entry (16,776 ticks). Anchor: nearest daily support shelf (S1 $4,177) buffered by 0.25×ATR, inside the 3.5×ATR cap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Risk (R)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167.8 USD = 16,776 ticks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TP1 (Unit 1)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$4,482.09 — +1R (16,776 ticks)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TP2 (Unit 2)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$4,649.84 — +2R; on fill, Unit 3 stop → entry +0.2R ($4,347.88)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TP3 (Unit 3 runner)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time-stop at session close or 3×ATR cap ($4,684.02), whichever first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Tranche mgmt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 equal units; U1→TP1, U2→TP2, U3 runner with BE+0.2R trail on U2 fill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Confluences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TP1 ($4,482) coincides with the early-June breakdown zone (~$4,475) — strong overhead supply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daily close below $4,170 (11–12 Jun shelf / daily S1) — breaks the reversal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Caveats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7"/>
                <w:szCs w:val="17"/>
              </w:rPr>
              <w:t xml:space="preserve">wide stop (R &gt; 1×ATR — flagged); single-source-indicative support anchor; holding period collides with 17 Jun FOMC (Tier-1 event)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Trade 2 — Pivot, TRANSITION breakout-side (LONG, 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Direction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LONG — breakout side only (counter-side limits suppressed in TRANSITION)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Entry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Stop/limit at $4,216.15 — 10% of the way from daily P ($4,212) toward R1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Stop loss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$4,184.30 — below P toward S1 (31.9 USD / 3,186 ticks)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Risk (R)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31.9 USD = 3,186 ticks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TP1 / TP2 / TP3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R1 $4,253.89 / R1.5 $4,271.18 / R2 $4,288.47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Thesis invalidation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daily close back through daily P ($4,212)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Caveats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7"/>
                <w:szCs w:val="17"/>
              </w:rPr>
              <w:t xml:space="preserve">ALL pivot tiers single-source-indicative — card issued indicatively under the run's corroboration-leniency instruction; treat levels as approximate, not firm limit prices</w:t>
            </w:r>
          </w:p>
        </w:tc>
      </w:tr>
    </w:tbl>
    <w:p>
      <w:pPr>
        <w:spacing w:after="120" w:line="264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Trade 3C — Momentum-Breakout (TRANSITION)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Trade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Trade 3C — Momentum-Breakout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9770E"/>
                <w:sz w:val="17"/>
                <w:szCs w:val="17"/>
              </w:rPr>
              <w:t xml:space="preserve">SUPPRESSED — no confirmed daily close beyond the 25-session boundary ($4,804 up / $3,993 down); current close $4,314 sits inside the range. Eligible only on a confirmed break.</w:t>
            </w:r>
          </w:p>
        </w:tc>
      </w:tr>
    </w:tbl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21c ·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200"/>
        <w:gridCol w:w="1100"/>
        <w:gridCol w:w="2100"/>
        <w:gridCol w:w="1100"/>
        <w:gridCol w:w="10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Date (t)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Direction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Triggered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Entry → Exit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Outcome (R)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Tue 09 Jun (t−5)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4,331 → 4,264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+0.8R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Wed 10 Jun (t−4)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4,256 → 4,067 (TP2+)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+2.0R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Thu 11 Jun (t−3)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4,075 → SL 4,205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−1.0R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Fri 12 Jun (t−2)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4,215 → 4,219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OPEN @ +0.1R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3+ (open)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Mon 15 Jun (t−1)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Trade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4,219 → 4,314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+1.0R (TP1)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Trade 2 (pivot)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various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limits not reached in-range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Trade 3C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SUPPRESSED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 confirmed break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21d · What Is Working</w:t>
      </w:r>
    </w:p>
    <w:p>
      <w:pPr>
        <w:spacing w:after="12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Trade 1 over the last 5 sessions: triggered 5/5, mean R ≈ +0.58, TP1/TP2/TP3 hit rates ≈ 60% / 20% / 0%. </w:t>
      </w:r>
      <w:r>
        <w:rPr>
          <w:rFonts w:ascii="Calibri" w:cs="Calibri" w:eastAsia="Calibri" w:hAnsi="Calibri"/>
          <w:sz w:val="19"/>
          <w:szCs w:val="19"/>
        </w:rPr>
        <w:t xml:space="preserve">The daily-directional engine captured both legs of the V — short into the 10 June capitulation, then long on the reversal — with one whipsaw loss at the 11 June turn. Strongest performer: Trade 1 (only strategy with sufficient triggers). Weakest performer: insufficient triggers to rank Trade 2 / Trade 3C.</w:t>
      </w:r>
    </w:p>
    <w:p>
      <w:pPr>
        <w:spacing w:after="120" w:line="264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4"/>
        <w:szCs w:val="14"/>
      </w:rPr>
      <w:t xml:space="preserve">Gold Daily Report  │  15 June 2026  │  Senior Commodities Analyst — Precious Metals      Page </w:t>
    </w:r>
    <w:r>
      <w:rPr>
        <w:rFonts w:ascii="Calibri" w:cs="Calibri" w:eastAsia="Calibri" w:hAnsi="Calibr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33C" w:sz="4" w:space="2"/>
      </w:pBdr>
    </w:pPr>
    <w:r>
      <w:rPr>
        <w:rFonts w:ascii="Calibri" w:cs="Calibri" w:eastAsia="Calibri" w:hAnsi="Calibri"/>
        <w:color w:val="999999"/>
        <w:sz w:val="15"/>
        <w:szCs w:val="15"/>
      </w:rPr>
      <w:t xml:space="preserve">Gold — Daily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Calibri" w:cs="Calibri" w:eastAsia="Calibri" w:hAnsi="Calibri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3f98194f7fd6e7b08427b91cef10a73516d26d.png"/><Relationship Id="rId10" Type="http://schemas.openxmlformats.org/officeDocument/2006/relationships/image" Target="media/3e44f50a14717d034a8c8ac1920b6e949b2c5299.png"/><Relationship Id="rId11" Type="http://schemas.openxmlformats.org/officeDocument/2006/relationships/image" Target="media/5608382ea2844b419487c61929ee0600b44ceb76.png"/><Relationship Id="rId12" Type="http://schemas.openxmlformats.org/officeDocument/2006/relationships/image" Target="media/881ef8a831ccfa9415d697e11c9a4eda067b3294.png"/><Relationship Id="rId13" Type="http://schemas.openxmlformats.org/officeDocument/2006/relationships/image" Target="media/beb5ce7e401e596c17ede89dc25811ded8bfa3d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2026-06-15T21:38:31.600Z</dcterms:created>
  <dcterms:modified xsi:type="dcterms:W3CDTF">2026-06-15T21:38:31.600Z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