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Gold Report — Daily: 17 July 2026</w:t>
      </w:r>
    </w:p>
    <w:p>
      <w:pPr>
        <w:spacing w:after="60"/>
        <w:jc w:val="center"/>
      </w:pPr>
      <w:r>
        <w:rPr>
          <w:rFonts w:ascii="Calibri" w:cs="Calibri" w:eastAsia="Calibri" w:hAnsi="Calibri"/>
          <w:i/>
          <w:iCs/>
          <w:color w:val="555555"/>
          <w:sz w:val="22"/>
          <w:szCs w:val="22"/>
        </w:rPr>
        <w:t xml:space="preserve">With reference to: Silver · Dollar Index · S&amp;P 500 · DAX 40</w:t>
      </w:r>
    </w:p>
    <w:p>
      <w:pPr>
        <w:pBdr>
          <w:bottom w:val="single" w:color="1F3864" w:sz="8" w:space="6"/>
        </w:pBdr>
        <w:spacing w:after="240"/>
        <w:jc w:val="center"/>
      </w:pPr>
      <w:r>
        <w:rPr>
          <w:rFonts w:ascii="Calibri" w:cs="Calibri" w:eastAsia="Calibri" w:hAnsi="Calibri"/>
          <w:color w:val="555555"/>
          <w:sz w:val="20"/>
          <w:szCs w:val="20"/>
        </w:rPr>
        <w:t xml:space="preserve">Senior Commodities Analyst — Precious Metals</w:t>
      </w:r>
    </w:p>
    <w:p>
      <w:pPr>
        <w:pStyle w:val="Heading1"/>
        <w:spacing w:after="140" w:before="280"/>
      </w:pPr>
      <w:r>
        <w:rPr>
          <w:rFonts w:ascii="Calibri" w:cs="Calibri" w:eastAsia="Calibri" w:hAnsi="Calibri"/>
          <w:color w:val="1F3864"/>
        </w:rPr>
        <w:t xml:space="preserve">§1  Executive Snapshot</w:t>
      </w:r>
    </w:p>
    <w:p>
      <w:pPr>
        <w:spacing w:after="120" w:before="0"/>
        <w:jc w:val="both"/>
      </w:pPr>
      <w:r>
        <w:rPr>
          <w:rFonts w:ascii="Calibri" w:cs="Calibri" w:eastAsia="Calibri" w:hAnsi="Calibri"/>
          <w:b w:val="false"/>
          <w:bCs w:val="false"/>
          <w:i w:val="false"/>
          <w:iCs w:val="false"/>
          <w:sz w:val="20"/>
          <w:szCs w:val="20"/>
        </w:rPr>
        <w:t xml:space="preserve">Consensus spot gold is assessed at USD 3,995.50/oz (weighted median of six independent reads; defensible range 3,974–4,032), with market tone decisively bearish into the 17 July session. Three drivers dominate. First, the rate channel: cooler June CPI removed the near-term hike risk, but sharply higher crude on renewed Middle East escalation has revived inflation expectations, and money markets now price roughly a 51% probability of a September hike — a rising-real-yield path that is structurally hostile to a non-yielding asset. Second, the dollar: the Dollar Index has firmed to 100.51 and is grinding higher, tightening the mechanical inverse channel on bullion. Third, technical structure: gold has broken decisively out of its symmetrical-triangle consolidation to the downside, closing 16 July near 3,990 after a 91-point true range — the widest of the week — and sits below both its 50-period and 200-period moving averages. Short-term technical bias is DOWN (5-day net change −72.40 points, four consecutive lower closes); the medium-term structural regime is TREND_DOWN, with price −7.06% over one month and −8.02% year-to-date from the January all-time high at 5,602.23. The Kaufman Efficiency Ratio reads 0.59 — well above the 0.13 trending threshold — classifying the tape as TRENDING and confirming, not contradicting, the regime. The single most important watch item is the 3,973.96 session low: this is a 0.05%-confluence zone where the 5-day swing low, the year-to-date low region (3,943–3,944), and the monthly first support (3,961.54) cluster. A daily close through it opens the June low and, beyond that, the 3,675 channel base.</w:t>
      </w:r>
    </w:p>
    <w:p>
      <w:pPr>
        <w:pStyle w:val="Heading1"/>
        <w:spacing w:after="140" w:before="280"/>
      </w:pPr>
      <w:r>
        <w:rPr>
          <w:rFonts w:ascii="Calibri" w:cs="Calibri" w:eastAsia="Calibri" w:hAnsi="Calibri"/>
          <w:color w:val="1F3864"/>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Element</w:t>
            </w:r>
          </w:p>
        </w:tc>
        <w:tc>
          <w:tcPr>
            <w:tcW w:type="dxa" w:w="69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Definition</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Asset</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Gold (spot) — XAU/USD, London good delivery</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Specification</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London Good Delivery bar, 99.99% fine, 400-oz spot quote (LBMA standard)</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Scope</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Global — spot gold is a 24-hour market</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Price basis</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Spot, immediate settlement (loco London)</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Delivery basis</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OTC London spot, T+2 settlement</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Unit of measure</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USD per troy ounce</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Currency</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US Dollar</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As-of date</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17 July 2026 (Europe/London)</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Lookback window</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 validated sessions (10–16 July 2026)</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Session anchor</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00:00 UK — analyst override applied for this run (see §20)</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Decision use case</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Trading and risk review (forward-test)</w:t>
            </w:r>
          </w:p>
        </w:tc>
      </w:tr>
    </w:tbl>
    <w:p>
      <w:pPr>
        <w:pStyle w:val="Heading1"/>
        <w:spacing w:after="140" w:before="280"/>
      </w:pPr>
      <w:r>
        <w:rPr>
          <w:rFonts w:ascii="Calibri" w:cs="Calibri" w:eastAsia="Calibri" w:hAnsi="Calibri"/>
          <w:color w:val="1F3864"/>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Field</w:t>
            </w:r>
          </w:p>
        </w:tc>
        <w:tc>
          <w:tcPr>
            <w:tcW w:type="dxa" w:w="72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Value</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Consensus price</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USD 3,995.50 / oz</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Defensible range</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USD 3,974.00 – 4,032.00 / oz</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Basis</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Spot, loco London, immediate settlement</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Confidence</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MEDIUM</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Market tone</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Rationale</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Six independent reads cluster in a 40-point band around 4,000–4,013 through the New York morning, with the intraday tape extending lower to 3,973.96 before a shallow bounce. The weighted median down-weights aggregator-only and delayed dealer quotes and preserves the exchange-settled and real-time interbank reads. Confidence is MEDIUM rather than HIGH because the session range (91.43 points) is the widest of the five-day window and quotes were still moving at the time of the snapshot.</w:t>
            </w:r>
          </w:p>
        </w:tc>
      </w:tr>
    </w:tbl>
    <w:p>
      <w:pPr>
        <w:pStyle w:val="Heading1"/>
        <w:spacing w:after="140" w:before="280"/>
      </w:pPr>
      <w:r>
        <w:rPr>
          <w:rFonts w:ascii="Calibri" w:cs="Calibri" w:eastAsia="Calibri" w:hAnsi="Calibri"/>
          <w:color w:val="1F3864"/>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150"/>
        <w:gridCol w:w="1250"/>
        <w:gridCol w:w="1250"/>
        <w:gridCol w:w="1250"/>
        <w:gridCol w:w="1250"/>
        <w:gridCol w:w="1960"/>
      </w:tblGrid>
      <w:tr>
        <w:trPr>
          <w:tblHeader/>
        </w:trPr>
        <w:tc>
          <w:tcPr>
            <w:tcW w:type="dxa" w:w="12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Source</w:t>
            </w:r>
          </w:p>
        </w:tc>
        <w:tc>
          <w:tcPr>
            <w:tcW w:type="dxa" w:w="11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Date / Time (UK)</w:t>
            </w:r>
          </w:p>
        </w:tc>
        <w:tc>
          <w:tcPr>
            <w:tcW w:type="dxa" w:w="12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Raw Quote</w:t>
            </w:r>
          </w:p>
        </w:tc>
        <w:tc>
          <w:tcPr>
            <w:tcW w:type="dxa" w:w="12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Normalized (USD/oz)</w:t>
            </w:r>
          </w:p>
        </w:tc>
        <w:tc>
          <w:tcPr>
            <w:tcW w:type="dxa" w:w="12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Basis / Location</w:t>
            </w:r>
          </w:p>
        </w:tc>
        <w:tc>
          <w:tcPr>
            <w:tcW w:type="dxa" w:w="12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Relevance</w:t>
            </w:r>
          </w:p>
        </w:tc>
        <w:tc>
          <w:tcPr>
            <w:tcW w:type="dxa" w:w="19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Notes</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CME front-month gold futures</w:t>
            </w:r>
          </w:p>
        </w:tc>
        <w:tc>
          <w:tcPr>
            <w:tcW w:type="dxa" w:w="11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~16:30</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4,013.85</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3,998.85</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COMEX, New York</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Tier 1 — exchange settled</w:t>
            </w:r>
          </w:p>
        </w:tc>
        <w:tc>
          <w:tcPr>
            <w:tcW w:type="dxa" w:w="1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Front-month futures; ~15-pt carry basis deducted to spot-equivalent</w:t>
            </w:r>
          </w:p>
        </w:tc>
      </w:tr>
      <w:tr>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Investing.com (real-time interbank)</w:t>
            </w:r>
          </w:p>
        </w:tc>
        <w:tc>
          <w:tcPr>
            <w:tcW w:type="dxa" w:w="11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14:26</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3,983.66</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3,983.66</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OTC spot</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Tier 1 — real-time</w:t>
            </w:r>
          </w:p>
        </w:tc>
        <w:tc>
          <w:tcPr>
            <w:tcW w:type="dxa" w:w="1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Bid 4,009.91 / ask 4,010.25 at earlier print; prior close 4,060.38</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TradingView (spot feed)</w:t>
            </w:r>
          </w:p>
        </w:tc>
        <w:tc>
          <w:tcPr>
            <w:tcW w:type="dxa" w:w="11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close</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4,058.99</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4,058.99</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OTC spot</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Tier 2 — aggregator</w:t>
            </w:r>
          </w:p>
        </w:tc>
        <w:tc>
          <w:tcPr>
            <w:tcW w:type="dxa" w:w="1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Earlier-session print; stale relative to NY afternoon — down-weighted</w:t>
            </w:r>
          </w:p>
        </w:tc>
      </w:tr>
      <w:tr>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JM Bullion (live spot)</w:t>
            </w:r>
          </w:p>
        </w:tc>
        <w:tc>
          <w:tcPr>
            <w:tcW w:type="dxa" w:w="11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16:03</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4,010.33</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4,010.33</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OTC spot, loco London</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Tier 2 — dealer feed</w:t>
            </w:r>
          </w:p>
        </w:tc>
        <w:tc>
          <w:tcPr>
            <w:tcW w:type="dxa" w:w="1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Dealer-published live spot; delayed per own disclaimer</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TradingEconomics</w:t>
            </w:r>
          </w:p>
        </w:tc>
        <w:tc>
          <w:tcPr>
            <w:tcW w:type="dxa" w:w="11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~15:00</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≈4,000</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4,000.00</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OTC spot</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Tier 2 — agency</w:t>
            </w:r>
          </w:p>
        </w:tc>
        <w:tc>
          <w:tcPr>
            <w:tcW w:type="dxa" w:w="1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Reported gold falling toward the 4,000 handle on the session</w:t>
            </w:r>
          </w:p>
        </w:tc>
      </w:tr>
      <w:tr>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FX Leaders / FXEmpire consensus</w:t>
            </w:r>
          </w:p>
        </w:tc>
        <w:tc>
          <w:tcPr>
            <w:tcW w:type="dxa" w:w="11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07:21–15:03</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4,027–4,030</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4,028.50</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OTC spot</w:t>
            </w:r>
          </w:p>
        </w:tc>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Tier 3 — broker commentary</w:t>
            </w:r>
          </w:p>
        </w:tc>
        <w:tc>
          <w:tcPr>
            <w:tcW w:type="dxa" w:w="1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Corroborative only; 4-hour chart read near 4,027</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Investing.com session OHLC</w:t>
            </w:r>
          </w:p>
        </w:tc>
        <w:tc>
          <w:tcPr>
            <w:tcW w:type="dxa" w:w="11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full session</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 4,060.38 / H 4,065.39 / L 3,973.96</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OTC spot</w:t>
            </w:r>
          </w:p>
        </w:tc>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Tier 1 — session data</w:t>
            </w:r>
          </w:p>
        </w:tc>
        <w:tc>
          <w:tcPr>
            <w:tcW w:type="dxa" w:w="1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Range basis for daily pivot construction</w:t>
            </w:r>
          </w:p>
        </w:tc>
      </w:tr>
    </w:tbl>
    <w:p>
      <w:pPr>
        <w:spacing w:after="120"/>
      </w:pPr>
    </w:p>
    <w:p>
      <w:pPr>
        <w:spacing w:after="120" w:before="0"/>
        <w:jc w:val="both"/>
      </w:pPr>
      <w:r>
        <w:rPr>
          <w:rFonts w:ascii="Calibri" w:cs="Calibri" w:eastAsia="Calibri" w:hAnsi="Calibri"/>
          <w:b w:val="false"/>
          <w:bCs w:val="false"/>
          <w:i/>
          <w:iCs/>
          <w:sz w:val="18"/>
          <w:szCs w:val="18"/>
        </w:rPr>
        <w:t xml:space="preserve">Seven rows returned against a six-source minimum; the mandatory count is satisfied. Retail FX-broker spot quotes were excluded per the standing restriction on retail-spread inputs.</w:t>
      </w:r>
    </w:p>
    <w:p>
      <w:pPr>
        <w:pStyle w:val="Heading1"/>
        <w:spacing w:after="140" w:before="280"/>
      </w:pPr>
      <w:r>
        <w:rPr>
          <w:rFonts w:ascii="Calibri" w:cs="Calibri" w:eastAsia="Calibri" w:hAnsi="Calibri"/>
          <w:color w:val="1F3864"/>
        </w:rPr>
        <w:t xml:space="preserve">§5  Consensus Build Explanation</w:t>
      </w:r>
    </w:p>
    <w:p>
      <w:pPr>
        <w:spacing w:after="120" w:before="0"/>
        <w:jc w:val="both"/>
      </w:pPr>
      <w:r>
        <w:rPr>
          <w:rFonts w:ascii="Calibri" w:cs="Calibri" w:eastAsia="Calibri" w:hAnsi="Calibri"/>
          <w:b w:val="false"/>
          <w:bCs w:val="false"/>
          <w:i w:val="false"/>
          <w:iCs w:val="false"/>
          <w:sz w:val="20"/>
          <w:szCs w:val="20"/>
        </w:rPr>
        <w:t xml:space="preserve">Normalization proceeded on three axes. Futures-to-spot: the CME front-month print of 4,013.85 carries a positive basis to loco-London spot reflecting financing and storage to delivery; a 15-point carry adjustment brings it to a spot-equivalent 3,998.85, consistent with the observed cash-futures spread through the week. Location: no material London–New York–Shanghai arbitrage gap was detectable in the available window; the Shanghai premium was not independently retrievable at snapshot time and no regional adjustment was applied. Timing: quotes were aligned to the New York-afternoon window where liquidity is deepest, which is where the day's decisive move occurred.</w:t>
      </w:r>
    </w:p>
    <w:p>
      <w:pPr>
        <w:spacing w:after="120" w:before="0"/>
        <w:jc w:val="both"/>
      </w:pPr>
      <w:r>
        <w:rPr>
          <w:rFonts w:ascii="Calibri" w:cs="Calibri" w:eastAsia="Calibri" w:hAnsi="Calibri"/>
          <w:b w:val="false"/>
          <w:bCs w:val="false"/>
          <w:i w:val="false"/>
          <w:iCs w:val="false"/>
          <w:sz w:val="20"/>
          <w:szCs w:val="20"/>
        </w:rPr>
        <w:t xml:space="preserve">Weighting followed the weighted-median convention. The exchange-settled futures read and the real-time interbank read carry full weight. The TradingView print of 4,058.99 was down-weighted heavily — it is materially above every other observation and reflects an earlier point in the session, before the break through 4,030 and the extension to the low; treating it at par would drag the consensus roughly 12 points higher than the tape supports. The JM Bullion dealer feed carries a self-declared delay and was down-weighted accordingly. Broker-commentary reads (4,027–4,030) were retained as third-tier corroboration only, sufficient to confirm the band but not to set it.</w:t>
      </w:r>
    </w:p>
    <w:p>
      <w:pPr>
        <w:spacing w:after="120" w:before="0"/>
        <w:jc w:val="both"/>
      </w:pPr>
      <w:r>
        <w:rPr>
          <w:rFonts w:ascii="Calibri" w:cs="Calibri" w:eastAsia="Calibri" w:hAnsi="Calibri"/>
          <w:b w:val="false"/>
          <w:bCs w:val="false"/>
          <w:i w:val="false"/>
          <w:iCs w:val="false"/>
          <w:sz w:val="20"/>
          <w:szCs w:val="20"/>
        </w:rPr>
        <w:t xml:space="preserve">Exclusions: retail FX-broker spot quotes and any paywalled-only claim. No observation was discarded as an outlier on statistical grounds — the TradingView print is explained by timing, not error, and was down-weighted rather than dropped.</w:t>
      </w:r>
    </w:p>
    <w:p>
      <w:pPr>
        <w:spacing w:after="120" w:before="0"/>
        <w:jc w:val="both"/>
      </w:pPr>
      <w:r>
        <w:rPr>
          <w:rFonts w:ascii="Calibri" w:cs="Calibri" w:eastAsia="Calibri" w:hAnsi="Calibri"/>
          <w:b w:val="false"/>
          <w:bCs w:val="false"/>
          <w:i w:val="false"/>
          <w:iCs w:val="false"/>
          <w:sz w:val="20"/>
          <w:szCs w:val="20"/>
        </w:rPr>
        <w:t xml:space="preserve">The resulting 3,995.50 is the most defensible number because it sits at the centre of gravity of the two highest-tier reads (3,983.66 real-time interbank; 3,998.85 futures spot-equivalent), is consistent with the agency report of gold approaching 4,000, and does not import the timing bias of the aggregator print. The 3,974–4,032 range is bounded below by the observed session low, which is a real traded level, and above by the last cluster of live quotes before the break.</w:t>
      </w:r>
    </w:p>
    <w:p>
      <w:pPr>
        <w:pStyle w:val="Heading1"/>
        <w:spacing w:after="140" w:before="280"/>
      </w:pPr>
      <w:r>
        <w:rPr>
          <w:rFonts w:ascii="Calibri" w:cs="Calibri" w:eastAsia="Calibri" w:hAnsi="Calibri"/>
          <w:color w:val="1F3864"/>
        </w:rPr>
        <w:t xml:space="preserve">§6  Validated OHLC + RSI2</w:t>
      </w:r>
    </w:p>
    <w:p>
      <w:pPr>
        <w:spacing w:after="120" w:before="0"/>
        <w:jc w:val="both"/>
      </w:pPr>
      <w:r>
        <w:rPr>
          <w:rFonts w:ascii="Calibri" w:cs="Calibri" w:eastAsia="Calibri" w:hAnsi="Calibri"/>
          <w:b/>
          <w:bCs/>
          <w:i w:val="false"/>
          <w:iCs w:val="false"/>
          <w:sz w:val="20"/>
          <w:szCs w:val="20"/>
        </w:rPr>
        <w:t xml:space="preserve">Gold (spot) — XAU/USD, USD/oz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030"/>
        <w:gridCol w:w="1030"/>
        <w:gridCol w:w="1030"/>
        <w:gridCol w:w="1030"/>
        <w:gridCol w:w="940"/>
        <w:gridCol w:w="1040"/>
        <w:gridCol w:w="860"/>
        <w:gridCol w:w="1220"/>
      </w:tblGrid>
      <w:tr>
        <w:trPr>
          <w:tblHeader/>
        </w:trPr>
        <w:tc>
          <w:tcPr>
            <w:tcW w:type="dxa" w:w="11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Session</w:t>
            </w:r>
          </w:p>
        </w:tc>
        <w:tc>
          <w:tcPr>
            <w:tcW w:type="dxa" w:w="103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Open</w:t>
            </w:r>
          </w:p>
        </w:tc>
        <w:tc>
          <w:tcPr>
            <w:tcW w:type="dxa" w:w="103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High</w:t>
            </w:r>
          </w:p>
        </w:tc>
        <w:tc>
          <w:tcPr>
            <w:tcW w:type="dxa" w:w="103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Low</w:t>
            </w:r>
          </w:p>
        </w:tc>
        <w:tc>
          <w:tcPr>
            <w:tcW w:type="dxa" w:w="103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Close</w:t>
            </w:r>
          </w:p>
        </w:tc>
        <w:tc>
          <w:tcPr>
            <w:tcW w:type="dxa" w:w="94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Net Chg</w:t>
            </w:r>
          </w:p>
        </w:tc>
        <w:tc>
          <w:tcPr>
            <w:tcW w:type="dxa" w:w="104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True Range</w:t>
            </w:r>
          </w:p>
        </w:tc>
        <w:tc>
          <w:tcPr>
            <w:tcW w:type="dxa" w:w="8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RSI(2)</w:t>
            </w:r>
          </w:p>
        </w:tc>
        <w:tc>
          <w:tcPr>
            <w:tcW w:type="dxa" w:w="122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Corroboration</w:t>
            </w:r>
          </w:p>
        </w:tc>
      </w:tr>
      <w:tr>
        <w:tc>
          <w:tcPr>
            <w:tcW w:type="dxa" w:w="11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10 Jul 2026</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4,088.50</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4,110.20</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4,055.10</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4,062.40</w:t>
            </w:r>
          </w:p>
        </w:tc>
        <w:tc>
          <w:tcPr>
            <w:tcW w:type="dxa" w:w="9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−26.10</w:t>
            </w:r>
          </w:p>
        </w:tc>
        <w:tc>
          <w:tcPr>
            <w:tcW w:type="dxa" w:w="10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55.10</w:t>
            </w:r>
          </w:p>
        </w:tc>
        <w:tc>
          <w:tcPr>
            <w:tcW w:type="dxa" w:w="8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w:t>
            </w:r>
          </w:p>
        </w:tc>
        <w:tc>
          <w:tcPr>
            <w:tcW w:type="dxa" w:w="122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Dual-source</w:t>
            </w:r>
          </w:p>
        </w:tc>
      </w:tr>
      <w:tr>
        <w:tc>
          <w:tcPr>
            <w:tcW w:type="dxa" w:w="11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13 Jul 2026</w:t>
            </w:r>
          </w:p>
        </w:tc>
        <w:tc>
          <w:tcPr>
            <w:tcW w:type="dxa" w:w="10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4,062.40</w:t>
            </w:r>
          </w:p>
        </w:tc>
        <w:tc>
          <w:tcPr>
            <w:tcW w:type="dxa" w:w="10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4,092.30</w:t>
            </w:r>
          </w:p>
        </w:tc>
        <w:tc>
          <w:tcPr>
            <w:tcW w:type="dxa" w:w="10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4,038.60</w:t>
            </w:r>
          </w:p>
        </w:tc>
        <w:tc>
          <w:tcPr>
            <w:tcW w:type="dxa" w:w="10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4,048.90</w:t>
            </w:r>
          </w:p>
        </w:tc>
        <w:tc>
          <w:tcPr>
            <w:tcW w:type="dxa" w:w="9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−13.50</w:t>
            </w:r>
          </w:p>
        </w:tc>
        <w:tc>
          <w:tcPr>
            <w:tcW w:type="dxa" w:w="10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53.70</w:t>
            </w:r>
          </w:p>
        </w:tc>
        <w:tc>
          <w:tcPr>
            <w:tcW w:type="dxa" w:w="8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0.0</w:t>
            </w:r>
          </w:p>
        </w:tc>
        <w:tc>
          <w:tcPr>
            <w:tcW w:type="dxa" w:w="122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Dual-source</w:t>
            </w:r>
          </w:p>
        </w:tc>
      </w:tr>
      <w:tr>
        <w:tc>
          <w:tcPr>
            <w:tcW w:type="dxa" w:w="11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14 Jul 2026</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4,048.90</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4,071.40</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4,014.20</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4,034.78</w:t>
            </w:r>
          </w:p>
        </w:tc>
        <w:tc>
          <w:tcPr>
            <w:tcW w:type="dxa" w:w="9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−14.12</w:t>
            </w:r>
          </w:p>
        </w:tc>
        <w:tc>
          <w:tcPr>
            <w:tcW w:type="dxa" w:w="10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57.20</w:t>
            </w:r>
          </w:p>
        </w:tc>
        <w:tc>
          <w:tcPr>
            <w:tcW w:type="dxa" w:w="8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0.0</w:t>
            </w:r>
          </w:p>
        </w:tc>
        <w:tc>
          <w:tcPr>
            <w:tcW w:type="dxa" w:w="122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Dual-source</w:t>
            </w:r>
          </w:p>
        </w:tc>
      </w:tr>
      <w:tr>
        <w:tc>
          <w:tcPr>
            <w:tcW w:type="dxa" w:w="11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15 Jul 2026</w:t>
            </w:r>
          </w:p>
        </w:tc>
        <w:tc>
          <w:tcPr>
            <w:tcW w:type="dxa" w:w="10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4,034.78</w:t>
            </w:r>
          </w:p>
        </w:tc>
        <w:tc>
          <w:tcPr>
            <w:tcW w:type="dxa" w:w="10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4,065.39</w:t>
            </w:r>
          </w:p>
        </w:tc>
        <w:tc>
          <w:tcPr>
            <w:tcW w:type="dxa" w:w="10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4,022.15</w:t>
            </w:r>
          </w:p>
        </w:tc>
        <w:tc>
          <w:tcPr>
            <w:tcW w:type="dxa" w:w="10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4,060.38</w:t>
            </w:r>
          </w:p>
        </w:tc>
        <w:tc>
          <w:tcPr>
            <w:tcW w:type="dxa" w:w="9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+25.60</w:t>
            </w:r>
          </w:p>
        </w:tc>
        <w:tc>
          <w:tcPr>
            <w:tcW w:type="dxa" w:w="10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43.24</w:t>
            </w:r>
          </w:p>
        </w:tc>
        <w:tc>
          <w:tcPr>
            <w:tcW w:type="dxa" w:w="8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64.5</w:t>
            </w:r>
          </w:p>
        </w:tc>
        <w:tc>
          <w:tcPr>
            <w:tcW w:type="dxa" w:w="122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Dual-source</w:t>
            </w:r>
          </w:p>
        </w:tc>
      </w:tr>
      <w:tr>
        <w:tc>
          <w:tcPr>
            <w:tcW w:type="dxa" w:w="11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2026</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4,060.38</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4,065.39</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3,973.96</w:t>
            </w:r>
          </w:p>
        </w:tc>
        <w:tc>
          <w:tcPr>
            <w:tcW w:type="dxa" w:w="10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3,990.00</w:t>
            </w:r>
          </w:p>
        </w:tc>
        <w:tc>
          <w:tcPr>
            <w:tcW w:type="dxa" w:w="9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−70.38</w:t>
            </w:r>
          </w:p>
        </w:tc>
        <w:tc>
          <w:tcPr>
            <w:tcW w:type="dxa" w:w="10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91.43</w:t>
            </w:r>
          </w:p>
        </w:tc>
        <w:tc>
          <w:tcPr>
            <w:tcW w:type="dxa" w:w="8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26.7</w:t>
            </w:r>
          </w:p>
        </w:tc>
        <w:tc>
          <w:tcPr>
            <w:tcW w:type="dxa" w:w="122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Dual-source</w:t>
            </w:r>
          </w:p>
        </w:tc>
      </w:tr>
    </w:tbl>
    <w:p>
      <w:pPr>
        <w:spacing w:after="120"/>
      </w:pPr>
    </w:p>
    <w:p>
      <w:pPr>
        <w:spacing w:after="120" w:before="0"/>
        <w:jc w:val="both"/>
      </w:pPr>
      <w:r>
        <w:rPr>
          <w:rFonts w:ascii="Calibri" w:cs="Calibri" w:eastAsia="Calibri" w:hAnsi="Calibri"/>
          <w:b/>
          <w:bCs/>
          <w:i w:val="false"/>
          <w:iCs w:val="false"/>
          <w:sz w:val="20"/>
          <w:szCs w:val="20"/>
        </w:rPr>
        <w:t xml:space="preserve">Silver (spot) — XAG/USD, USD/oz — secondary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Session</w:t>
            </w:r>
          </w:p>
        </w:tc>
        <w:tc>
          <w:tcPr>
            <w:tcW w:type="dxa" w:w="234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Close</w:t>
            </w:r>
          </w:p>
        </w:tc>
        <w:tc>
          <w:tcPr>
            <w:tcW w:type="dxa" w:w="234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Net Chg %</w:t>
            </w:r>
          </w:p>
        </w:tc>
        <w:tc>
          <w:tcPr>
            <w:tcW w:type="dxa" w:w="234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Corroboration</w:t>
            </w:r>
          </w:p>
        </w:tc>
      </w:tr>
      <w:tr>
        <w:tc>
          <w:tcPr>
            <w:tcW w:type="dxa" w:w="23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15 Jul 2026</w:t>
            </w:r>
          </w:p>
        </w:tc>
        <w:tc>
          <w:tcPr>
            <w:tcW w:type="dxa" w:w="23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58.31</w:t>
            </w:r>
          </w:p>
        </w:tc>
        <w:tc>
          <w:tcPr>
            <w:tcW w:type="dxa" w:w="23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−0.41%</w:t>
            </w:r>
          </w:p>
        </w:tc>
        <w:tc>
          <w:tcPr>
            <w:tcW w:type="dxa" w:w="23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Dual-source</w:t>
            </w:r>
          </w:p>
        </w:tc>
      </w:tr>
      <w:tr>
        <w:tc>
          <w:tcPr>
            <w:tcW w:type="dxa" w:w="23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 2026</w:t>
            </w:r>
          </w:p>
        </w:tc>
        <w:tc>
          <w:tcPr>
            <w:tcW w:type="dxa" w:w="23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56.65</w:t>
            </w:r>
          </w:p>
        </w:tc>
        <w:tc>
          <w:tcPr>
            <w:tcW w:type="dxa" w:w="23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−2.85%</w:t>
            </w:r>
          </w:p>
        </w:tc>
        <w:tc>
          <w:tcPr>
            <w:tcW w:type="dxa" w:w="23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Dual-source (futures + spot feed)</w:t>
            </w:r>
          </w:p>
        </w:tc>
      </w:tr>
    </w:tbl>
    <w:p>
      <w:pPr>
        <w:spacing w:after="120"/>
      </w:pPr>
    </w:p>
    <w:p>
      <w:pPr>
        <w:spacing w:after="120" w:before="0"/>
        <w:jc w:val="both"/>
      </w:pPr>
      <w:r>
        <w:rPr>
          <w:rFonts w:ascii="Calibri" w:cs="Calibri" w:eastAsia="Calibri" w:hAnsi="Calibri"/>
          <w:b w:val="false"/>
          <w:bCs w:val="false"/>
          <w:i w:val="false"/>
          <w:iCs w:val="false"/>
          <w:sz w:val="19"/>
          <w:szCs w:val="19"/>
        </w:rPr>
        <w:t xml:space="preserve">Five-day net change on gold: −72.40 points (−1.78%). Four of five sessions closed lower. The 16 July true range of 91.43 points is 1.46× the fourteen-session average true range of 62.50 and 1.49× the five-session mean of 61.39 — an expansion consistent with a genuine structural break rather than noise. Both instruments are dual-source corroborated across all sessions shown; open prints for spot gold are reconstructed on the 00:00 UK anchor convention and rolled from the prior close, which is standard for a 23-hour market with no formal session bell.</w:t>
      </w:r>
    </w:p>
    <w:p>
      <w:pPr>
        <w:pStyle w:val="Heading1"/>
        <w:spacing w:after="140" w:before="280"/>
      </w:pPr>
      <w:r>
        <w:rPr>
          <w:rFonts w:ascii="Calibri" w:cs="Calibri" w:eastAsia="Calibri" w:hAnsi="Calibri"/>
          <w:color w:val="1F3864"/>
        </w:rPr>
        <w:t xml:space="preserve">§7  Charts</w:t>
      </w:r>
    </w:p>
    <w:p>
      <w:pPr>
        <w:spacing w:after="120" w:before="0"/>
        <w:jc w:val="both"/>
      </w:pPr>
      <w:r>
        <w:rPr>
          <w:rFonts w:ascii="Calibri" w:cs="Calibri" w:eastAsia="Calibri" w:hAnsi="Calibri"/>
          <w:b w:val="false"/>
          <w:bCs w:val="false"/>
          <w:i w:val="false"/>
          <w:iCs w:val="false"/>
          <w:sz w:val="20"/>
          <w:szCs w:val="20"/>
        </w:rPr>
        <w:t xml:space="preserve">Chart rendering is suppressed for this run. The image and CSV export pipeline could not be executed in the report-generation environment, and no chart may be presented that is not generated from the same validated series that populates §6. Rather than embed an illustrative or hand-drawn approximation — which would breach the source-discipline standard — the underlying series is presented in full numeric form in §6 and §11, from which every chart in the standard set (5-day candlestick, medium-term regime, VOLator, cross-asset overlay, pivot chart) is directly reconstructible. This omission is logged in §20 and does not affect any downstream analytical section, all of which read from the validated series and not from chart output.</w:t>
      </w:r>
    </w:p>
    <w:p>
      <w:pPr>
        <w:pStyle w:val="Heading1"/>
        <w:spacing w:after="140" w:before="280"/>
      </w:pPr>
      <w:r>
        <w:rPr>
          <w:rFonts w:ascii="Calibri" w:cs="Calibri" w:eastAsia="Calibri" w:hAnsi="Calibri"/>
          <w:color w:val="1F3864"/>
        </w:rPr>
        <w:t xml:space="preserve">§8  Short-Term Technical Analysis</w:t>
      </w:r>
    </w:p>
    <w:p>
      <w:pPr>
        <w:spacing w:after="120" w:before="0"/>
        <w:jc w:val="both"/>
      </w:pPr>
      <w:r>
        <w:rPr>
          <w:rFonts w:ascii="Calibri" w:cs="Calibri" w:eastAsia="Calibri" w:hAnsi="Calibri"/>
          <w:b/>
          <w:bCs/>
          <w:i w:val="false"/>
          <w:iCs w:val="false"/>
          <w:sz w:val="20"/>
          <w:szCs w:val="20"/>
        </w:rPr>
        <w:t xml:space="preserve">Candle-by-candle (see §6):</w:t>
      </w:r>
    </w:p>
    <w:p>
      <w:pPr>
        <w:pStyle w:val="ListParagraph"/>
        <w:numPr>
          <w:ilvl w:val="0"/>
          <w:numId w:val="2"/>
        </w:numPr>
        <w:spacing w:after="60"/>
      </w:pPr>
      <w:r>
        <w:rPr>
          <w:rFonts w:ascii="Calibri" w:cs="Calibri" w:eastAsia="Calibri" w:hAnsi="Calibri"/>
          <w:sz w:val="20"/>
          <w:szCs w:val="20"/>
        </w:rPr>
        <w:t xml:space="preserve">10 July — Bearish. Open 4,088.50, close 4,062.40, closing in the lower third of a 55-point range. The high at 4,110.20 is the five-day swing high and has not been retested since. Distribution character: rally sold.</w:t>
      </w:r>
    </w:p>
    <w:p>
      <w:pPr>
        <w:pStyle w:val="ListParagraph"/>
        <w:numPr>
          <w:ilvl w:val="0"/>
          <w:numId w:val="2"/>
        </w:numPr>
        <w:spacing w:after="60"/>
      </w:pPr>
      <w:r>
        <w:rPr>
          <w:rFonts w:ascii="Calibri" w:cs="Calibri" w:eastAsia="Calibri" w:hAnsi="Calibri"/>
          <w:sz w:val="20"/>
          <w:szCs w:val="20"/>
        </w:rPr>
        <w:t xml:space="preserve">13 July — Bearish continuation, narrower body. Lower high (4,092.30) and lower low (4,038.60) than the prior session — the first confirmed lower-high/lower-low pair of the window.</w:t>
      </w:r>
    </w:p>
    <w:p>
      <w:pPr>
        <w:pStyle w:val="ListParagraph"/>
        <w:numPr>
          <w:ilvl w:val="0"/>
          <w:numId w:val="2"/>
        </w:numPr>
        <w:spacing w:after="60"/>
      </w:pPr>
      <w:r>
        <w:rPr>
          <w:rFonts w:ascii="Calibri" w:cs="Calibri" w:eastAsia="Calibri" w:hAnsi="Calibri"/>
          <w:sz w:val="20"/>
          <w:szCs w:val="20"/>
        </w:rPr>
        <w:t xml:space="preserve">14 July — Bearish. Third consecutive lower close and a third consecutive lower high. Low at 4,014.20 is the first probe of the 4,000-handle region. RSI(2) is pinned at 0.0 for a second session — a two-day oversold extreme that, in a trending tape, signals persistence rather than reversal.</w:t>
      </w:r>
    </w:p>
    <w:p>
      <w:pPr>
        <w:pStyle w:val="ListParagraph"/>
        <w:numPr>
          <w:ilvl w:val="0"/>
          <w:numId w:val="2"/>
        </w:numPr>
        <w:spacing w:after="60"/>
      </w:pPr>
      <w:r>
        <w:rPr>
          <w:rFonts w:ascii="Calibri" w:cs="Calibri" w:eastAsia="Calibri" w:hAnsi="Calibri"/>
          <w:sz w:val="20"/>
          <w:szCs w:val="20"/>
        </w:rPr>
        <w:t xml:space="preserve">15 July — Counter-trend bounce. The only up-session of the window: close 4,060.38, +25.60. Range contracts to 43.24 points, the narrowest of the five — a hallmark of a low-conviction relief move rather than accumulation. RSI(2) resets sharply from 0.0 to 64.5. Critically, the high (4,065.39) fails to exceed the prior session's high (4,071.40): the bounce did not reclaim structure.</w:t>
      </w:r>
    </w:p>
    <w:p>
      <w:pPr>
        <w:pStyle w:val="ListParagraph"/>
        <w:numPr>
          <w:ilvl w:val="0"/>
          <w:numId w:val="2"/>
        </w:numPr>
        <w:spacing w:after="60"/>
      </w:pPr>
      <w:r>
        <w:rPr>
          <w:rFonts w:ascii="Calibri" w:cs="Calibri" w:eastAsia="Calibri" w:hAnsi="Calibri"/>
          <w:sz w:val="20"/>
          <w:szCs w:val="20"/>
        </w:rPr>
        <w:t xml:space="preserve">16 July — Decisive bearish break. Open 4,060.38, high 4,065.39 (a failed retest that matched the prior session's high to the tick and rejected there), low 3,973.96, close 3,990.00. Range 91.43 points, the widest of the window and 1.46× ATR(14). Close in the lower fifth of the range. RSI(2) collapses from 64.5 to 26.7.</w:t>
      </w:r>
    </w:p>
    <w:p>
      <w:pPr>
        <w:spacing w:after="120"/>
      </w:pPr>
    </w:p>
    <w:p>
      <w:pPr>
        <w:spacing w:after="120" w:before="0"/>
        <w:jc w:val="both"/>
      </w:pPr>
      <w:r>
        <w:rPr>
          <w:rFonts w:ascii="Calibri" w:cs="Calibri" w:eastAsia="Calibri" w:hAnsi="Calibri"/>
          <w:b/>
          <w:bCs/>
          <w:i w:val="false"/>
          <w:iCs w:val="false"/>
          <w:sz w:val="20"/>
          <w:szCs w:val="20"/>
        </w:rPr>
        <w:t xml:space="preserve">Sequence assessment:</w:t>
      </w:r>
    </w:p>
    <w:p>
      <w:pPr>
        <w:spacing w:after="120" w:before="0"/>
        <w:jc w:val="both"/>
      </w:pPr>
      <w:r>
        <w:rPr>
          <w:rFonts w:ascii="Calibri" w:cs="Calibri" w:eastAsia="Calibri" w:hAnsi="Calibri"/>
          <w:b w:val="false"/>
          <w:bCs w:val="false"/>
          <w:i w:val="false"/>
          <w:iCs w:val="false"/>
          <w:sz w:val="20"/>
          <w:szCs w:val="20"/>
        </w:rPr>
        <w:t xml:space="preserve">The five-session sequence is a textbook lower-high/lower-low staircase with one failed counter-trend bounce. The structural signature is the 15–16 July pair: a narrow-range up-day that could not exceed the prior high, immediately followed by a wide-range down-day that engulfed the entire bounce and extended 48 points below its origin. That is a bull-trap resolution, and it carries more information than either candle alone. The 4,065.39 double-top across two sessions is now the operative near-term resistance and the reference for any short-side stop placement.</w:t>
      </w:r>
    </w:p>
    <w:p>
      <w:pPr>
        <w:spacing w:after="120" w:before="0"/>
        <w:jc w:val="both"/>
      </w:pPr>
      <w:r>
        <w:rPr>
          <w:rFonts w:ascii="Calibri" w:cs="Calibri" w:eastAsia="Calibri" w:hAnsi="Calibri"/>
          <w:b w:val="false"/>
          <w:bCs w:val="false"/>
          <w:i w:val="false"/>
          <w:iCs w:val="false"/>
          <w:sz w:val="20"/>
          <w:szCs w:val="20"/>
        </w:rPr>
        <w:t xml:space="preserve">The RSI(2) reading of 26.7 is not oversold on a two-period oscillator — that requires sub-10 — and it arrives after a reset from 64.5, meaning the momentum reservoir was refilled and immediately spent. Nothing in the short-term sequence argues for exhaustion. The 4,000 psychological handle broke intrasession and the close held below it: the first close beneath 4,000 in this leg. Volatility expansion into the break, rather than into a bounce, is directionally confirming. Short-term technical bias: DOWN, high conviction.</w:t>
      </w:r>
    </w:p>
    <w:p>
      <w:pPr>
        <w:pStyle w:val="Heading1"/>
        <w:spacing w:after="140" w:before="280"/>
      </w:pPr>
      <w:r>
        <w:rPr>
          <w:rFonts w:ascii="Calibri" w:cs="Calibri" w:eastAsia="Calibri" w:hAnsi="Calibri"/>
          <w:color w:val="1F3864"/>
        </w:rPr>
        <w:t xml:space="preserve">§9  Medium-Term Regime &amp; VOLator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Element</w:t>
            </w:r>
          </w:p>
        </w:tc>
        <w:tc>
          <w:tcPr>
            <w:tcW w:type="dxa" w:w="69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Reading</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Regime classification</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TREND_DOWN</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25-session structure</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Lower highs from 4,382.85 (month high) through 4,110.20 (5-day high) to 4,065.39 (2-day double-top). Sequential lower highs, intact.</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1-month performance</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−7.06%</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Year-to-date</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−8.02% from the 29 January all-time high at 5,602.23</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Moving-average posture</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Price below the 50-period (≈4,070) and far below the 200-period (≈4,195). Twelve of twelve moving averages from MA5 to MA200 read sell — zero buy signals.</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25-session range</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3,944.23 (low) – 4,382.85 (high); price at 3,990 sits in the bottom 10% of that range</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VOLator regime</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EXPANDING — bearish-directional. Session true range 91.43 vs ATR(14) 62.50 (1.46×), with the expansion occurring on a down-close, not a reversal.</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Kaufman Efficiency Ratio</w:t>
            </w:r>
          </w:p>
        </w:tc>
        <w:tc>
          <w:tcPr>
            <w:tcW w:type="dxa" w:w="69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0.59 (smoothed) — TRENDING (threshold 0.13)</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Kaufman vs regime</w:t>
            </w:r>
          </w:p>
        </w:tc>
        <w:tc>
          <w:tcPr>
            <w:tcW w:type="dxa" w:w="69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CONFIRMS. No conflict to resolve.</w:t>
            </w:r>
          </w:p>
        </w:tc>
      </w:tr>
    </w:tbl>
    <w:p>
      <w:pPr>
        <w:spacing w:after="120"/>
      </w:pPr>
    </w:p>
    <w:p>
      <w:pPr>
        <w:spacing w:after="120" w:before="0"/>
        <w:jc w:val="both"/>
      </w:pPr>
      <w:r>
        <w:rPr>
          <w:rFonts w:ascii="Calibri" w:cs="Calibri" w:eastAsia="Calibri" w:hAnsi="Calibri"/>
          <w:b w:val="false"/>
          <w:bCs w:val="false"/>
          <w:i w:val="false"/>
          <w:iCs w:val="false"/>
          <w:sz w:val="20"/>
          <w:szCs w:val="20"/>
        </w:rPr>
        <w:t xml:space="preserve">The medium-term regime is unambiguous. Price is in the bottom decile of its 25-session range, every moving average in the standard ladder is inverted against price, and the sequence of lower highs has not been broken at any point in the window. The Kaufman Efficiency Ratio at 0.59 is more than four times the trending threshold — the market is travelling a large net distance per unit of path length, which is the defining signature of directional trend rather than chop. Because the efficiency ratio and the structural regime agree, no precedence rule is invoked.</w:t>
      </w:r>
    </w:p>
    <w:p>
      <w:pPr>
        <w:spacing w:after="120" w:before="0"/>
        <w:jc w:val="both"/>
      </w:pPr>
      <w:r>
        <w:rPr>
          <w:rFonts w:ascii="Calibri" w:cs="Calibri" w:eastAsia="Calibri" w:hAnsi="Calibri"/>
          <w:b w:val="false"/>
          <w:bCs w:val="false"/>
          <w:i w:val="false"/>
          <w:iCs w:val="false"/>
          <w:sz w:val="20"/>
          <w:szCs w:val="20"/>
        </w:rPr>
        <w:t xml:space="preserve">The VOLator read requires one qualification. Volatility expansion is directionally agnostic in principle — it can mark capitulation as readily as continuation. Here the expansion is classified bearish-directional because the widest range of the window closed in the bottom fifth of its own range and beneath a psychological level, rather than reversing off the low. Had 16 July printed 3,973.96 and closed back above 4,040, the same range expansion would have been read as exhaustion. It did not.</w:t>
      </w:r>
    </w:p>
    <w:p>
      <w:pPr>
        <w:pStyle w:val="Heading1"/>
        <w:spacing w:after="140" w:before="280"/>
      </w:pPr>
      <w:r>
        <w:rPr>
          <w:rFonts w:ascii="Calibri" w:cs="Calibri" w:eastAsia="Calibri" w:hAnsi="Calibri"/>
          <w:color w:val="1F3864"/>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760"/>
        <w:gridCol w:w="1100"/>
        <w:gridCol w:w="2800"/>
      </w:tblGrid>
      <w:tr>
        <w:trPr>
          <w:tblHeader/>
        </w:trPr>
        <w:tc>
          <w:tcPr>
            <w:tcW w:type="dxa" w:w="13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Instrument</w:t>
            </w:r>
          </w:p>
        </w:tc>
        <w:tc>
          <w:tcPr>
            <w:tcW w:type="dxa" w:w="14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5-Day Direction</w:t>
            </w:r>
          </w:p>
        </w:tc>
        <w:tc>
          <w:tcPr>
            <w:tcW w:type="dxa" w:w="27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Mechanism</w:t>
            </w:r>
          </w:p>
        </w:tc>
        <w:tc>
          <w:tcPr>
            <w:tcW w:type="dxa" w:w="1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Status</w:t>
            </w:r>
          </w:p>
        </w:tc>
        <w:tc>
          <w:tcPr>
            <w:tcW w:type="dxa" w:w="28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Implication for Gold</w:t>
            </w:r>
          </w:p>
        </w:tc>
      </w:tr>
      <w:tr>
        <w:tc>
          <w:tcPr>
            <w:tcW w:type="dxa" w:w="13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Dollar Index (USDX)</w:t>
            </w:r>
          </w:p>
        </w:tc>
        <w:tc>
          <w:tcPr>
            <w:tcW w:type="dxa" w:w="1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Rising — 100.51, +0.24% on session</w:t>
            </w:r>
          </w:p>
        </w:tc>
        <w:tc>
          <w:tcPr>
            <w:tcW w:type="dxa" w:w="27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Gold is dollar-denominated; a stronger dollar mechanically raises the price of bullion in every non-USD buying currency, suppressing marginal physical and investment demand.</w:t>
            </w:r>
          </w:p>
        </w:tc>
        <w:tc>
          <w:tcPr>
            <w:tcW w:type="dxa" w:w="1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Confirms</w:t>
            </w:r>
          </w:p>
        </w:tc>
        <w:tc>
          <w:tcPr>
            <w:tcW w:type="dxa" w:w="28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Direct headwind. The dominant inverse channel is active and pointing down.</w:t>
            </w:r>
          </w:p>
        </w:tc>
      </w:tr>
      <w:tr>
        <w:tc>
          <w:tcPr>
            <w:tcW w:type="dxa" w:w="13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S&amp;P 500</w:t>
            </w:r>
          </w:p>
        </w:tc>
        <w:tc>
          <w:tcPr>
            <w:tcW w:type="dxa" w:w="1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Flat to marginally lower — 7,559.12, −0.18%</w:t>
            </w:r>
          </w:p>
        </w:tc>
        <w:tc>
          <w:tcPr>
            <w:tcW w:type="dxa" w:w="27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Risk-on/risk-off proxy. A flat equity tape denies gold the safe-haven bid that a genuine risk-off episode would provide.</w:t>
            </w:r>
          </w:p>
        </w:tc>
        <w:tc>
          <w:tcPr>
            <w:tcW w:type="dxa" w:w="1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Neutral</w:t>
            </w:r>
          </w:p>
        </w:tc>
        <w:tc>
          <w:tcPr>
            <w:tcW w:type="dxa" w:w="28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Removes a support leg without adding pressure. Gold is falling without equity stress — a rates-and-dollar story, not a fear story.</w:t>
            </w:r>
          </w:p>
        </w:tc>
      </w:tr>
      <w:tr>
        <w:tc>
          <w:tcPr>
            <w:tcW w:type="dxa" w:w="13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DAX 40</w:t>
            </w:r>
          </w:p>
        </w:tc>
        <w:tc>
          <w:tcPr>
            <w:tcW w:type="dxa" w:w="1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Flat, no European risk-off signal</w:t>
            </w:r>
          </w:p>
        </w:tc>
        <w:tc>
          <w:tcPr>
            <w:tcW w:type="dxa" w:w="27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European equity confirmation of the US-led risk read.</w:t>
            </w:r>
          </w:p>
        </w:tc>
        <w:tc>
          <w:tcPr>
            <w:tcW w:type="dxa" w:w="1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Neutral</w:t>
            </w:r>
          </w:p>
        </w:tc>
        <w:tc>
          <w:tcPr>
            <w:tcW w:type="dxa" w:w="28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Cross-validates the S&amp;P 500 reading. No regional divergence to exploit.</w:t>
            </w:r>
          </w:p>
        </w:tc>
      </w:tr>
      <w:tr>
        <w:tc>
          <w:tcPr>
            <w:tcW w:type="dxa" w:w="13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Silver (XAG/USD)</w:t>
            </w:r>
          </w:p>
        </w:tc>
        <w:tc>
          <w:tcPr>
            <w:tcW w:type="dxa" w:w="1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Falling sharply — 56.65, −2.85% on session</w:t>
            </w:r>
          </w:p>
        </w:tc>
        <w:tc>
          <w:tcPr>
            <w:tcW w:type="dxa" w:w="27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Precious-metals complex beta. Silver's higher industrial weighting makes it the high-beta expression of the same monetary impulse.</w:t>
            </w:r>
          </w:p>
        </w:tc>
        <w:tc>
          <w:tcPr>
            <w:tcW w:type="dxa" w:w="1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Confirms — strongly</w:t>
            </w:r>
          </w:p>
        </w:tc>
        <w:tc>
          <w:tcPr>
            <w:tcW w:type="dxa" w:w="28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Silver falling at 1.7× gold's rate is complex-wide selling, not gold-specific. Confirms the regime and argues against a gold-idiosyncratic bounce.</w:t>
            </w:r>
          </w:p>
        </w:tc>
      </w:tr>
      <w:tr>
        <w:tc>
          <w:tcPr>
            <w:tcW w:type="dxa" w:w="13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Crude Oil (WTI)</w:t>
            </w:r>
          </w:p>
        </w:tc>
        <w:tc>
          <w:tcPr>
            <w:tcW w:type="dxa" w:w="1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Rising sharply on Middle East escalation — 79.41</w:t>
            </w:r>
          </w:p>
        </w:tc>
        <w:tc>
          <w:tcPr>
            <w:tcW w:type="dxa" w:w="27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Two opposing channels: inflation-hedge demand (bullish gold) versus revived rate-hike pricing via the inflation-expectations route (bearish gold).</w:t>
            </w:r>
          </w:p>
        </w:tc>
        <w:tc>
          <w:tcPr>
            <w:tcW w:type="dxa" w:w="1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CONTRADICTS</w:t>
            </w:r>
          </w:p>
        </w:tc>
        <w:tc>
          <w:tcPr>
            <w:tcW w:type="dxa" w:w="28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Flagged — see below.</w:t>
            </w:r>
          </w:p>
        </w:tc>
      </w:tr>
      <w:tr>
        <w:tc>
          <w:tcPr>
            <w:tcW w:type="dxa" w:w="13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US 10Y real yield</w:t>
            </w:r>
          </w:p>
        </w:tc>
        <w:tc>
          <w:tcPr>
            <w:tcW w:type="dxa" w:w="1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Rising — hike odds for September near 51%</w:t>
            </w:r>
          </w:p>
        </w:tc>
        <w:tc>
          <w:tcPr>
            <w:tcW w:type="dxa" w:w="27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Real yields are the opportunity cost of holding a non-yielding asset. Rising real yields compress gold's fair value directly.</w:t>
            </w:r>
          </w:p>
        </w:tc>
        <w:tc>
          <w:tcPr>
            <w:tcW w:type="dxa" w:w="1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Confirms</w:t>
            </w:r>
          </w:p>
        </w:tc>
        <w:tc>
          <w:tcPr>
            <w:tcW w:type="dxa" w:w="28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Structural headwind and the primary transmission channel for the crude effect.</w:t>
            </w:r>
          </w:p>
        </w:tc>
      </w:tr>
    </w:tbl>
    <w:p>
      <w:pPr>
        <w:spacing w:after="120"/>
      </w:pPr>
    </w:p>
    <w:p>
      <w:pPr>
        <w:spacing w:after="120" w:before="0"/>
        <w:jc w:val="both"/>
      </w:pPr>
      <w:r>
        <w:rPr>
          <w:rFonts w:ascii="Calibri" w:cs="Calibri" w:eastAsia="Calibri" w:hAnsi="Calibri"/>
          <w:b/>
          <w:bCs/>
          <w:i w:val="false"/>
          <w:iCs w:val="false"/>
          <w:sz w:val="20"/>
          <w:szCs w:val="20"/>
        </w:rPr>
        <w:t xml:space="preserve">CONTRADICTION FLAG — Crude oil.</w:t>
      </w:r>
    </w:p>
    <w:p>
      <w:pPr>
        <w:spacing w:after="120" w:before="0"/>
        <w:jc w:val="both"/>
      </w:pPr>
      <w:r>
        <w:rPr>
          <w:rFonts w:ascii="Calibri" w:cs="Calibri" w:eastAsia="Calibri" w:hAnsi="Calibri"/>
          <w:b w:val="false"/>
          <w:bCs w:val="false"/>
          <w:i w:val="false"/>
          <w:iCs w:val="false"/>
          <w:sz w:val="20"/>
          <w:szCs w:val="20"/>
        </w:rPr>
        <w:t xml:space="preserve">Rising crude on active Middle East escalation is, in the conventional reading, gold-supportive: geopolitical risk premium plus inflation hedging. The tape says otherwise. Gold fell 1.65% on the session on which crude rallied and Iranian targets were struck — the safe-haven channel is not firing. The observable resolution is that the market is trading the second-order effect over the first: higher oil feeds inflation expectations, which raises the probability of further Fed tightening, which raises real yields, which is unambiguously negative for a zero-coupon asset. The geopolitical premium is being netted out and overwhelmed by the rates channel.</w:t>
      </w:r>
    </w:p>
    <w:p>
      <w:pPr>
        <w:spacing w:after="120" w:before="0"/>
        <w:jc w:val="both"/>
      </w:pPr>
      <w:r>
        <w:rPr>
          <w:rFonts w:ascii="Calibri" w:cs="Calibri" w:eastAsia="Calibri" w:hAnsi="Calibri"/>
          <w:b w:val="false"/>
          <w:bCs w:val="false"/>
          <w:i w:val="false"/>
          <w:iCs w:val="false"/>
          <w:sz w:val="20"/>
          <w:szCs w:val="20"/>
        </w:rPr>
        <w:t xml:space="preserve">This contradiction is flagged, not resolved. It is the principal source of asymmetric risk in this report and is carried explicitly into §15 and §16. The mechanism reverses violently if escalation moves from strikes on targets to disruption of physical energy transit — the Bab el-Mandeb threat named by the Iranian IRGC is the specific trigger. At that point the safe-haven channel dominates the rates channel and every bearish structure in this report is invalidated on a gap, not a grind.</w:t>
      </w:r>
    </w:p>
    <w:p>
      <w:pPr>
        <w:pStyle w:val="Heading1"/>
        <w:spacing w:after="140" w:before="280"/>
      </w:pPr>
      <w:r>
        <w:rPr>
          <w:rFonts w:ascii="Calibri" w:cs="Calibri" w:eastAsia="Calibri" w:hAnsi="Calibri"/>
          <w:color w:val="1F3864"/>
        </w:rPr>
        <w:t xml:space="preserve">§11  Floor Pivot Analysis</w:t>
      </w:r>
    </w:p>
    <w:p>
      <w:pPr>
        <w:spacing w:after="120" w:before="0"/>
        <w:jc w:val="both"/>
      </w:pPr>
      <w:r>
        <w:rPr>
          <w:rFonts w:ascii="Calibri" w:cs="Calibri" w:eastAsia="Calibri" w:hAnsi="Calibri"/>
          <w:b/>
          <w:bCs/>
          <w:i w:val="false"/>
          <w:iCs w:val="false"/>
          <w:sz w:val="20"/>
          <w:szCs w:val="20"/>
        </w:rPr>
        <w:t xml:space="preserve">Daily pivots — derived from 16 July H 4,065.39 / L 3,973.96 / C 3,990.00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Level</w:t>
            </w:r>
          </w:p>
        </w:tc>
        <w:tc>
          <w:tcPr>
            <w:tcW w:type="dxa" w:w="34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Price (USD/oz)</w:t>
            </w:r>
          </w:p>
        </w:tc>
        <w:tc>
          <w:tcPr>
            <w:tcW w:type="dxa" w:w="34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Distance from 3,990.00</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R5</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4,319.90</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+329.90</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R4</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4,228.47</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+238.47</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R3</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4,137.04</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+147.04</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R2</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4,101.21</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+111.21</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R1</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4,045.61</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+55.61</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P</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4,009.78</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+19.78</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S1</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3,954.18</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−35.82</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S2</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3,918.35</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−71.65</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S3</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3,862.75</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−127.25</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S4</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3,771.32</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−218.68</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S5</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3,679.89</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−310.11</w:t>
            </w:r>
          </w:p>
        </w:tc>
      </w:tr>
    </w:tbl>
    <w:p>
      <w:pPr>
        <w:spacing w:after="120" w:before="0"/>
        <w:jc w:val="both"/>
      </w:pPr>
      <w:r>
        <w:rPr>
          <w:rFonts w:ascii="Calibri" w:cs="Calibri" w:eastAsia="Calibri" w:hAnsi="Calibri"/>
          <w:b w:val="false"/>
          <w:bCs w:val="false"/>
          <w:i/>
          <w:iCs/>
          <w:sz w:val="18"/>
          <w:szCs w:val="18"/>
        </w:rPr>
        <w:t xml:space="preserve">Source status: prior-session H/L/C dual-source corroborated (Investing.com session range + TradingView/FXEmpire close). Levels are live, not indicative.</w:t>
      </w:r>
    </w:p>
    <w:p>
      <w:pPr>
        <w:spacing w:after="120"/>
      </w:pPr>
    </w:p>
    <w:p>
      <w:pPr>
        <w:spacing w:after="120" w:before="0"/>
        <w:jc w:val="both"/>
      </w:pPr>
      <w:r>
        <w:rPr>
          <w:rFonts w:ascii="Calibri" w:cs="Calibri" w:eastAsia="Calibri" w:hAnsi="Calibri"/>
          <w:b/>
          <w:bCs/>
          <w:i w:val="false"/>
          <w:iCs w:val="false"/>
          <w:sz w:val="20"/>
          <w:szCs w:val="20"/>
        </w:rPr>
        <w:t xml:space="preserve">Weekly pivots — derived from week of 6–10 July H 4,185.60 / L 4,038.60 / C 4,062.40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Level</w:t>
            </w:r>
          </w:p>
        </w:tc>
        <w:tc>
          <w:tcPr>
            <w:tcW w:type="dxa" w:w="34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Price (USD/oz)</w:t>
            </w:r>
          </w:p>
        </w:tc>
        <w:tc>
          <w:tcPr>
            <w:tcW w:type="dxa" w:w="34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Distance from 3,990.00</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R3</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4,299.47</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+309.47</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R2</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4,242.53</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+252.53</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R1</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4,152.47</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+162.47</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P</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4,095.53</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+105.53</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S1</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4,005.47</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+15.47</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S2</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3,948.53</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−41.47</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S3</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3,858.47</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−131.53</w:t>
            </w:r>
          </w:p>
        </w:tc>
      </w:tr>
    </w:tbl>
    <w:p>
      <w:pPr>
        <w:spacing w:after="120" w:before="0"/>
        <w:jc w:val="both"/>
      </w:pPr>
      <w:r>
        <w:rPr>
          <w:rFonts w:ascii="Calibri" w:cs="Calibri" w:eastAsia="Calibri" w:hAnsi="Calibri"/>
          <w:b w:val="false"/>
          <w:bCs w:val="false"/>
          <w:i/>
          <w:iCs/>
          <w:sz w:val="18"/>
          <w:szCs w:val="18"/>
        </w:rPr>
        <w:t xml:space="preserve">Source status: SINGLE-SOURCE-INDICATIVE. Prior-week high and low could not be independently corroborated by a second source at snapshot time; the close is corroborated. All weekly levels are marked indicative only and this flag is carried into §21.</w:t>
      </w:r>
    </w:p>
    <w:p>
      <w:pPr>
        <w:spacing w:after="120"/>
      </w:pPr>
    </w:p>
    <w:p>
      <w:pPr>
        <w:spacing w:after="120" w:before="0"/>
        <w:jc w:val="both"/>
      </w:pPr>
      <w:r>
        <w:rPr>
          <w:rFonts w:ascii="Calibri" w:cs="Calibri" w:eastAsia="Calibri" w:hAnsi="Calibri"/>
          <w:b/>
          <w:bCs/>
          <w:i w:val="false"/>
          <w:iCs w:val="false"/>
          <w:sz w:val="20"/>
          <w:szCs w:val="20"/>
        </w:rPr>
        <w:t xml:space="preserve">Monthly pivots — derived from June 2026 H 4,382.85 / L 3,944.23 / C 4,189.50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Level</w:t>
            </w:r>
          </w:p>
        </w:tc>
        <w:tc>
          <w:tcPr>
            <w:tcW w:type="dxa" w:w="34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Price (USD/oz)</w:t>
            </w:r>
          </w:p>
        </w:tc>
        <w:tc>
          <w:tcPr>
            <w:tcW w:type="dxa" w:w="34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Distance from 3,990.00</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R3</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4,838.78</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+848.78</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R2</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4,610.81</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+620.81</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R1</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4,400.16</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+410.16</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P</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4,172.19</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+182.19</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S1</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3,961.54</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−28.46</w:t>
            </w:r>
          </w:p>
        </w:tc>
      </w:tr>
      <w:tr>
        <w:tc>
          <w:tcPr>
            <w:tcW w:type="dxa" w:w="2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S2</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3,733.57</w:t>
            </w:r>
          </w:p>
        </w:tc>
        <w:tc>
          <w:tcPr>
            <w:tcW w:type="dxa" w:w="34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−256.43</w:t>
            </w:r>
          </w:p>
        </w:tc>
      </w:tr>
      <w:tr>
        <w:tc>
          <w:tcPr>
            <w:tcW w:type="dxa" w:w="2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S3</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3,522.92</w:t>
            </w:r>
          </w:p>
        </w:tc>
        <w:tc>
          <w:tcPr>
            <w:tcW w:type="dxa" w:w="34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−467.08</w:t>
            </w:r>
          </w:p>
        </w:tc>
      </w:tr>
    </w:tbl>
    <w:p>
      <w:pPr>
        <w:spacing w:after="120" w:before="0"/>
        <w:jc w:val="both"/>
      </w:pPr>
      <w:r>
        <w:rPr>
          <w:rFonts w:ascii="Calibri" w:cs="Calibri" w:eastAsia="Calibri" w:hAnsi="Calibri"/>
          <w:b w:val="false"/>
          <w:bCs w:val="false"/>
          <w:i/>
          <w:iCs/>
          <w:sz w:val="18"/>
          <w:szCs w:val="18"/>
        </w:rPr>
        <w:t xml:space="preserve">Source status: SINGLE-SOURCE-INDICATIVE. The 30-day high/low band (3,944.23 / 4,382.85) is corroborated; the June monthly close is a single-source read. All monthly levels are marked indicative only and this flag is carried into §21.</w:t>
      </w:r>
    </w:p>
    <w:p>
      <w:pPr>
        <w:spacing w:after="120"/>
      </w:pPr>
    </w:p>
    <w:p>
      <w:pPr>
        <w:spacing w:after="120" w:before="0"/>
        <w:jc w:val="both"/>
      </w:pPr>
      <w:r>
        <w:rPr>
          <w:rFonts w:ascii="Calibri" w:cs="Calibri" w:eastAsia="Calibri" w:hAnsi="Calibri"/>
          <w:b/>
          <w:bCs/>
          <w:i w:val="false"/>
          <w:iCs w:val="false"/>
          <w:sz w:val="20"/>
          <w:szCs w:val="20"/>
        </w:rPr>
        <w:t xml:space="preserve">Position narrative:</w:t>
      </w:r>
    </w:p>
    <w:p>
      <w:pPr>
        <w:pStyle w:val="ListParagraph"/>
        <w:numPr>
          <w:ilvl w:val="0"/>
          <w:numId w:val="2"/>
        </w:numPr>
        <w:spacing w:after="60"/>
      </w:pPr>
      <w:r>
        <w:rPr>
          <w:rFonts w:ascii="Calibri" w:cs="Calibri" w:eastAsia="Calibri" w:hAnsi="Calibri"/>
          <w:sz w:val="20"/>
          <w:szCs w:val="20"/>
        </w:rPr>
        <w:t xml:space="preserve">Daily — The 3,990.00 close sits 19.78 points BELOW the daily pivot at 4,009.78. Nearest resistance is P itself at 4,009.78; nearest support is S1 at 3,954.18. Closing beneath the daily pivot on the session that establishes it is a bearish structural condition: the pivot converts from support to resistance for the following session.</w:t>
      </w:r>
    </w:p>
    <w:p>
      <w:pPr>
        <w:pStyle w:val="ListParagraph"/>
        <w:numPr>
          <w:ilvl w:val="0"/>
          <w:numId w:val="2"/>
        </w:numPr>
        <w:spacing w:after="60"/>
      </w:pPr>
      <w:r>
        <w:rPr>
          <w:rFonts w:ascii="Calibri" w:cs="Calibri" w:eastAsia="Calibri" w:hAnsi="Calibri"/>
          <w:sz w:val="20"/>
          <w:szCs w:val="20"/>
        </w:rPr>
        <w:t xml:space="preserve">Weekly — Price sits 105.53 points below the weekly pivot at 4,095.53 and has broken beneath weekly S1 at 4,005.47. The next weekly reference beneath price is S2 at 3,948.53.</w:t>
      </w:r>
    </w:p>
    <w:p>
      <w:pPr>
        <w:pStyle w:val="ListParagraph"/>
        <w:numPr>
          <w:ilvl w:val="0"/>
          <w:numId w:val="2"/>
        </w:numPr>
        <w:spacing w:after="60"/>
      </w:pPr>
      <w:r>
        <w:rPr>
          <w:rFonts w:ascii="Calibri" w:cs="Calibri" w:eastAsia="Calibri" w:hAnsi="Calibri"/>
          <w:sz w:val="20"/>
          <w:szCs w:val="20"/>
        </w:rPr>
        <w:t xml:space="preserve">Monthly — Price sits 182.19 points below the monthly pivot at 4,172.19 and is approaching monthly S1 at 3,961.54, 28.46 points below.</w:t>
      </w:r>
    </w:p>
    <w:p>
      <w:pPr>
        <w:spacing w:after="120"/>
      </w:pPr>
    </w:p>
    <w:p>
      <w:pPr>
        <w:spacing w:after="120" w:before="0"/>
        <w:jc w:val="both"/>
      </w:pPr>
      <w:r>
        <w:rPr>
          <w:rFonts w:ascii="Calibri" w:cs="Calibri" w:eastAsia="Calibri" w:hAnsi="Calibri"/>
          <w:b/>
          <w:bCs/>
          <w:i w:val="false"/>
          <w:iCs w:val="false"/>
          <w:sz w:val="20"/>
          <w:szCs w:val="20"/>
        </w:rPr>
        <w:t xml:space="preserve">CONFLUENCE ZONE — 3,948.53 / 3,954.18 / 3,961.54.</w:t>
      </w:r>
    </w:p>
    <w:p>
      <w:pPr>
        <w:spacing w:after="120" w:before="0"/>
        <w:jc w:val="both"/>
      </w:pPr>
      <w:r>
        <w:rPr>
          <w:rFonts w:ascii="Calibri" w:cs="Calibri" w:eastAsia="Calibri" w:hAnsi="Calibri"/>
          <w:b w:val="false"/>
          <w:bCs w:val="false"/>
          <w:i w:val="false"/>
          <w:iCs w:val="false"/>
          <w:sz w:val="20"/>
          <w:szCs w:val="20"/>
        </w:rPr>
        <w:t xml:space="preserve">Weekly S2, daily S1, and monthly S1 cluster within a 13.01-point band — 0.33% of price. This is wider than the 0.05% strict-confluence tolerance and therefore is not flagged as a formal confluence point, but three independent timeframes placing support inside a 13-point band, reinforced by the 5-day swing low at 3,973.96 immediately above and the year-to-date low at 3,943–3,944 immediately below, constitutes a materially significant support shelf. It is the first genuine structural obstacle beneath the market and is the operative target zone for §21.</w:t>
      </w:r>
    </w:p>
    <w:p>
      <w:pPr>
        <w:pStyle w:val="Heading1"/>
        <w:spacing w:after="140" w:before="280"/>
      </w:pPr>
      <w:r>
        <w:rPr>
          <w:rFonts w:ascii="Calibri" w:cs="Calibri" w:eastAsia="Calibri" w:hAnsi="Calibri"/>
          <w:color w:val="1F3864"/>
        </w:rPr>
        <w:t xml:space="preserve">§12  Key Market Considerations</w:t>
      </w:r>
    </w:p>
    <w:p>
      <w:pPr>
        <w:spacing w:after="120" w:before="0"/>
        <w:jc w:val="both"/>
      </w:pPr>
      <w:r>
        <w:rPr>
          <w:rFonts w:ascii="Calibri" w:cs="Calibri" w:eastAsia="Calibri" w:hAnsi="Calibri"/>
          <w:b/>
          <w:bCs/>
          <w:i w:val="false"/>
          <w:iCs w:val="false"/>
          <w:sz w:val="20"/>
          <w:szCs w:val="20"/>
        </w:rPr>
        <w:t xml:space="preserve">Supply</w:t>
      </w:r>
    </w:p>
    <w:p>
      <w:pPr>
        <w:pStyle w:val="ListParagraph"/>
        <w:numPr>
          <w:ilvl w:val="0"/>
          <w:numId w:val="2"/>
        </w:numPr>
        <w:spacing w:after="60"/>
      </w:pPr>
      <w:r>
        <w:rPr>
          <w:rFonts w:ascii="Calibri" w:cs="Calibri" w:eastAsia="Calibri" w:hAnsi="Calibri"/>
          <w:sz w:val="20"/>
          <w:szCs w:val="20"/>
        </w:rPr>
        <w:t xml:space="preserve">Mine supply is not a short-horizon price determinant for gold and shows no acute disruption. Above-ground stocks dominate the float; the marginal price is set by monetary demand, not production.</w:t>
      </w:r>
    </w:p>
    <w:p>
      <w:pPr>
        <w:spacing w:after="120" w:before="0"/>
        <w:jc w:val="both"/>
      </w:pPr>
      <w:r>
        <w:rPr>
          <w:rFonts w:ascii="Calibri" w:cs="Calibri" w:eastAsia="Calibri" w:hAnsi="Calibri"/>
          <w:b/>
          <w:bCs/>
          <w:i w:val="false"/>
          <w:iCs w:val="false"/>
          <w:sz w:val="20"/>
          <w:szCs w:val="20"/>
        </w:rPr>
        <w:t xml:space="preserve">Demand</w:t>
      </w:r>
    </w:p>
    <w:p>
      <w:pPr>
        <w:pStyle w:val="ListParagraph"/>
        <w:numPr>
          <w:ilvl w:val="0"/>
          <w:numId w:val="2"/>
        </w:numPr>
        <w:spacing w:after="60"/>
      </w:pPr>
      <w:r>
        <w:rPr>
          <w:rFonts w:ascii="Calibri" w:cs="Calibri" w:eastAsia="Calibri" w:hAnsi="Calibri"/>
          <w:sz w:val="20"/>
          <w:szCs w:val="20"/>
        </w:rPr>
        <w:t xml:space="preserve">Official-sector demand remains the structural support leg. Central banks have been net buyers for approximately fifteen consecutive years, and the World Gold Council's reserve survey implies continued accumulation as institutions diversify away from dollar exposure amid trade friction. PBoC and RBI activity remains the key watch.</w:t>
      </w:r>
    </w:p>
    <w:p>
      <w:pPr>
        <w:pStyle w:val="ListParagraph"/>
        <w:numPr>
          <w:ilvl w:val="0"/>
          <w:numId w:val="2"/>
        </w:numPr>
        <w:spacing w:after="60"/>
      </w:pPr>
      <w:r>
        <w:rPr>
          <w:rFonts w:ascii="Calibri" w:cs="Calibri" w:eastAsia="Calibri" w:hAnsi="Calibri"/>
          <w:sz w:val="20"/>
          <w:szCs w:val="20"/>
        </w:rPr>
        <w:t xml:space="preserve">Investor demand is the weak leg. OCBC expects gold to decline through end-2026 on rising Treasury yields, a stronger dollar, and weaker investor appetite for precious metals — the investment channel is where the current selling originates.</w:t>
      </w:r>
    </w:p>
    <w:p>
      <w:pPr>
        <w:pStyle w:val="ListParagraph"/>
        <w:numPr>
          <w:ilvl w:val="0"/>
          <w:numId w:val="2"/>
        </w:numPr>
        <w:spacing w:after="60"/>
      </w:pPr>
      <w:r>
        <w:rPr>
          <w:rFonts w:ascii="Calibri" w:cs="Calibri" w:eastAsia="Calibri" w:hAnsi="Calibri"/>
          <w:sz w:val="20"/>
          <w:szCs w:val="20"/>
        </w:rPr>
        <w:t xml:space="preserve">The critical asymmetry: central-bank demand is price-insensitive and slow; investor demand is price-sensitive and fast. Over a five-day horizon the fast leg sets the price. The official-sector bid establishes a floor over quarters, not sessions, and should not be counted on to arrest this move.</w:t>
      </w:r>
    </w:p>
    <w:p>
      <w:pPr>
        <w:spacing w:after="120" w:before="0"/>
        <w:jc w:val="both"/>
      </w:pPr>
      <w:r>
        <w:rPr>
          <w:rFonts w:ascii="Calibri" w:cs="Calibri" w:eastAsia="Calibri" w:hAnsi="Calibri"/>
          <w:b/>
          <w:bCs/>
          <w:i w:val="false"/>
          <w:iCs w:val="false"/>
          <w:sz w:val="20"/>
          <w:szCs w:val="20"/>
        </w:rPr>
        <w:t xml:space="preserve">Policy</w:t>
      </w:r>
    </w:p>
    <w:p>
      <w:pPr>
        <w:pStyle w:val="ListParagraph"/>
        <w:numPr>
          <w:ilvl w:val="0"/>
          <w:numId w:val="2"/>
        </w:numPr>
        <w:spacing w:after="60"/>
      </w:pPr>
      <w:r>
        <w:rPr>
          <w:rFonts w:ascii="Calibri" w:cs="Calibri" w:eastAsia="Calibri" w:hAnsi="Calibri"/>
          <w:sz w:val="20"/>
          <w:szCs w:val="20"/>
        </w:rPr>
        <w:t xml:space="preserve">CME pricing puts the probability of the Fed holding at 3.50–3.75% in July at 66.3%; the 29 July FOMC is the binding event. September hike odds sit near 51% — a genuine coin-flip and the live variable.</w:t>
      </w:r>
    </w:p>
    <w:p>
      <w:pPr>
        <w:pStyle w:val="ListParagraph"/>
        <w:numPr>
          <w:ilvl w:val="0"/>
          <w:numId w:val="2"/>
        </w:numPr>
        <w:spacing w:after="60"/>
      </w:pPr>
      <w:r>
        <w:rPr>
          <w:rFonts w:ascii="Calibri" w:cs="Calibri" w:eastAsia="Calibri" w:hAnsi="Calibri"/>
          <w:sz w:val="20"/>
          <w:szCs w:val="20"/>
        </w:rPr>
        <w:t xml:space="preserve">Fed Chair Warsh has reaffirmed commitment to bringing inflation under control; his testimony reinforced expectations that rates stay restrictive, capping gold's upside on any inflation-hedge bid.</w:t>
      </w:r>
    </w:p>
    <w:p>
      <w:pPr>
        <w:spacing w:after="120" w:before="0"/>
        <w:jc w:val="both"/>
      </w:pPr>
      <w:r>
        <w:rPr>
          <w:rFonts w:ascii="Calibri" w:cs="Calibri" w:eastAsia="Calibri" w:hAnsi="Calibri"/>
          <w:b/>
          <w:bCs/>
          <w:i w:val="false"/>
          <w:iCs w:val="false"/>
          <w:sz w:val="20"/>
          <w:szCs w:val="20"/>
        </w:rPr>
        <w:t xml:space="preserve">Macro</w:t>
      </w:r>
    </w:p>
    <w:p>
      <w:pPr>
        <w:pStyle w:val="ListParagraph"/>
        <w:numPr>
          <w:ilvl w:val="0"/>
          <w:numId w:val="2"/>
        </w:numPr>
        <w:spacing w:after="60"/>
      </w:pPr>
      <w:r>
        <w:rPr>
          <w:rFonts w:ascii="Calibri" w:cs="Calibri" w:eastAsia="Calibri" w:hAnsi="Calibri"/>
          <w:sz w:val="20"/>
          <w:szCs w:val="20"/>
        </w:rPr>
        <w:t xml:space="preserve">Cooler-than-expected June CPI removed the near-term hike risk and is the one active bullish input — it eased dollar pressure earlier in the week and produced the 15 July bounce.</w:t>
      </w:r>
    </w:p>
    <w:p>
      <w:pPr>
        <w:pStyle w:val="ListParagraph"/>
        <w:numPr>
          <w:ilvl w:val="0"/>
          <w:numId w:val="2"/>
        </w:numPr>
        <w:spacing w:after="60"/>
      </w:pPr>
      <w:r>
        <w:rPr>
          <w:rFonts w:ascii="Calibri" w:cs="Calibri" w:eastAsia="Calibri" w:hAnsi="Calibri"/>
          <w:sz w:val="20"/>
          <w:szCs w:val="20"/>
        </w:rPr>
        <w:t xml:space="preserve">That relief was overwhelmed within one session by the crude-driven revival of inflation expectations. The June PPI and Beige Book on 15 July did not reset the narrative in gold's favour.</w:t>
      </w:r>
    </w:p>
    <w:p>
      <w:pPr>
        <w:spacing w:after="120" w:before="0"/>
        <w:jc w:val="both"/>
      </w:pPr>
      <w:r>
        <w:rPr>
          <w:rFonts w:ascii="Calibri" w:cs="Calibri" w:eastAsia="Calibri" w:hAnsi="Calibri"/>
          <w:b/>
          <w:bCs/>
          <w:i w:val="false"/>
          <w:iCs w:val="false"/>
          <w:sz w:val="20"/>
          <w:szCs w:val="20"/>
        </w:rPr>
        <w:t xml:space="preserve">Catalysts</w:t>
      </w:r>
    </w:p>
    <w:p>
      <w:pPr>
        <w:pStyle w:val="ListParagraph"/>
        <w:numPr>
          <w:ilvl w:val="0"/>
          <w:numId w:val="2"/>
        </w:numPr>
        <w:spacing w:after="60"/>
      </w:pPr>
      <w:r>
        <w:rPr>
          <w:rFonts w:ascii="Calibri" w:cs="Calibri" w:eastAsia="Calibri" w:hAnsi="Calibri"/>
          <w:sz w:val="20"/>
          <w:szCs w:val="20"/>
        </w:rPr>
        <w:t xml:space="preserve">Middle East escalation — US strikes on Iranian targets on 15 July; Trump reports Tehran signalling willingness to negotiate. IRGC threats to expand targeting to regional energy transit, including Houthi action against Bab el-Mandeb shipping, are the tail risk.</w:t>
      </w:r>
    </w:p>
    <w:p>
      <w:pPr>
        <w:pStyle w:val="ListParagraph"/>
        <w:numPr>
          <w:ilvl w:val="0"/>
          <w:numId w:val="2"/>
        </w:numPr>
        <w:spacing w:after="60"/>
      </w:pPr>
      <w:r>
        <w:rPr>
          <w:rFonts w:ascii="Calibri" w:cs="Calibri" w:eastAsia="Calibri" w:hAnsi="Calibri"/>
          <w:sz w:val="20"/>
          <w:szCs w:val="20"/>
        </w:rPr>
        <w:t xml:space="preserve">Both directions are live from the same event. De-escalation lowers crude, lowers inflation expectations, and paradoxically helps gold by removing hike pressure. Physical transit disruption spikes crude and gold together as the haven channel finally fires.</w:t>
      </w:r>
    </w:p>
    <w:p>
      <w:pPr>
        <w:pStyle w:val="Heading1"/>
        <w:spacing w:after="140" w:before="280"/>
      </w:pPr>
      <w:r>
        <w:rPr>
          <w:rFonts w:ascii="Calibri" w:cs="Calibri" w:eastAsia="Calibri" w:hAnsi="Calibri"/>
          <w:color w:val="1F3864"/>
        </w:rPr>
        <w:t xml:space="preserve">§13  Sentiment, News &amp; Calendar</w:t>
      </w:r>
    </w:p>
    <w:p>
      <w:pPr>
        <w:spacing w:after="120" w:before="0"/>
        <w:jc w:val="both"/>
      </w:pPr>
      <w:r>
        <w:rPr>
          <w:rFonts w:ascii="Calibri" w:cs="Calibri" w:eastAsia="Calibri" w:hAnsi="Calibri"/>
          <w:b/>
          <w:bCs/>
          <w:i w:val="false"/>
          <w:iCs w:val="false"/>
          <w:sz w:val="20"/>
          <w:szCs w:val="20"/>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780"/>
        <w:gridCol w:w="3400"/>
        <w:gridCol w:w="1830"/>
        <w:gridCol w:w="2100"/>
      </w:tblGrid>
      <w:tr>
        <w:trPr>
          <w:tblHeader/>
        </w:trPr>
        <w:tc>
          <w:tcPr>
            <w:tcW w:type="dxa" w:w="12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Source</w:t>
            </w:r>
          </w:p>
        </w:tc>
        <w:tc>
          <w:tcPr>
            <w:tcW w:type="dxa" w:w="7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Date</w:t>
            </w:r>
          </w:p>
        </w:tc>
        <w:tc>
          <w:tcPr>
            <w:tcW w:type="dxa" w:w="34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Headline theme</w:t>
            </w:r>
          </w:p>
        </w:tc>
        <w:tc>
          <w:tcPr>
            <w:tcW w:type="dxa" w:w="183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Directional read</w:t>
            </w:r>
          </w:p>
        </w:tc>
        <w:tc>
          <w:tcPr>
            <w:tcW w:type="dxa" w:w="2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Weight</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TradingEconomics</w:t>
            </w:r>
          </w:p>
        </w:tc>
        <w:tc>
          <w:tcPr>
            <w:tcW w:type="dxa" w:w="7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w:t>
            </w:r>
          </w:p>
        </w:tc>
        <w:tc>
          <w:tcPr>
            <w:tcW w:type="dxa" w:w="3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Gold falls toward $4,000 as Middle East attacks lift oil and revive inflation and rate concerns; softer CPI offers partial support</w:t>
            </w:r>
          </w:p>
        </w:tc>
        <w:tc>
          <w:tcPr>
            <w:tcW w:type="dxa" w:w="18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 (mixed leg)</w:t>
            </w:r>
          </w:p>
        </w:tc>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High — agency</w:t>
            </w:r>
          </w:p>
        </w:tc>
      </w:tr>
      <w:tr>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FXStreet</w:t>
            </w:r>
          </w:p>
        </w:tc>
        <w:tc>
          <w:tcPr>
            <w:tcW w:type="dxa" w:w="7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w:t>
            </w:r>
          </w:p>
        </w:tc>
        <w:tc>
          <w:tcPr>
            <w:tcW w:type="dxa" w:w="3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Bias bearish below the 200-day SMA and within a descending channel; IRGC threat to energy routes revives hike case; path of least resistance lower</w:t>
            </w:r>
          </w:p>
        </w:tc>
        <w:tc>
          <w:tcPr>
            <w:tcW w:type="dxa" w:w="18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w:t>
            </w:r>
          </w:p>
        </w:tc>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High — analyst</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FX Leaders</w:t>
            </w:r>
          </w:p>
        </w:tc>
        <w:tc>
          <w:tcPr>
            <w:tcW w:type="dxa" w:w="7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w:t>
            </w:r>
          </w:p>
        </w:tc>
        <w:tc>
          <w:tcPr>
            <w:tcW w:type="dxa" w:w="3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Gold near $4,030 has every reason to rally — and isn't; support $4,002, resistance $4,071; slightly bearish short-term bias</w:t>
            </w:r>
          </w:p>
        </w:tc>
        <w:tc>
          <w:tcPr>
            <w:tcW w:type="dxa" w:w="18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w:t>
            </w:r>
          </w:p>
        </w:tc>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Medium</w:t>
            </w:r>
          </w:p>
        </w:tc>
      </w:tr>
      <w:tr>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LiteFinance</w:t>
            </w:r>
          </w:p>
        </w:tc>
        <w:tc>
          <w:tcPr>
            <w:tcW w:type="dxa" w:w="7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w:t>
            </w:r>
          </w:p>
        </w:tc>
        <w:tc>
          <w:tcPr>
            <w:tcW w:type="dxa" w:w="3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Forecast: XAU/USD expected to continue declining; analysts bearish to $2,875–2,994 by year-end</w:t>
            </w:r>
          </w:p>
        </w:tc>
        <w:tc>
          <w:tcPr>
            <w:tcW w:type="dxa" w:w="18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w:t>
            </w:r>
          </w:p>
        </w:tc>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Medium</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OCBC Bank</w:t>
            </w:r>
          </w:p>
        </w:tc>
        <w:tc>
          <w:tcPr>
            <w:tcW w:type="dxa" w:w="7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Cited 16 Jul</w:t>
            </w:r>
          </w:p>
        </w:tc>
        <w:tc>
          <w:tcPr>
            <w:tcW w:type="dxa" w:w="3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Gold to decline through end-2026 on yields, dollar, weak investor demand; long-term trend still up</w:t>
            </w:r>
          </w:p>
        </w:tc>
        <w:tc>
          <w:tcPr>
            <w:tcW w:type="dxa" w:w="18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 (near-term)</w:t>
            </w:r>
          </w:p>
        </w:tc>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High — institutional</w:t>
            </w:r>
          </w:p>
        </w:tc>
      </w:tr>
      <w:tr>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Investing.com technicals</w:t>
            </w:r>
          </w:p>
        </w:tc>
        <w:tc>
          <w:tcPr>
            <w:tcW w:type="dxa" w:w="7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w:t>
            </w:r>
          </w:p>
        </w:tc>
        <w:tc>
          <w:tcPr>
            <w:tcW w:type="dxa" w:w="3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Daily, hourly, weekly all Strong Sell; 12 of 12 MAs sell; RSI(14) 41.02 sell; MACD −4.34 sell</w:t>
            </w:r>
          </w:p>
        </w:tc>
        <w:tc>
          <w:tcPr>
            <w:tcW w:type="dxa" w:w="18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w:t>
            </w:r>
          </w:p>
        </w:tc>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High — systematic</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TradingView technicals</w:t>
            </w:r>
          </w:p>
        </w:tc>
        <w:tc>
          <w:tcPr>
            <w:tcW w:type="dxa" w:w="7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w:t>
            </w:r>
          </w:p>
        </w:tc>
        <w:tc>
          <w:tcPr>
            <w:tcW w:type="dxa" w:w="3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1-week sell signal; MA rating strong sell; oscillators neutral; 1-month rating buy</w:t>
            </w:r>
          </w:p>
        </w:tc>
        <w:tc>
          <w:tcPr>
            <w:tcW w:type="dxa" w:w="18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 near-term / Bullish medium</w:t>
            </w:r>
          </w:p>
        </w:tc>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Medium</w:t>
            </w:r>
          </w:p>
        </w:tc>
      </w:tr>
      <w:tr>
        <w:tc>
          <w:tcPr>
            <w:tcW w:type="dxa" w:w="12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Forbes Advisor / WGC</w:t>
            </w:r>
          </w:p>
        </w:tc>
        <w:tc>
          <w:tcPr>
            <w:tcW w:type="dxa" w:w="7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15–16 Jul</w:t>
            </w:r>
          </w:p>
        </w:tc>
        <w:tc>
          <w:tcPr>
            <w:tcW w:type="dxa" w:w="34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Central-bank reserve accumulation expected to continue as institutions cut dollar dependence</w:t>
            </w:r>
          </w:p>
        </w:tc>
        <w:tc>
          <w:tcPr>
            <w:tcW w:type="dxa" w:w="183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Bullish</w:t>
            </w:r>
          </w:p>
        </w:tc>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Medium — structural</w:t>
            </w:r>
          </w:p>
        </w:tc>
      </w:tr>
      <w:tr>
        <w:tc>
          <w:tcPr>
            <w:tcW w:type="dxa" w:w="12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JP Morgan</w:t>
            </w:r>
          </w:p>
        </w:tc>
        <w:tc>
          <w:tcPr>
            <w:tcW w:type="dxa" w:w="7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Cited</w:t>
            </w:r>
          </w:p>
        </w:tc>
        <w:tc>
          <w:tcPr>
            <w:tcW w:type="dxa" w:w="34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Global research forecast: gold toward $4,000 by mid-2026 — a level now reached from above</w:t>
            </w:r>
          </w:p>
        </w:tc>
        <w:tc>
          <w:tcPr>
            <w:tcW w:type="dxa" w:w="183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Neutral</w:t>
            </w:r>
          </w:p>
        </w:tc>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Low — dated</w:t>
            </w:r>
          </w:p>
        </w:tc>
      </w:tr>
    </w:tbl>
    <w:p>
      <w:pPr>
        <w:spacing w:after="120"/>
      </w:pPr>
    </w:p>
    <w:p>
      <w:pPr>
        <w:spacing w:after="120" w:before="0"/>
        <w:jc w:val="both"/>
      </w:pPr>
      <w:r>
        <w:rPr>
          <w:rFonts w:ascii="Calibri" w:cs="Calibri" w:eastAsia="Calibri" w:hAnsi="Calibri"/>
          <w:b/>
          <w:bCs/>
          <w:i w:val="false"/>
          <w:iCs w:val="false"/>
          <w:sz w:val="20"/>
          <w:szCs w:val="20"/>
        </w:rPr>
        <w:t xml:space="preserve">§13b  Aggregate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Metric</w:t>
            </w:r>
          </w:p>
        </w:tc>
        <w:tc>
          <w:tcPr>
            <w:tcW w:type="dxa" w:w="72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Value</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Categorical read</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Numeric tilt</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−0.20</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Distribution</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Six clearly bearish, one bearish-near-term/bullish-medium, one bullish-structural, one neutral-dated</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Derivation</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Bearish items weighted by tier and recency, netted against the structural central-bank bid and the medium-term buy signal. The tilt is held at a modest −0.20 rather than a stronger reading because the bearish consensus is near-unanimous and consensual — a crowded short-side narrative is itself a mild contrarian offset, and the structural official-sector bid is real even if slow. Sentiment is the least differentiated input in this report; the technical and cross-asset channels carry the conviction.</w:t>
            </w:r>
          </w:p>
        </w:tc>
      </w:tr>
    </w:tbl>
    <w:p>
      <w:pPr>
        <w:spacing w:after="120"/>
      </w:pPr>
    </w:p>
    <w:p>
      <w:pPr>
        <w:spacing w:after="120" w:before="0"/>
        <w:jc w:val="both"/>
      </w:pPr>
      <w:r>
        <w:rPr>
          <w:rFonts w:ascii="Calibri" w:cs="Calibri" w:eastAsia="Calibri" w:hAnsi="Calibri"/>
          <w:b/>
          <w:bCs/>
          <w:i w:val="false"/>
          <w:iCs w:val="false"/>
          <w:sz w:val="20"/>
          <w:szCs w:val="20"/>
        </w:rPr>
        <w:t xml:space="preserve">§13c  Sentiment vs price action</w:t>
      </w:r>
    </w:p>
    <w:p>
      <w:pPr>
        <w:spacing w:after="120" w:before="0"/>
        <w:jc w:val="both"/>
      </w:pPr>
      <w:r>
        <w:rPr>
          <w:rFonts w:ascii="Calibri" w:cs="Calibri" w:eastAsia="Calibri" w:hAnsi="Calibri"/>
          <w:b w:val="false"/>
          <w:bCs w:val="false"/>
          <w:i w:val="false"/>
          <w:iCs w:val="false"/>
          <w:sz w:val="20"/>
          <w:szCs w:val="20"/>
        </w:rPr>
        <w:t xml:space="preserve">Sentiment confirms price action rather than leading it — the commentary set was already bearish before the 16 July break and did not anticipate its magnitude. This is a following indicator here and is weighted accordingly.</w:t>
      </w:r>
    </w:p>
    <w:p>
      <w:pPr>
        <w:spacing w:after="120"/>
      </w:pPr>
    </w:p>
    <w:p>
      <w:pPr>
        <w:spacing w:after="120" w:before="0"/>
        <w:jc w:val="both"/>
      </w:pPr>
      <w:r>
        <w:rPr>
          <w:rFonts w:ascii="Calibri" w:cs="Calibri" w:eastAsia="Calibri" w:hAnsi="Calibri"/>
          <w:b/>
          <w:bCs/>
          <w:i w:val="false"/>
          <w:iCs w:val="false"/>
          <w:sz w:val="20"/>
          <w:szCs w:val="20"/>
        </w:rPr>
        <w:t xml:space="preserve">§13d  News calendar</w:t>
      </w:r>
    </w:p>
    <w:p>
      <w:pPr>
        <w:spacing w:after="120" w:before="0"/>
        <w:jc w:val="both"/>
      </w:pPr>
      <w:r>
        <w:rPr>
          <w:rFonts w:ascii="Calibri" w:cs="Calibri" w:eastAsia="Calibri" w:hAnsi="Calibri"/>
          <w:b/>
          <w:bCs/>
          <w:i w:val="false"/>
          <w:iCs w:val="false"/>
          <w:sz w:val="19"/>
          <w:szCs w:val="19"/>
        </w:rPr>
        <w:t xml:space="preserve">Part 1 — Events inside the forecast horizon (17–24 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900"/>
        <w:gridCol w:w="3760"/>
      </w:tblGrid>
      <w:tr>
        <w:trPr>
          <w:tblHeader/>
        </w:trPr>
        <w:tc>
          <w:tcPr>
            <w:tcW w:type="dxa" w:w="1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Date</w:t>
            </w:r>
          </w:p>
        </w:tc>
        <w:tc>
          <w:tcPr>
            <w:tcW w:type="dxa" w:w="26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Event</w:t>
            </w:r>
          </w:p>
        </w:tc>
        <w:tc>
          <w:tcPr>
            <w:tcW w:type="dxa" w:w="19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Relevance</w:t>
            </w:r>
          </w:p>
        </w:tc>
        <w:tc>
          <w:tcPr>
            <w:tcW w:type="dxa" w:w="37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Directional risk if it surprises</w:t>
            </w:r>
          </w:p>
        </w:tc>
      </w:tr>
      <w:tr>
        <w:tc>
          <w:tcPr>
            <w:tcW w:type="dxa" w:w="1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17 Jul (Fri)</w:t>
            </w:r>
          </w:p>
        </w:tc>
        <w:tc>
          <w:tcPr>
            <w:tcW w:type="dxa" w:w="26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University of Michigan Inflation Expectations</w:t>
            </w:r>
          </w:p>
        </w:tc>
        <w:tc>
          <w:tcPr>
            <w:tcW w:type="dxa" w:w="19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HIGH — direct input to the live channel</w:t>
            </w:r>
          </w:p>
        </w:tc>
        <w:tc>
          <w:tcPr>
            <w:tcW w:type="dxa" w:w="37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A hot expectations print reinforces the September hike case, lifts real yields, and pressures gold further. A soft print is the single most plausible bounce catalyst. This lands INSIDE the 17 July session — see §21 caveats.</w:t>
            </w:r>
          </w:p>
        </w:tc>
      </w:tr>
      <w:tr>
        <w:tc>
          <w:tcPr>
            <w:tcW w:type="dxa" w:w="1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Ongoing</w:t>
            </w:r>
          </w:p>
        </w:tc>
        <w:tc>
          <w:tcPr>
            <w:tcW w:type="dxa" w:w="26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Middle East escalation / de-escalation</w:t>
            </w:r>
          </w:p>
        </w:tc>
        <w:tc>
          <w:tcPr>
            <w:tcW w:type="dxa" w:w="19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HIGH — the contradiction channel</w:t>
            </w:r>
          </w:p>
        </w:tc>
        <w:tc>
          <w:tcPr>
            <w:tcW w:type="dxa" w:w="37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Transit disruption at Bab el-Mandeb is a gap-risk event that inverts the entire bearish structure. Negotiation progress lowers crude and is mildly gold-supportive via the rates channel.</w:t>
            </w:r>
          </w:p>
        </w:tc>
      </w:tr>
      <w:tr>
        <w:tc>
          <w:tcPr>
            <w:tcW w:type="dxa" w:w="1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Ongoing</w:t>
            </w:r>
          </w:p>
        </w:tc>
        <w:tc>
          <w:tcPr>
            <w:tcW w:type="dxa" w:w="26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Dollar Index trajectory</w:t>
            </w:r>
          </w:p>
        </w:tc>
        <w:tc>
          <w:tcPr>
            <w:tcW w:type="dxa" w:w="19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HIGH</w:t>
            </w:r>
          </w:p>
        </w:tc>
        <w:tc>
          <w:tcPr>
            <w:tcW w:type="dxa" w:w="37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Continued firming above 100.51 compounds the mechanical headwind.</w:t>
            </w:r>
          </w:p>
        </w:tc>
      </w:tr>
    </w:tbl>
    <w:p>
      <w:pPr>
        <w:spacing w:after="120"/>
      </w:pPr>
    </w:p>
    <w:p>
      <w:pPr>
        <w:spacing w:after="120" w:before="0"/>
        <w:jc w:val="both"/>
      </w:pPr>
      <w:r>
        <w:rPr>
          <w:rFonts w:ascii="Calibri" w:cs="Calibri" w:eastAsia="Calibri" w:hAnsi="Calibri"/>
          <w:b/>
          <w:bCs/>
          <w:i w:val="false"/>
          <w:iCs w:val="false"/>
          <w:sz w:val="19"/>
          <w:szCs w:val="19"/>
        </w:rPr>
        <w:t xml:space="preserve">Part 2 — Events beyond the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Date</w:t>
            </w:r>
          </w:p>
        </w:tc>
        <w:tc>
          <w:tcPr>
            <w:tcW w:type="dxa" w:w="26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Event</w:t>
            </w:r>
          </w:p>
        </w:tc>
        <w:tc>
          <w:tcPr>
            <w:tcW w:type="dxa" w:w="56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Relevance</w:t>
            </w:r>
          </w:p>
        </w:tc>
      </w:tr>
      <w:tr>
        <w:tc>
          <w:tcPr>
            <w:tcW w:type="dxa" w:w="1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29 Jul</w:t>
            </w:r>
          </w:p>
        </w:tc>
        <w:tc>
          <w:tcPr>
            <w:tcW w:type="dxa" w:w="26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FOMC rate decision</w:t>
            </w:r>
          </w:p>
        </w:tc>
        <w:tc>
          <w:tcPr>
            <w:tcW w:type="dxa" w:w="56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BINDING. Money markets lean toward a hold (66.3% probability). The meeting is outside the five-day window but positioning into it will dominate the back half of the month.</w:t>
            </w:r>
          </w:p>
        </w:tc>
      </w:tr>
      <w:tr>
        <w:tc>
          <w:tcPr>
            <w:tcW w:type="dxa" w:w="1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Q3</w:t>
            </w:r>
          </w:p>
        </w:tc>
        <w:tc>
          <w:tcPr>
            <w:tcW w:type="dxa" w:w="26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PBoC / RBI reserve purchase reporting</w:t>
            </w:r>
          </w:p>
        </w:tc>
        <w:tc>
          <w:tcPr>
            <w:tcW w:type="dxa" w:w="56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Structural. The official-sector bid is the floor mechanism over quarters.</w:t>
            </w:r>
          </w:p>
        </w:tc>
      </w:tr>
    </w:tbl>
    <w:p>
      <w:pPr>
        <w:spacing w:after="120"/>
      </w:pPr>
    </w:p>
    <w:p>
      <w:pPr>
        <w:spacing w:after="120" w:before="0"/>
        <w:jc w:val="both"/>
      </w:pPr>
      <w:r>
        <w:rPr>
          <w:rFonts w:ascii="Calibri" w:cs="Calibri" w:eastAsia="Calibri" w:hAnsi="Calibri"/>
          <w:b/>
          <w:bCs/>
          <w:i w:val="false"/>
          <w:iCs w:val="false"/>
          <w:sz w:val="20"/>
          <w:szCs w:val="20"/>
        </w:rPr>
        <w:t xml:space="preserve">EVENT COLLISION FLAG: The University of Michigan Inflation Expectations release falls on 17 July — the session for which trade cards in §21 are constructed. Every card in §21 carries this collision as a material caveat.</w:t>
      </w:r>
    </w:p>
    <w:p>
      <w:pPr>
        <w:pStyle w:val="Heading1"/>
        <w:spacing w:after="140" w:before="280"/>
      </w:pPr>
      <w:r>
        <w:rPr>
          <w:rFonts w:ascii="Calibri" w:cs="Calibri" w:eastAsia="Calibri" w:hAnsi="Calibri"/>
          <w:color w:val="1F3864"/>
        </w:rPr>
        <w:t xml:space="preserve">§14  Macro Context</w:t>
      </w:r>
    </w:p>
    <w:p>
      <w:pPr>
        <w:spacing w:after="120" w:before="0"/>
        <w:jc w:val="both"/>
      </w:pPr>
      <w:r>
        <w:rPr>
          <w:rFonts w:ascii="Calibri" w:cs="Calibri" w:eastAsia="Calibri" w:hAnsi="Calibri"/>
          <w:b w:val="false"/>
          <w:bCs w:val="false"/>
          <w:i w:val="false"/>
          <w:iCs w:val="false"/>
          <w:sz w:val="20"/>
          <w:szCs w:val="20"/>
        </w:rPr>
        <w:t xml:space="preserve">Rates. The Fed funds target sits at 3.50–3.75% with a 66.3% probability of a hold on 29 July. September hike odds near 51% mean the market has priced a genuine coin-flip on further tightening — and critically, the direction of travel in expectations has moved toward tightening this week, not away from it. For a zero-coupon asset this is the dominant variable. This reading is drawn directly from the rising-real-yield counter in §10 and is not re-derived.</w:t>
      </w:r>
    </w:p>
    <w:p>
      <w:pPr>
        <w:spacing w:after="120" w:before="0"/>
        <w:jc w:val="both"/>
      </w:pPr>
      <w:r>
        <w:rPr>
          <w:rFonts w:ascii="Calibri" w:cs="Calibri" w:eastAsia="Calibri" w:hAnsi="Calibri"/>
          <w:b w:val="false"/>
          <w:bCs w:val="false"/>
          <w:i w:val="false"/>
          <w:iCs w:val="false"/>
          <w:sz w:val="20"/>
          <w:szCs w:val="20"/>
        </w:rPr>
        <w:t xml:space="preserve">Inflation. Two opposing vectors. June CPI came in cooler than expected, largely ruling out a July hike and easing dollar pressure — the input behind the 15 July bounce. Against it, crude at 79.41 and rising on active conflict is feeding directly into forward inflation expectations. The market is trading the forward-looking vector over the backward-looking print. May PPI rose 1.1% monthly; June PPI released 15 July did not shift the narrative in gold's favour.</w:t>
      </w:r>
    </w:p>
    <w:p>
      <w:pPr>
        <w:spacing w:after="120" w:before="0"/>
        <w:jc w:val="both"/>
      </w:pPr>
      <w:r>
        <w:rPr>
          <w:rFonts w:ascii="Calibri" w:cs="Calibri" w:eastAsia="Calibri" w:hAnsi="Calibri"/>
          <w:b w:val="false"/>
          <w:bCs w:val="false"/>
          <w:i w:val="false"/>
          <w:iCs w:val="false"/>
          <w:sz w:val="20"/>
          <w:szCs w:val="20"/>
        </w:rPr>
        <w:t xml:space="preserve">Liquidity and FX. The Dollar Index at 100.51 and firming is the mechanical channel identified in §10 — a stronger dollar raises bullion's price in every non-USD currency and suppresses marginal demand. This is confirming, not contradicting, the regime.</w:t>
      </w:r>
    </w:p>
    <w:p>
      <w:pPr>
        <w:spacing w:after="120" w:before="0"/>
        <w:jc w:val="both"/>
      </w:pPr>
      <w:r>
        <w:rPr>
          <w:rFonts w:ascii="Calibri" w:cs="Calibri" w:eastAsia="Calibri" w:hAnsi="Calibri"/>
          <w:b w:val="false"/>
          <w:bCs w:val="false"/>
          <w:i w:val="false"/>
          <w:iCs w:val="false"/>
          <w:sz w:val="20"/>
          <w:szCs w:val="20"/>
        </w:rPr>
        <w:t xml:space="preserve">Energy. Crude direction and its mechanism are the flagged contradiction in §10. Restating without re-deriving: rising oil should support gold via inflation hedging, and is instead pressuring it via the inflation-expectations-to-real-yields route. The macro narrative here does not contradict the cross-asset reads — it explains them.</w:t>
      </w:r>
    </w:p>
    <w:p>
      <w:pPr>
        <w:spacing w:after="120" w:before="0"/>
        <w:jc w:val="both"/>
      </w:pPr>
      <w:r>
        <w:rPr>
          <w:rFonts w:ascii="Calibri" w:cs="Calibri" w:eastAsia="Calibri" w:hAnsi="Calibri"/>
          <w:b w:val="false"/>
          <w:bCs w:val="false"/>
          <w:i w:val="false"/>
          <w:iCs w:val="false"/>
          <w:sz w:val="20"/>
          <w:szCs w:val="20"/>
        </w:rPr>
        <w:t xml:space="preserve">Positioning. VIX at 16.06 (+2.49%) indicates no equity stress; the safe-haven bid is not being called upon. Gold is −8.02% year-to-date having been −7.06% over one month, meaning the bulk of the annual drawdown is recent and concentrated — consistent with active liquidation rather than a slow re-rating. COT positioning data was not independently retrievable at snapshot time and is recorded as a data gap in §19.</w:t>
      </w:r>
    </w:p>
    <w:p>
      <w:pPr>
        <w:spacing w:after="120" w:before="0"/>
        <w:jc w:val="both"/>
      </w:pPr>
      <w:r>
        <w:rPr>
          <w:rFonts w:ascii="Calibri" w:cs="Calibri" w:eastAsia="Calibri" w:hAnsi="Calibri"/>
          <w:b w:val="false"/>
          <w:bCs w:val="false"/>
          <w:i w:val="false"/>
          <w:iCs w:val="false"/>
          <w:sz w:val="20"/>
          <w:szCs w:val="20"/>
        </w:rPr>
        <w:t xml:space="preserve">Upcoming-event cross-reference. The University of Michigan Inflation Expectations release on 17 July (see §13d) bears directly on the inflation-expectations variable that is currently driving the rates channel. Watch item: a hot print raises the September hike probability above the current 51% coin-flip and extends the decline; a soft print is the highest-probability bounce catalyst available inside the horizon.</w:t>
      </w:r>
    </w:p>
    <w:p>
      <w:pPr>
        <w:pStyle w:val="Heading1"/>
        <w:spacing w:after="140" w:before="280"/>
      </w:pPr>
      <w:r>
        <w:rPr>
          <w:rFonts w:ascii="Calibri" w:cs="Calibri" w:eastAsia="Calibri" w:hAnsi="Calibri"/>
          <w:color w:val="1F3864"/>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Main upside risks</w:t>
            </w:r>
          </w:p>
        </w:tc>
        <w:tc>
          <w:tcPr>
            <w:tcW w:type="dxa" w:w="46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Main downside risks</w:t>
            </w:r>
          </w:p>
        </w:tc>
      </w:tr>
      <w:tr>
        <w:tc>
          <w:tcPr>
            <w:tcW w:type="dxa" w:w="46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Middle East escalation shifting from strikes to physical energy-transit disruption (IRGC threat to Bab el-Mandeb via Houthi allies) would fire the safe-haven channel that is currently dormant and invert the structure on a gap. This is the single largest tail risk in the report and it is not priced.</w:t>
            </w:r>
          </w:p>
        </w:tc>
        <w:tc>
          <w:tcPr>
            <w:tcW w:type="dxa" w:w="46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 support at 3,948–3,962 (weekly S2, daily S1, monthly S1 — see §11) is thin cover before the year-to-date low at 3,943–3,944. A daily close beneath the shelf exposes the 3,675 channel base named by FXStreet — a further 8% of downside with no intervening structure.</w:t>
            </w:r>
          </w:p>
        </w:tc>
      </w:tr>
      <w:tr>
        <w:tc>
          <w:tcPr>
            <w:tcW w:type="dxa" w:w="46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A soft University of Michigan Inflation Expectations print on 17 July (see §13d) would lower September hike odds from the current 51% coin-flip, compress real yields, and produce the most plausible in-horizon bounce.</w:t>
            </w:r>
          </w:p>
        </w:tc>
        <w:tc>
          <w:tcPr>
            <w:tcW w:type="dxa" w:w="46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Price sits below the daily pivot at 4,009.78, below weekly S1 at 4,005.47, and below the monthly pivot at 4,172.19 (see §11). All three timeframes place price beneath their central reference — there is no timeframe on which the structure is constructive.</w:t>
            </w:r>
          </w:p>
        </w:tc>
      </w:tr>
      <w:tr>
        <w:tc>
          <w:tcPr>
            <w:tcW w:type="dxa" w:w="46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Central-bank reserve accumulation is a genuine structural bid (see §12). Fifteen years of net official-sector buying is a real floor mechanism.</w:t>
            </w:r>
          </w:p>
        </w:tc>
        <w:tc>
          <w:tcPr>
            <w:tcW w:type="dxa" w:w="46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TREND_DOWN regime confirmed by a Kaufman Efficiency Ratio of 0.59 — over four times the trending threshold (see §9). Volatility is expanding into the decline, not into a bounce.</w:t>
            </w:r>
          </w:p>
        </w:tc>
      </w:tr>
      <w:tr>
        <w:tc>
          <w:tcPr>
            <w:tcW w:type="dxa" w:w="46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TradingView's one-month rating reads buy against a one-week sell — the medium-horizon technical picture is less hostile than the short. OCBC and LiteFinance both preserve a constructive long-term view beneath their bearish near-term calls.</w:t>
            </w:r>
          </w:p>
        </w:tc>
        <w:tc>
          <w:tcPr>
            <w:tcW w:type="dxa" w:w="46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Silver −2.85% against gold −1.65% (see §10) is complex-wide selling. This is not gold-idiosyncratic and will not be arrested by a gold-specific catalyst.</w:t>
            </w:r>
          </w:p>
        </w:tc>
      </w:tr>
      <w:tr>
        <w:tc>
          <w:tcPr>
            <w:tcW w:type="dxa" w:w="46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The bearish consensus is near-unanimous across the commentary set (see §13a) — crowded positioning is a mild contrarian offset.</w:t>
            </w:r>
          </w:p>
        </w:tc>
        <w:tc>
          <w:tcPr>
            <w:tcW w:type="dxa" w:w="46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Dollar Index firming at 100.51 and rising real yields both confirm the regime (see §10). The two dominant transmission channels are aligned against gold.</w:t>
            </w:r>
          </w:p>
        </w:tc>
      </w:tr>
    </w:tbl>
    <w:p>
      <w:pPr>
        <w:spacing w:after="120"/>
      </w:pPr>
    </w:p>
    <w:p>
      <w:pPr>
        <w:spacing w:after="120" w:before="0"/>
        <w:jc w:val="both"/>
      </w:pPr>
      <w:r>
        <w:rPr>
          <w:rFonts w:ascii="Calibri" w:cs="Calibri" w:eastAsia="Calibri" w:hAnsi="Calibri"/>
          <w:b/>
          <w:bCs/>
          <w:i w:val="false"/>
          <w:iCs w:val="false"/>
          <w:sz w:val="20"/>
          <w:szCs w:val="20"/>
        </w:rPr>
        <w:t xml:space="preserve">Balance: The bear case is structurally supported across every technical timeframe, both dominant transmission channels, and the high-beta complex read. The bull case rests almost entirely on event risk — a tail geopolitical outcome or a single data surprise. That is an asymmetry of character, not just magnitude: the bearish path is a grind that the structure supports; the bullish path is a gap that the structure does not anticipate. Position sizing should respect that the upside risk, though lower-probability, arrives without warning.</w:t>
      </w:r>
    </w:p>
    <w:p>
      <w:pPr>
        <w:pStyle w:val="Heading1"/>
        <w:spacing w:after="140" w:before="280"/>
      </w:pPr>
      <w:r>
        <w:rPr>
          <w:rFonts w:ascii="Calibri" w:cs="Calibri" w:eastAsia="Calibri" w:hAnsi="Calibri"/>
          <w:color w:val="1F3864"/>
        </w:rPr>
        <w:t xml:space="preserve">§16  Forward View</w:t>
      </w:r>
    </w:p>
    <w:p>
      <w:pPr>
        <w:spacing w:after="120" w:before="0"/>
        <w:jc w:val="both"/>
      </w:pPr>
      <w:r>
        <w:rPr>
          <w:rFonts w:ascii="Calibri" w:cs="Calibri" w:eastAsia="Calibri" w:hAnsi="Calibri"/>
          <w:b w:val="false"/>
          <w:bCs w:val="false"/>
          <w:i w:val="false"/>
          <w:iCs w:val="false"/>
          <w:sz w:val="20"/>
          <w:szCs w:val="20"/>
        </w:rPr>
        <w:t xml:space="preserve">Expected direction — Lower over the next five trading days. The medium-term regime is TREND_DOWN with Kaufman confirmation at 0.59; the short-term bias is DOWN on a four-of-five lower-close sequence that culminated in a wide-range break through the 4,000 handle; both dominant cross-asset channels (dollar, real yields) confirm; and the high-beta complex read (silver −2.85%) confirms with greater violence than gold itself. This view respects the technical regime and does not contradict it.</w:t>
      </w:r>
    </w:p>
    <w:p>
      <w:pPr>
        <w:spacing w:after="120" w:before="0"/>
        <w:jc w:val="both"/>
      </w:pPr>
      <w:r>
        <w:rPr>
          <w:rFonts w:ascii="Calibri" w:cs="Calibri" w:eastAsia="Calibri" w:hAnsi="Calibri"/>
          <w:b w:val="false"/>
          <w:bCs w:val="false"/>
          <w:i w:val="false"/>
          <w:iCs w:val="false"/>
          <w:sz w:val="20"/>
          <w:szCs w:val="20"/>
        </w:rPr>
        <w:t xml:space="preserve">Expected trading range (5 sessions) — 3,860 to 4,065. The upper bound is the 4,065.39 two-session double-top, which is now the operative resistance and which no bounce has approached since it formed. The lower bound is daily S3 at 3,862.75, reachable if the 3,948–3,962 shelf gives way on a close. The central expectation is a test of the shelf within one to two sessions, given that 16 July's true range alone (91.43) exceeds the 28–42 point distance to it.</w:t>
      </w:r>
    </w:p>
    <w:p>
      <w:pPr>
        <w:spacing w:after="120" w:before="0"/>
        <w:jc w:val="both"/>
      </w:pPr>
      <w:r>
        <w:rPr>
          <w:rFonts w:ascii="Calibri" w:cs="Calibri" w:eastAsia="Calibri" w:hAnsi="Calibri"/>
          <w:b w:val="false"/>
          <w:bCs w:val="false"/>
          <w:i w:val="false"/>
          <w:iCs w:val="false"/>
          <w:sz w:val="20"/>
          <w:szCs w:val="20"/>
        </w:rPr>
        <w:t xml:space="preserve">Sub-scenario weighting — Test and hold of the 3,948–3,962 shelf, producing a consolidation between 3,950 and 4,010: most likely path. Close beneath the shelf, opening 3,918 (daily S2) then 3,862 (daily S3): the second path, and the one that becomes dominant on a hot inflation-expectations print. Reclaim of 4,009.78 (daily P) and a close above it: least likely absent an event catalyst, and would require the crude-to-haven channel to finally fire.</w:t>
      </w:r>
    </w:p>
    <w:p>
      <w:pPr>
        <w:spacing w:after="120" w:before="0"/>
        <w:jc w:val="both"/>
      </w:pPr>
      <w:r>
        <w:rPr>
          <w:rFonts w:ascii="Calibri" w:cs="Calibri" w:eastAsia="Calibri" w:hAnsi="Calibri"/>
          <w:b w:val="false"/>
          <w:bCs w:val="false"/>
          <w:i w:val="false"/>
          <w:iCs w:val="false"/>
          <w:sz w:val="20"/>
          <w:szCs w:val="20"/>
        </w:rPr>
        <w:t xml:space="preserve">Base case invalidation — A daily close above 4,065.39. That single level invalidates the base case because it simultaneously breaks the two-session double-top, reclaims the daily pivot, reclaims weekly S1, and would require the 15–16 July bull-trap structure to be undone. Below that, the base case holds; above it, the short-term sequence in §8 no longer describes the tape.</w:t>
      </w:r>
    </w:p>
    <w:p>
      <w:pPr>
        <w:spacing w:after="120" w:before="0"/>
        <w:jc w:val="both"/>
      </w:pPr>
      <w:r>
        <w:rPr>
          <w:rFonts w:ascii="Calibri" w:cs="Calibri" w:eastAsia="Calibri" w:hAnsi="Calibri"/>
          <w:b w:val="false"/>
          <w:bCs w:val="false"/>
          <w:i/>
          <w:iCs/>
          <w:sz w:val="20"/>
          <w:szCs w:val="20"/>
        </w:rPr>
        <w:t xml:space="preserve">No contradiction with the technical regime is present and none is flagged.</w:t>
      </w:r>
    </w:p>
    <w:p>
      <w:pPr>
        <w:pStyle w:val="Heading1"/>
        <w:spacing w:after="140" w:before="280"/>
      </w:pPr>
      <w:r>
        <w:rPr>
          <w:rFonts w:ascii="Calibri" w:cs="Calibri" w:eastAsia="Calibri" w:hAnsi="Calibri"/>
          <w:color w:val="1F3864"/>
        </w:rPr>
        <w:t xml:space="preserve">§17  Forecast</w:t>
      </w:r>
    </w:p>
    <w:p>
      <w:pPr>
        <w:pBdr>
          <w:left w:val="single" w:color="1F3864" w:sz="18" w:space="12"/>
        </w:pBdr>
        <w:spacing w:after="200" w:before="60"/>
        <w:ind w:left="288"/>
        <w:jc w:val="both"/>
      </w:pPr>
      <w:r>
        <w:rPr>
          <w:rFonts w:ascii="Calibri" w:cs="Calibri" w:eastAsia="Calibri" w:hAnsi="Calibri"/>
          <w:b/>
          <w:bCs/>
          <w:sz w:val="22"/>
          <w:szCs w:val="22"/>
        </w:rPr>
        <w:t xml:space="preserve">Gold declines toward the 3,948–3,962 support shelf within the next one to two sessions and closes the five-day horizon below 4,009.78, with the confirmed TREND_DOWN regime, the rising Dollar Index, rising real-yield expectations, and a corroborating 2.85% break in silver all pointing lower against a near-unanimous bearish sentiment tilt.</w:t>
      </w:r>
    </w:p>
    <w:p>
      <w:pPr>
        <w:pStyle w:val="Heading1"/>
        <w:spacing w:after="140" w:before="280"/>
      </w:pPr>
      <w:r>
        <w:rPr>
          <w:rFonts w:ascii="Calibri" w:cs="Calibri" w:eastAsia="Calibri" w:hAnsi="Calibri"/>
          <w:color w:val="1F3864"/>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Field</w:t>
            </w:r>
          </w:p>
        </w:tc>
        <w:tc>
          <w:tcPr>
            <w:tcW w:type="dxa" w:w="72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Judgement</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Consensus price call</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USD 3,995.50 / oz (range 3,974.00 – 4,032.00)</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Confidence</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MEDIUM</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Reason 1</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Structural alignment across every timeframe. Price sits below the daily pivot, below weekly S1, and below the monthly pivot simultaneously; twelve of twelve moving averages from MA5 to MA200 read sell with zero buy signals; and the Kaufman Efficiency Ratio at 0.59 confirms the tape is trending, not chopping. There is no timeframe on which the structure is constructive.</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Reason 2</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Both dominant transmission channels are aligned against gold. The Dollar Index at 100.51 and firming raises bullion's cost in every non-USD currency, and rising real-yield expectations — September hike odds at 51% and drifting up — directly compress the fair value of a zero-coupon asset. These are the two channels that actually set gold's price, and neither is ambiguous.</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Reason 3</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The 15–16 July bull-trap resolution is the highest-information event in the window. A narrow-range bounce that failed to reclaim the prior high, immediately engulfed by the widest-range down-session of the week closing in the bottom fifth beneath a psychological level, is a structure that resolves in one direction. Silver falling at 1.7× gold's rate confirms this is complex-wide, not idiosyncratic.</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Confidence rationale</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MEDIUM rather than HIGH for two reasons. The crude contradiction in §10 is unresolved and represents genuine unpriced tail risk — the safe-haven channel is dormant, not dead. And the weekly and monthly pivot sets are single-source-indicative (see §19), which weakens the confidence attached to the specific support levels even though the directional read does not depend on them.</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Single watch item</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The 3,948–3,962 support shelf (weekly S2, daily S1, monthly S1 — see §11), sitting directly above the year-to-date low at 3,943–3,944. This is the only structural obstacle beneath the market. Holding it produces consolidation; a daily close through it opens 3,918, then 3,862, then a structural void down to the 3,675 channel base.</w:t>
            </w:r>
          </w:p>
        </w:tc>
      </w:tr>
    </w:tbl>
    <w:p>
      <w:pPr>
        <w:pStyle w:val="Heading1"/>
        <w:spacing w:after="140" w:before="280"/>
      </w:pPr>
      <w:r>
        <w:rPr>
          <w:rFonts w:ascii="Calibri" w:cs="Calibri" w:eastAsia="Calibri" w:hAnsi="Calibri"/>
          <w:color w:val="1F3864"/>
        </w:rPr>
        <w:t xml:space="preserve">§19  Source Discipline Note</w:t>
      </w:r>
    </w:p>
    <w:p>
      <w:pPr>
        <w:spacing w:after="120" w:before="0"/>
        <w:jc w:val="both"/>
      </w:pPr>
      <w:r>
        <w:rPr>
          <w:rFonts w:ascii="Calibri" w:cs="Calibri" w:eastAsia="Calibri" w:hAnsi="Calibri"/>
          <w:b/>
          <w:bCs/>
          <w:i w:val="false"/>
          <w:iCs w:val="false"/>
          <w:sz w:val="20"/>
          <w:szCs w:val="20"/>
        </w:rPr>
        <w:t xml:space="preserve">Live vs indicative data</w:t>
      </w:r>
    </w:p>
    <w:p>
      <w:pPr>
        <w:pStyle w:val="ListParagraph"/>
        <w:numPr>
          <w:ilvl w:val="0"/>
          <w:numId w:val="2"/>
        </w:numPr>
        <w:spacing w:after="60"/>
      </w:pPr>
      <w:r>
        <w:rPr>
          <w:rFonts w:ascii="Calibri" w:cs="Calibri" w:eastAsia="Calibri" w:hAnsi="Calibri"/>
          <w:sz w:val="20"/>
          <w:szCs w:val="20"/>
        </w:rPr>
        <w:t xml:space="preserve">Gold spot session OHLC for 15–16 July: LIVE, dual-source corroborated (Investing.com real-time range + TradingView/FXEmpire close and percentage change).</w:t>
      </w:r>
    </w:p>
    <w:p>
      <w:pPr>
        <w:pStyle w:val="ListParagraph"/>
        <w:numPr>
          <w:ilvl w:val="0"/>
          <w:numId w:val="2"/>
        </w:numPr>
        <w:spacing w:after="60"/>
      </w:pPr>
      <w:r>
        <w:rPr>
          <w:rFonts w:ascii="Calibri" w:cs="Calibri" w:eastAsia="Calibri" w:hAnsi="Calibri"/>
          <w:sz w:val="20"/>
          <w:szCs w:val="20"/>
        </w:rPr>
        <w:t xml:space="preserve">Gold spot session OHLC for 10, 13, 14 July: RECONSTRUCTED from the corroborated 30-day range (3,944.23–4,382.85, average 4,105.72), the confirmed 15 July open of 4,034.78, weekly performance (−2.63%), and the 4,110 rally-fade level reported by Vantage. These sessions are internally consistent with all corroborated boundary conditions but individual open/high/low prints are analyst reconstructions, not independently sourced ticks. Flagged as such.</w:t>
      </w:r>
    </w:p>
    <w:p>
      <w:pPr>
        <w:pStyle w:val="ListParagraph"/>
        <w:numPr>
          <w:ilvl w:val="0"/>
          <w:numId w:val="2"/>
        </w:numPr>
        <w:spacing w:after="60"/>
      </w:pPr>
      <w:r>
        <w:rPr>
          <w:rFonts w:ascii="Calibri" w:cs="Calibri" w:eastAsia="Calibri" w:hAnsi="Calibri"/>
          <w:sz w:val="20"/>
          <w:szCs w:val="20"/>
        </w:rPr>
        <w:t xml:space="preserve">Silver spot: LIVE, dual-source (Investing.com silver futures 56.653 −1.36%; FXEmpire spot −2.85%). The two feeds differ in magnitude because one is futures and one is spot; direction is unambiguous in both.</w:t>
      </w:r>
    </w:p>
    <w:p>
      <w:pPr>
        <w:pStyle w:val="ListParagraph"/>
        <w:numPr>
          <w:ilvl w:val="0"/>
          <w:numId w:val="2"/>
        </w:numPr>
        <w:spacing w:after="60"/>
      </w:pPr>
      <w:r>
        <w:rPr>
          <w:rFonts w:ascii="Calibri" w:cs="Calibri" w:eastAsia="Calibri" w:hAnsi="Calibri"/>
          <w:sz w:val="20"/>
          <w:szCs w:val="20"/>
        </w:rPr>
        <w:t xml:space="preserve">Dollar Index (100.51), S&amp;P 500 (7,559.12), VIX (16.06), WTI (79.41): LIVE, single-source (Investing.com real-time panel). Directionally corroborated by narrative agency reporting but not by a second numeric feed.</w:t>
      </w:r>
    </w:p>
    <w:p>
      <w:pPr>
        <w:pStyle w:val="ListParagraph"/>
        <w:numPr>
          <w:ilvl w:val="0"/>
          <w:numId w:val="2"/>
        </w:numPr>
        <w:spacing w:after="60"/>
      </w:pPr>
      <w:r>
        <w:rPr>
          <w:rFonts w:ascii="Calibri" w:cs="Calibri" w:eastAsia="Calibri" w:hAnsi="Calibri"/>
          <w:sz w:val="20"/>
          <w:szCs w:val="20"/>
        </w:rPr>
        <w:t xml:space="preserve">DAX 40: NOT INDEPENDENTLY RETRIEVED. The counter read is inferred from the absence of any European risk-off signal in the retrieved set and from the S&amp;P 500 read. Recorded as a data gap; the counter is treated as Neutral with low weight.</w:t>
      </w:r>
    </w:p>
    <w:p>
      <w:pPr>
        <w:spacing w:after="120" w:before="0"/>
        <w:jc w:val="both"/>
      </w:pPr>
      <w:r>
        <w:rPr>
          <w:rFonts w:ascii="Calibri" w:cs="Calibri" w:eastAsia="Calibri" w:hAnsi="Calibri"/>
          <w:b/>
          <w:bCs/>
          <w:i w:val="false"/>
          <w:iCs w:val="false"/>
          <w:sz w:val="20"/>
          <w:szCs w:val="20"/>
        </w:rPr>
        <w:t xml:space="preserve">Corroboration status per pivot timeframe</w:t>
      </w:r>
    </w:p>
    <w:p>
      <w:pPr>
        <w:pStyle w:val="ListParagraph"/>
        <w:numPr>
          <w:ilvl w:val="0"/>
          <w:numId w:val="2"/>
        </w:numPr>
        <w:spacing w:after="60"/>
      </w:pPr>
      <w:r>
        <w:rPr>
          <w:rFonts w:ascii="Calibri" w:cs="Calibri" w:eastAsia="Calibri" w:hAnsi="Calibri"/>
          <w:sz w:val="20"/>
          <w:szCs w:val="20"/>
        </w:rPr>
        <w:t xml:space="preserve">DAILY pivots: CORROBORATED. Prior-session H/L/C dual-sourced. Levels are live.</w:t>
      </w:r>
    </w:p>
    <w:p>
      <w:pPr>
        <w:pStyle w:val="ListParagraph"/>
        <w:numPr>
          <w:ilvl w:val="0"/>
          <w:numId w:val="2"/>
        </w:numPr>
        <w:spacing w:after="60"/>
      </w:pPr>
      <w:r>
        <w:rPr>
          <w:rFonts w:ascii="Calibri" w:cs="Calibri" w:eastAsia="Calibri" w:hAnsi="Calibri"/>
          <w:sz w:val="20"/>
          <w:szCs w:val="20"/>
        </w:rPr>
        <w:t xml:space="preserve">WEEKLY pivots: SINGLE-SOURCE-INDICATIVE. Prior-week high and low not independently corroborated; close corroborated. All weekly levels marked indicative only.</w:t>
      </w:r>
    </w:p>
    <w:p>
      <w:pPr>
        <w:pStyle w:val="ListParagraph"/>
        <w:numPr>
          <w:ilvl w:val="0"/>
          <w:numId w:val="2"/>
        </w:numPr>
        <w:spacing w:after="60"/>
      </w:pPr>
      <w:r>
        <w:rPr>
          <w:rFonts w:ascii="Calibri" w:cs="Calibri" w:eastAsia="Calibri" w:hAnsi="Calibri"/>
          <w:sz w:val="20"/>
          <w:szCs w:val="20"/>
        </w:rPr>
        <w:t xml:space="preserve">MONTHLY pivots: SINGLE-SOURCE-INDICATIVE. Monthly high/low band corroborated; June close single-source. All monthly levels marked indicative only.</w:t>
      </w:r>
    </w:p>
    <w:p>
      <w:pPr>
        <w:spacing w:after="120" w:before="0"/>
        <w:jc w:val="both"/>
      </w:pPr>
      <w:r>
        <w:rPr>
          <w:rFonts w:ascii="Calibri" w:cs="Calibri" w:eastAsia="Calibri" w:hAnsi="Calibri"/>
          <w:b/>
          <w:bCs/>
          <w:i w:val="false"/>
          <w:iCs w:val="false"/>
          <w:sz w:val="20"/>
          <w:szCs w:val="20"/>
        </w:rPr>
        <w:t xml:space="preserve">Data gaps</w:t>
      </w:r>
    </w:p>
    <w:p>
      <w:pPr>
        <w:pStyle w:val="ListParagraph"/>
        <w:numPr>
          <w:ilvl w:val="0"/>
          <w:numId w:val="2"/>
        </w:numPr>
        <w:spacing w:after="60"/>
      </w:pPr>
      <w:r>
        <w:rPr>
          <w:rFonts w:ascii="Calibri" w:cs="Calibri" w:eastAsia="Calibri" w:hAnsi="Calibri"/>
          <w:sz w:val="20"/>
          <w:szCs w:val="20"/>
        </w:rPr>
        <w:t xml:space="preserve">COT positioning data for gold: not retrievable at snapshot time. §14 positioning relies on VIX and performance data instead.</w:t>
      </w:r>
    </w:p>
    <w:p>
      <w:pPr>
        <w:pStyle w:val="ListParagraph"/>
        <w:numPr>
          <w:ilvl w:val="0"/>
          <w:numId w:val="2"/>
        </w:numPr>
        <w:spacing w:after="60"/>
      </w:pPr>
      <w:r>
        <w:rPr>
          <w:rFonts w:ascii="Calibri" w:cs="Calibri" w:eastAsia="Calibri" w:hAnsi="Calibri"/>
          <w:sz w:val="20"/>
          <w:szCs w:val="20"/>
        </w:rPr>
        <w:t xml:space="preserve">Shanghai Gold Exchange premium: not retrievable. No regional arbitrage adjustment applied in §5.</w:t>
      </w:r>
    </w:p>
    <w:p>
      <w:pPr>
        <w:pStyle w:val="ListParagraph"/>
        <w:numPr>
          <w:ilvl w:val="0"/>
          <w:numId w:val="2"/>
        </w:numPr>
        <w:spacing w:after="60"/>
      </w:pPr>
      <w:r>
        <w:rPr>
          <w:rFonts w:ascii="Calibri" w:cs="Calibri" w:eastAsia="Calibri" w:hAnsi="Calibri"/>
          <w:sz w:val="20"/>
          <w:szCs w:val="20"/>
        </w:rPr>
        <w:t xml:space="preserve">US 10Y real yield numeric level: not retrievable. The channel is assessed directionally from CME hike probabilities (51% September) rather than from a yield print.</w:t>
      </w:r>
    </w:p>
    <w:p>
      <w:pPr>
        <w:pStyle w:val="ListParagraph"/>
        <w:numPr>
          <w:ilvl w:val="0"/>
          <w:numId w:val="2"/>
        </w:numPr>
        <w:spacing w:after="60"/>
      </w:pPr>
      <w:r>
        <w:rPr>
          <w:rFonts w:ascii="Calibri" w:cs="Calibri" w:eastAsia="Calibri" w:hAnsi="Calibri"/>
          <w:sz w:val="20"/>
          <w:szCs w:val="20"/>
        </w:rPr>
        <w:t xml:space="preserve">Chart and CSV export pipeline: not executable in the generation environment. §7 suppressed rather than populated with unsourced approximations.</w:t>
      </w:r>
    </w:p>
    <w:p>
      <w:pPr>
        <w:spacing w:after="120" w:before="0"/>
        <w:jc w:val="both"/>
      </w:pPr>
      <w:r>
        <w:rPr>
          <w:rFonts w:ascii="Calibri" w:cs="Calibri" w:eastAsia="Calibri" w:hAnsi="Calibri"/>
          <w:b/>
          <w:bCs/>
          <w:i w:val="false"/>
          <w:iCs w:val="false"/>
          <w:sz w:val="20"/>
          <w:szCs w:val="20"/>
        </w:rPr>
        <w:t xml:space="preserve">Normalization assumptions</w:t>
      </w:r>
    </w:p>
    <w:p>
      <w:pPr>
        <w:pStyle w:val="ListParagraph"/>
        <w:numPr>
          <w:ilvl w:val="0"/>
          <w:numId w:val="2"/>
        </w:numPr>
        <w:spacing w:after="60"/>
      </w:pPr>
      <w:r>
        <w:rPr>
          <w:rFonts w:ascii="Calibri" w:cs="Calibri" w:eastAsia="Calibri" w:hAnsi="Calibri"/>
          <w:sz w:val="20"/>
          <w:szCs w:val="20"/>
        </w:rPr>
        <w:t xml:space="preserve">CME front-month futures to loco-London spot: 15-point carry deduction applied, consistent with the observed cash-futures spread through the window.</w:t>
      </w:r>
    </w:p>
    <w:p>
      <w:pPr>
        <w:pStyle w:val="ListParagraph"/>
        <w:numPr>
          <w:ilvl w:val="0"/>
          <w:numId w:val="2"/>
        </w:numPr>
        <w:spacing w:after="60"/>
      </w:pPr>
      <w:r>
        <w:rPr>
          <w:rFonts w:ascii="Calibri" w:cs="Calibri" w:eastAsia="Calibri" w:hAnsi="Calibri"/>
          <w:sz w:val="20"/>
          <w:szCs w:val="20"/>
        </w:rPr>
        <w:t xml:space="preserve">Spot gold session opens rolled from prior close on the 00:00 UK anchor convention — standard for a 23-hour market with no formal open.</w:t>
      </w:r>
    </w:p>
    <w:p>
      <w:pPr>
        <w:pStyle w:val="ListParagraph"/>
        <w:numPr>
          <w:ilvl w:val="0"/>
          <w:numId w:val="2"/>
        </w:numPr>
        <w:spacing w:after="60"/>
      </w:pPr>
      <w:r>
        <w:rPr>
          <w:rFonts w:ascii="Calibri" w:cs="Calibri" w:eastAsia="Calibri" w:hAnsi="Calibri"/>
          <w:sz w:val="20"/>
          <w:szCs w:val="20"/>
        </w:rPr>
        <w:t xml:space="preserve">ATR(14) estimated at 62.50 from the corroborated 30-day range and observed daily true ranges rather than computed from a full fourteen-session validated series. The five-session mean true range of 61.39 independently supports this estimate to within 1.8%.</w:t>
      </w:r>
    </w:p>
    <w:p>
      <w:pPr>
        <w:spacing w:after="120"/>
      </w:pPr>
    </w:p>
    <w:p>
      <w:pPr>
        <w:spacing w:after="120" w:before="0"/>
        <w:jc w:val="both"/>
      </w:pPr>
      <w:r>
        <w:rPr>
          <w:rFonts w:ascii="Calibri" w:cs="Calibri" w:eastAsia="Calibri" w:hAnsi="Calibri"/>
          <w:b/>
          <w:bCs/>
          <w:i w:val="false"/>
          <w:iCs w:val="false"/>
          <w:sz w:val="20"/>
          <w:szCs w:val="20"/>
        </w:rPr>
        <w:t xml:space="preserve">EXPLICIT NOTE ON THIS RUN: Standing instruction for this session directed that strategy output not be suppressed for corroboration shortfalls, and that leniency on corroboration be applied where full corroboration is unavailable. That instruction has been honoured — §21 is produced in full. It has not been permitted to alter the source-discipline record above: every corroboration gap is disclosed exactly as found, and each affected level carries its flag through into the trade cards. Leniency has been applied to the decision to produce, not to the characterisation of the evidence.</w:t>
      </w:r>
    </w:p>
    <w:p>
      <w:pPr>
        <w:pStyle w:val="Heading1"/>
        <w:spacing w:after="140" w:before="280"/>
      </w:pPr>
      <w:r>
        <w:rPr>
          <w:rFonts w:ascii="Calibri" w:cs="Calibri" w:eastAsia="Calibri" w:hAnsi="Calibri"/>
          <w:color w:val="1F3864"/>
        </w:rPr>
        <w:t xml:space="preserve">§20  Agent Log</w:t>
      </w:r>
    </w:p>
    <w:p>
      <w:pPr>
        <w:spacing w:after="120" w:before="0"/>
        <w:jc w:val="both"/>
      </w:pPr>
      <w:r>
        <w:rPr>
          <w:rFonts w:ascii="Calibri" w:cs="Calibri" w:eastAsia="Calibri" w:hAnsi="Calibri"/>
          <w:b w:val="false"/>
          <w:bCs w:val="false"/>
          <w:i w:val="false"/>
          <w:iCs w:val="false"/>
          <w:sz w:val="19"/>
          <w:szCs w:val="19"/>
        </w:rPr>
        <w:t xml:space="preserve">Run timestamp: 16 July 2026, 22:40 UK. Report as-of date: 17 July 2026 (Europe/London). Forward-test session: 1.</w:t>
      </w:r>
    </w:p>
    <w:p>
      <w:pPr>
        <w:spacing w:after="120" w:before="0"/>
        <w:jc w:val="both"/>
      </w:pPr>
      <w:r>
        <w:rPr>
          <w:rFonts w:ascii="Calibri" w:cs="Calibri" w:eastAsia="Calibri" w:hAnsi="Calibri"/>
          <w:b/>
          <w:bCs/>
          <w:i w:val="false"/>
          <w:iCs w:val="false"/>
          <w:sz w:val="20"/>
          <w:szCs w:val="20"/>
        </w:rPr>
        <w:t xml:space="preserve">Sources attempted and outcome</w:t>
      </w:r>
    </w:p>
    <w:p>
      <w:pPr>
        <w:pStyle w:val="ListParagraph"/>
        <w:numPr>
          <w:ilvl w:val="0"/>
          <w:numId w:val="2"/>
        </w:numPr>
        <w:spacing w:after="60"/>
      </w:pPr>
      <w:r>
        <w:rPr>
          <w:rFonts w:ascii="Calibri" w:cs="Calibri" w:eastAsia="Calibri" w:hAnsi="Calibri"/>
          <w:sz w:val="20"/>
          <w:szCs w:val="20"/>
        </w:rPr>
        <w:t xml:space="preserve">Attempted and retrieved: Investing.com (spot, historical, technicals), TradingView (spot, technicals), FXEmpire, TradingEconomics, JM Bullion, FXStreet, FX Leaders, LiteFinance, Vantage Markets, Forbes Advisor. Ten distinct sources reached; seven admitted to the §4 evidence table after tier and restriction filtering.</w:t>
      </w:r>
    </w:p>
    <w:p>
      <w:pPr>
        <w:pStyle w:val="ListParagraph"/>
        <w:numPr>
          <w:ilvl w:val="0"/>
          <w:numId w:val="2"/>
        </w:numPr>
        <w:spacing w:after="60"/>
      </w:pPr>
      <w:r>
        <w:rPr>
          <w:rFonts w:ascii="Calibri" w:cs="Calibri" w:eastAsia="Calibri" w:hAnsi="Calibri"/>
          <w:sz w:val="20"/>
          <w:szCs w:val="20"/>
        </w:rPr>
        <w:t xml:space="preserve">Attempted and not retrieved: LBMA AM/PM fix direct, Bloomberg consensus, Twelve Data, COT positioning, SGE premium. LBMA and Bloomberg are named benchmarks for this instance and their absence is why confidence is MEDIUM rather than HIGH.</w:t>
      </w:r>
    </w:p>
    <w:p>
      <w:pPr>
        <w:spacing w:after="120" w:before="0"/>
        <w:jc w:val="both"/>
      </w:pPr>
      <w:r>
        <w:rPr>
          <w:rFonts w:ascii="Calibri" w:cs="Calibri" w:eastAsia="Calibri" w:hAnsi="Calibri"/>
          <w:b/>
          <w:bCs/>
          <w:i w:val="false"/>
          <w:iCs w:val="false"/>
          <w:sz w:val="20"/>
          <w:szCs w:val="20"/>
        </w:rPr>
        <w:t xml:space="preserve">Validation method</w:t>
      </w:r>
    </w:p>
    <w:p>
      <w:pPr>
        <w:pStyle w:val="ListParagraph"/>
        <w:numPr>
          <w:ilvl w:val="0"/>
          <w:numId w:val="2"/>
        </w:numPr>
        <w:spacing w:after="60"/>
      </w:pPr>
      <w:r>
        <w:rPr>
          <w:rFonts w:ascii="Calibri" w:cs="Calibri" w:eastAsia="Calibri" w:hAnsi="Calibri"/>
          <w:sz w:val="20"/>
          <w:szCs w:val="20"/>
        </w:rPr>
        <w:t xml:space="preserve">Corroboration pairs used — Gold spot price: Investing.com real-time (3,983.66) × CME futures via Investing.com panel (4,013.85, carry-adjusted 3,998.85). Gold session range: Investing.com historical (3,973.96–4,065.39) × TradingView session print. Gold direction: FXEmpire (−1.65% 1D) × TradingEconomics narrative. Silver: Investing.com futures × FXEmpire spot. Technical ratings: Investing.com (Strong Sell, 12/12 MAs sell) × TradingView (strong sell MA rating).</w:t>
      </w:r>
    </w:p>
    <w:p>
      <w:pPr>
        <w:pStyle w:val="ListParagraph"/>
        <w:numPr>
          <w:ilvl w:val="0"/>
          <w:numId w:val="2"/>
        </w:numPr>
        <w:spacing w:after="60"/>
      </w:pPr>
      <w:r>
        <w:rPr>
          <w:rFonts w:ascii="Calibri" w:cs="Calibri" w:eastAsia="Calibri" w:hAnsi="Calibri"/>
          <w:sz w:val="20"/>
          <w:szCs w:val="20"/>
        </w:rPr>
        <w:t xml:space="preserve">The TradingView print of 4,058.99 was retained but heavily down-weighted in the weighted median on timing grounds, not error grounds. Documented in §5.</w:t>
      </w:r>
    </w:p>
    <w:p>
      <w:pPr>
        <w:spacing w:after="120" w:before="0"/>
        <w:jc w:val="both"/>
      </w:pPr>
      <w:r>
        <w:rPr>
          <w:rFonts w:ascii="Calibri" w:cs="Calibri" w:eastAsia="Calibri" w:hAnsi="Calibri"/>
          <w:b/>
          <w:bCs/>
          <w:i w:val="false"/>
          <w:iCs w:val="false"/>
          <w:sz w:val="20"/>
          <w:szCs w:val="20"/>
        </w:rPr>
        <w:t xml:space="preserve">Sentiment derivation</w:t>
      </w:r>
    </w:p>
    <w:p>
      <w:pPr>
        <w:pStyle w:val="ListParagraph"/>
        <w:numPr>
          <w:ilvl w:val="0"/>
          <w:numId w:val="2"/>
        </w:numPr>
        <w:spacing w:after="60"/>
      </w:pPr>
      <w:r>
        <w:rPr>
          <w:rFonts w:ascii="Calibri" w:cs="Calibri" w:eastAsia="Calibri" w:hAnsi="Calibri"/>
          <w:sz w:val="20"/>
          <w:szCs w:val="20"/>
        </w:rPr>
        <w:t xml:space="preserve">Nine articles classified by tier and recency (§13a). Six clearly bearish, one split near-term-bearish/medium-term-bullish, one bullish-structural, one neutral-dated. Numeric tilt −0.20, held deliberately modest against a near-unanimous bearish set on crowding grounds and against the structural official-sector bid. Sentiment lags price here and is weighted accordingly.</w:t>
      </w:r>
    </w:p>
    <w:p>
      <w:pPr>
        <w:spacing w:after="120" w:before="0"/>
        <w:jc w:val="both"/>
      </w:pPr>
      <w:r>
        <w:rPr>
          <w:rFonts w:ascii="Calibri" w:cs="Calibri" w:eastAsia="Calibri" w:hAnsi="Calibri"/>
          <w:b/>
          <w:bCs/>
          <w:i w:val="false"/>
          <w:iCs w:val="false"/>
          <w:sz w:val="20"/>
          <w:szCs w:val="20"/>
        </w:rPr>
        <w:t xml:space="preserve">Forecast reasoning</w:t>
      </w:r>
    </w:p>
    <w:p>
      <w:pPr>
        <w:pStyle w:val="ListParagraph"/>
        <w:numPr>
          <w:ilvl w:val="0"/>
          <w:numId w:val="2"/>
        </w:numPr>
        <w:spacing w:after="60"/>
      </w:pPr>
      <w:r>
        <w:rPr>
          <w:rFonts w:ascii="Calibri" w:cs="Calibri" w:eastAsia="Calibri" w:hAnsi="Calibri"/>
          <w:sz w:val="20"/>
          <w:szCs w:val="20"/>
        </w:rPr>
        <w:t xml:space="preserve">The §17 forecast derives from the confirmed TREND_DOWN regime (§9), the four-of-five lower-close short-term sequence with a bull-trap resolution (§8), dollar and real-yield channel confirmation (§10), silver complex confirmation (§10), and a bearish sentiment tilt (§13b). No scenario hedging applied. The forecast does not contradict §16 and no conflict flag is raised.</w:t>
      </w:r>
    </w:p>
    <w:p>
      <w:pPr>
        <w:spacing w:after="120" w:before="0"/>
        <w:jc w:val="both"/>
      </w:pPr>
      <w:r>
        <w:rPr>
          <w:rFonts w:ascii="Calibri" w:cs="Calibri" w:eastAsia="Calibri" w:hAnsi="Calibri"/>
          <w:b/>
          <w:bCs/>
          <w:i w:val="false"/>
          <w:iCs w:val="false"/>
          <w:sz w:val="20"/>
          <w:szCs w:val="20"/>
        </w:rPr>
        <w:t xml:space="preserve">Anomalies and deviations</w:t>
      </w:r>
    </w:p>
    <w:p>
      <w:pPr>
        <w:pStyle w:val="ListParagraph"/>
        <w:numPr>
          <w:ilvl w:val="0"/>
          <w:numId w:val="2"/>
        </w:numPr>
        <w:spacing w:after="60"/>
      </w:pPr>
      <w:r>
        <w:rPr>
          <w:rFonts w:ascii="Calibri" w:cs="Calibri" w:eastAsia="Calibri" w:hAnsi="Calibri"/>
          <w:sz w:val="20"/>
          <w:szCs w:val="20"/>
        </w:rPr>
        <w:t xml:space="preserve">ANALYST OVERRIDE — session anchor. The instance-configured anchor was overridden for this run per explicit standing instruction and set to 00:00 UK for the 17 July session. The override is recorded here as required. It is worth noting that the override resolves to the same value the instance already carried, so no behavioural change results: gold trades 23+ hours and 00:00 UK is the natural London-Asia handover reset. Trade 1 entry timing is unaffected by the override.</w:t>
      </w:r>
    </w:p>
    <w:p>
      <w:pPr>
        <w:pStyle w:val="ListParagraph"/>
        <w:numPr>
          <w:ilvl w:val="0"/>
          <w:numId w:val="2"/>
        </w:numPr>
        <w:spacing w:after="60"/>
      </w:pPr>
      <w:r>
        <w:rPr>
          <w:rFonts w:ascii="Calibri" w:cs="Calibri" w:eastAsia="Calibri" w:hAnsi="Calibri"/>
          <w:sz w:val="20"/>
          <w:szCs w:val="20"/>
        </w:rPr>
        <w:t xml:space="preserve">ANALYST OVERRIDE — corroboration leniency. Standing instruction directed that strategy output not be suppressed for corroboration shortfalls. Applied to two pivot timeframes (weekly, monthly) that would otherwise have triggered suppression of the pivot-dependent trade. See suppression reasons below.</w:t>
      </w:r>
    </w:p>
    <w:p>
      <w:pPr>
        <w:pStyle w:val="ListParagraph"/>
        <w:numPr>
          <w:ilvl w:val="0"/>
          <w:numId w:val="2"/>
        </w:numPr>
        <w:spacing w:after="60"/>
      </w:pPr>
      <w:r>
        <w:rPr>
          <w:rFonts w:ascii="Calibri" w:cs="Calibri" w:eastAsia="Calibri" w:hAnsi="Calibri"/>
          <w:sz w:val="20"/>
          <w:szCs w:val="20"/>
        </w:rPr>
        <w:t xml:space="preserve">DEVIATION — §7 charts suppressed. Export pipeline not executable in this environment. All underlying series presented numerically in §6 and §11. No downstream section depends on chart output.</w:t>
      </w:r>
    </w:p>
    <w:p>
      <w:pPr>
        <w:pStyle w:val="ListParagraph"/>
        <w:numPr>
          <w:ilvl w:val="0"/>
          <w:numId w:val="2"/>
        </w:numPr>
        <w:spacing w:after="60"/>
      </w:pPr>
      <w:r>
        <w:rPr>
          <w:rFonts w:ascii="Calibri" w:cs="Calibri" w:eastAsia="Calibri" w:hAnsi="Calibri"/>
          <w:sz w:val="20"/>
          <w:szCs w:val="20"/>
        </w:rPr>
        <w:t xml:space="preserve">DEVIATION — three of five OHLC sessions reconstructed rather than tick-sourced. Disclosed in §19. Reconstruction is bounded by corroborated range, performance, and open/close anchors.</w:t>
      </w:r>
    </w:p>
    <w:p>
      <w:pPr>
        <w:pStyle w:val="ListParagraph"/>
        <w:numPr>
          <w:ilvl w:val="0"/>
          <w:numId w:val="2"/>
        </w:numPr>
        <w:spacing w:after="60"/>
      </w:pPr>
      <w:r>
        <w:rPr>
          <w:rFonts w:ascii="Calibri" w:cs="Calibri" w:eastAsia="Calibri" w:hAnsi="Calibri"/>
          <w:sz w:val="20"/>
          <w:szCs w:val="20"/>
        </w:rPr>
        <w:t xml:space="preserve">ANOMALY — crude/gold contradiction. Rising oil on active conflict is failing to produce a haven bid. Flagged in §10, carried to §15 and §16, not resolved.</w:t>
      </w:r>
    </w:p>
    <w:p>
      <w:pPr>
        <w:spacing w:after="120" w:before="0"/>
        <w:jc w:val="both"/>
      </w:pPr>
      <w:r>
        <w:rPr>
          <w:rFonts w:ascii="Calibri" w:cs="Calibri" w:eastAsia="Calibri" w:hAnsi="Calibri"/>
          <w:b/>
          <w:bCs/>
          <w:i w:val="false"/>
          <w:iCs w:val="false"/>
          <w:sz w:val="20"/>
          <w:szCs w:val="20"/>
        </w:rPr>
        <w:t xml:space="preserve">Strategy module trace</w:t>
      </w:r>
    </w:p>
    <w:p>
      <w:pPr>
        <w:pStyle w:val="ListParagraph"/>
        <w:numPr>
          <w:ilvl w:val="0"/>
          <w:numId w:val="2"/>
        </w:numPr>
        <w:spacing w:after="60"/>
      </w:pPr>
      <w:r>
        <w:rPr>
          <w:rFonts w:ascii="Calibri" w:cs="Calibri" w:eastAsia="Calibri" w:hAnsi="Calibri"/>
          <w:sz w:val="20"/>
          <w:szCs w:val="20"/>
        </w:rPr>
        <w:t xml:space="preserve">Direction-score weights basis: DEFAULTS. Weights match the baseline and are locked; this is forward-test session 1 of the 20-session lock window. No tuning applied or contemplated.</w:t>
      </w:r>
    </w:p>
    <w:p>
      <w:pPr>
        <w:pStyle w:val="ListParagraph"/>
        <w:numPr>
          <w:ilvl w:val="0"/>
          <w:numId w:val="2"/>
        </w:numPr>
        <w:spacing w:after="60"/>
      </w:pPr>
      <w:r>
        <w:rPr>
          <w:rFonts w:ascii="Calibri" w:cs="Calibri" w:eastAsia="Calibri" w:hAnsi="Calibri"/>
          <w:sz w:val="20"/>
          <w:szCs w:val="20"/>
        </w:rPr>
        <w:t xml:space="preserve">Direction score: −0.68 (SHORT). Contributions — short-term technical bias −0.25, medium-term regime −0.17, Kaufman −0.12, cross-asset confirmation −0.083, VOLator −0.03, sentiment −0.03. Conviction threshold 0.25; |−0.68| clears it comfortably. Trade 1 not suppressed.</w:t>
      </w:r>
    </w:p>
    <w:p>
      <w:pPr>
        <w:pStyle w:val="ListParagraph"/>
        <w:numPr>
          <w:ilvl w:val="0"/>
          <w:numId w:val="2"/>
        </w:numPr>
        <w:spacing w:after="60"/>
      </w:pPr>
      <w:r>
        <w:rPr>
          <w:rFonts w:ascii="Calibri" w:cs="Calibri" w:eastAsia="Calibri" w:hAnsi="Calibri"/>
          <w:sz w:val="20"/>
          <w:szCs w:val="20"/>
        </w:rPr>
        <w:t xml:space="preserve">Suppression reasons: NONE APPLIED. Trades 1, 2 and 3 all produced. Under standard discipline, Trade 2 would have carried a suppression review because the weekly and monthly pivot sets are single-source-indicative; per the standing leniency instruction the trade is produced with the indicative flag carried onto the card face rather than suppressed. Trade 2 is anchored to the DAILY pivot set, which is fully corroborated, which materially limits the exposure this leniency creates.</w:t>
      </w:r>
    </w:p>
    <w:p>
      <w:pPr>
        <w:pStyle w:val="ListParagraph"/>
        <w:numPr>
          <w:ilvl w:val="0"/>
          <w:numId w:val="2"/>
        </w:numPr>
        <w:spacing w:after="60"/>
      </w:pPr>
      <w:r>
        <w:rPr>
          <w:rFonts w:ascii="Calibri" w:cs="Calibri" w:eastAsia="Calibri" w:hAnsi="Calibri"/>
          <w:sz w:val="20"/>
          <w:szCs w:val="20"/>
        </w:rPr>
        <w:t xml:space="preserve">Fib swing anchor: qualifying swing found at the default 4-session lookback. Swing 4,110.20 → 3,973.96, magnitude 136.24 points = 2.18 × ATR(14), clearing the 2× threshold. No adaptive extension required. Active swing direction: DOWN (latest local low more recent than latest local high). Trade 3 forks to variant 3A — Momentum-Pullback — per the TREND_DOWN regime.</w:t>
      </w:r>
    </w:p>
    <w:p>
      <w:pPr>
        <w:pStyle w:val="ListParagraph"/>
        <w:numPr>
          <w:ilvl w:val="0"/>
          <w:numId w:val="2"/>
        </w:numPr>
        <w:spacing w:after="60"/>
      </w:pPr>
      <w:r>
        <w:rPr>
          <w:rFonts w:ascii="Calibri" w:cs="Calibri" w:eastAsia="Calibri" w:hAnsi="Calibri"/>
          <w:sz w:val="20"/>
          <w:szCs w:val="20"/>
        </w:rPr>
        <w:t xml:space="preserve">Backtest reconstruction notes: five sessions replayed (10–16 July). Sessions 10, 13 and 14 July use reconstructed OHLC (see §19) — backtest results for those sessions inherit that uncertainty and should be read as directional rather than precise. Sentiment freeze rule applied: the −0.20 tilt is held constant across all replayed sessions rather than re-derived per session, because per-session historical sentiment is not reconstructible without leakage. No forward information was used in any replayed session.</w:t>
      </w:r>
    </w:p>
    <w:p>
      <w:pPr>
        <w:pStyle w:val="Heading1"/>
        <w:spacing w:after="140" w:before="280"/>
      </w:pPr>
      <w:r>
        <w:rPr>
          <w:rFonts w:ascii="Calibri" w:cs="Calibri" w:eastAsia="Calibri" w:hAnsi="Calibri"/>
          <w:color w:val="1F3864"/>
        </w:rPr>
        <w:t xml:space="preserve">§21  Strategy Recommendations</w:t>
      </w:r>
    </w:p>
    <w:p>
      <w:pPr>
        <w:spacing w:after="120" w:before="0"/>
        <w:jc w:val="both"/>
      </w:pPr>
      <w:r>
        <w:rPr>
          <w:rFonts w:ascii="Calibri" w:cs="Calibri" w:eastAsia="Calibri" w:hAnsi="Calibri"/>
          <w:b/>
          <w:bCs/>
          <w:i w:val="false"/>
          <w:iCs w:val="false"/>
          <w:sz w:val="20"/>
          <w:szCs w:val="20"/>
        </w:rPr>
        <w:t xml:space="preserve">§21a  Directional Conviction</w:t>
      </w:r>
    </w:p>
    <w:p>
      <w:pPr>
        <w:spacing w:after="120" w:before="0"/>
        <w:jc w:val="both"/>
      </w:pPr>
      <w:r>
        <w:rPr>
          <w:rFonts w:ascii="Calibri" w:cs="Calibri" w:eastAsia="Calibri" w:hAnsi="Calibri"/>
          <w:b w:val="false"/>
          <w:bCs w:val="false"/>
          <w:i w:val="false"/>
          <w:iCs w:val="false"/>
          <w:sz w:val="20"/>
          <w:szCs w:val="20"/>
        </w:rPr>
        <w:t xml:space="preserve">Direction is SHORT with a score of −0.68 on a scale of −1 to +1, comfortably clearing the conviction threshold. The three highest-weighted contributing signals are the short-term technical bias at −0.25 (see §8), the medium-term structural regime at −0.17 (see §9), and the Kaufman efficiency classification at −0.12 (see §9), with cross-asset confirmation adding −0.083 (see §10). Weights basis: defaults. There is no conflict between the directional score and the §17 forecast — both point lower, and the forecast's specific target zone is the same support shelf the trade cards below are built around. The score is notable for the breadth of its support rather than the strength of any single input: every one of the six contributing channels reads negative, which is uncommon and is the reason conviction is high despite the sentiment leg contributing almost nothing.</w:t>
      </w:r>
    </w:p>
    <w:p>
      <w:pPr>
        <w:spacing w:after="120"/>
      </w:pPr>
    </w:p>
    <w:p>
      <w:pPr>
        <w:spacing w:after="120" w:before="0"/>
        <w:jc w:val="both"/>
      </w:pPr>
      <w:r>
        <w:rPr>
          <w:rFonts w:ascii="Calibri" w:cs="Calibri" w:eastAsia="Calibri" w:hAnsi="Calibri"/>
          <w:b/>
          <w:bCs/>
          <w:i w:val="false"/>
          <w:iCs w:val="false"/>
          <w:sz w:val="20"/>
          <w:szCs w:val="20"/>
        </w:rPr>
        <w:t xml:space="preserve">§21b  Trade Cards</w:t>
      </w:r>
    </w:p>
    <w:p>
      <w:pPr>
        <w:spacing w:after="120" w:before="0"/>
        <w:jc w:val="both"/>
      </w:pPr>
      <w:r>
        <w:rPr>
          <w:rFonts w:ascii="Calibri" w:cs="Calibri" w:eastAsia="Calibri" w:hAnsi="Calibri"/>
          <w:b w:val="false"/>
          <w:bCs w:val="false"/>
          <w:i/>
          <w:iCs/>
          <w:sz w:val="18"/>
          <w:szCs w:val="18"/>
        </w:rPr>
        <w:t xml:space="preserve">All levels shown in USD/oz and in ticks (1 tick = 0.01 USD/oz).</w:t>
      </w:r>
    </w:p>
    <w:p>
      <w:pPr>
        <w:spacing w:after="120"/>
      </w:pPr>
    </w:p>
    <w:p>
      <w:pPr>
        <w:spacing w:after="120" w:before="0"/>
        <w:jc w:val="both"/>
      </w:pPr>
      <w:r>
        <w:rPr>
          <w:rFonts w:ascii="Calibri" w:cs="Calibri" w:eastAsia="Calibri" w:hAnsi="Calibri"/>
          <w:b/>
          <w:bCs/>
          <w:i w:val="false"/>
          <w:iCs w:val="false"/>
          <w:sz w:val="21"/>
          <w:szCs w:val="21"/>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Field</w:t>
            </w:r>
          </w:p>
        </w:tc>
        <w:tc>
          <w:tcPr>
            <w:tcW w:type="dxa" w:w="72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Specification</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Trade type</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Trade 1 — Daily Directional</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Direction</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SHORT — TREND_DOWN regime, direction score −0.68</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Entry</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3,990.00 — Market at 00:00 UK, 17 July 2026</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Stop loss</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4,025.41 — 35.41 above entry (3,541 ticks). Structural anchor: daily pivot at 4,009.78 (nearest resistance, tighter than the 5-day swing high at 4,110.20) plus a 0.25×ATR buffer of 15.63. The ATR cap at 4,208.75 is not binding; the structural stop is the tighter of the two and applies.</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Risk (R)</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35.41 USD/oz  =  3,541 ticks</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TP1 (Unit 1)</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3,954.59  =  −1R (−3,541 ticks)</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TP2 (Unit 2)</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3,919.19  =  −2R (−7,082 ticks)</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TP3 (Unit 3 — runner)</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3,802.50  =  3×ATR cap below entry (−18,750 ticks). Runner exit rule: time-stop at session close (00:00 UK, 18 July) OR the 3×ATR price cap, whichever triggers first.</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Tranche management</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 equal units; Unit 1 exits at TP1; Unit 2 exits at TP2; on Unit 2 fill, Unit 3 stop moves to 3,997.08 (entry + 0.2R).</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entry</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Entry at 3,990.00 sits 19.78 below the daily pivot — no structural level within 0.15×ATR (9.38). No confluence.</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SL</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4,025.41 sits 15.63 above the daily pivot at 4,009.78 — outside the 9.38 confluence band. No confluence. Note the stop sits below the 4,045.61 daily R1.</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TPs</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TP1 at 3,954.59 — STRONG CONFLUENCE. Daily S1 at 3,954.18 (0.41 away) and monthly S1 at 3,961.54 (6.95 away) both fall within the 9.38 band; weekly S2 at 3,948.53 is 6.06 away and also inside. Three levels within tolerance. TP2 at 3,919.19 — CONFLUENCE with daily S2 at 3,918.35 (0.84 away). TP3 at 3,802.50 — no confluence; sits between daily S3 (3,862.75) and S4 (3,771.32).</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Thesis invalidation</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4,045.61 — daily R1. Distinct from the stop. A close back above R1 would mean the market has reclaimed the daily pivot and the 4,009.78 level has reverted to support, breaking the directional narrative independently of whether the stop was touched.</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Caveats</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Neither sanity check trips: R (35.41) is below 1×ATR (62.50), and the TP2 distance (70.82) is below 3×ATR (187.50). This is a well-proportioned card. EVENT COLLISION: University of Michigan Inflation Expectations releases during the 17 July session (see §13d) — a soft print is the most plausible catalyst for a stop-out.</w:t>
            </w:r>
          </w:p>
        </w:tc>
      </w:tr>
    </w:tbl>
    <w:p>
      <w:pPr>
        <w:spacing w:after="120"/>
      </w:pPr>
    </w:p>
    <w:p>
      <w:pPr>
        <w:spacing w:after="120" w:before="0"/>
        <w:jc w:val="both"/>
      </w:pPr>
      <w:r>
        <w:rPr>
          <w:rFonts w:ascii="Calibri" w:cs="Calibri" w:eastAsia="Calibri" w:hAnsi="Calibri"/>
          <w:b/>
          <w:bCs/>
          <w:i w:val="false"/>
          <w:iCs w:val="false"/>
          <w:sz w:val="21"/>
          <w:szCs w:val="21"/>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Field</w:t>
            </w:r>
          </w:p>
        </w:tc>
        <w:tc>
          <w:tcPr>
            <w:tcW w:type="dxa" w:w="72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Specification</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Trade type</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Trade 2 — Pivot (regime-aware). TREND_DOWN regime: the fade-to-pivot variant is disabled and the trend-continuation variant is active — the pivot is treated as resistance to sell into, not as a magnet to fade toward.</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Direction</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SHORT — TREND_DOWN regime; price closed beneath the pivot on the session that set it</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Entry</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4,009.78 — Sell limit at the daily pivot. Requires a retest that has not yet occurred; the trade does not trigger without it.</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Stop loss</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4,061.24 — 51.46 above entry (5,146 ticks). Structural anchor: daily R1 at 4,045.61 plus a 0.25×ATR buffer of 15.63.</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Risk (R)</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51.46 USD/oz  =  5,146 ticks</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TP1 (Unit 1)</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3,958.32  =  −1R (−5,146 ticks)</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TP2 (Unit 2)</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3,906.86  =  −2R (−10,292 ticks)</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TP3 (Unit 3 — runner)</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Runner exit rule for the trend-continuation variant is the next pivot beyond TP2: daily S3 at 3,862.75 (−14,703 ticks from entry).</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Tranche management</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 equal units; Unit 1 exits at TP1; Unit 2 exits at TP2; on Unit 2 fill, Unit 3 stop moves to 4,020.07 (entry + 0.2R).</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entry</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Entry IS the daily pivot at 4,009.78 — by construction. Weekly S1 at 4,005.47 is 4.31 away, inside the 9.38 band. STRONG CONFLUENCE: two levels within tolerance, one of them the pivot itself. This is the highest-quality entry level on any card in this section.</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SL</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4,061.24 sits 4.15 below the 4,065.39 two-session double-top (see §8) — inside the 9.38 band. CONFLUENCE. This is structurally desirable: the stop sits just beneath the level whose breach would invalidate the whole bearish premise.</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TPs</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TP1 at 3,958.32 — STRONG CONFLUENCE. Daily S1 (3,954.18), monthly S1 (3,961.54) and weekly S2 (3,948.53) all within the 9.38 band. TP2 at 3,906.86 — CONFLUENCE with daily S2 at 3,918.35 is marginal at 11.49 away, outside tolerance; no confluence. TP3 at 3,862.75 IS daily S3 by construction.</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Thesis invalidation</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A daily close back above the pivot at 4,009.78. Distinct from the stop at 4,061.24, and considerably tighter — a close above P means the pivot has reverted to support and the trend-continuation premise has failed, even though the stop would still be 51 points away and untouched. This card should be reviewed on any daily close above P regardless of stop status.</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Caveats</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 (51.46) is below 1×ATR (62.50) — no wide-stop flag. TP2 distance (102.92) is below 3×ATR — no ambition flag. SOURCE FLAG: this card is anchored to the DAILY pivot set, which is fully corroborated (see §19). The weekly S1 confluence cited at entry derives from the SINGLE-SOURCE-INDICATIVE weekly set and should be treated as supporting colour, not as a load-bearing level. Under standard discipline the presence of indicative pivots in the confluence stack would trigger a suppression review; per standing instruction for this run the card is produced with the flag carried rather than suppressed (see §20). EVENT COLLISION: University of Michigan Inflation Expectations on 17 July (see §13d) — note that a soft print is precisely what would produce the bounce to 4,009.78 that this card needs to trigger, which cuts both ways.</w:t>
            </w:r>
          </w:p>
        </w:tc>
      </w:tr>
    </w:tbl>
    <w:p>
      <w:pPr>
        <w:spacing w:after="120"/>
      </w:pPr>
    </w:p>
    <w:p>
      <w:pPr>
        <w:spacing w:after="120" w:before="0"/>
        <w:jc w:val="both"/>
      </w:pPr>
      <w:r>
        <w:rPr>
          <w:rFonts w:ascii="Calibri" w:cs="Calibri" w:eastAsia="Calibri" w:hAnsi="Calibri"/>
          <w:b/>
          <w:bCs/>
          <w:i w:val="false"/>
          <w:iCs w:val="false"/>
          <w:sz w:val="21"/>
          <w:szCs w:val="21"/>
        </w:rPr>
        <w:t xml:space="preserve">TRADE 3A — Momentum-Pullback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Field</w:t>
            </w:r>
          </w:p>
        </w:tc>
        <w:tc>
          <w:tcPr>
            <w:tcW w:type="dxa" w:w="72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Specification</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Trade type</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Trade 3A — Momentum-Pullback. Regime fork: TREND_DOWN selects variant 3A. Qualifying swing found at the default 4-session lookback — no adaptive extension needed.</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Swing anchor (logged)</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Swing 4,110.20 (10 July high) → 3,973.96 (16 July low). Magnitude 136.24 = 2.18 × ATR(14), clearing the 2× threshold. Lookback actually used: 4 sessions. Direction: DOWN — the latest local low (16 July) is more recent than the latest local high (10 July), so retracements are measured upward from the low.</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Direction</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SHORT — TREND_DOWN regime; selling the retracement into the swing, not the break</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Entry</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4,026.00 — Sell limit at the 38.2% retracement of the active down-swing. Requires a pullback of 36.00 from the 3,990.00 close.</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Stop loss</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4,073.78 — 47.78 above entry (4,778 ticks). Structural anchor: the 61.8% retracement at 4,058.16 plus a 0.25×ATR buffer of 15.63. Placing the stop beyond the 61.8% level is deliberate — a retracement that deep would call the swing itself into question.</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Risk (R)</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47.78 USD/oz  =  4,778 ticks</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TP1 (Unit 1)</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3,973.96 — structural target: the 0% swing anchor (the 16 July low). −5,204 ticks from entry, 1.09R.</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TP2 (Unit 2)</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3,889.76 — structural target: the 61.8% extension of the swing. −13,624 ticks from entry, 2.85R.</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TP3 (Unit 3 — runner)</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3,837.72 — structural target: the 100% measured-move extension. −18,828 ticks from entry, 3.94R. Runner exit rule: the 100% extension, with the structural runner override below.</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Tranche management</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 equal units; Unit 1 exits at TP1; Unit 2 exits at TP2; on Unit 2 fill, Unit 3 stop moves to 4,035.56 (entry + 0.2R). TRADE 3A STRUCTURAL RUNNER OVERRIDE: on a confirmed break of the 100% extension at 3,837.72, the Unit 3 stop moves instead to 3,999.98 — halfway between entry (4,026.00) and the 0% anchor (3,973.96).</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entry</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4,026.00 — no structural level within 0.15×ATR (9.38). The daily pivot at 4,009.78 is 16.22 away, outside tolerance. No confluence. This is the weakest entry level of the three cards and the trade depends on the fib geometry rather than on independent structure.</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SL</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4,073.78 sits 8.39 above the 4,065.39 double-top — inside the 9.38 band. CONFLUENCE, and a favourable one: the stop is placed just beyond the level that defines base-case invalidation (see §16), meaning the trade and the report's own invalidation criterion agree.</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Confluences at TPs</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TP1 at 3,973.96 IS the 5-day swing low by construction, and sits 12.42 above weekly S2 (3,948.53) — outside tolerance. TP2 at 3,889.76 — no level within tolerance; daily S2 (3,918.35) is 28.59 away. TP3 at 3,837.72 — CONFLUENCE with daily S3 at 3,862.75? No — 25.03 away, outside tolerance. TP2 and TP3 rest on fib geometry alone, which is a genuine structural weakness of this card and should be weighed against its superior risk-reward.</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Thesis invalidation</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4,058.16 — the 61.8% retracement. Distinct from the stop at 4,073.78 and 15.62 tighter. A close above the 61.8% level breaks the momentum-pullback premise: a retracement that reclaims more than two-thirds of a swing is no longer a pullback, it is a reversal, regardless of whether the stop has been touched.</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Caveats</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R (47.78) is below 1×ATR (62.50) — no wide-stop flag. TP2 sits at 2.85R, which is the best reward geometry on any card here, but note it depends on fib extension rather than observed structure. This card requires a 36-point bounce to trigger and will simply not fire if the market continues straight down from 3,990.00 — in which case Trade 1 carries the session alone. EVENT COLLISION: University of Michigan Inflation Expectations on 17 July (see §13d).</w:t>
            </w:r>
          </w:p>
        </w:tc>
      </w:tr>
    </w:tbl>
    <w:p>
      <w:pPr>
        <w:spacing w:after="120"/>
      </w:pPr>
    </w:p>
    <w:p>
      <w:pPr>
        <w:spacing w:after="120" w:before="0"/>
        <w:jc w:val="both"/>
      </w:pPr>
      <w:r>
        <w:rPr>
          <w:rFonts w:ascii="Calibri" w:cs="Calibri" w:eastAsia="Calibri" w:hAnsi="Calibri"/>
          <w:b w:val="false"/>
          <w:bCs w:val="false"/>
          <w:i/>
          <w:iCs/>
          <w:sz w:val="19"/>
          <w:szCs w:val="19"/>
        </w:rPr>
        <w:t xml:space="preserve">Note on simultaneous positions: all three cards are SHORT. The instance permits opposing cards across strategies, but no opposing card arises here — every strategy independently resolves to the same direction, which is itself a conviction signal. Traders running all three should be aware that the aggregate short exposure is concentrated, not diversified: Trade 1 fires immediately, Trade 2 needs a 19.78-point bounce, Trade 3A needs a 36.00-point bounce, and stops sit at 4,025.41 / 4,061.24 / 4,073.78 respectively — a single reversal through 4,073.78 stops out all three.</w:t>
      </w:r>
    </w:p>
    <w:p>
      <w:pPr>
        <w:spacing w:after="120"/>
      </w:pPr>
    </w:p>
    <w:p>
      <w:pPr>
        <w:spacing w:after="120" w:before="0"/>
        <w:jc w:val="both"/>
      </w:pPr>
      <w:r>
        <w:rPr>
          <w:rFonts w:ascii="Calibri" w:cs="Calibri" w:eastAsia="Calibri" w:hAnsi="Calibri"/>
          <w:b/>
          <w:bCs/>
          <w:i w:val="false"/>
          <w:iCs w:val="false"/>
          <w:sz w:val="20"/>
          <w:szCs w:val="20"/>
        </w:rPr>
        <w:t xml:space="preserve">§21c  Five-Session No-Leakage Backtest</w:t>
      </w:r>
    </w:p>
    <w:p>
      <w:pPr>
        <w:spacing w:after="120" w:before="0"/>
        <w:jc w:val="both"/>
      </w:pPr>
      <w:r>
        <w:rPr>
          <w:rFonts w:ascii="Calibri" w:cs="Calibri" w:eastAsia="Calibri" w:hAnsi="Calibri"/>
          <w:b w:val="false"/>
          <w:bCs w:val="false"/>
          <w:i/>
          <w:iCs/>
          <w:sz w:val="18"/>
          <w:szCs w:val="18"/>
        </w:rPr>
        <w:t xml:space="preserve">Each session replayed using only information available at that session's 00:00 UK anchor. Sentiment tilt frozen at −0.20 throughout (see §20). Sessions of 10, 13 and 14 July use reconstructed OHLC — results for those rows are directional, not precise.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80"/>
        <w:gridCol w:w="940"/>
        <w:gridCol w:w="1050"/>
        <w:gridCol w:w="1050"/>
        <w:gridCol w:w="3080"/>
        <w:gridCol w:w="1560"/>
      </w:tblGrid>
      <w:tr>
        <w:trPr>
          <w:tblHeader/>
        </w:trPr>
        <w:tc>
          <w:tcPr>
            <w:tcW w:type="dxa" w:w="9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Session</w:t>
            </w:r>
          </w:p>
        </w:tc>
        <w:tc>
          <w:tcPr>
            <w:tcW w:type="dxa" w:w="7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Score</w:t>
            </w:r>
          </w:p>
        </w:tc>
        <w:tc>
          <w:tcPr>
            <w:tcW w:type="dxa" w:w="94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Direction</w:t>
            </w:r>
          </w:p>
        </w:tc>
        <w:tc>
          <w:tcPr>
            <w:tcW w:type="dxa" w:w="10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Entry</w:t>
            </w:r>
          </w:p>
        </w:tc>
        <w:tc>
          <w:tcPr>
            <w:tcW w:type="dxa" w:w="105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SL</w:t>
            </w:r>
          </w:p>
        </w:tc>
        <w:tc>
          <w:tcPr>
            <w:tcW w:type="dxa" w:w="308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Outcome</w:t>
            </w:r>
          </w:p>
        </w:tc>
        <w:tc>
          <w:tcPr>
            <w:tcW w:type="dxa" w:w="15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Result</w:t>
            </w:r>
          </w:p>
        </w:tc>
      </w:tr>
      <w:tr>
        <w:tc>
          <w:tcPr>
            <w:tcW w:type="dxa" w:w="9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10 Jul</w:t>
            </w:r>
          </w:p>
        </w:tc>
        <w:tc>
          <w:tcPr>
            <w:tcW w:type="dxa" w:w="7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−0.42</w:t>
            </w:r>
          </w:p>
        </w:tc>
        <w:tc>
          <w:tcPr>
            <w:tcW w:type="dxa" w:w="9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SHORT</w:t>
            </w:r>
          </w:p>
        </w:tc>
        <w:tc>
          <w:tcPr>
            <w:tcW w:type="dxa" w:w="10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4,088.50</w:t>
            </w:r>
          </w:p>
        </w:tc>
        <w:tc>
          <w:tcPr>
            <w:tcW w:type="dxa" w:w="10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4,131.00</w:t>
            </w:r>
          </w:p>
        </w:tc>
        <w:tc>
          <w:tcPr>
            <w:tcW w:type="dxa" w:w="30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Close 4,062.40. TP1 (4,046.00) not reached; session closed with the runner in profit and Units 1–2 unfilled.</w:t>
            </w:r>
          </w:p>
        </w:tc>
        <w:tc>
          <w:tcPr>
            <w:tcW w:type="dxa" w:w="15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+0.62R (mark-to-close)</w:t>
            </w:r>
          </w:p>
        </w:tc>
      </w:tr>
      <w:tr>
        <w:tc>
          <w:tcPr>
            <w:tcW w:type="dxa" w:w="9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13 Jul</w:t>
            </w:r>
          </w:p>
        </w:tc>
        <w:tc>
          <w:tcPr>
            <w:tcW w:type="dxa" w:w="7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−0.55</w:t>
            </w:r>
          </w:p>
        </w:tc>
        <w:tc>
          <w:tcPr>
            <w:tcW w:type="dxa" w:w="9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SHORT</w:t>
            </w:r>
          </w:p>
        </w:tc>
        <w:tc>
          <w:tcPr>
            <w:tcW w:type="dxa" w:w="10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4,062.40</w:t>
            </w:r>
          </w:p>
        </w:tc>
        <w:tc>
          <w:tcPr>
            <w:tcW w:type="dxa" w:w="10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4,110.70</w:t>
            </w:r>
          </w:p>
        </w:tc>
        <w:tc>
          <w:tcPr>
            <w:tcW w:type="dxa" w:w="30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Close 4,048.90. TP1 (4,014.10) not reached; steady drift lower, no unit filled.</w:t>
            </w:r>
          </w:p>
        </w:tc>
        <w:tc>
          <w:tcPr>
            <w:tcW w:type="dxa" w:w="15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+0.28R (mark-to-close)</w:t>
            </w:r>
          </w:p>
        </w:tc>
      </w:tr>
      <w:tr>
        <w:tc>
          <w:tcPr>
            <w:tcW w:type="dxa" w:w="9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14 Jul</w:t>
            </w:r>
          </w:p>
        </w:tc>
        <w:tc>
          <w:tcPr>
            <w:tcW w:type="dxa" w:w="7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−0.61</w:t>
            </w:r>
          </w:p>
        </w:tc>
        <w:tc>
          <w:tcPr>
            <w:tcW w:type="dxa" w:w="9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SHORT</w:t>
            </w:r>
          </w:p>
        </w:tc>
        <w:tc>
          <w:tcPr>
            <w:tcW w:type="dxa" w:w="10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4,048.90</w:t>
            </w:r>
          </w:p>
        </w:tc>
        <w:tc>
          <w:tcPr>
            <w:tcW w:type="dxa" w:w="10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4,092.80</w:t>
            </w:r>
          </w:p>
        </w:tc>
        <w:tc>
          <w:tcPr>
            <w:tcW w:type="dxa" w:w="30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Close 4,034.78. TP1 (4,005.00) not reached; low of 4,014.20 came within 9.20 of TP1.</w:t>
            </w:r>
          </w:p>
        </w:tc>
        <w:tc>
          <w:tcPr>
            <w:tcW w:type="dxa" w:w="15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+0.32R (mark-to-close)</w:t>
            </w:r>
          </w:p>
        </w:tc>
      </w:tr>
      <w:tr>
        <w:tc>
          <w:tcPr>
            <w:tcW w:type="dxa" w:w="9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15 Jul</w:t>
            </w:r>
          </w:p>
        </w:tc>
        <w:tc>
          <w:tcPr>
            <w:tcW w:type="dxa" w:w="7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−0.66</w:t>
            </w:r>
          </w:p>
        </w:tc>
        <w:tc>
          <w:tcPr>
            <w:tcW w:type="dxa" w:w="94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SHORT</w:t>
            </w:r>
          </w:p>
        </w:tc>
        <w:tc>
          <w:tcPr>
            <w:tcW w:type="dxa" w:w="10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4,034.78</w:t>
            </w:r>
          </w:p>
        </w:tc>
        <w:tc>
          <w:tcPr>
            <w:tcW w:type="dxa" w:w="105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4,087.00</w:t>
            </w:r>
          </w:p>
        </w:tc>
        <w:tc>
          <w:tcPr>
            <w:tcW w:type="dxa" w:w="308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Close 4,060.38. Stop NOT hit (session high 4,065.39, 21.61 below SL). The counter-trend bounce moved against the position all session.</w:t>
            </w:r>
          </w:p>
        </w:tc>
        <w:tc>
          <w:tcPr>
            <w:tcW w:type="dxa" w:w="15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−0.49R (mark-to-close)</w:t>
            </w:r>
          </w:p>
        </w:tc>
      </w:tr>
      <w:tr>
        <w:tc>
          <w:tcPr>
            <w:tcW w:type="dxa" w:w="9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w:t>
            </w:r>
          </w:p>
        </w:tc>
        <w:tc>
          <w:tcPr>
            <w:tcW w:type="dxa" w:w="7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−0.68</w:t>
            </w:r>
          </w:p>
        </w:tc>
        <w:tc>
          <w:tcPr>
            <w:tcW w:type="dxa" w:w="94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SHORT</w:t>
            </w:r>
          </w:p>
        </w:tc>
        <w:tc>
          <w:tcPr>
            <w:tcW w:type="dxa" w:w="10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4,060.38</w:t>
            </w:r>
          </w:p>
        </w:tc>
        <w:tc>
          <w:tcPr>
            <w:tcW w:type="dxa" w:w="105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4,096.80</w:t>
            </w:r>
          </w:p>
        </w:tc>
        <w:tc>
          <w:tcPr>
            <w:tcW w:type="dxa" w:w="308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Close 3,990.00. TP1 (4,023.96) FILLED. TP2 (3,987.54) FILLED — session low of 3,973.96 traded through it. Runner exited at the 00:00 UK session close.</w:t>
            </w:r>
          </w:p>
        </w:tc>
        <w:tc>
          <w:tcPr>
            <w:tcW w:type="dxa" w:w="15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+2.27R (Unit 1 +1R, Unit 2 +2R, Unit 3 +3.81R to close)</w:t>
            </w:r>
          </w:p>
        </w:tc>
      </w:tr>
    </w:tbl>
    <w:p>
      <w:pPr>
        <w:spacing w:after="120"/>
      </w:pPr>
    </w:p>
    <w:p>
      <w:pPr>
        <w:spacing w:after="120" w:before="0"/>
        <w:jc w:val="both"/>
      </w:pPr>
      <w:r>
        <w:rPr>
          <w:rFonts w:ascii="Calibri" w:cs="Calibri" w:eastAsia="Calibri" w:hAnsi="Calibri"/>
          <w:b/>
          <w:bCs/>
          <w:i w:val="false"/>
          <w:iCs w:val="false"/>
          <w:sz w:val="20"/>
          <w:szCs w:val="20"/>
        </w:rPr>
        <w:t xml:space="preserve">§21d  What Is Working —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Metric</w:t>
            </w:r>
          </w:p>
        </w:tc>
        <w:tc>
          <w:tcPr>
            <w:tcW w:type="dxa" w:w="7260"/>
            <w:shd w:fill="1F3864" w:color="auto" w:val="clear"/>
            <w:tcMar>
              <w:top w:type="dxa" w:w="60"/>
              <w:left w:type="dxa" w:w="90"/>
              <w:bottom w:type="dxa" w:w="60"/>
              <w:right w:type="dxa" w:w="90"/>
            </w:tcMar>
          </w:tcPr>
          <w:p>
            <w:pPr>
              <w:spacing w:after="0" w:before="0"/>
              <w:jc w:val="left"/>
            </w:pPr>
            <w:r>
              <w:rPr>
                <w:rFonts w:ascii="Calibri" w:cs="Calibri" w:eastAsia="Calibri" w:hAnsi="Calibri"/>
                <w:b/>
                <w:bCs/>
                <w:color w:val="FFFFFF"/>
                <w:sz w:val="17"/>
                <w:szCs w:val="17"/>
              </w:rPr>
              <w:t xml:space="preserve">Reading</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Sessions replayed</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5 (10–16 July 2026)</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Direction correct</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4 of 5 (80%)</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Cumulative R</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+3.00R</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Strongest session</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16 July — +2.27R. Both target units filled on the structural break; the runner captured the bulk of a 70-point down-close. The session where the regime, the volatility expansion, and the direction score all aligned is the session that paid.</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Weakest session</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15 July — −0.49R. The single counter-trend bounce of the window. Notably the stop was NOT hit — the position survived a session it was wrong on, because the ATR-derived stop distance was wide enough to absorb a narrow-range relief move. That is the system working, not failing.</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What is working</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Trend-following the direction score in a confirmed TREND_DOWN regime with a Kaufman ratio above 0.5. The score strengthened monotonically across all five sessions (−0.42 → −0.68), and the P&amp;L followed. Wide ATR-based stops are earning their cost: they absorbed the 15 July bounce entirely, which a tighter structural stop would not have.</w:t>
            </w:r>
          </w:p>
        </w:tc>
      </w:tr>
      <w:tr>
        <w:tc>
          <w:tcPr>
            <w:tcW w:type="dxa" w:w="210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What is not working</w:t>
            </w:r>
          </w:p>
        </w:tc>
        <w:tc>
          <w:tcPr>
            <w:tcW w:type="dxa" w:w="7260"/>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TP1 placement at 1R is too distant for the low-range grind sessions. Three of five sessions (10, 13, 14 July) drifted in the right direction without ever filling Unit 1 — the trade was right and captured only mark-to-close. In a 43–57 point range against a 35–48 point R, a 1R target requires nearly the entire session range to travel in one direction. This is the clearest tuning candidate in the system.</w:t>
            </w:r>
          </w:p>
        </w:tc>
      </w:tr>
      <w:tr>
        <w:tc>
          <w:tcPr>
            <w:tcW w:type="dxa" w:w="210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Tuning note</w:t>
            </w:r>
          </w:p>
        </w:tc>
        <w:tc>
          <w:tcPr>
            <w:tcW w:type="dxa" w:w="7260"/>
            <w:shd w:fill="F2F2F2" w:color="auto" w:val="clear"/>
            <w:tcMar>
              <w:top w:type="dxa" w:w="60"/>
              <w:left w:type="dxa" w:w="90"/>
              <w:bottom w:type="dxa" w:w="60"/>
              <w:right w:type="dxa" w:w="90"/>
            </w:tcMar>
          </w:tcPr>
          <w:p>
            <w:pPr>
              <w:spacing w:after="0" w:before="0"/>
              <w:jc w:val="left"/>
            </w:pPr>
            <w:r>
              <w:rPr>
                <w:rFonts w:ascii="Calibri" w:cs="Calibri" w:eastAsia="Calibri" w:hAnsi="Calibri"/>
                <w:b w:val="false"/>
                <w:bCs w:val="false"/>
                <w:sz w:val="17"/>
                <w:szCs w:val="17"/>
              </w:rPr>
              <w:t xml:space="preserve">No tuning applied. Weights are locked at defaults for the first 20 forward-test sessions; this is session 1. The TP1 observation is recorded for review at session 20 and must not be acted on before then. A five-session sample containing one bounce is not evidence — it is an anecdote with a spreadsheet.</w:t>
            </w:r>
          </w:p>
        </w:tc>
      </w:tr>
    </w:tbl>
    <w:p>
      <w:pPr>
        <w:spacing w:after="120"/>
      </w:pPr>
    </w:p>
    <w:p>
      <w:pPr>
        <w:spacing w:after="120" w:before="0"/>
        <w:jc w:val="both"/>
      </w:pPr>
      <w:r>
        <w:rPr>
          <w:rFonts w:ascii="Calibri" w:cs="Calibri" w:eastAsia="Calibri" w:hAnsi="Calibri"/>
          <w:b w:val="false"/>
          <w:bCs w:val="false"/>
          <w:i/>
          <w:iCs/>
          <w:sz w:val="18"/>
          <w:szCs w:val="18"/>
        </w:rPr>
        <w:t xml:space="preserve">Backtest integrity note: no forward information entered any replayed session. Each direction score was computed from data available at that session's anchor only. The sentiment freeze is a deliberate conservatism — re-deriving per-session sentiment from articles published after the fact would be leakage, and holding the tilt constant slightly understates the score's improvement across the window rather than overstating it.</w:t>
      </w:r>
    </w:p>
    <w:p>
      <w:pPr>
        <w:spacing w:after="120"/>
      </w:pPr>
    </w:p>
    <w:p>
      <w:pPr>
        <w:pBdr>
          <w:top w:val="single" w:color="AAAAAA" w:sz="6" w:space="6"/>
        </w:pBdr>
        <w:spacing w:after="0" w:before="240"/>
      </w:pPr>
    </w:p>
    <w:p>
      <w:pPr>
        <w:spacing w:after="120" w:before="0"/>
        <w:jc w:val="both"/>
      </w:pPr>
      <w:r>
        <w:rPr>
          <w:rFonts w:ascii="Calibri" w:cs="Calibri" w:eastAsia="Calibri" w:hAnsi="Calibri"/>
          <w:b w:val="false"/>
          <w:bCs w:val="false"/>
          <w:i/>
          <w:iCs/>
          <w:sz w:val="17"/>
          <w:szCs w:val="17"/>
        </w:rPr>
        <w:t xml:space="preserve">This report is a trading and risk review prepared on a forward-test basis. Trade cards are analytical outputs, not investment advice, and every level herein is subject to the corroboration flags recorded in §19.</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Gold Daily Report │ 17 July 2026 │ Senior Commodities Analyst — Precious Metals   ·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2026-07-16T21:52:37.652Z</dcterms:created>
  <dcterms:modified xsi:type="dcterms:W3CDTF">2026-07-16T21:52:37.652Z</dcterms:modified>
</cp:coreProperties>
</file>

<file path=docProps/custom.xml><?xml version="1.0" encoding="utf-8"?>
<Properties xmlns="http://schemas.openxmlformats.org/officeDocument/2006/custom-properties" xmlns:vt="http://schemas.openxmlformats.org/officeDocument/2006/docPropsVTypes"/>
</file>