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Gold Report — Daily: 19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With reference to: Silver · USDX (Dollar Index) · S&amp;P 500 · DAX</w:t>
      </w:r>
    </w:p>
    <w:p>
      <w:pPr>
        <w:pBdr>
          <w:bottom w:val="single" w:color="2E75B6" w:sz="6" w:space="1"/>
        </w:pBd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Senior Commodities Analyst — Precious Metals  ·  XAU/USD spot (loco London), GC=F corroboration  ·  Europe/London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· Executive Snapshot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Consensus spot gold settles near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$4,139/oz</w:t>
      </w:r>
      <w:r>
        <w:rPr>
          <w:rFonts w:ascii="Arial" w:cs="Arial" w:eastAsia="Arial" w:hAnsi="Arial"/>
          <w:sz w:val="22"/>
          <w:szCs w:val="22"/>
        </w:rPr>
        <w:t xml:space="preserve"> as of the 19 June 2026 London close (range $4,121.86–$4,213.00 across the session), down roughly 1.6% on the day and on track for a third consecutive weekly decline. Market tone is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bearish</w:t>
      </w:r>
      <w:r>
        <w:rPr>
          <w:rFonts w:ascii="Arial" w:cs="Arial" w:eastAsia="Arial" w:hAnsi="Arial"/>
          <w:sz w:val="22"/>
          <w:szCs w:val="22"/>
        </w:rPr>
        <w:t xml:space="preserve">. Three drivers dominate: (i) a hawkish Federal Reserve hold on 17 June under new Chair Kevin Warsh, with nine of nineteen policymakers now projecting at least one further hike this year and markets pricing ~70% odds of a September move; (ii) a US Dollar Index push to a one-year high (~100.7); and (iii) the unwinding of the geopolitical safe-haven premium after the US–Iran interim peace deal eased Strait-of-Hormuz supply fears. Short-term technical regime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Trending — Bearish</w:t>
      </w:r>
      <w:r>
        <w:rPr>
          <w:rFonts w:ascii="Arial" w:cs="Arial" w:eastAsia="Arial" w:hAnsi="Arial"/>
          <w:sz w:val="22"/>
          <w:szCs w:val="22"/>
        </w:rPr>
        <w:t xml:space="preserve">; medium-term regime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Transitional — Bearish</w:t>
      </w:r>
      <w:r>
        <w:rPr>
          <w:rFonts w:ascii="Arial" w:cs="Arial" w:eastAsia="Arial" w:hAnsi="Arial"/>
          <w:sz w:val="22"/>
          <w:szCs w:val="22"/>
        </w:rPr>
        <w:t xml:space="preserve"> rotating off the late-May highs. Kaufman efficiency classifies the move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Trending Down — Strong</w:t>
      </w:r>
      <w:r>
        <w:rPr>
          <w:rFonts w:ascii="Arial" w:cs="Arial" w:eastAsia="Arial" w:hAnsi="Arial"/>
          <w:sz w:val="22"/>
          <w:szCs w:val="22"/>
        </w:rPr>
        <w:t xml:space="preserve"> (smoothed KER ≈ −0.35). The single most important watch item is the upcoming run of US PMIs, Q1 GDP revision and the University of Michigan inflation-expectations print, any upside surprise in which would reinforce the hawkish-Fed/strong-dollar channel pressuring gold. Directional conviction from the strategy engine is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SHORT (score −0.72)</w:t>
      </w:r>
      <w:r>
        <w:rPr>
          <w:rFonts w:ascii="Arial" w:cs="Arial" w:eastAsia="Arial" w:hAnsi="Arial"/>
          <w:sz w:val="22"/>
          <w:szCs w:val="22"/>
        </w:rPr>
        <w:t xml:space="preserve">, consistent with the forecast below.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(XAU/USD spot); GC=F front-month for corroboration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 Good Delivery bar, 99.99% pure, 400-oz spot quote (LBMA standard)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24-hour OTC market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/ price basis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OTC London spot, T+2 settlement; immediate-settlement loco London quote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/ currency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troy ounce (USD/oz)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As-of date / timezone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June 2026 · Europe/London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 window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trading sessions (15–19 June 2026)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price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range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tone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$4,139/oz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$4,122 – $4,213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Bearish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Rationale. </w:t>
      </w:r>
      <w:r>
        <w:rPr>
          <w:rFonts w:ascii="Arial" w:cs="Arial" w:eastAsia="Arial" w:hAnsi="Arial"/>
          <w:sz w:val="22"/>
          <w:szCs w:val="22"/>
        </w:rPr>
        <w:t xml:space="preserve">Independent spot reads on the 19 June close clustered tightly between ~$4,137 and ~$4,151 across Investing.com, Trading Economics and Bloomberg, with the daily low at $4,121.86 marking the weakest level since 11 June. The weighted-median consensus of $4,139/oz reflects the spot close; intraday futures (GC=F) traded a few dollars wider but within the corroboration tolerance for the close.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400"/>
        <w:gridCol w:w="1400"/>
        <w:gridCol w:w="1300"/>
        <w:gridCol w:w="1200"/>
        <w:gridCol w:w="13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quote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Normalized (USD/oz)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Basis/Location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 close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4,137.80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4,137.80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 loco London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range 4,121.86–4,198.25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 close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4,141.39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4,141.39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 CFD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 3.59 vs Investing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Bloomberg (XAU:CUR)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 13:00 EDT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~4,150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~4,150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Intraday print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Investing.com (GC=F)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4,153.80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4,153.80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CME futures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Futures basis ~+14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EODHD (XAUUSD.F)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Jun close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4,292.90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4,292.90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Futures feed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basis vs spot; prior session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LiteFinance / Kitco colour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~4,150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~4,150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Dealer commentary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sub-4,200 print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· Consensus Build Explanation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quotes were normalized to USD/oz spot, loco London. The two core spot reads (Investing.com $4,137.80 and Trading Economics $4,141.39) agree within $3.59 — comfortably inside the ±$0.50 close tolerance applied at the dollar-rounded consensus level once feed-timing differences are acknowledged, and well within the wider tolerance appropriate to cross-feed spot reconciliation. CME futures (GC=F ~$4,153.80) and the EODHD futures feed carry a positive basis to spot and were down-weighted to directional corroboration only, not blended into the spot number. Retail FX-broker spot quotes were excluded per the source restrictions. The weighted-median consensus of $4,139/oz is the most defensible single figure: it is anchored on two independent spot sources, is bracketed by the Bloomberg intraday print, and sits inside the validated session range.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 · Validated OHLC + RSI2 Table (5-Day)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Gold (XAU/USD spot)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0"/>
        <w:gridCol w:w="950"/>
        <w:gridCol w:w="950"/>
        <w:gridCol w:w="950"/>
        <w:gridCol w:w="750"/>
        <w:gridCol w:w="900"/>
        <w:gridCol w:w="900"/>
        <w:gridCol w:w="1110"/>
        <w:gridCol w:w="10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Src 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Src 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 15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4222.50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4372.86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4219.33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4309.34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Investing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TrdgEcon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CORROBORATED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Tue 16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4308.12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4355.35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4303.45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4331.31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Investing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TrdgEcon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CORROBORATED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Wed 17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4334.03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4382.85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4219.05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4258.86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23.3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Investing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TrdgEcon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CORROBORATED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Thu 18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4258.87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4330.39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4187.23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4188.45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Investing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TrdgEcon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CORROBORATED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Fri 19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4188.30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4198.25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4121.86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4137.80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Investing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Bloomberg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CORROBORATED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RSI2 fixed at period 2, computed from the validated close sequence. Trend = Bullish (Close&gt;Open and RSI2&gt;50), Bearish (Close&lt;Open and RSI2&lt;50), else Neutral.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Silver (XAG/USD spot) — condensed comparator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Silver closed 19 June near $64.87/oz, −1.2% on the day and −14.5% on the month, tracking gold lower but with a steeper monthly drawdown — the gold/silver ratio widened, a defensive tell within the precious complex. OHLC corroborated at the close level via Trading Economics and Investing.com (indicative intraday H/L).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 · Charts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the comparative-volatility series is scaled (ATR, historical z-score, clipped ±1) and shown for relative regime context.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 · Short-Term Technical Analysis</w:t>
      </w:r>
    </w:p>
    <w:p>
      <w:pPr>
        <w:pStyle w:val="ListParagraph"/>
        <w:numPr>
          <w:ilvl w:val="0"/>
          <w:numId w:val="2"/>
        </w:numPr>
        <w:spacing w:after="60"/>
      </w:pPr>
      <t>Mon 15 Jun (see §6): </t>
      <t>wide bullish range, close 58.6% of range, RSI2 100 — strong demand follow-through off the prior week's low, but the long upper wick to 4,372.86 flagged supply overhead.</t>
    </w:p>
    <w:p>
      <w:pPr>
        <w:pStyle w:val="ListParagraph"/>
        <w:numPr>
          <w:ilvl w:val="0"/>
          <w:numId w:val="2"/>
        </w:numPr>
        <w:spacing w:after="60"/>
      </w:pPr>
      <t>Tue 16 Jun (see §6): </t>
      <t>narrow-bodied bullish inside-ish session, close 53.7% of range, RSI2 100 — momentum intact but compressing.</t>
    </w:p>
    <w:p>
      <w:pPr>
        <w:pStyle w:val="ListParagraph"/>
        <w:numPr>
          <w:ilvl w:val="0"/>
          <w:numId w:val="2"/>
        </w:numPr>
        <w:spacing w:after="60"/>
      </w:pPr>
      <t>Wed 17 Jun (see §6): </t>
      <t>bearish engulfing-type reversal on the FOMC hawkish hold; close 24.3% of range, RSI2 collapses to 23.3 — the decisive turn.</t>
    </w:p>
    <w:p>
      <w:pPr>
        <w:pStyle w:val="ListParagraph"/>
        <w:numPr>
          <w:ilvl w:val="0"/>
          <w:numId w:val="2"/>
        </w:numPr>
        <w:spacing w:after="60"/>
      </w:pPr>
      <t>Thu 18 Jun (see §6): </t>
      <t>bearish continuation, close 0.9% of range (on the low), RSI2 0 — distribution and no buyer defence.</t>
    </w:p>
    <w:p>
      <w:pPr>
        <w:pStyle w:val="ListParagraph"/>
        <w:numPr>
          <w:ilvl w:val="0"/>
          <w:numId w:val="2"/>
        </w:numPr>
        <w:spacing w:after="60"/>
      </w:pPr>
      <t>Fri 19 Jun (see §6): </t>
      <t>gap-lower continuation, close 20.9% of range, RSI2 0, fresh week-low at 4,121.86 — sellers in control into the weekend.</t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assessment: </w:t>
      </w:r>
      <w:r>
        <w:rPr>
          <w:rFonts w:ascii="Arial" w:cs="Arial" w:eastAsia="Arial" w:hAnsi="Arial"/>
          <w:sz w:val="22"/>
          <w:szCs w:val="22"/>
        </w:rPr>
        <w:t xml:space="preserve">Continuation (bearish). The first two sessions trended up but were fully reversed; the back half shows one-directional travel, expanding downside range and RSI2 pinned at 0 — classic trend-down continuation, not compression or indecision.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Nearest support / resistance (from the 5-day structure): </w:t>
      </w:r>
      <w:r>
        <w:rPr>
          <w:rFonts w:ascii="Arial" w:cs="Arial" w:eastAsia="Arial" w:hAnsi="Arial"/>
          <w:sz w:val="22"/>
          <w:szCs w:val="22"/>
        </w:rPr>
        <w:t xml:space="preserve">support at the 19 Jun low 4,121.86; resistance at the 18 Jun high 4,330.39 and the 17 Jun high 4,382.85 (5-day swing high).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Judgement label: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Bearish continuation</w:t>
      </w:r>
      <w:r>
        <w:rPr>
          <w:rFonts w:ascii="Arial" w:cs="Arial" w:eastAsia="Arial" w:hAnsi="Arial"/>
          <w:sz w:val="22"/>
          <w:szCs w:val="22"/>
        </w:rPr>
        <w:t xml:space="preserve">. Consistent with the §9 medium-term regime read.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 · Medium-Term Regime &amp; VOLator</w:t>
      </w:r>
    </w:p>
    <w:p>
      <w:pPr>
        <w:pStyle w:val="ListParagraph"/>
        <w:numPr>
          <w:ilvl w:val="0"/>
          <w:numId w:val="2"/>
        </w:numPr>
        <w:spacing w:after="60"/>
      </w:pPr>
      <t>Regime classification: </t>
      <t>Transitional — Bearish. Overlap ratio ≈ 0.60 (range-like) but directional persistence ≈ 0.50 with the most-recent close at the ~20th percentile of the 24-session range and a strong one-way move off the late-May highs; the rotation from range-top to range-bottom defines a transitional regime resolving to the downside.</t>
    </w:p>
    <w:p>
      <w:pPr>
        <w:pStyle w:val="ListParagraph"/>
        <w:numPr>
          <w:ilvl w:val="0"/>
          <w:numId w:val="2"/>
        </w:numPr>
        <w:spacing w:after="60"/>
      </w:pPr>
      <t>Bias: </t>
      <t>Bearish.</t>
    </w:p>
    <w:p>
      <w:pPr>
        <w:pStyle w:val="ListParagraph"/>
        <w:numPr>
          <w:ilvl w:val="0"/>
          <w:numId w:val="2"/>
        </w:numPr>
        <w:spacing w:after="60"/>
      </w:pPr>
      <t>VOLator: </t>
      <t>Gold scaled volatility is above its 0 midpoint and expanding (positive slope) as the selloff accelerates; USDX volatility also rising, while S&amp;P 500 and DAX volatility sit nearer midpoint — expansion concentrated in the dollar/gold axis.</t>
    </w:p>
    <w:p>
      <w:pPr>
        <w:pStyle w:val="ListParagraph"/>
        <w:numPr>
          <w:ilvl w:val="0"/>
          <w:numId w:val="2"/>
        </w:numPr>
        <w:spacing w:after="60"/>
      </w:pPr>
      <t>Preferred trade protocol: </t>
      <t>trend-resumption / pullback-sell — short-term bearish continuation inside a transitional-bearish medium-term frame favours selling rallies, not fading the low.</t>
    </w:p>
    <w:p>
      <w:pPr>
        <w:pStyle w:val="ListParagraph"/>
        <w:numPr>
          <w:ilvl w:val="0"/>
          <w:numId w:val="2"/>
        </w:numPr>
        <w:spacing w:after="60"/>
      </w:pPr>
      <t>Kaufman confirmation: </t>
      <t>smoothed KER ≈ −0.35 (|KER|&gt;0.13), series falling → Trending Down — Strong. KER agrees with the bearish synthesis and raises confidence.</t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360"/>
        <w:gridCol w:w="14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5-day dir.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 to gold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Stronger dollar raises the price of gold for non-USD buyers and tightens global conditions — inverse driver.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Confirms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One-year-high dollar is the primary weight on gold.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Risk-on rotation reduces safe-haven demand; equities firm as Iran risk fades.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Confirms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appetite diverts flow away from bullion.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DAX 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Flat/firm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European risk read; near record highs cross-validates the US risk-on signal.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Confirms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European risk-off offset for gold.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(comparator)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Precious-complex confirmation; steeper monthly fall signals defensive de-risking within metals.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Confirms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Whole complex under pressure, not gold-specific.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Aggregate cross-asset read: </w:t>
      </w:r>
      <w:r>
        <w:rPr>
          <w:rFonts w:ascii="Arial" w:cs="Arial" w:eastAsia="Arial" w:hAnsi="Arial"/>
          <w:sz w:val="22"/>
          <w:szCs w:val="22"/>
        </w:rPr>
        <w:t xml:space="preserve">CONFIRM (bearish). All active counters align with the bearish regime; no contradiction flag.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 · Floor Pivot Analysis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pivots — from prior session (18 Jun) H/L/C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(USD/oz)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4712.96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4569.80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4426.64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4378.52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4283.48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 resistance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4235.36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is below 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4140.32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Fri close / nearest support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4092.20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3997.16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3854.00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3710.84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status: prior-day H/L/C corroborated by two sources (CORROBORATED).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Weekly pivots — from prior week (8–12 Jun) H/L/C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4720.65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4542.07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4380.70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4202.12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4040.75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3862.17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status: CORROBORATED. Close sits below weekly P (4,202.12) and above weekly S1 (4,040.75).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Monthly pivots — from prior month (May 2026) H/L/C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5320.30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4957.80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4748.54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4386.04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4176.78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3814.28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Source status: SINGLE-SOURCE — INDICATIVE ONLY. The full May monthly high/low could not be dual-source corroborated within this run's window (partial May history); monthly levels are shown for context and are not used for entry/stop pricing.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narrative: </w:t>
      </w:r>
      <w:r>
        <w:rPr>
          <w:rFonts w:ascii="Arial" w:cs="Arial" w:eastAsia="Arial" w:hAnsi="Arial"/>
          <w:sz w:val="22"/>
          <w:szCs w:val="22"/>
        </w:rPr>
        <w:t xml:space="preserve">the 19 June close (4,137.80) sits below daily P (4,235.36) and weekly P (4,202.12), pressing daily S1 (4,140.32) and just under monthly S1 (4,176.78 indicative). A confluence cluster forms around 4,140 — daily S1, the Friday close and the prior week-low region — the first decision zone. Below it, weekly S1 (4,040.75) and daily S2 (4,092.20) define the next downside shelf.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 · Key Market Considerations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Monetary policy (macro) — price-negative, cyclical→structural. </w:t>
      </w:r>
      <w:r>
        <w:rPr>
          <w:rFonts w:ascii="Arial" w:cs="Arial" w:eastAsia="Arial" w:hAnsi="Arial"/>
          <w:sz w:val="22"/>
          <w:szCs w:val="22"/>
        </w:rPr>
        <w:t xml:space="preserve">The Fed held at 3.75% on 17 June but shifted hawkish: nine of nineteen dots now show ≥1 hike this year and ~70% September-hike odds. Higher-for-longer real rates lift gold's opportunity cost. (Source: Federal Reserve; Trading Economics.)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FX / dollar (macro) — price-negative, cyclical. </w:t>
      </w:r>
      <w:r>
        <w:rPr>
          <w:rFonts w:ascii="Arial" w:cs="Arial" w:eastAsia="Arial" w:hAnsi="Arial"/>
          <w:sz w:val="22"/>
          <w:szCs w:val="22"/>
        </w:rPr>
        <w:t xml:space="preserve">USDX at a one-year high (~100.7) mechanically weighs on USD-denominated gold.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Geopolitics / safe-haven (demand) — price-negative on the margin, cyclical. </w:t>
      </w:r>
      <w:r>
        <w:rPr>
          <w:rFonts w:ascii="Arial" w:cs="Arial" w:eastAsia="Arial" w:hAnsi="Arial"/>
          <w:sz w:val="22"/>
          <w:szCs w:val="22"/>
        </w:rPr>
        <w:t xml:space="preserve">The US–Iran interim peace deal and easing Strait-of-Hormuz fears unwound a safe-haven premium; the cancelled Switzerland talks added two-way risk but did not arrest the decline.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Official-sector demand (demand) — price-supportive, structural. </w:t>
      </w:r>
      <w:r>
        <w:rPr>
          <w:rFonts w:ascii="Arial" w:cs="Arial" w:eastAsia="Arial" w:hAnsi="Arial"/>
          <w:sz w:val="22"/>
          <w:szCs w:val="22"/>
        </w:rPr>
        <w:t xml:space="preserve">Central-bank reserve accumulation (PBoC and others) remains a structural floor over 6+ months even as the cyclical tape falls. (Source: Trading Economics gold-reserves data; World Gold Council context.)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Substitution / spreads — neutral-to-negative. </w:t>
      </w:r>
      <w:r>
        <w:rPr>
          <w:rFonts w:ascii="Arial" w:cs="Arial" w:eastAsia="Arial" w:hAnsi="Arial"/>
          <w:sz w:val="22"/>
          <w:szCs w:val="22"/>
        </w:rPr>
        <w:t xml:space="preserve">Silver fell harder on the month; the widening gold/silver ratio signals defensive de-risking rather than rotation into gold.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Near-term catalysts — see §13d. </w:t>
      </w:r>
      <w:r>
        <w:rPr>
          <w:rFonts w:ascii="Arial" w:cs="Arial" w:eastAsia="Arial" w:hAnsi="Arial"/>
          <w:sz w:val="22"/>
          <w:szCs w:val="22"/>
        </w:rPr>
        <w:t xml:space="preserve">US PMIs, Q1 GDP revision and Michigan inflation expectations are the binding events within the 5-day horizon.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 · Sentiment, News &amp; Calendar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3450"/>
        <w:gridCol w:w="13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Class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(verbatim)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 quote (≤15 words)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Reuters / Trading Economics — Media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 Jun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Gold Heads for Third Weekly Fall as Hawkish Fed Boosts Dollar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“stronger US dollar... weighed on demand”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Goldman Sachs — Institutional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 Jun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Goldman cuts year-end gold forecast to $4,900 from $5,400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“lowered its year-end gold price forecast”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Federal Reserve / TE — Official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 Jun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Gold Pressured by Fed Rate Hike Signals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“increasing support for interest rate hikes this year”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Kitco / metals colour — Trade Press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 Jun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Precious metals selloff deepens as dollar firms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“selloff... as the dollar firms”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TradingView / TE — Media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 Jun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US-Iran interim deal eases Hormuz supply fears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“eased inflation concerns... pushed oil prices lower”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LiteFinance — Media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 Jun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Warsh Deals Gold a Surprise Blow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“Gold slumps as key sources of support fade”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13b · Aggregate Sentiment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Categorical: </w:t>
      </w:r>
      <w:r>
        <w:rPr>
          <w:rFonts w:ascii="Arial" w:cs="Arial" w:eastAsia="Arial" w:hAnsi="Arial"/>
          <w:sz w:val="22"/>
          <w:szCs w:val="22"/>
        </w:rPr>
        <w:t xml:space="preserve">6 Bearish (1 institutional, 1 official, 1 trade press, 3 media) = Predominantly Bearish.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Numeric tilt = −0.76</w:t>
      </w:r>
      <w:r>
        <w:rPr>
          <w:rFonts w:ascii="Arial" w:cs="Arial" w:eastAsia="Arial" w:hAnsi="Arial"/>
          <w:sz w:val="22"/>
          <w:szCs w:val="22"/>
        </w:rPr>
        <w:t xml:space="preserve"> (source-class weighted).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Divergence flag: </w:t>
      </w:r>
      <w:r>
        <w:rPr>
          <w:rFonts w:ascii="Arial" w:cs="Arial" w:eastAsia="Arial" w:hAnsi="Arial"/>
          <w:sz w:val="22"/>
          <w:szCs w:val="22"/>
        </w:rPr>
        <w:t xml:space="preserve">none — bearish sentiment agrees with falling price and the §9 bearish regime. Sentiment and tape are aligned; the bearish read is the reliable signal.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Confidence: not low — six articles contribute (≥3 threshold met).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13c · News Calendar — Previous Period (15–19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12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/ Context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implication for gold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Wed 17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FOMC decision (Warsh)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Hold 3.75%; hawkish dots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Decisive bearish turn; gold reversed from 4,382 high.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Wed–Fri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Dollar to 1-yr high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USDX ~100.7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Sustained pressure; −2% on the week.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Fri 19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US–Iran talks (Switzerland) cancelled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Talks pulled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Two-way risk; did not halt the decline.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Fri 19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Goldman forecast cut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$5,400→$4,900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Reinforced bearish institutional tone.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13d ·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2100"/>
        <w:gridCol w:w="1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/ Context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 for gold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Mon–Tue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 S&amp;P Global PMIs (Jun, flash)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Manufacturing &amp; services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beat hardens the hawkish-Fed/strong-dollar case → gold lower; a miss eases it → relief bounce.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Mid-week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Q1 GDP (final revision)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 trajectory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Upward revision supports hikes → bearish gold.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Fri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U. Michigan inflation expectations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Inflation psychology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Higher expectations → hawkish risk → bearish gold.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Highest-impact upcoming event: the flash US PMIs</w:t>
      </w:r>
      <w:r>
        <w:rPr>
          <w:rFonts w:ascii="Arial" w:cs="Arial" w:eastAsia="Arial" w:hAnsi="Arial"/>
          <w:sz w:val="22"/>
          <w:szCs w:val="22"/>
        </w:rPr>
        <w:t xml:space="preserve"> — a strong print would validate the September-hike pricing and likely drive gold through the 4,140 confluence toward weekly S1.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14 · Macro Context</w:t>
      </w:r>
    </w:p>
    <w:p>
      <w:pPr>
        <w:pStyle w:val="ListParagraph"/>
        <w:numPr>
          <w:ilvl w:val="0"/>
          <w:numId w:val="2"/>
        </w:numPr>
        <w:spacing w:after="60"/>
      </w:pPr>
      <t>Rates &amp; policy: </t>
      <t>Fed funds 3.75%, hawkish bias; US 10Y ≈ 4.46%. Higher real yields are the dominant gold headwind.</t>
    </w:p>
    <w:p>
      <w:pPr>
        <w:pStyle w:val="ListParagraph"/>
        <w:numPr>
          <w:ilvl w:val="0"/>
          <w:numId w:val="2"/>
        </w:numPr>
        <w:spacing w:after="60"/>
      </w:pPr>
      <t>Inflation: </t>
      <t>US CPI 4.20% (May) above target — but with the Fed signalling hikes rather than cuts, sticky inflation is currently price-negative for gold via the real-yield/hawkish channel rather than supportive.</t>
    </w:p>
    <w:p>
      <w:pPr>
        <w:pStyle w:val="ListParagraph"/>
        <w:numPr>
          <w:ilvl w:val="0"/>
          <w:numId w:val="2"/>
        </w:numPr>
        <w:spacing w:after="60"/>
      </w:pPr>
      <t>Safe-haven / real yields: </t>
      <t>the safe-haven bid faded with the US–Iran deal; rising real yields compound the drag (cross-ref §10).</t>
    </w:p>
    <w:p>
      <w:pPr>
        <w:pStyle w:val="ListParagraph"/>
        <w:numPr>
          <w:ilvl w:val="0"/>
          <w:numId w:val="2"/>
        </w:numPr>
        <w:spacing w:after="60"/>
      </w:pPr>
      <t>Liquidity &amp; FX: </t>
      <t>USDX one-year high (§10) tightens conditions — the clearest bearish transmission to gold.</t>
    </w:p>
    <w:p>
      <w:pPr>
        <w:pStyle w:val="ListParagraph"/>
        <w:numPr>
          <w:ilvl w:val="0"/>
          <w:numId w:val="2"/>
        </w:numPr>
        <w:spacing w:after="60"/>
      </w:pPr>
      <t>Positioning: </t>
      <t>VIX low (~16, risk-on) and equities firm; momentum funds likely trimming long-gold exposure into the breakdown.</t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 macro/cross-asset contradiction to flag — the narrative is internally consistent with §10.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Upside risks (bullish)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Downside risks (bearish)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central-bank buying provides a floor; a PMI miss or dovish re-pricing could spark a short-cover bounce off the 4,140 confluence (§11); renewed geopolitical flare-up restores safe-haven bid.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Hawkish-Fed/strong-dollar channel intact; close below the 4,140 daily-S1 confluence opens weekly S1 4,040 then daily S2 4,092; bearish RSI2 (0) and Trending-Down-Strong KER; PMI beat (§13d) accelerates the move.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16 · Forward 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direction over the next 5 sessions: lower-to-sideways with a bearish bias. </w:t>
      </w:r>
      <w:r>
        <w:rPr>
          <w:rFonts w:ascii="Arial" w:cs="Arial" w:eastAsia="Arial" w:hAnsi="Arial"/>
          <w:sz w:val="22"/>
          <w:szCs w:val="22"/>
        </w:rPr>
        <w:t xml:space="preserve">Expected trading range ≈ 4,040–4,300. Base case: rallies into 4,235 (daily P) / 4,283 (daily R1) are sell opportunities; a sustained daily close back above weekly P (4,202) would be the first sign the bearish thesis is weakening, and a close above 4,283 (daily R1) would invalidate the near-term short bias. This view respects — and does not contradict — the §9 Transitional-Bearish regime.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17 · Forecast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is biased lower toward the 4,140 daily-S1 confluence and, on a confirmed break, weekly S1 near 4,040, with bearish technicals, predominantly bearish sentiment (tilt −0.76) and confirming cross-asset reads all aligned.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18 · Final Analyst Judgement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price: </w:t>
      </w:r>
      <w:r>
        <w:rPr>
          <w:rFonts w:ascii="Arial" w:cs="Arial" w:eastAsia="Arial" w:hAnsi="Arial"/>
          <w:sz w:val="22"/>
          <w:szCs w:val="22"/>
        </w:rPr>
        <w:t xml:space="preserve">$4,139/oz.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Confidence: </w:t>
      </w:r>
      <w:r>
        <w:rPr>
          <w:rFonts w:ascii="Arial" w:cs="Arial" w:eastAsia="Arial" w:hAnsi="Arial"/>
          <w:sz w:val="22"/>
          <w:szCs w:val="22"/>
        </w:rPr>
        <w:t xml:space="preserve">High.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Three most important reasons: </w:t>
      </w:r>
      <w:r>
        <w:rPr>
          <w:rFonts w:ascii="Arial" w:cs="Arial" w:eastAsia="Arial" w:hAnsi="Arial"/>
          <w:sz w:val="22"/>
          <w:szCs w:val="22"/>
        </w:rPr>
        <w:t xml:space="preserve">(1) hawkish Fed hold under Warsh with rising hike odds; (2) USDX at a one-year high; (3) unwinding geopolitical safe-haven premium after the US–Iran deal.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watch item: </w:t>
      </w:r>
      <w:r>
        <w:rPr>
          <w:rFonts w:ascii="Arial" w:cs="Arial" w:eastAsia="Arial" w:hAnsi="Arial"/>
          <w:sz w:val="22"/>
          <w:szCs w:val="22"/>
        </w:rPr>
        <w:t xml:space="preserve">the flash US PMIs (§13d).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19 · Source Discipline Note</w:t>
      </w:r>
    </w:p>
    <w:p>
      <w:pPr>
        <w:pStyle w:val="ListParagraph"/>
        <w:numPr>
          <w:ilvl w:val="0"/>
          <w:numId w:val="2"/>
        </w:numPr>
        <w:spacing w:after="60"/>
      </w:pPr>
      <t>Live vs indicative: </t>
      <t>5-day spot OHLC closes are dual-source corroborated (Investing.com × Trading Economics / Bloomberg). Daily and weekly pivots are CORROBORATED. Monthly pivots are SINGLE-SOURCE — INDICATIVE ONLY (partial May history) and are excluded from entry/stop pricing.</t>
    </w:p>
    <w:p>
      <w:pPr>
        <w:pStyle w:val="ListParagraph"/>
        <w:numPr>
          <w:ilvl w:val="0"/>
          <w:numId w:val="2"/>
        </w:numPr>
        <w:spacing w:after="60"/>
      </w:pPr>
      <t>Data gaps: </t>
      <t>intraday session highs/lows differ modestly across spot feeds; futures (GC=F, EODHD) carry a positive basis and were used for direction only, not blended into the spot consensus.</t>
    </w:p>
    <w:p>
      <w:pPr>
        <w:pStyle w:val="ListParagraph"/>
        <w:numPr>
          <w:ilvl w:val="0"/>
          <w:numId w:val="2"/>
        </w:numPr>
        <w:spacing w:after="60"/>
      </w:pPr>
      <t>Corroboration status per instrument: </t>
      <t>Gold spot — corroborated. Silver — close corroborated, intraday indicative. USDX / S&amp;P 500 / DAX — directional reads corroborated at close.</t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Per the user's instruction for this run, trading strategies (§21) are produced even where intraday corroboration is imperfect; affected levels carry explicit indicative flags rather than being suppressed.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20 · Agent Log</w:t>
      </w:r>
    </w:p>
    <w:p>
      <w:pPr>
        <w:pStyle w:val="ListParagraph"/>
        <w:numPr>
          <w:ilvl w:val="0"/>
          <w:numId w:val="2"/>
        </w:numPr>
        <w:spacing w:after="60"/>
      </w:pPr>
      <t>Sources attempted (OHLC): </t>
      <t>Investing.com (corroborated), Trading Economics (corroborated), Bloomberg XAU:CUR (corroborated close), Investing GC=F (directional), EODHD futures feed (directional), Stooq (blocked/robots), LiteFinance/Kitco colour (commentary). Corroborated pair for 19 Jun close: Investing 4137.80 × Trading Economics 4141.39, Δ 3.59.</t>
    </w:p>
    <w:p>
      <w:pPr>
        <w:pStyle w:val="ListParagraph"/>
        <w:numPr>
          <w:ilvl w:val="0"/>
          <w:numId w:val="2"/>
        </w:numPr>
        <w:spacing w:after="60"/>
      </w:pPr>
      <t>Validation method: </t>
      <t>two-source close agreement; futures down-weighted by basis; retail FX-broker quotes excluded.</t>
    </w:p>
    <w:p>
      <w:pPr>
        <w:pStyle w:val="ListParagraph"/>
        <w:numPr>
          <w:ilvl w:val="0"/>
          <w:numId w:val="2"/>
        </w:numPr>
        <w:spacing w:after="60"/>
      </w:pPr>
      <t>Daily-open anchor override: </t>
      <t>the instance default (00:00 UK) was overridden for this run to 07:00 UK at the user's instruction; Trade 1 entry timing reflects the override.</t>
    </w:p>
    <w:p>
      <w:pPr>
        <w:pStyle w:val="ListParagraph"/>
        <w:numPr>
          <w:ilvl w:val="0"/>
          <w:numId w:val="2"/>
        </w:numPr>
        <w:spacing w:after="60"/>
      </w:pPr>
      <t>Direction-score weights basis: </t>
      <t>defaults (0.25 / 0.20 / 0.10 / 0.15 / 0.15 / 0.15); weights locked (within first 20 forward-test sessions). No tuning applied.</t>
    </w:p>
    <w:p>
      <w:pPr>
        <w:pStyle w:val="ListParagraph"/>
        <w:numPr>
          <w:ilvl w:val="0"/>
          <w:numId w:val="2"/>
        </w:numPr>
        <w:spacing w:after="60"/>
      </w:pPr>
      <t>Direction score: </t>
      <t>−0.72 → SHORT. Contributions: short-term technical −0.25, sentiment −0.11, cross-asset −0.15, medium-regime −0.10, Kaufman −0.05, VOLator −0.05.</t>
    </w:p>
    <w:p>
      <w:pPr>
        <w:pStyle w:val="ListParagraph"/>
        <w:numPr>
          <w:ilvl w:val="0"/>
          <w:numId w:val="2"/>
        </w:numPr>
        <w:spacing w:after="60"/>
      </w:pPr>
      <t>Sentiment derivation: </t>
      <t>6 articles, source-class weighted tilt −0.76; not low-confidence.</t>
    </w:p>
    <w:p>
      <w:pPr>
        <w:pStyle w:val="ListParagraph"/>
        <w:numPr>
          <w:ilvl w:val="0"/>
          <w:numId w:val="2"/>
        </w:numPr>
        <w:spacing w:after="60"/>
      </w:pPr>
      <t>Suppression reasons: </t>
      <t>Trade 2 monthly tier indicative but daily/weekly pivots corroborated → Trade 2 proceeds on corroborated tiers; no suppression triggered. Trade 1 and Trade 3A both produce.</t>
    </w:p>
    <w:p>
      <w:pPr>
        <w:pStyle w:val="ListParagraph"/>
        <w:numPr>
          <w:ilvl w:val="0"/>
          <w:numId w:val="2"/>
        </w:numPr>
        <w:spacing w:after="60"/>
      </w:pPr>
      <t>Backtest reconstruction: </t>
      <t>prior 5 sessions reconstructed at each t−1 close with sentiment frozen; no forward leakage.</t>
    </w:p>
    <w:p>
      <w:pPr>
        <w:pStyle w:val="ListParagraph"/>
        <w:numPr>
          <w:ilvl w:val="0"/>
          <w:numId w:val="2"/>
        </w:numPr>
        <w:spacing w:after="60"/>
      </w:pPr>
      <t>Anomalies: </t>
      <t>monthly pivot corroboration gap (flagged §11/§19). Timestamp: run as of 19 Jun 2026, Europe/London.</t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21 · Strategy Recommendations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21a · Directional Conviction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Direction: SHORT. Score −0.72</w:t>
      </w:r>
      <w:r>
        <w:rPr>
          <w:rFonts w:ascii="Arial" w:cs="Arial" w:eastAsia="Arial" w:hAnsi="Arial"/>
          <w:sz w:val="22"/>
          <w:szCs w:val="22"/>
        </w:rPr>
        <w:t xml:space="preserve"> (well beyond the conviction threshold). The three highest-weighted contributing signals are short-term technical bias (§8) −0.25, cross-asset confirmation (§10) −0.15 and sentiment tilt (§13b) −0.11, with the bearish regime, Kaufman Trending-Down-Strong and expanding VOLator reinforcing. No conflict with the §17 forecast — both point lower. Weights basis: defaults.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21b · Trade Cards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1 — Daily Directional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1 — Daily Directional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— bearish daily score (−0.72)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at 07:00 UK (anchor override). Reference 4,188.30 (19 Jun open)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4,313.60 — daily R1 4,283.48 + 0.25×ATR buffer (~125 pts above entry). Anchor: nearest resistance + ATR buffer; inside the 3.5×ATR cap (421).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125.30 USD/oz (12,530 ticks at 0.01)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TP1 (Unit 1, +1R)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4,063.00 (−1R)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TP2 (Unit 2, +2R)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3,937.70 (−2R). On fill, Unit 3 SL → entry − 0.2R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TP3 (Unit 3, 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Time-stop at session close OR 3×ATR (≈ 3,826.80), whichever first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Tranche management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equal units; U1 exits TP1; U2 exits TP2; on U2 fill, U3 SL → entry ± 0.2R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near daily P/S1 zone; TP1 4,063 near weekly S1 4,040 (strong-confluence shelf)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close back above daily R1 4,283.48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Wide-stop flag (R&gt;1×ATR); monthly pivots indicative (§19); holding period collides with §13d PMI release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2 — Pivot, regime-aware (TREND_DOWN → trend-follow 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2 — Pivot (TREND_DOWN, trend-following)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— regime-driven (TREND_DOWN)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Sell-stop/limit at P − 0.10×(P − S1) ≈ 4,225.86 (just below daily P on the downside)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 + 0.8×(R1 − P) ≈ 4,273.86 (~48 pts above entry); tighter than the ATR cap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48.0 USD/oz (4,800 ticks)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TP1 / TP2 / TP3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 4,140.32 / S1.5 4,116.26 / S2 4,092.20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Tranche management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equal units; U1→S1, U2→S1.5; on U2 fill U3 SL → entry − 0.2R; runner toward P-as-target rule replaced by S2 in trend mode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 4,140 = daily S1 + Friday close + week-low region (strong confluence)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close back through daily P 4,235.36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pivot tier SINGLE-SOURCE-INDICATIVE (§19); daily &amp; weekly tiers corroborated, so trade is NOT suppressed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3A — Momentum-Pullback (TREND_DOWN, 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3 — Momentum-Pullback (variant 3A)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— TREND_DOWN regime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Fib anchor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down-swing: 17 Jun high 4,382.85 (0%) → 19 Jun low 4,121.86 (100%); magnitude 260.99 ≈ 2.2×ATR (qualifies). Lookback used: 5 sessions.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57.5% retracement of the down-swing ≈ 4,271.93 (sell into the bounce)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Beyond 0% anchor (4,382.85) + 0.25×ATR ≈ 4,412.97; inside 3.5×ATR cap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141.04 USD/oz (14,104 ticks)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TP1 (38.2%)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4,283.16 (shallow-pullback target)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TP2 (0% / swing origin)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4,121.86 — full retrace to the low. On fill, U3 SL → entry + 0.2R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100%+ extension of the swing (≈ 3,860.87 at 100%); structural runner-stop override on extension break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zone overlaps daily P 4,235 / daily R1 4,283 cluster; TP2 = swing low + daily S1 region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close beyond the swing-high anchor 4,382.85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requires a counter-trend bounce that may not occur in a strong one-way tape; monthly pivots indicative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600"/>
        <w:gridCol w:w="11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(t−N)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/ Exit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(R)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to res.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 15 Jun (t−5)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4222.5 / 4309.3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+1.0 (TP1)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Tue 16 Jun (t−4)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4308.1 / 4331.3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@ +0.3R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rev. next day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Wed 17 Jun (t−3)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4334.0 / 4258.9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+1.0 (TP1)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Thu 18 Jun (t−2)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4258.9 / 4188.5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+1.0→+2.0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Fri 19 Jun (t−1)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4188.3 / 4137.8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+1.0 (TP1)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Wed–Fri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3A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qualifying bounce to 57.5%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Wed–Fri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(2/3)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pivot fades filled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+0.8 avg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1–2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SL-first tick-priority applied where SL and TP could fill in the same bar; positions carried up to 5 sessions; slippage = 0.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21d · What Is Working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 1 over the last 5 sessions: triggered 5/5 times, mean R ≈ +0.86, TP1/TP2/TP3 hit rates ≈ 80% / 20% / 0%. Trade 2 (pivot) triggered on 2/3 reconstructable sessions, mean R ≈ +0.8. Trade 3A did not trigger (no qualifying counter-trend bounce).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Strongest performer: </w:t>
      </w:r>
      <w:r>
        <w:rPr>
          <w:rFonts w:ascii="Arial" w:cs="Arial" w:eastAsia="Arial" w:hAnsi="Arial"/>
          <w:sz w:val="22"/>
          <w:szCs w:val="22"/>
        </w:rPr>
        <w:t xml:space="preserve">Trade 1 (daily directional), driven by the back-half bearish continuation.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Weakest performer: </w:t>
      </w:r>
      <w:r>
        <w:rPr>
          <w:rFonts w:ascii="Arial" w:cs="Arial" w:eastAsia="Arial" w:hAnsi="Arial"/>
          <w:sz w:val="22"/>
          <w:szCs w:val="22"/>
        </w:rPr>
        <w:t xml:space="preserve">Trade 3A — insufficient triggers to rank.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2E75B6" w:sz="6" w:space="1"/>
        </w:pBdr>
        <w:spacing w:before="3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Gold Daily Report │ 19 June 2026 │ Senior Commodities Analyst — Precious Metals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49498bc813cea66d7a0f939311fb71d102557a.png"/><Relationship Id="rId9" Type="http://schemas.openxmlformats.org/officeDocument/2006/relationships/image" Target="media/65882f78db97094907656ccfd4a38cf60dbdbdaa.png"/><Relationship Id="rId10" Type="http://schemas.openxmlformats.org/officeDocument/2006/relationships/image" Target="media/70c9d166c22740fea6da9004895a7784ef257182.png"/><Relationship Id="rId11" Type="http://schemas.openxmlformats.org/officeDocument/2006/relationships/image" Target="media/5c3efe339e9b8c449701988f967e666011f0d9b9.png"/><Relationship Id="rId12" Type="http://schemas.openxmlformats.org/officeDocument/2006/relationships/image" Target="media/196ae3f490f4e6079de2b7c18d95e25e22f6439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2026-06-21T21:50:35.852Z</dcterms:created>
  <dcterms:modified xsi:type="dcterms:W3CDTF">2026-06-21T21:50:35.852Z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