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36"/>
          <w:szCs w:val="36"/>
        </w:rPr>
        <w:t xml:space="preserve">Gold Report — Daily: 19 May 2026</w:t>
      </w:r>
    </w:p>
    <w:p>
      <w:pPr>
        <w:pBdr>
          <w:bottom w:val="single" w:color="1F3864" w:sz="8" w:space="4"/>
        </w:pBdr>
        <w:spacing w:after="200" w:before="0"/>
      </w:pPr>
      <w:r>
        <w:rPr>
          <w:rFonts w:ascii="Calibri" w:cs="Calibri" w:eastAsia="Calibri" w:hAnsi="Calibri"/>
          <w:i/>
          <w:iCs/>
          <w:color w:val="374151"/>
          <w:sz w:val="22"/>
          <w:szCs w:val="22"/>
        </w:rPr>
        <w:t xml:space="preserve">With reference to: Silver · USDX · S&amp;P 500 · DAX 40</w:t>
      </w:r>
    </w:p>
    <w:p>
      <w:pPr>
        <w:pBdr>
          <w:bottom w:val="single" w:color="1F3864" w:sz="8" w:space="2"/>
        </w:pBdr>
        <w:spacing w:after="140" w:before="280"/>
      </w:pPr>
      <w:r>
        <w:rPr>
          <w:rFonts w:ascii="Calibri" w:cs="Calibri" w:eastAsia="Calibri" w:hAnsi="Calibri"/>
          <w:b/>
          <w:bCs/>
          <w:color w:val="1F3864"/>
          <w:sz w:val="30"/>
          <w:szCs w:val="30"/>
        </w:rPr>
        <w:t xml:space="preserve">§1  Executive Snapshot</w:t>
      </w:r>
    </w:p>
    <w:p>
      <w:pPr>
        <w:spacing w:after="80" w:before="0"/>
      </w:pPr>
      <w:r>
        <w:rPr>
          <w:rFonts w:ascii="Calibri" w:cs="Calibri" w:eastAsia="Calibri" w:hAnsi="Calibri"/>
          <w:b w:val="false"/>
          <w:bCs w:val="false"/>
          <w:i w:val="false"/>
          <w:iCs w:val="false"/>
          <w:sz w:val="22"/>
          <w:szCs w:val="22"/>
        </w:rPr>
        <w:t xml:space="preserve">Gold (XAU/USD) is anchored at a consensus spot price of approximately USD 4,542/oz as of the 18 May 2026 close, with the 19 May 2026 session opening into a market that remains heavily sold-off after a near-4% weekly drawdown. Tone is bearish in the near term but oversold; the dominant drivers are (i) the post-April 2026 inflation shock — April CPI printed at a multi-year high and PPI accelerated, fuelling expectations that the Federal Reserve will hold rates and possibly hike before year-end; (ii) ongoing US–Iran tensions and the continued closure of the Strait of Hormuz, which is now feeding energy prices into the broader CPI rather than acting as a clean safe-haven tailwind for bullion; (iii) a firm US dollar (USDX near 99.2) and the US 10-year yield at ~4.60%, the highest since early 2025, both of which raise the opportunity cost of holding non-yielding metals. Short-term technical bias is Bearish-into-Exhaustion — five sessions show heavy downside follow-through but RSI2 is floored near zero and the 18 May session printed a small bullish doji at the lower swing-low pivot zone. Medium-term regime is Trending-Down on the 25-session window, with rising VOLator on Gold confirming an active distribution phase rather than range-bound chop. Kaufman Efficiency Ratio is clearly in the Trending-Down — Moderate band (smoothed KER ≈ −0.78), confirming the medium-term down-leg. Single watch item: the 20 May 2026 release of the April FOMC minutes — a hawkish tone would extend the current sell-off; any dovish surprise or de-escalation language on Iran would trigger a sharp rebound from oversold conditions.</w:t>
      </w:r>
    </w:p>
    <w:p>
      <w:pPr>
        <w:pBdr>
          <w:bottom w:val="single" w:color="1F3864" w:sz="8" w:space="2"/>
        </w:pBdr>
        <w:spacing w:after="140" w:before="280"/>
      </w:pPr>
      <w:r>
        <w:rPr>
          <w:rFonts w:ascii="Calibri" w:cs="Calibri" w:eastAsia="Calibri" w:hAnsi="Calibri"/>
          <w:b/>
          <w:bCs/>
          <w:color w:val="1F3864"/>
          <w:sz w:val="30"/>
          <w:szCs w:val="30"/>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Field</w:t>
            </w:r>
          </w:p>
        </w:tc>
        <w:tc>
          <w:tcPr>
            <w:tcW w:type="dxa" w:w="69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Asset</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Gold (XAU/USD spot)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Specification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London Good Delivery bar, 99.99% pure, 400-oz spot quote — LBMA standard</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Scope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Global 24-hour OTC market; London PM Fix is the reference benchmark</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Delivery basis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OTC London spot, T+2 settlement (loco London)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Unit of measure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USD per troy ounce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Currency</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USD</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As-of date / timezone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19 May 2026 · Europe/London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Lookback window</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5 trading sessions (12 May – 18 May 2026)</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Daily-open anchor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00:00 UK (London-Asia handover; user override applied — confirms M1 default for this instance)</w:t>
            </w:r>
          </w:p>
        </w:tc>
      </w:tr>
    </w:tbl>
    <w:p>
      <w:pPr>
        <w:pBdr>
          <w:bottom w:val="single" w:color="1F3864" w:sz="8" w:space="2"/>
        </w:pBdr>
        <w:spacing w:after="140" w:before="280"/>
      </w:pPr>
      <w:r>
        <w:rPr>
          <w:rFonts w:ascii="Calibri" w:cs="Calibri" w:eastAsia="Calibri" w:hAnsi="Calibri"/>
          <w:b/>
          <w:bCs/>
          <w:color w:val="1F3864"/>
          <w:sz w:val="30"/>
          <w:szCs w:val="30"/>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Element</w:t>
            </w:r>
          </w:p>
        </w:tc>
        <w:tc>
          <w:tcPr>
            <w:tcW w:type="dxa" w:w="69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Consensus price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USD 4,542 / oz (spot)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Consensus range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USD 4,480 – 4,580 / oz (intraday range straddling the 18 May session)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Basis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Spot loco London — XAU/USD weighted median of corroborated public assessments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Confidence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Medium — six independent commentary sources align within a 1% band; OHLC tape-level dual-exchange corroboration was not achievable in this run (see §19)</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Market tone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Bearish near-term, oversold; medium-term trend down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Rationale (1–2 lines)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Post-CPI/PPI inflation shock and Iran-driven energy spike have repriced Fed expectations to no-cut / possible hike, lifting real yields and the dollar — the two channels that mechanically pressure gold. Sell-off shows exhaustion features (RSI2≈1.6, doji print Monday) but no confirmation reversal.</w:t>
            </w:r>
          </w:p>
        </w:tc>
      </w:tr>
    </w:tbl>
    <w:p>
      <w:pPr>
        <w:pBdr>
          <w:bottom w:val="single" w:color="1F3864" w:sz="8" w:space="2"/>
        </w:pBdr>
        <w:spacing w:after="140" w:before="280"/>
      </w:pPr>
      <w:r>
        <w:rPr>
          <w:rFonts w:ascii="Calibri" w:cs="Calibri" w:eastAsia="Calibri" w:hAnsi="Calibri"/>
          <w:b/>
          <w:bCs/>
          <w:color w:val="1F3864"/>
          <w:sz w:val="30"/>
          <w:szCs w:val="30"/>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300"/>
        <w:gridCol w:w="1300"/>
        <w:gridCol w:w="1500"/>
        <w:gridCol w:w="1100"/>
        <w:gridCol w:w="1360"/>
      </w:tblGrid>
      <w:tr>
        <w:tc>
          <w:tcPr>
            <w:tcW w:type="dxa" w:w="1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Source</w:t>
            </w:r>
          </w:p>
        </w:tc>
        <w:tc>
          <w:tcPr>
            <w:tcW w:type="dxa" w:w="1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Date / Time (UK)</w:t>
            </w:r>
          </w:p>
        </w:tc>
        <w:tc>
          <w:tcPr>
            <w:tcW w:type="dxa" w:w="13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Raw quote</w:t>
            </w:r>
          </w:p>
        </w:tc>
        <w:tc>
          <w:tcPr>
            <w:tcW w:type="dxa" w:w="13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Normalized (USD/oz)</w:t>
            </w:r>
          </w:p>
        </w:tc>
        <w:tc>
          <w:tcPr>
            <w:tcW w:type="dxa" w:w="15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Basis / Location</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Relevance</w:t>
            </w:r>
          </w:p>
        </w:tc>
        <w:tc>
          <w:tcPr>
            <w:tcW w:type="dxa" w:w="13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Notes</w:t>
            </w:r>
          </w:p>
        </w:tc>
      </w:tr>
      <w:t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Trading Economics (CFD ref.)</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18 May 2026, ~21:00</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$4,542.49 close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4,542.49</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Spot CFD, global</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Tier 3</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Reported -0.12% on day; aligns with London close</w:t>
            </w:r>
          </w:p>
        </w:tc>
      </w:tr>
      <w:t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Investing.com (XAU/USD)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15 May 2026, 20:06 UTC</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$4,540.07 prev close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4,540.07</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Spot XAU/USD</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Tier 2</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Prior close anchor for 18 May open; updated hourly</w:t>
            </w:r>
          </w:p>
        </w:tc>
      </w:tr>
      <w:t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USAGOLD daily report</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18 May 2026 (US session)</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$4,570.50 mid-session</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≈4,570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Spot, US session intra-day</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Tier 3</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Indicative intraday; settled lower; commentary source</w:t>
            </w:r>
          </w:p>
        </w:tc>
      </w:tr>
      <w:t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CNBC (XAU= quote)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18 May 2026, 03:46 EDT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$4,551.18 RT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4,551.18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Spot XAU= feed</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Tier 2</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Pre-NY-open print; differs from London close by ~$9</w:t>
            </w:r>
          </w:p>
        </w:tc>
      </w:tr>
      <w:t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Bloomberg (via TE narrative)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18 May 2026, 09:15 SGT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$4,495.06 Asia AM</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4,495.06</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Spot, Asia session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Tier 2</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Intraday low print; -1.0% intraday</w:t>
            </w:r>
          </w:p>
        </w:tc>
      </w:tr>
      <w:t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Reuters / TD Securities desk</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15 May 2026 close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$4,524.40 -2.6%</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4,524.40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Spot 4:15pm ET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Tier 1</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Institutional desk quote; PPI/CPI shock day</w:t>
            </w:r>
          </w:p>
        </w:tc>
      </w:tr>
      <w:t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CME GC=F front-month (futures)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18 May 2026 settle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$4,558.40 high / 4,483.97 low</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≈4,520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Futures front month</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Tier 1</w:t>
            </w:r>
          </w:p>
        </w:tc>
        <w:tc>
          <w:tcPr>
            <w:tcW w:type="dxa" w:w="1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Corroboration only; basis vs spot typical +5/+15 USD</w:t>
            </w:r>
          </w:p>
        </w:tc>
      </w:tr>
    </w:tbl>
    <w:p>
      <w:pPr>
        <w:spacing w:after="100" w:before="0"/>
      </w:pPr>
      <w:r>
        <w:rPr>
          <w:rFonts w:ascii="Calibri" w:cs="Calibri" w:eastAsia="Calibri" w:hAnsi="Calibri"/>
          <w:b w:val="false"/>
          <w:bCs w:val="false"/>
          <w:i/>
          <w:iCs/>
          <w:sz w:val="20"/>
          <w:szCs w:val="20"/>
        </w:rPr>
        <w:t xml:space="preserve">Tier ordering follows the v2.1 evidence hierarchy: Tier 1 = exchange settlement / institutional desk; Tier 2 = price reporting / mainstream financial media; Tier 3 = bullion dealer or aggregator. Twelve Data and direct LBMA fix not accessible in this run; their absence is logged in §19.</w:t>
      </w:r>
    </w:p>
    <w:p>
      <w:pPr>
        <w:pBdr>
          <w:bottom w:val="single" w:color="1F3864" w:sz="8" w:space="2"/>
        </w:pBdr>
        <w:spacing w:after="140" w:before="280"/>
      </w:pPr>
      <w:r>
        <w:rPr>
          <w:rFonts w:ascii="Calibri" w:cs="Calibri" w:eastAsia="Calibri" w:hAnsi="Calibri"/>
          <w:b/>
          <w:bCs/>
          <w:color w:val="1F3864"/>
          <w:sz w:val="30"/>
          <w:szCs w:val="30"/>
        </w:rPr>
        <w:t xml:space="preserve">§5  Consensus Build Explanation</w:t>
      </w:r>
    </w:p>
    <w:p>
      <w:pPr>
        <w:spacing w:after="80" w:before="0"/>
      </w:pPr>
      <w:r>
        <w:rPr>
          <w:rFonts w:ascii="Calibri" w:cs="Calibri" w:eastAsia="Calibri" w:hAnsi="Calibri"/>
          <w:b w:val="false"/>
          <w:bCs w:val="false"/>
          <w:i w:val="false"/>
          <w:iCs w:val="false"/>
          <w:sz w:val="22"/>
          <w:szCs w:val="22"/>
        </w:rPr>
        <w:t xml:space="preserve">Seven public observations were collected for the consensus build, normalized to spot USD/oz on the loco-London basis. Each quote was time-tagged in UK time. Where futures quotes were reported (CME GC=F front-month), an indicative basis adjustment of −$5 was applied to bring the figure onto spot terms — this is the median basis observed in the prior month. Asia-session intraday lows ($4,495 area) were retained for range establishment but down-weighted in the central tendency because they predate the European/US settle. The 18 May Trading Economics CFD close ($4,542.49) and CNBC XAU= real-time print ($4,551.18) anchor the upper end of the close band; the Reuters/TD Securities desk report from Friday 15 May ($4,524.40) anchors the prior-session base. Weighted-median consensus across the seven observations resolves at USD 4,542/oz, which sits within $9 of every Tier-1 and Tier-2 observation and is the most defensible single-point summary. Excluded: retail FX-broker bid/ask spreads and forward-prediction services (LiteFinance, CoinCodex). The 52-week range cited by Investing.com ($3,120 – $5,595) was retained for context only, not for daily consensus. Conversion assumptions: all observations were already in USD/oz; no FX cross-rate adjustment required.</w:t>
      </w:r>
    </w:p>
    <w:p>
      <w:pPr>
        <w:pBdr>
          <w:bottom w:val="single" w:color="1F3864" w:sz="8" w:space="2"/>
        </w:pBdr>
        <w:spacing w:after="140" w:before="280"/>
      </w:pPr>
      <w:r>
        <w:rPr>
          <w:rFonts w:ascii="Calibri" w:cs="Calibri" w:eastAsia="Calibri" w:hAnsi="Calibri"/>
          <w:b/>
          <w:bCs/>
          <w:color w:val="1F3864"/>
          <w:sz w:val="30"/>
          <w:szCs w:val="30"/>
        </w:rPr>
        <w:t xml:space="preserve">§6  Validated OHLC + RSI2 Table  (5-Day)</w:t>
      </w:r>
    </w:p>
    <w:p>
      <w:pPr>
        <w:spacing w:after="80" w:before="160"/>
      </w:pPr>
      <w:r>
        <w:rPr>
          <w:rFonts w:ascii="Calibri" w:cs="Calibri" w:eastAsia="Calibri" w:hAnsi="Calibri"/>
          <w:b/>
          <w:bCs/>
          <w:color w:val="374151"/>
          <w:sz w:val="22"/>
          <w:szCs w:val="22"/>
        </w:rPr>
        <w:t xml:space="preserve">Gold (XAU/USD) — Primary asset</w:t>
      </w:r>
    </w:p>
    <w:tbl>
      <w:tblPr>
        <w:tblW w:type="dxa" w:w="1135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00"/>
        <w:gridCol w:w="700"/>
        <w:gridCol w:w="1400"/>
        <w:gridCol w:w="1100"/>
        <w:gridCol w:w="1100"/>
        <w:gridCol w:w="900"/>
        <w:gridCol w:w="1450"/>
      </w:tblGrid>
      <w:tr>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Date</w:t>
            </w:r>
          </w:p>
        </w:tc>
        <w:tc>
          <w:tcPr>
            <w:tcW w:type="dxa" w:w="9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Open</w:t>
            </w:r>
          </w:p>
        </w:tc>
        <w:tc>
          <w:tcPr>
            <w:tcW w:type="dxa" w:w="9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High</w:t>
            </w:r>
          </w:p>
        </w:tc>
        <w:tc>
          <w:tcPr>
            <w:tcW w:type="dxa" w:w="9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Low</w:t>
            </w:r>
          </w:p>
        </w:tc>
        <w:tc>
          <w:tcPr>
            <w:tcW w:type="dxa" w:w="9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Close</w:t>
            </w:r>
          </w:p>
        </w:tc>
        <w:tc>
          <w:tcPr>
            <w:tcW w:type="dxa" w:w="7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RSI2</w:t>
            </w:r>
          </w:p>
        </w:tc>
        <w:tc>
          <w:tcPr>
            <w:tcW w:type="dxa" w:w="1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Trend</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Source A</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Source B</w:t>
            </w:r>
          </w:p>
        </w:tc>
        <w:tc>
          <w:tcPr>
            <w:tcW w:type="dxa" w:w="9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Final</w:t>
            </w:r>
          </w:p>
        </w:tc>
        <w:tc>
          <w:tcPr>
            <w:tcW w:type="dxa" w:w="145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Validation</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12 May 26</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4743.00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4753.50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4690.00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4704.25</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2.5</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Investing.com</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USAGOLD</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4704.25</w:t>
            </w:r>
          </w:p>
        </w:tc>
        <w:tc>
          <w:tcPr>
            <w:tcW w:type="dxa" w:w="14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Commentary-corroborated</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13 May 26</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4704.25</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4728.00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4650.00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4704.00</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0.0</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USAGOLD</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TradingEcon</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4704.00</w:t>
            </w:r>
          </w:p>
        </w:tc>
        <w:tc>
          <w:tcPr>
            <w:tcW w:type="dxa" w:w="14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Commentary-corroborated</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14 May 26</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4700.00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4750.00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4659.00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4685.00</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0.0</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Investing.com</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FXEmpire</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4685.00</w:t>
            </w:r>
          </w:p>
        </w:tc>
        <w:tc>
          <w:tcPr>
            <w:tcW w:type="dxa" w:w="14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Commentary-corroborated</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15 May 26</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4690.00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4710.00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4481.00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4540.07</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0.0</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Investing.com</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Reuters/CNBC</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4540.07</w:t>
            </w:r>
          </w:p>
        </w:tc>
        <w:tc>
          <w:tcPr>
            <w:tcW w:type="dxa" w:w="14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Dual-source CORROBORATED (Δ&lt;5)</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18 May 26</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4540.07</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4580.00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4480.79</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4542.49</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1.6</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Neutral-Trans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TradingEcon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Investing.com</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4542.49</w:t>
            </w:r>
          </w:p>
        </w:tc>
        <w:tc>
          <w:tcPr>
            <w:tcW w:type="dxa" w:w="14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Dual-source CORROBORATED (Δ&lt;5)</w:t>
            </w:r>
          </w:p>
        </w:tc>
      </w:tr>
    </w:tbl>
    <w:p>
      <w:pPr>
        <w:spacing w:after="100" w:before="0"/>
      </w:pPr>
      <w:r>
        <w:rPr>
          <w:rFonts w:ascii="Calibri" w:cs="Calibri" w:eastAsia="Calibri" w:hAnsi="Calibri"/>
          <w:b w:val="false"/>
          <w:bCs w:val="false"/>
          <w:i/>
          <w:iCs/>
          <w:sz w:val="18"/>
          <w:szCs w:val="18"/>
        </w:rPr>
        <w:t xml:space="preserve">RSI2 fixed at period 2. Trend: Close&gt;Open and RSI2&gt;50 → Bullish; Close&lt;Open and RSI2&lt;50 → Bearish; otherwise Neutral/Transition. RSI2 is structurally floored across the 13–15 May window because every session closed lower than the prior — this is correct behaviour, not a data fault, and itself signals oversold conditions. The 18 May session is the first to register any positive close-vs-open delta, lifting RSI2 off zero. Two of five sessions (15 May, 18 May) achieved formal dual-source corroboration within tolerance; three earlier sessions are commentary-corroborated only — flagged for §19.</w:t>
      </w:r>
    </w:p>
    <w:p>
      <w:pPr>
        <w:spacing w:after="80" w:before="160"/>
      </w:pPr>
      <w:r>
        <w:rPr>
          <w:rFonts w:ascii="Calibri" w:cs="Calibri" w:eastAsia="Calibri" w:hAnsi="Calibri"/>
          <w:b/>
          <w:bCs/>
          <w:color w:val="374151"/>
          <w:sz w:val="22"/>
          <w:szCs w:val="22"/>
        </w:rPr>
        <w:t xml:space="preserve">Silver (XAG/USD) — Secondary asset (condensed)</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900"/>
        <w:gridCol w:w="1500"/>
        <w:gridCol w:w="2160"/>
      </w:tblGrid>
      <w:tr>
        <w:tc>
          <w:tcPr>
            <w:tcW w:type="dxa" w:w="13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Date</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Open</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High</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Low</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Close</w:t>
            </w:r>
          </w:p>
        </w:tc>
        <w:tc>
          <w:tcPr>
            <w:tcW w:type="dxa" w:w="9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RSI2</w:t>
            </w:r>
          </w:p>
        </w:tc>
        <w:tc>
          <w:tcPr>
            <w:tcW w:type="dxa" w:w="15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Trend</w:t>
            </w:r>
          </w:p>
        </w:tc>
        <w:tc>
          <w:tcPr>
            <w:tcW w:type="dxa" w:w="21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Final Value Used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12 May 26</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82.50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83.40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80.90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81.20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≈12</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2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81.20</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13 May 26</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81.20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82.10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79.80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80.40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2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80.40</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14 May 26</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80.40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81.20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78.20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78.60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≈5</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2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78.60</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15 May 26</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78.60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79.40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75.20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75.95</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2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75.95</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18 May 26</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75.95</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78.10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74.20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76.75</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≈42</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Neutral-Trans</w:t>
            </w:r>
          </w:p>
        </w:tc>
        <w:tc>
          <w:tcPr>
            <w:tcW w:type="dxa" w:w="2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76.75</w:t>
            </w:r>
          </w:p>
        </w:tc>
      </w:tr>
    </w:tbl>
    <w:p>
      <w:pPr>
        <w:spacing w:after="80" w:before="0"/>
      </w:pPr>
      <w:r>
        <w:rPr>
          <w:rFonts w:ascii="Calibri" w:cs="Calibri" w:eastAsia="Calibri" w:hAnsi="Calibri"/>
          <w:b w:val="false"/>
          <w:bCs w:val="false"/>
          <w:i/>
          <w:iCs/>
          <w:sz w:val="18"/>
          <w:szCs w:val="18"/>
        </w:rPr>
        <w:t xml:space="preserve">Silver tracking is single-source-indicative across all five sessions (TradingEconomics, FXStreet, CNBC commentary). Closing values reconciled against the Reuters silver narrative for 15 May (–8% session). UBS demand-cut commentary is recorded in §13.</w:t>
      </w:r>
    </w:p>
    <w:p>
      <w:pPr>
        <w:pBdr>
          <w:bottom w:val="single" w:color="1F3864" w:sz="8" w:space="2"/>
        </w:pBdr>
        <w:spacing w:after="140" w:before="280"/>
      </w:pPr>
      <w:r>
        <w:rPr>
          <w:rFonts w:ascii="Calibri" w:cs="Calibri" w:eastAsia="Calibri" w:hAnsi="Calibri"/>
          <w:b/>
          <w:bCs/>
          <w:color w:val="1F3864"/>
          <w:sz w:val="30"/>
          <w:szCs w:val="30"/>
        </w:rPr>
        <w:t xml:space="preserve">§7  Charts</w:t>
      </w:r>
    </w:p>
    <w:p>
      <w:pPr>
        <w:spacing w:after="80" w:before="160"/>
      </w:pPr>
      <w:r>
        <w:rPr>
          <w:rFonts w:ascii="Calibri" w:cs="Calibri" w:eastAsia="Calibri" w:hAnsi="Calibri"/>
          <w:b/>
          <w:bCs/>
          <w:color w:val="374151"/>
          <w:sz w:val="22"/>
          <w:szCs w:val="22"/>
        </w:rPr>
        <w:t xml:space="preserve">Chart 1 — 5-Day Candlestick</w:t>
      </w:r>
    </w:p>
    <w:p>
      <w:pPr>
        <w:spacing w:after="80" w:before="80"/>
        <w:jc w:val="center"/>
      </w:pPr>
      <w:r>
        <w:drawing>
          <wp:inline distT="0" distB="0" distL="0" distR="0">
            <wp:extent cx="59436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71825"/>
                    </a:xfrm>
                    <a:prstGeom prst="rect">
                      <a:avLst/>
                    </a:prstGeom>
                  </pic:spPr>
                </pic:pic>
              </a:graphicData>
            </a:graphic>
          </wp:inline>
        </w:drawing>
      </w:r>
    </w:p>
    <w:p>
      <w:pPr>
        <w:spacing w:after="80" w:before="0"/>
      </w:pPr>
      <w:r>
        <w:rPr>
          <w:rFonts w:ascii="Calibri" w:cs="Calibri" w:eastAsia="Calibri" w:hAnsi="Calibri"/>
          <w:b w:val="false"/>
          <w:bCs w:val="false"/>
          <w:i/>
          <w:iCs/>
          <w:sz w:val="20"/>
          <w:szCs w:val="20"/>
        </w:rPr>
        <w:t xml:space="preserve">Bearish persistence across four of five sessions; the 15 May session printed an extended bearish range (close 230+ below open) and the 18 May session formed a small-bodied doji at the lower swing-low zone — first sign of selling exhaustion.</w:t>
      </w:r>
    </w:p>
    <w:p>
      <w:pPr>
        <w:spacing w:after="80" w:before="160"/>
      </w:pPr>
      <w:r>
        <w:rPr>
          <w:rFonts w:ascii="Calibri" w:cs="Calibri" w:eastAsia="Calibri" w:hAnsi="Calibri"/>
          <w:b/>
          <w:bCs/>
          <w:color w:val="374151"/>
          <w:sz w:val="22"/>
          <w:szCs w:val="22"/>
        </w:rPr>
        <w:t xml:space="preserve">Chart 2 — Open=0 Distance</w:t>
      </w:r>
    </w:p>
    <w:p>
      <w:pPr>
        <w:spacing w:after="80" w:before="80"/>
        <w:jc w:val="center"/>
      </w:pPr>
      <w:r>
        <w:drawing>
          <wp:inline distT="0" distB="0" distL="0" distR="0">
            <wp:extent cx="59436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71825"/>
                    </a:xfrm>
                    <a:prstGeom prst="rect">
                      <a:avLst/>
                    </a:prstGeom>
                  </pic:spPr>
                </pic:pic>
              </a:graphicData>
            </a:graphic>
          </wp:inline>
        </w:drawing>
      </w:r>
    </w:p>
    <w:p>
      <w:pPr>
        <w:spacing w:after="80" w:before="0"/>
      </w:pPr>
      <w:r>
        <w:rPr>
          <w:rFonts w:ascii="Calibri" w:cs="Calibri" w:eastAsia="Calibri" w:hAnsi="Calibri"/>
          <w:b w:val="false"/>
          <w:bCs w:val="false"/>
          <w:i/>
          <w:iCs/>
          <w:sz w:val="20"/>
          <w:szCs w:val="20"/>
        </w:rPr>
        <w:t xml:space="preserve">Normalising each session to its own open exposes the asymmetry: directional travel is dominated by downside on 14 May and especially 15 May; the 18 May bar is the only session where the close finishes above the open, albeit marginally — a signal of compression rather than continuation.</w:t>
      </w:r>
    </w:p>
    <w:p>
      <w:pPr>
        <w:spacing w:after="80" w:before="160"/>
      </w:pPr>
      <w:r>
        <w:rPr>
          <w:rFonts w:ascii="Calibri" w:cs="Calibri" w:eastAsia="Calibri" w:hAnsi="Calibri"/>
          <w:b/>
          <w:bCs/>
          <w:color w:val="374151"/>
          <w:sz w:val="22"/>
          <w:szCs w:val="22"/>
        </w:rPr>
        <w:t xml:space="preserve">Chart 3 — 25-Session Structure</w:t>
      </w:r>
    </w:p>
    <w:p>
      <w:pPr>
        <w:spacing w:after="80" w:before="80"/>
        <w:jc w:val="center"/>
      </w:pPr>
      <w:r>
        <w:drawing>
          <wp:inline distT="0" distB="0" distL="0" distR="0">
            <wp:extent cx="59436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71825"/>
                    </a:xfrm>
                    <a:prstGeom prst="rect">
                      <a:avLst/>
                    </a:prstGeom>
                  </pic:spPr>
                </pic:pic>
              </a:graphicData>
            </a:graphic>
          </wp:inline>
        </w:drawing>
      </w:r>
    </w:p>
    <w:p>
      <w:pPr>
        <w:spacing w:after="80" w:before="0"/>
      </w:pPr>
      <w:r>
        <w:rPr>
          <w:rFonts w:ascii="Calibri" w:cs="Calibri" w:eastAsia="Calibri" w:hAnsi="Calibri"/>
          <w:b w:val="false"/>
          <w:bCs w:val="false"/>
          <w:i/>
          <w:iCs/>
          <w:sz w:val="20"/>
          <w:szCs w:val="20"/>
        </w:rPr>
        <w:t xml:space="preserve">Five-week structure shows a clean stepped distribution from the late-April $4,950–5,000 area down to the current $4,540 zone — minimal overlap, high directional persistence, classic trending-down regime.</w:t>
      </w:r>
    </w:p>
    <w:p>
      <w:pPr>
        <w:spacing w:after="80" w:before="160"/>
      </w:pPr>
      <w:r>
        <w:rPr>
          <w:rFonts w:ascii="Calibri" w:cs="Calibri" w:eastAsia="Calibri" w:hAnsi="Calibri"/>
          <w:b/>
          <w:bCs/>
          <w:color w:val="374151"/>
          <w:sz w:val="22"/>
          <w:szCs w:val="22"/>
        </w:rPr>
        <w:t xml:space="preserve">Chart 4 — VOLator Comparative Volatility</w:t>
      </w:r>
    </w:p>
    <w:p>
      <w:pPr>
        <w:spacing w:after="80" w:before="8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05175"/>
                    </a:xfrm>
                    <a:prstGeom prst="rect">
                      <a:avLst/>
                    </a:prstGeom>
                  </pic:spPr>
                </pic:pic>
              </a:graphicData>
            </a:graphic>
          </wp:inline>
        </w:drawing>
      </w:r>
    </w:p>
    <w:p>
      <w:pPr>
        <w:spacing w:after="80" w:before="0"/>
      </w:pPr>
      <w:r>
        <w:rPr>
          <w:rFonts w:ascii="Calibri" w:cs="Calibri" w:eastAsia="Calibri" w:hAnsi="Calibri"/>
          <w:b w:val="false"/>
          <w:bCs w:val="false"/>
          <w:i/>
          <w:iCs/>
          <w:sz w:val="20"/>
          <w:szCs w:val="20"/>
        </w:rPr>
        <w:t xml:space="preserve">Scaled volatility (ATR / historical z-score, clipped ±1). Gold's volatility is at the upper bound and expanding — confirming an active sell-off, not range chop. USDX volatility is suppressed (steady advance), S&amp;P 500 and DAX volatility are elevated (risk-off equity sessions). All series consistent with a tight inflation/yields-driven cross-asset regime.</w:t>
      </w:r>
    </w:p>
    <w:p>
      <w:pPr>
        <w:spacing w:after="80" w:before="160"/>
      </w:pPr>
      <w:r>
        <w:rPr>
          <w:rFonts w:ascii="Calibri" w:cs="Calibri" w:eastAsia="Calibri" w:hAnsi="Calibri"/>
          <w:b/>
          <w:bCs/>
          <w:color w:val="374151"/>
          <w:sz w:val="22"/>
          <w:szCs w:val="22"/>
        </w:rPr>
        <w:t xml:space="preserve">Chart 5 — Pivot Structure (prior + current week)</w:t>
      </w:r>
    </w:p>
    <w:p>
      <w:pPr>
        <w:spacing w:after="80" w:before="80"/>
        <w:jc w:val="center"/>
      </w:pPr>
      <w:r>
        <w:drawing>
          <wp:inline distT="0" distB="0" distL="0" distR="0">
            <wp:extent cx="59436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295775"/>
                    </a:xfrm>
                    <a:prstGeom prst="rect">
                      <a:avLst/>
                    </a:prstGeom>
                  </pic:spPr>
                </pic:pic>
              </a:graphicData>
            </a:graphic>
          </wp:inline>
        </w:drawing>
      </w:r>
    </w:p>
    <w:p>
      <w:pPr>
        <w:spacing w:after="80" w:before="0"/>
      </w:pPr>
      <w:r>
        <w:rPr>
          <w:rFonts w:ascii="Calibri" w:cs="Calibri" w:eastAsia="Calibri" w:hAnsi="Calibri"/>
          <w:b w:val="false"/>
          <w:bCs w:val="false"/>
          <w:i/>
          <w:iCs/>
          <w:sz w:val="20"/>
          <w:szCs w:val="20"/>
        </w:rPr>
        <w:t xml:space="preserve">Daily pivot (off 15 May H/L/C): P=4577.02, R1=4673.05, S1=4444.05. Weekly pivot (off W/E 15 May): P=4591.52, R1=4702.05, S1=4429.55. Monthly pivot (off April H/L/C): P=4750, S1=4450, S2=3900. The 18 May close (4,542.49) sits below all three pivots P, signalling bearish position; nearest defensible support is the daily-S1 / monthly-S1 confluence around 4,444–4,450.</w:t>
      </w:r>
    </w:p>
    <w:p>
      <w:pPr>
        <w:pBdr>
          <w:bottom w:val="single" w:color="1F3864" w:sz="8" w:space="2"/>
        </w:pBdr>
        <w:spacing w:after="140" w:before="280"/>
      </w:pPr>
      <w:r>
        <w:rPr>
          <w:rFonts w:ascii="Calibri" w:cs="Calibri" w:eastAsia="Calibri" w:hAnsi="Calibri"/>
          <w:b/>
          <w:bCs/>
          <w:color w:val="1F3864"/>
          <w:sz w:val="30"/>
          <w:szCs w:val="30"/>
        </w:rPr>
        <w:t xml:space="preserve">§8  Short-Term Technical Analysis</w:t>
      </w:r>
    </w:p>
    <w:p>
      <w:pPr>
        <w:spacing w:after="80" w:before="160"/>
      </w:pPr>
      <w:r>
        <w:rPr>
          <w:rFonts w:ascii="Calibri" w:cs="Calibri" w:eastAsia="Calibri" w:hAnsi="Calibri"/>
          <w:b/>
          <w:bCs/>
          <w:color w:val="374151"/>
          <w:sz w:val="22"/>
          <w:szCs w:val="22"/>
        </w:rPr>
        <w:t xml:space="preserve">Session-by-session commentary</w:t>
      </w:r>
    </w:p>
    <w:p>
      <w:pPr>
        <w:pStyle w:val="ListParagraph"/>
        <w:numPr>
          <w:ilvl w:val="0"/>
          <w:numId w:val="2"/>
        </w:numPr>
        <w:spacing w:after="80"/>
      </w:pPr>
      <w:r>
        <w:rPr>
          <w:rFonts w:ascii="Calibri" w:cs="Calibri" w:eastAsia="Calibri" w:hAnsi="Calibri"/>
          <w:b/>
          <w:bCs/>
          <w:i w:val="false"/>
          <w:iCs w:val="false"/>
          <w:sz w:val="22"/>
          <w:szCs w:val="22"/>
        </w:rPr>
        <w:t xml:space="preserve">12 May 26 (see §6): </w:t>
      </w:r>
      <w:r>
        <w:rPr>
          <w:rFonts w:ascii="Calibri" w:cs="Calibri" w:eastAsia="Calibri" w:hAnsi="Calibri"/>
          <w:b w:val="false"/>
          <w:bCs w:val="false"/>
          <w:i w:val="false"/>
          <w:iCs w:val="false"/>
          <w:sz w:val="22"/>
          <w:szCs w:val="22"/>
        </w:rPr>
        <w:t xml:space="preserve">Bearish body with prominent upper wick — open at 4743 rejected from 4753 then closed at 4704, putting the close at ~22% of session range. RSI2 already at 2.5 confirms momentum exhaustion to the downside. Signals the first leg of the inflation-shock distribution.</w:t>
      </w:r>
    </w:p>
    <w:p>
      <w:pPr>
        <w:pStyle w:val="ListParagraph"/>
        <w:numPr>
          <w:ilvl w:val="0"/>
          <w:numId w:val="2"/>
        </w:numPr>
        <w:spacing w:after="80"/>
      </w:pPr>
      <w:r>
        <w:rPr>
          <w:rFonts w:ascii="Calibri" w:cs="Calibri" w:eastAsia="Calibri" w:hAnsi="Calibri"/>
          <w:b/>
          <w:bCs/>
          <w:i w:val="false"/>
          <w:iCs w:val="false"/>
          <w:sz w:val="22"/>
          <w:szCs w:val="22"/>
        </w:rPr>
        <w:t xml:space="preserve">13 May 26 (see §6): </w:t>
      </w:r>
      <w:r>
        <w:rPr>
          <w:rFonts w:ascii="Calibri" w:cs="Calibri" w:eastAsia="Calibri" w:hAnsi="Calibri"/>
          <w:b w:val="false"/>
          <w:bCs w:val="false"/>
          <w:i w:val="false"/>
          <w:iCs w:val="false"/>
          <w:sz w:val="22"/>
          <w:szCs w:val="22"/>
        </w:rPr>
        <w:t xml:space="preserve">Inside-day with bearish bias; PPI hot-print day. Wide lower wick reaches 4650 but close pins essentially flat at 4704. Close location ~70% of range — buyers defended the lower zone but couldn't reclaim the prior open. RSI2 floored.</w:t>
      </w:r>
    </w:p>
    <w:p>
      <w:pPr>
        <w:pStyle w:val="ListParagraph"/>
        <w:numPr>
          <w:ilvl w:val="0"/>
          <w:numId w:val="2"/>
        </w:numPr>
        <w:spacing w:after="80"/>
      </w:pPr>
      <w:r>
        <w:rPr>
          <w:rFonts w:ascii="Calibri" w:cs="Calibri" w:eastAsia="Calibri" w:hAnsi="Calibri"/>
          <w:b/>
          <w:bCs/>
          <w:i w:val="false"/>
          <w:iCs w:val="false"/>
          <w:sz w:val="22"/>
          <w:szCs w:val="22"/>
        </w:rPr>
        <w:t xml:space="preserve">14 May 26 (see §6): </w:t>
      </w:r>
      <w:r>
        <w:rPr>
          <w:rFonts w:ascii="Calibri" w:cs="Calibri" w:eastAsia="Calibri" w:hAnsi="Calibri"/>
          <w:b w:val="false"/>
          <w:bCs w:val="false"/>
          <w:i w:val="false"/>
          <w:iCs w:val="false"/>
          <w:sz w:val="22"/>
          <w:szCs w:val="22"/>
        </w:rPr>
        <w:t xml:space="preserve">Bearish range-extension to 4659 low; close 4685 at ~29% of range. The intraday rally to 4750 failed sharply at the prior-day open — a classic supply-zone rejection. RSI2 still pinned at 0; no momentum reset achieved.</w:t>
      </w:r>
    </w:p>
    <w:p>
      <w:pPr>
        <w:pStyle w:val="ListParagraph"/>
        <w:numPr>
          <w:ilvl w:val="0"/>
          <w:numId w:val="2"/>
        </w:numPr>
        <w:spacing w:after="80"/>
      </w:pPr>
      <w:r>
        <w:rPr>
          <w:rFonts w:ascii="Calibri" w:cs="Calibri" w:eastAsia="Calibri" w:hAnsi="Calibri"/>
          <w:b/>
          <w:bCs/>
          <w:i w:val="false"/>
          <w:iCs w:val="false"/>
          <w:sz w:val="22"/>
          <w:szCs w:val="22"/>
        </w:rPr>
        <w:t xml:space="preserve">15 May 26 (see §6): </w:t>
      </w:r>
      <w:r>
        <w:rPr>
          <w:rFonts w:ascii="Calibri" w:cs="Calibri" w:eastAsia="Calibri" w:hAnsi="Calibri"/>
          <w:b w:val="false"/>
          <w:bCs w:val="false"/>
          <w:i w:val="false"/>
          <w:iCs w:val="false"/>
          <w:sz w:val="22"/>
          <w:szCs w:val="22"/>
        </w:rPr>
        <w:t xml:space="preserve">Decisive bearish range-expansion: open 4690, low 4481, close 4540 — close at ~26% of range and -2.6% on day. Drove the weekly drawdown to ~4% (Reuters/CNBC corroborated). The session broke the prior consolidation floor and established the new lower swing low at 4481.</w:t>
      </w:r>
    </w:p>
    <w:p>
      <w:pPr>
        <w:pStyle w:val="ListParagraph"/>
        <w:numPr>
          <w:ilvl w:val="0"/>
          <w:numId w:val="2"/>
        </w:numPr>
        <w:spacing w:after="80"/>
      </w:pPr>
      <w:r>
        <w:rPr>
          <w:rFonts w:ascii="Calibri" w:cs="Calibri" w:eastAsia="Calibri" w:hAnsi="Calibri"/>
          <w:b/>
          <w:bCs/>
          <w:i w:val="false"/>
          <w:iCs w:val="false"/>
          <w:sz w:val="22"/>
          <w:szCs w:val="22"/>
        </w:rPr>
        <w:t xml:space="preserve">18 May 26 (see §6): </w:t>
      </w:r>
      <w:r>
        <w:rPr>
          <w:rFonts w:ascii="Calibri" w:cs="Calibri" w:eastAsia="Calibri" w:hAnsi="Calibri"/>
          <w:b w:val="false"/>
          <w:bCs w:val="false"/>
          <w:i w:val="false"/>
          <w:iCs w:val="false"/>
          <w:sz w:val="22"/>
          <w:szCs w:val="22"/>
        </w:rPr>
        <w:t xml:space="preserve">Small-body doji at the lows: open 4540, low 4480, high 4580, close 4542 — close at ~27% of range, almost identical to open. The lower wick to 4480 retested the 15 May swing low with no follow-through. RSI2 ticks off zero to 1.6 — the first absence of fresh downside momentum in the window.</w:t>
      </w:r>
    </w:p>
    <w:p>
      <w:pPr>
        <w:spacing w:after="80" w:before="160"/>
      </w:pPr>
      <w:r>
        <w:rPr>
          <w:rFonts w:ascii="Calibri" w:cs="Calibri" w:eastAsia="Calibri" w:hAnsi="Calibri"/>
          <w:b/>
          <w:bCs/>
          <w:color w:val="374151"/>
          <w:sz w:val="22"/>
          <w:szCs w:val="22"/>
        </w:rPr>
        <w:t xml:space="preserve">Sequence assessment</w:t>
      </w:r>
    </w:p>
    <w:p>
      <w:pPr>
        <w:spacing w:after="0" w:before="0"/>
      </w:pPr>
      <w:r>
        <w:rPr>
          <w:rFonts w:ascii="Calibri" w:cs="Calibri" w:eastAsia="Calibri" w:hAnsi="Calibri"/>
          <w:b w:val="false"/>
          <w:bCs w:val="false"/>
          <w:i w:val="false"/>
          <w:iCs w:val="false"/>
          <w:sz w:val="22"/>
          <w:szCs w:val="22"/>
        </w:rPr>
        <w:t xml:space="preserve">The 5-session sequence is classified as </w:t>
      </w:r>
    </w:p>
    <w:p>
      <w:pPr>
        <w:spacing w:after="80" w:before="0"/>
      </w:pPr>
      <w:r>
        <w:rPr>
          <w:rFonts w:ascii="Calibri" w:cs="Calibri" w:eastAsia="Calibri" w:hAnsi="Calibri"/>
          <w:b/>
          <w:bCs/>
          <w:i w:val="false"/>
          <w:iCs w:val="false"/>
          <w:color w:val="C62828"/>
          <w:sz w:val="22"/>
          <w:szCs w:val="22"/>
        </w:rPr>
        <w:t xml:space="preserve">Exhaustion </w:t>
      </w:r>
      <w:r>
        <w:rPr>
          <w:rFonts w:ascii="Calibri" w:cs="Calibri" w:eastAsia="Calibri" w:hAnsi="Calibri"/>
          <w:b w:val="false"/>
          <w:bCs w:val="false"/>
          <w:i w:val="false"/>
          <w:iCs w:val="false"/>
          <w:sz w:val="22"/>
          <w:szCs w:val="22"/>
        </w:rPr>
        <w:t xml:space="preserve">— the final session (18 May) prints a small-bodied doji at the lower extreme of the prior session's range, with RSI2 finally lifting off the zero-floor. The 12–15 May leg shows extended-range continuation; 18 May breaks that pattern. This is a textbook exhaustion-reversal-risk setup, but it is not a reversal confirmation: a higher close above the 4580 session high is required to validate.</w:t>
      </w:r>
    </w:p>
    <w:p>
      <w:pPr>
        <w:spacing w:after="80" w:before="160"/>
      </w:pPr>
      <w:r>
        <w:rPr>
          <w:rFonts w:ascii="Calibri" w:cs="Calibri" w:eastAsia="Calibri" w:hAnsi="Calibri"/>
          <w:b/>
          <w:bCs/>
          <w:color w:val="374151"/>
          <w:sz w:val="22"/>
          <w:szCs w:val="22"/>
        </w:rPr>
        <w:t xml:space="preserve">Nearest support and resistance</w:t>
      </w:r>
    </w:p>
    <w:p>
      <w:pPr>
        <w:spacing w:after="80" w:before="0"/>
      </w:pPr>
      <w:r>
        <w:rPr>
          <w:rFonts w:ascii="Calibri" w:cs="Calibri" w:eastAsia="Calibri" w:hAnsi="Calibri"/>
          <w:b w:val="false"/>
          <w:bCs w:val="false"/>
          <w:i w:val="false"/>
          <w:iCs w:val="false"/>
          <w:sz w:val="22"/>
          <w:szCs w:val="22"/>
        </w:rPr>
        <w:t xml:space="preserve">Directly observable from the 5-day window: nearest support = 4480.79 (15 May / 18 May swing low confluence); nearest resistance = 4580.00 (18 May session high), then 4690 (15 May open / 18 May likely-supply zone).</w:t>
      </w:r>
    </w:p>
    <w:p>
      <w:pPr>
        <w:spacing w:after="80" w:before="160"/>
      </w:pPr>
      <w:r>
        <w:rPr>
          <w:rFonts w:ascii="Calibri" w:cs="Calibri" w:eastAsia="Calibri" w:hAnsi="Calibri"/>
          <w:b/>
          <w:bCs/>
          <w:color w:val="374151"/>
          <w:sz w:val="22"/>
          <w:szCs w:val="22"/>
        </w:rPr>
        <w:t xml:space="preserve">Judgement label</w:t>
      </w:r>
    </w:p>
    <w:p>
      <w:pPr>
        <w:spacing w:after="80" w:before="0"/>
      </w:pPr>
      <w:r>
        <w:rPr>
          <w:rFonts w:ascii="Calibri" w:cs="Calibri" w:eastAsia="Calibri" w:hAnsi="Calibri"/>
          <w:b/>
          <w:bCs/>
          <w:i w:val="false"/>
          <w:iCs w:val="false"/>
          <w:color w:val="C62828"/>
          <w:sz w:val="22"/>
          <w:szCs w:val="22"/>
        </w:rPr>
        <w:t xml:space="preserve">Exhaustion — reversal risk</w:t>
      </w:r>
    </w:p>
    <w:p>
      <w:pPr>
        <w:spacing w:after="80" w:before="0"/>
      </w:pPr>
      <w:r>
        <w:rPr>
          <w:rFonts w:ascii="Calibri" w:cs="Calibri" w:eastAsia="Calibri" w:hAnsi="Calibri"/>
          <w:b w:val="false"/>
          <w:bCs w:val="false"/>
          <w:i/>
          <w:iCs/>
          <w:sz w:val="20"/>
          <w:szCs w:val="20"/>
        </w:rPr>
        <w:t xml:space="preserve">This label feeds §1 Executive Snapshot and §16 Forward View. Note: it is consistent with the §9 medium-term Trending-Down classification (medium-term still down, but a short-term technical bounce is the live risk).</w:t>
      </w:r>
    </w:p>
    <w:p>
      <w:pPr>
        <w:pBdr>
          <w:bottom w:val="single" w:color="1F3864" w:sz="8" w:space="2"/>
        </w:pBdr>
        <w:spacing w:after="140" w:before="280"/>
      </w:pPr>
      <w:r>
        <w:rPr>
          <w:rFonts w:ascii="Calibri" w:cs="Calibri" w:eastAsia="Calibri" w:hAnsi="Calibri"/>
          <w:b/>
          <w:bCs/>
          <w:color w:val="1F3864"/>
          <w:sz w:val="30"/>
          <w:szCs w:val="30"/>
        </w:rPr>
        <w:t xml:space="preserve">§9  Medium-Term Regime &amp; VOLator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Element</w:t>
            </w:r>
          </w:p>
        </w:tc>
        <w:tc>
          <w:tcPr>
            <w:tcW w:type="dxa" w:w="65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Reading</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Regime classification</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Trending-Down on the 25-session window</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Supporting metrics</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Overlap ratio ~0.18 (low, supports trend); directional persistence high (downside dominates); VOLator slope on Gold = +1.50 over 5 sessions (volatility expanding into the trend); median RSI2 over 25 sessions ~28 (sub-50 bias)</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Bias</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Bearish</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VOLator latest (Gold)</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+1.00 (capped at upper bound — expanded volatility regime)</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VOLator latest (USDX)</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−1.00 (volatility-suppressed steady advance)</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VOLator latest (S&amp;P 500)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+0.59 (above midpoint, expanding — equity stress)</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VOLator latest (DAX 40)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+1.00 (capped — European risk-off acceleration)</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Preferred trade protocol</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Trend-following (sell rallies) is structurally correct for the medium-term regime; the §8 exhaustion read warns against fresh entries at the lows — bias is to wait for a rally back to weekly-P (4591) or weekly-R1 (4702) for trend re-engagement</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Kaufman confirmation</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KER smoothed = −0.78 → Trending-Down — Moderate (well beyond |0.13| threshold). Agrees with the regime classification — no conflict.</w:t>
            </w:r>
          </w:p>
        </w:tc>
      </w:tr>
    </w:tbl>
    <w:p>
      <w:pPr>
        <w:pBdr>
          <w:bottom w:val="single" w:color="1F3864" w:sz="8" w:space="2"/>
        </w:pBdr>
        <w:spacing w:after="140" w:before="280"/>
      </w:pPr>
      <w:r>
        <w:rPr>
          <w:rFonts w:ascii="Calibri" w:cs="Calibri" w:eastAsia="Calibri" w:hAnsi="Calibri"/>
          <w:b/>
          <w:bCs/>
          <w:color w:val="1F3864"/>
          <w:sz w:val="30"/>
          <w:szCs w:val="30"/>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1500"/>
        <w:gridCol w:w="1860"/>
      </w:tblGrid>
      <w:tr>
        <w:tc>
          <w:tcPr>
            <w:tcW w:type="dxa" w:w="16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Counter</w:t>
            </w:r>
          </w:p>
        </w:tc>
        <w:tc>
          <w:tcPr>
            <w:tcW w:type="dxa" w:w="16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5-day direction</w:t>
            </w:r>
          </w:p>
        </w:tc>
        <w:tc>
          <w:tcPr>
            <w:tcW w:type="dxa" w:w="28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Mechanism to Gold</w:t>
            </w:r>
          </w:p>
        </w:tc>
        <w:tc>
          <w:tcPr>
            <w:tcW w:type="dxa" w:w="15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Confirmation status</w:t>
            </w:r>
          </w:p>
        </w:tc>
        <w:tc>
          <w:tcPr>
            <w:tcW w:type="dxa" w:w="18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Implication</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USDX</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Rising (98.10 → 99.25 close 15 May; ~99.25 still on 18 May)</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Stronger dollar increases the foreign-currency cost of gold and is the dominant inverse correlation; rising real yields routed through the dollar reduce the appeal of zero-yield bullion.</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Confirms</w:t>
            </w:r>
          </w:p>
        </w:tc>
        <w:tc>
          <w:tcPr>
            <w:tcW w:type="dxa" w:w="1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Persistent USDX strength keeps medium-term pressure on gold; reversal would be the most important single bullish catalyst.</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S&amp;P 500</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Falling (~7,570 → 7,408.50 close 15 May)</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Equity sell-offs from inflation-driven yield shocks typically pressure gold via the real-yield channel rather than aiding it via safe-haven flows — this regime is the inverse of a typical risk-off bid for gold.</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Confirms</w:t>
            </w:r>
          </w:p>
        </w:tc>
        <w:tc>
          <w:tcPr>
            <w:tcW w:type="dxa" w:w="1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Joint equity / metals sell-off confirms the regime is yield-led, not growth-fear-led. Watch for VIX spike or a Treasury bid — that would change the gold story.</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DAX 40</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Falling sharply (~24,449 → 23,950 close 15 May)</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European equity stress confirms a global risk-off character that nonetheless coexists with rising yields — the cross-asset signature of an inflation/policy fear rather than a recession fear.</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Confirms</w:t>
            </w:r>
          </w:p>
        </w:tc>
        <w:tc>
          <w:tcPr>
            <w:tcW w:type="dxa" w:w="1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Same regime read as S&amp;P 500. DAX volatility expansion (VOLator +1.00) underscores the depth of the European re-pricing.</w:t>
            </w:r>
          </w:p>
        </w:tc>
      </w:tr>
    </w:tbl>
    <w:p>
      <w:pPr>
        <w:spacing w:after="80" w:before="0"/>
      </w:pPr>
      <w:r>
        <w:rPr>
          <w:rFonts w:ascii="Calibri" w:cs="Calibri" w:eastAsia="Calibri" w:hAnsi="Calibri"/>
          <w:b w:val="false"/>
          <w:bCs w:val="false"/>
          <w:i/>
          <w:iCs/>
          <w:sz w:val="20"/>
          <w:szCs w:val="20"/>
        </w:rPr>
        <w:t xml:space="preserve">No counter contradiction. All three active counters confirm the §9 Trending-Down regime via the real-yield / dollar channel. The cross-asset confirmation status for direction-scoring is therefore CONFIRM (bearish).</w:t>
      </w:r>
    </w:p>
    <w:p>
      <w:pPr>
        <w:pBdr>
          <w:bottom w:val="single" w:color="1F3864" w:sz="8" w:space="2"/>
        </w:pBdr>
        <w:spacing w:after="140" w:before="280"/>
      </w:pPr>
      <w:r>
        <w:rPr>
          <w:rFonts w:ascii="Calibri" w:cs="Calibri" w:eastAsia="Calibri" w:hAnsi="Calibri"/>
          <w:b/>
          <w:bCs/>
          <w:color w:val="1F3864"/>
          <w:sz w:val="30"/>
          <w:szCs w:val="30"/>
        </w:rPr>
        <w:t xml:space="preserve">§11  Floor Pivot Analysis</w:t>
      </w:r>
    </w:p>
    <w:p>
      <w:pPr>
        <w:spacing w:after="80" w:before="160"/>
      </w:pPr>
      <w:r>
        <w:rPr>
          <w:rFonts w:ascii="Calibri" w:cs="Calibri" w:eastAsia="Calibri" w:hAnsi="Calibri"/>
          <w:b/>
          <w:bCs/>
          <w:color w:val="374151"/>
          <w:sz w:val="22"/>
          <w:szCs w:val="22"/>
        </w:rPr>
        <w:t xml:space="preserve">Daily pivots — anchored on 15 May 2026 H/L/C  (Source status: dual-source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Level</w:t>
            </w:r>
          </w:p>
        </w:tc>
        <w:tc>
          <w:tcPr>
            <w:tcW w:type="dxa" w:w="78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Price (USD/oz)</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R3</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4902.05</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R2</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4806.02</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R1</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4673.05</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P</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4577.02</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S1</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4444.05</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S2</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4348.02</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S3</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4215.05</w:t>
            </w:r>
          </w:p>
        </w:tc>
      </w:tr>
    </w:tbl>
    <w:p>
      <w:pPr>
        <w:spacing w:after="80" w:before="160"/>
      </w:pPr>
      <w:r>
        <w:rPr>
          <w:rFonts w:ascii="Calibri" w:cs="Calibri" w:eastAsia="Calibri" w:hAnsi="Calibri"/>
          <w:b/>
          <w:bCs/>
          <w:color w:val="374151"/>
          <w:sz w:val="22"/>
          <w:szCs w:val="22"/>
        </w:rPr>
        <w:t xml:space="preserve">Weekly pivots — anchored on W/E 15 May 2026 H/L/C  (Source status: dual-source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Level</w:t>
            </w:r>
          </w:p>
        </w:tc>
        <w:tc>
          <w:tcPr>
            <w:tcW w:type="dxa" w:w="78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Price (USD/oz)</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R3</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4974.55</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R2</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4864.02</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R1</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4702.05</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P</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4591.52</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S1</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4429.55</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S2</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4319.02</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S3</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4157.05</w:t>
            </w:r>
          </w:p>
        </w:tc>
      </w:tr>
    </w:tbl>
    <w:p>
      <w:pPr>
        <w:spacing w:after="80" w:before="160"/>
      </w:pPr>
      <w:r>
        <w:rPr>
          <w:rFonts w:ascii="Calibri" w:cs="Calibri" w:eastAsia="Calibri" w:hAnsi="Calibri"/>
          <w:b/>
          <w:bCs/>
          <w:color w:val="374151"/>
          <w:sz w:val="22"/>
          <w:szCs w:val="22"/>
        </w:rPr>
        <w:t xml:space="preserve">Monthly pivots — anchored on April 2026 H/L/C  (Source status: single-source indicative —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Level</w:t>
            </w:r>
          </w:p>
        </w:tc>
        <w:tc>
          <w:tcPr>
            <w:tcW w:type="dxa" w:w="78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Price (USD/oz)</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R3</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5650.00</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R2</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5300.00</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R1</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5050.00</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P</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4750.00</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S1</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4450.00</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S2</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3900.00</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S3</w:t>
            </w:r>
          </w:p>
        </w:tc>
        <w:tc>
          <w:tcPr>
            <w:tcW w:type="dxa" w:w="7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3600.00</w:t>
            </w:r>
          </w:p>
        </w:tc>
      </w:tr>
    </w:tbl>
    <w:p>
      <w:pPr>
        <w:spacing w:after="80" w:before="0"/>
      </w:pPr>
      <w:r>
        <w:rPr>
          <w:rFonts w:ascii="Calibri" w:cs="Calibri" w:eastAsia="Calibri" w:hAnsi="Calibri"/>
          <w:b w:val="false"/>
          <w:bCs w:val="false"/>
          <w:i/>
          <w:iCs/>
          <w:sz w:val="18"/>
          <w:szCs w:val="18"/>
        </w:rPr>
        <w:t xml:space="preserve">Monthly pivots are flagged single-source-indicative — the April 2026 high/low were inferred from monthly-range commentary rather than dual-tape settlement data. M5 §11d propagates this flag into the §21 trade-card construction.</w:t>
      </w:r>
    </w:p>
    <w:p>
      <w:pPr>
        <w:spacing w:after="80" w:before="160"/>
      </w:pPr>
      <w:r>
        <w:rPr>
          <w:rFonts w:ascii="Calibri" w:cs="Calibri" w:eastAsia="Calibri" w:hAnsi="Calibri"/>
          <w:b/>
          <w:bCs/>
          <w:color w:val="374151"/>
          <w:sz w:val="22"/>
          <w:szCs w:val="22"/>
        </w:rPr>
        <w:t xml:space="preserve">Position narrative</w:t>
      </w:r>
    </w:p>
    <w:p>
      <w:pPr>
        <w:pStyle w:val="ListParagraph"/>
        <w:numPr>
          <w:ilvl w:val="0"/>
          <w:numId w:val="2"/>
        </w:numPr>
        <w:spacing w:after="80"/>
      </w:pPr>
      <w:r>
        <w:rPr>
          <w:rFonts w:ascii="Calibri" w:cs="Calibri" w:eastAsia="Calibri" w:hAnsi="Calibri"/>
          <w:b w:val="false"/>
          <w:bCs w:val="false"/>
          <w:sz w:val="22"/>
          <w:szCs w:val="22"/>
        </w:rPr>
        <w:t xml:space="preserve">Daily: 18 May close (4,542.49) sits below the daily P (4,577.02) and below daily R1, between P and S1. Bearish daily position; nearest defensible support 4,444 (daily-S1).</w:t>
      </w:r>
    </w:p>
    <w:p>
      <w:pPr>
        <w:pStyle w:val="ListParagraph"/>
        <w:numPr>
          <w:ilvl w:val="0"/>
          <w:numId w:val="2"/>
        </w:numPr>
        <w:spacing w:after="80"/>
      </w:pPr>
      <w:r>
        <w:rPr>
          <w:rFonts w:ascii="Calibri" w:cs="Calibri" w:eastAsia="Calibri" w:hAnsi="Calibri"/>
          <w:b w:val="false"/>
          <w:bCs w:val="false"/>
          <w:sz w:val="22"/>
          <w:szCs w:val="22"/>
        </w:rPr>
        <w:t xml:space="preserve">Weekly: close is also below weekly P (4,591.52), wedged between weekly P and weekly S1 (4,429.55). Bearish weekly position.</w:t>
      </w:r>
    </w:p>
    <w:p>
      <w:pPr>
        <w:pStyle w:val="ListParagraph"/>
        <w:numPr>
          <w:ilvl w:val="0"/>
          <w:numId w:val="2"/>
        </w:numPr>
        <w:spacing w:after="80"/>
      </w:pPr>
      <w:r>
        <w:rPr>
          <w:rFonts w:ascii="Calibri" w:cs="Calibri" w:eastAsia="Calibri" w:hAnsi="Calibri"/>
          <w:b w:val="false"/>
          <w:bCs w:val="false"/>
          <w:sz w:val="22"/>
          <w:szCs w:val="22"/>
        </w:rPr>
        <w:t xml:space="preserve">Monthly: close is well below monthly P (4,750) and approaching monthly S1 (4,450). Bearish monthly position.</w:t>
      </w:r>
    </w:p>
    <w:p>
      <w:pPr>
        <w:pStyle w:val="ListParagraph"/>
        <w:numPr>
          <w:ilvl w:val="0"/>
          <w:numId w:val="2"/>
        </w:numPr>
        <w:spacing w:after="80"/>
      </w:pPr>
      <w:r>
        <w:rPr>
          <w:rFonts w:ascii="Calibri" w:cs="Calibri" w:eastAsia="Calibri" w:hAnsi="Calibri"/>
          <w:b w:val="false"/>
          <w:bCs w:val="false"/>
          <w:sz w:val="22"/>
          <w:szCs w:val="22"/>
        </w:rPr>
        <w:t xml:space="preserve">Confluence zone: daily-S1 (4,444) and monthly-S1 (4,450) sit within 0.13% of each other — a high-quality 4,444–4,450 support cluster sits ≈$100 below the current close. Weekly-S1 (4,429.55) is just below, broadening the support band to 4,429–4,450.</w:t>
      </w:r>
    </w:p>
    <w:p>
      <w:pPr>
        <w:pBdr>
          <w:bottom w:val="single" w:color="1F3864" w:sz="8" w:space="2"/>
        </w:pBdr>
        <w:spacing w:after="140" w:before="280"/>
      </w:pPr>
      <w:r>
        <w:rPr>
          <w:rFonts w:ascii="Calibri" w:cs="Calibri" w:eastAsia="Calibri" w:hAnsi="Calibri"/>
          <w:b/>
          <w:bCs/>
          <w:color w:val="1F3864"/>
          <w:sz w:val="30"/>
          <w:szCs w:val="30"/>
        </w:rPr>
        <w:t xml:space="preserve">§12  Key Market Considerations</w:t>
      </w:r>
    </w:p>
    <w:p>
      <w:pPr>
        <w:spacing w:after="80" w:before="160"/>
      </w:pPr>
      <w:r>
        <w:rPr>
          <w:rFonts w:ascii="Calibri" w:cs="Calibri" w:eastAsia="Calibri" w:hAnsi="Calibri"/>
          <w:b/>
          <w:bCs/>
          <w:color w:val="374151"/>
          <w:sz w:val="22"/>
          <w:szCs w:val="22"/>
        </w:rPr>
        <w:t xml:space="preserve">Supply</w:t>
      </w:r>
    </w:p>
    <w:p>
      <w:pPr>
        <w:spacing w:after="80" w:before="0"/>
      </w:pPr>
      <w:r>
        <w:rPr>
          <w:rFonts w:ascii="Calibri" w:cs="Calibri" w:eastAsia="Calibri" w:hAnsi="Calibri"/>
          <w:b w:val="false"/>
          <w:bCs w:val="false"/>
          <w:i w:val="false"/>
          <w:iCs w:val="false"/>
          <w:sz w:val="22"/>
          <w:szCs w:val="22"/>
        </w:rPr>
        <w:t xml:space="preserve">Mine output and recycled supply are not the marginal price driver this week. Central bank purchases (PBoC, RBI) have continued at elevated rates through 2025–2026 per World Gold Council commentary but reported pace has softened slightly into the price drawdown — buyers are price-sensitive, not unconditional. Net status: neutral-to-supportive over the strategic horizon; not market-moving on the daily frame.</w:t>
      </w:r>
    </w:p>
    <w:p>
      <w:pPr>
        <w:spacing w:after="80" w:before="160"/>
      </w:pPr>
      <w:r>
        <w:rPr>
          <w:rFonts w:ascii="Calibri" w:cs="Calibri" w:eastAsia="Calibri" w:hAnsi="Calibri"/>
          <w:b/>
          <w:bCs/>
          <w:color w:val="374151"/>
          <w:sz w:val="22"/>
          <w:szCs w:val="22"/>
        </w:rPr>
        <w:t xml:space="preserve">Demand</w:t>
      </w:r>
    </w:p>
    <w:p>
      <w:pPr>
        <w:spacing w:after="80" w:before="0"/>
      </w:pPr>
      <w:r>
        <w:rPr>
          <w:rFonts w:ascii="Calibri" w:cs="Calibri" w:eastAsia="Calibri" w:hAnsi="Calibri"/>
          <w:b w:val="false"/>
          <w:bCs w:val="false"/>
          <w:i w:val="false"/>
          <w:iCs w:val="false"/>
          <w:sz w:val="22"/>
          <w:szCs w:val="22"/>
        </w:rPr>
        <w:t xml:space="preserve">Investment demand has rotated rapidly with the rates/dollar regime — ETF outflows accelerated through last week per market commentary, while physical premia in Asia (Shanghai-London differential) held positive, indicating that allocated-bullion buyers in Asia continue to see sub-$4,600 as accumulation territory. India gold investment demand share has reportedly climbed to 40–45% (Deloitte). Net status: paper demand price-negative; physical demand price-supportive — the rotation between the two is the active battleground.</w:t>
      </w:r>
    </w:p>
    <w:p>
      <w:pPr>
        <w:spacing w:after="80" w:before="160"/>
      </w:pPr>
      <w:r>
        <w:rPr>
          <w:rFonts w:ascii="Calibri" w:cs="Calibri" w:eastAsia="Calibri" w:hAnsi="Calibri"/>
          <w:b/>
          <w:bCs/>
          <w:color w:val="374151"/>
          <w:sz w:val="22"/>
          <w:szCs w:val="22"/>
        </w:rPr>
        <w:t xml:space="preserve">Substitution and spread dynamics</w:t>
      </w:r>
    </w:p>
    <w:p>
      <w:pPr>
        <w:spacing w:after="80" w:before="0"/>
      </w:pPr>
      <w:r>
        <w:rPr>
          <w:rFonts w:ascii="Calibri" w:cs="Calibri" w:eastAsia="Calibri" w:hAnsi="Calibri"/>
          <w:b w:val="false"/>
          <w:bCs w:val="false"/>
          <w:i w:val="false"/>
          <w:iCs w:val="false"/>
          <w:sz w:val="22"/>
          <w:szCs w:val="22"/>
        </w:rPr>
        <w:t xml:space="preserve">Silver fell ~12% week-on-week and is now trading near $76.75 — gold/silver ratio has expanded toward 59:1 from compressed levels, consistent with relative-strength flight to gold within the precious metals complex even as both fall. Platinum/palladium absorbed less of the move, indicating the sell-off is concentrated in monetary metals rather than industrial. Real-yield-equivalent (TIPS 10y at ~2.00% per FRED 14 May) acts as the principal substitute and is the dominant pressure channel.</w:t>
      </w:r>
    </w:p>
    <w:p>
      <w:pPr>
        <w:spacing w:after="80" w:before="160"/>
      </w:pPr>
      <w:r>
        <w:rPr>
          <w:rFonts w:ascii="Calibri" w:cs="Calibri" w:eastAsia="Calibri" w:hAnsi="Calibri"/>
          <w:b/>
          <w:bCs/>
          <w:color w:val="374151"/>
          <w:sz w:val="22"/>
          <w:szCs w:val="22"/>
        </w:rPr>
        <w:t xml:space="preserve">Policy and regulation</w:t>
      </w:r>
    </w:p>
    <w:p>
      <w:pPr>
        <w:spacing w:after="80" w:before="0"/>
      </w:pPr>
      <w:r>
        <w:rPr>
          <w:rFonts w:ascii="Calibri" w:cs="Calibri" w:eastAsia="Calibri" w:hAnsi="Calibri"/>
          <w:b w:val="false"/>
          <w:bCs w:val="false"/>
          <w:i w:val="false"/>
          <w:iCs w:val="false"/>
          <w:sz w:val="22"/>
          <w:szCs w:val="22"/>
        </w:rPr>
        <w:t xml:space="preserve">Fed policy expectations have hardened decisively: CME FedWatch implied probability of a December 2026 rate hike has risen to ~48% from 14% a week earlier, with the probability of any 2026 cut effectively eliminated. Senate confirmation of a hawkish-leaning Fed Chair Kevin Warsh (per USAGOLD commentary) is part of the institutional re-rating. India introduced silver-import curbs over the weekend — read as an inflation-defensive policy that does not directly help gold but signals the broader EM policy stance. Status: price-negative.</w:t>
      </w:r>
    </w:p>
    <w:p>
      <w:pPr>
        <w:spacing w:after="80" w:before="160"/>
      </w:pPr>
      <w:r>
        <w:rPr>
          <w:rFonts w:ascii="Calibri" w:cs="Calibri" w:eastAsia="Calibri" w:hAnsi="Calibri"/>
          <w:b/>
          <w:bCs/>
          <w:color w:val="374151"/>
          <w:sz w:val="22"/>
          <w:szCs w:val="22"/>
        </w:rPr>
        <w:t xml:space="preserve">Macro and market structure</w:t>
      </w:r>
    </w:p>
    <w:p>
      <w:pPr>
        <w:spacing w:after="80" w:before="0"/>
      </w:pPr>
      <w:r>
        <w:rPr>
          <w:rFonts w:ascii="Calibri" w:cs="Calibri" w:eastAsia="Calibri" w:hAnsi="Calibri"/>
          <w:b w:val="false"/>
          <w:bCs w:val="false"/>
          <w:i w:val="false"/>
          <w:iCs w:val="false"/>
          <w:sz w:val="22"/>
          <w:szCs w:val="22"/>
        </w:rPr>
        <w:t xml:space="preserve">US 10-year nominal yield at ~4.60% (highest since early 2025); 10-year real yield ~2.00%; USDX ~99.25. WTI crude has tested ~$103/bbl on the Strait of Hormuz closure narrative — the inflation-feed-through is now mechanical: higher energy → higher headline CPI/PPI → repriced Fed → higher yields → stronger dollar → lower gold. Status: price-negative on every link of the chain.</w:t>
      </w:r>
    </w:p>
    <w:p>
      <w:pPr>
        <w:spacing w:after="80" w:before="160"/>
      </w:pPr>
      <w:r>
        <w:rPr>
          <w:rFonts w:ascii="Calibri" w:cs="Calibri" w:eastAsia="Calibri" w:hAnsi="Calibri"/>
          <w:b/>
          <w:bCs/>
          <w:color w:val="374151"/>
          <w:sz w:val="22"/>
          <w:szCs w:val="22"/>
        </w:rPr>
        <w:t xml:space="preserve">Near-term catalysts</w:t>
      </w:r>
    </w:p>
    <w:p>
      <w:pPr>
        <w:pStyle w:val="ListParagraph"/>
        <w:numPr>
          <w:ilvl w:val="0"/>
          <w:numId w:val="2"/>
        </w:numPr>
        <w:spacing w:after="80"/>
      </w:pPr>
      <w:r>
        <w:rPr>
          <w:rFonts w:ascii="Calibri" w:cs="Calibri" w:eastAsia="Calibri" w:hAnsi="Calibri"/>
          <w:b w:val="false"/>
          <w:bCs w:val="false"/>
          <w:sz w:val="22"/>
          <w:szCs w:val="22"/>
        </w:rPr>
        <w:t xml:space="preserve">FOMC April minutes — Wed 20 May 2026 (most important single watch item).</w:t>
      </w:r>
    </w:p>
    <w:p>
      <w:pPr>
        <w:pStyle w:val="ListParagraph"/>
        <w:numPr>
          <w:ilvl w:val="0"/>
          <w:numId w:val="2"/>
        </w:numPr>
        <w:spacing w:after="80"/>
      </w:pPr>
      <w:r>
        <w:rPr>
          <w:rFonts w:ascii="Calibri" w:cs="Calibri" w:eastAsia="Calibri" w:hAnsi="Calibri"/>
          <w:b w:val="false"/>
          <w:bCs w:val="false"/>
          <w:sz w:val="22"/>
          <w:szCs w:val="22"/>
        </w:rPr>
        <w:t xml:space="preserve">US flash PMI data — Thu 21 May 2026 (manufacturing and services).</w:t>
      </w:r>
    </w:p>
    <w:p>
      <w:pPr>
        <w:pStyle w:val="ListParagraph"/>
        <w:numPr>
          <w:ilvl w:val="0"/>
          <w:numId w:val="2"/>
        </w:numPr>
        <w:spacing w:after="80"/>
      </w:pPr>
      <w:r>
        <w:rPr>
          <w:rFonts w:ascii="Calibri" w:cs="Calibri" w:eastAsia="Calibri" w:hAnsi="Calibri"/>
          <w:b w:val="false"/>
          <w:bCs w:val="false"/>
          <w:sz w:val="22"/>
          <w:szCs w:val="22"/>
        </w:rPr>
        <w:t xml:space="preserve">Initial jobless claims — Thu 21 May 2026.</w:t>
      </w:r>
    </w:p>
    <w:p>
      <w:pPr>
        <w:pStyle w:val="ListParagraph"/>
        <w:numPr>
          <w:ilvl w:val="0"/>
          <w:numId w:val="2"/>
        </w:numPr>
        <w:spacing w:after="80"/>
      </w:pPr>
      <w:r>
        <w:rPr>
          <w:rFonts w:ascii="Calibri" w:cs="Calibri" w:eastAsia="Calibri" w:hAnsi="Calibri"/>
          <w:b w:val="false"/>
          <w:bCs w:val="false"/>
          <w:sz w:val="22"/>
          <w:szCs w:val="22"/>
        </w:rPr>
        <w:t xml:space="preserve">Univ. of Michigan May inflation expectations — Fri 22 May 2026.</w:t>
      </w:r>
    </w:p>
    <w:p>
      <w:pPr>
        <w:pStyle w:val="ListParagraph"/>
        <w:numPr>
          <w:ilvl w:val="0"/>
          <w:numId w:val="2"/>
        </w:numPr>
        <w:spacing w:after="80"/>
      </w:pPr>
      <w:r>
        <w:rPr>
          <w:rFonts w:ascii="Calibri" w:cs="Calibri" w:eastAsia="Calibri" w:hAnsi="Calibri"/>
          <w:b w:val="false"/>
          <w:bCs w:val="false"/>
          <w:sz w:val="22"/>
          <w:szCs w:val="22"/>
        </w:rPr>
        <w:t xml:space="preserve">Any de-escalation headline on Iran / Strait of Hormuz reopening — would be the largest single bullish gold catalyst available this week.</w:t>
      </w:r>
    </w:p>
    <w:p>
      <w:pPr>
        <w:pBdr>
          <w:bottom w:val="single" w:color="1F3864" w:sz="8" w:space="2"/>
        </w:pBdr>
        <w:spacing w:after="140" w:before="280"/>
      </w:pPr>
      <w:r>
        <w:rPr>
          <w:rFonts w:ascii="Calibri" w:cs="Calibri" w:eastAsia="Calibri" w:hAnsi="Calibri"/>
          <w:b/>
          <w:bCs/>
          <w:color w:val="1F3864"/>
          <w:sz w:val="30"/>
          <w:szCs w:val="30"/>
        </w:rPr>
        <w:t xml:space="preserve">§13  Sentiment, News &amp; Calendar</w:t>
      </w:r>
    </w:p>
    <w:p>
      <w:pPr>
        <w:spacing w:after="80" w:before="160"/>
      </w:pPr>
      <w:r>
        <w:rPr>
          <w:rFonts w:ascii="Calibri" w:cs="Calibri" w:eastAsia="Calibri" w:hAnsi="Calibri"/>
          <w:b/>
          <w:bCs/>
          <w:color w:val="374151"/>
          <w:sz w:val="22"/>
          <w:szCs w:val="22"/>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3000"/>
        <w:gridCol w:w="1100"/>
        <w:gridCol w:w="1300"/>
        <w:gridCol w:w="1560"/>
      </w:tblGrid>
      <w:tr>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Date</w:t>
            </w:r>
          </w:p>
        </w:tc>
        <w:tc>
          <w:tcPr>
            <w:tcW w:type="dxa" w:w="13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Source</w:t>
            </w:r>
          </w:p>
        </w:tc>
        <w:tc>
          <w:tcPr>
            <w:tcW w:type="dxa" w:w="30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Headline (paraphrased)</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Class.</w:t>
            </w:r>
          </w:p>
        </w:tc>
        <w:tc>
          <w:tcPr>
            <w:tcW w:type="dxa" w:w="13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Source class</w:t>
            </w:r>
          </w:p>
        </w:tc>
        <w:tc>
          <w:tcPr>
            <w:tcW w:type="dxa" w:w="15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Derivation quote (≤15 wd)</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18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Reuters/CNBC narrative</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Gold one-week low as dollar firms and Hormuz closure revives inflation fears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Media</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Stronger dollar firmed; Hormuz closure revived inflation fears</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18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Trading Economics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Gold falls to $4,480 area on hawkish Fed expectations from inflation print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Trade Press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Pro-inflationary forces back likelihood of hawkish Fed response</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18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FXStreet (Silver-linked)</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Silver/Gold fall as India curbs silver imports; Fed rate-hike odds rise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Trade Press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Markets see 48% December rate-hike chance, up from 14%</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17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Trading Economics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Gold trades below $4,550; Middle East shock feeding broader inflation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Trade Press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Energy-price shock feeding into broader inflation pressures</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15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FXStreet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Gold sinks 2% as Iran war fuels fresh inflation shock; yields hit highs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Trade Press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Soaring Treasury yields pressure bullion near $4,500 area</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15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Reuters / TD Securities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Gold -2% as Middle East risks support dollar and keep inflation fears in focus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Institutional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Specter of inflation along with hawkish signals on rates</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13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Bloomberg (via CNBC)</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Bond/stock/precious-metals slump as inflation fears mount; silver -7%</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Bearish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Institutional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Inflation fears mount; silver falls seven percent</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07 May</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CNBC commentary</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Gold and silver's historic rally could resume 'as fog of war lifts'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Mixed (lean +)</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Media</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Rally could resume as fog of war lifts</w:t>
            </w:r>
          </w:p>
        </w:tc>
      </w:tr>
    </w:tbl>
    <w:p>
      <w:pPr>
        <w:spacing w:after="80" w:before="0"/>
      </w:pPr>
      <w:r>
        <w:rPr>
          <w:rFonts w:ascii="Calibri" w:cs="Calibri" w:eastAsia="Calibri" w:hAnsi="Calibri"/>
          <w:b w:val="false"/>
          <w:bCs w:val="false"/>
          <w:i/>
          <w:iCs/>
          <w:sz w:val="18"/>
          <w:szCs w:val="18"/>
        </w:rPr>
        <w:t xml:space="preserve">Eight articles in scope for Gold (≥6 minimum met). Each carries a derivation quote ≤15 words per the protocol. Mixed-with-lean classification for the 7 May CNBC article uses +0.3 score per the M2 §9c convention.</w:t>
      </w:r>
    </w:p>
    <w:p>
      <w:pPr>
        <w:spacing w:after="80" w:before="160"/>
      </w:pPr>
      <w:r>
        <w:rPr>
          <w:rFonts w:ascii="Calibri" w:cs="Calibri" w:eastAsia="Calibri" w:hAnsi="Calibri"/>
          <w:b/>
          <w:bCs/>
          <w:color w:val="374151"/>
          <w:sz w:val="22"/>
          <w:szCs w:val="22"/>
        </w:rPr>
        <w:t xml:space="preserve">§13b  Aggregate sentiment  (categorical label + numeric tilt)</w:t>
      </w:r>
    </w:p>
    <w:p>
      <w:pPr>
        <w:spacing w:after="80" w:before="0"/>
      </w:pPr>
      <w:r>
        <w:rPr>
          <w:rFonts w:ascii="Calibri" w:cs="Calibri" w:eastAsia="Calibri" w:hAnsi="Calibri"/>
          <w:b w:val="false"/>
          <w:bCs w:val="false"/>
          <w:i w:val="false"/>
          <w:iCs w:val="false"/>
          <w:sz w:val="22"/>
          <w:szCs w:val="22"/>
        </w:rPr>
        <w:t xml:space="preserve">Counts: 7 Bearish (2 Institutional × 1.0 weight, 4 Trade Press × 0.7, 1 Media × 0.5) and 1 Mixed-with-lean (+0.3 score, Media × 0.5).  Calculation:  Σw·s = (1.0 × −1) + (1.0 × −1) + (0.7 × −1) + (0.7 × −1) + (0.7 × −1) + (0.7 × −1) + (0.5 × −1) + (0.5 × +0.3)  =  −5.7 + 0.15  =  −5.55.  Σw = 1.0 + 1.0 + 0.7 + 0.7 + 0.7 + 0.7 + 0.5 + 0.5 = 5.80.  Tilt = −5.55 / 5.80 = −0.96.  Clipped to [−1, +1] → tilt = −0.96.</w:t>
      </w:r>
    </w:p>
    <w:p>
      <w:pPr>
        <w:spacing w:after="80" w:before="0"/>
      </w:pPr>
      <w:r>
        <w:rPr>
          <w:rFonts w:ascii="Calibri" w:cs="Calibri" w:eastAsia="Calibri" w:hAnsi="Calibri"/>
          <w:b/>
          <w:bCs/>
          <w:i w:val="false"/>
          <w:iCs w:val="false"/>
          <w:sz w:val="22"/>
          <w:szCs w:val="22"/>
        </w:rPr>
        <w:t xml:space="preserve">Aggregate sentiment for Gold: </w:t>
      </w:r>
      <w:r>
        <w:rPr>
          <w:rFonts w:ascii="Calibri" w:cs="Calibri" w:eastAsia="Calibri" w:hAnsi="Calibri"/>
          <w:b/>
          <w:bCs/>
          <w:i w:val="false"/>
          <w:iCs w:val="false"/>
          <w:color w:val="C62828"/>
          <w:sz w:val="22"/>
          <w:szCs w:val="22"/>
        </w:rPr>
        <w:t xml:space="preserve">Predominantly Bearish (tilt = −0.96)</w:t>
      </w:r>
      <w:r>
        <w:rPr>
          <w:rFonts w:ascii="Calibri" w:cs="Calibri" w:eastAsia="Calibri" w:hAnsi="Calibri"/>
          <w:b w:val="false"/>
          <w:bCs w:val="false"/>
          <w:i w:val="false"/>
          <w:iCs w:val="false"/>
          <w:sz w:val="22"/>
          <w:szCs w:val="22"/>
        </w:rPr>
        <w:t xml:space="preserve"> — high-conviction reading, ≥3 articles, not low-confidence.</w:t>
      </w:r>
    </w:p>
    <w:p>
      <w:pPr>
        <w:spacing w:after="80" w:before="0"/>
      </w:pPr>
      <w:r>
        <w:rPr>
          <w:rFonts w:ascii="Calibri" w:cs="Calibri" w:eastAsia="Calibri" w:hAnsi="Calibri"/>
          <w:b w:val="false"/>
          <w:bCs w:val="false"/>
          <w:i/>
          <w:iCs/>
          <w:sz w:val="20"/>
          <w:szCs w:val="20"/>
        </w:rPr>
        <w:t xml:space="preserve">Silver (secondary): Predominantly Bearish — three articles all bearish (UBS demand-cut framing, India import curbs, Fed rate-hike repricing). Tilt not consumed by M5 (primary asset only).</w:t>
      </w:r>
    </w:p>
    <w:p>
      <w:pPr>
        <w:spacing w:after="80" w:before="160"/>
      </w:pPr>
      <w:r>
        <w:rPr>
          <w:rFonts w:ascii="Calibri" w:cs="Calibri" w:eastAsia="Calibri" w:hAnsi="Calibri"/>
          <w:b/>
          <w:bCs/>
          <w:color w:val="374151"/>
          <w:sz w:val="22"/>
          <w:szCs w:val="22"/>
        </w:rPr>
        <w:t xml:space="preserve">§13c  Divergence flag</w:t>
      </w:r>
    </w:p>
    <w:p>
      <w:pPr>
        <w:spacing w:after="80" w:before="0"/>
      </w:pPr>
      <w:r>
        <w:rPr>
          <w:rFonts w:ascii="Calibri" w:cs="Calibri" w:eastAsia="Calibri" w:hAnsi="Calibri"/>
          <w:b w:val="false"/>
          <w:bCs w:val="false"/>
          <w:i/>
          <w:iCs/>
          <w:sz w:val="20"/>
          <w:szCs w:val="20"/>
        </w:rPr>
        <w:t xml:space="preserve">Aggregate sentiment is strongly bearish and price action is strongly bearish — no sentiment/price divergence. Categorical label and numeric tilt agree (both deeply negative). No flag.</w:t>
      </w:r>
    </w:p>
    <w:p>
      <w:pPr>
        <w:spacing w:after="80" w:before="160"/>
      </w:pPr>
      <w:r>
        <w:rPr>
          <w:rFonts w:ascii="Calibri" w:cs="Calibri" w:eastAsia="Calibri" w:hAnsi="Calibri"/>
          <w:b/>
          <w:bCs/>
          <w:color w:val="374151"/>
          <w:sz w:val="22"/>
          <w:szCs w:val="22"/>
        </w:rPr>
        <w:t xml:space="preserve">§13d  News calendar — Previous period (12–18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200"/>
        <w:gridCol w:w="1000"/>
        <w:gridCol w:w="2860"/>
      </w:tblGrid>
      <w:tr>
        <w:tc>
          <w:tcPr>
            <w:tcW w:type="dxa" w:w="12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Date</w:t>
            </w:r>
          </w:p>
        </w:tc>
        <w:tc>
          <w:tcPr>
            <w:tcW w:type="dxa" w:w="2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Event</w:t>
            </w:r>
          </w:p>
        </w:tc>
        <w:tc>
          <w:tcPr>
            <w:tcW w:type="dxa" w:w="22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Prior / Context</w:t>
            </w:r>
          </w:p>
        </w:tc>
        <w:tc>
          <w:tcPr>
            <w:tcW w:type="dxa" w:w="10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Impact</w:t>
            </w:r>
          </w:p>
        </w:tc>
        <w:tc>
          <w:tcPr>
            <w:tcW w:type="dxa" w:w="28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Market implication for Gold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Tue 12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US April CPI release</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Consensus +0.4% m/m, +3.6% y/y</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High</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Print +0.6% m/m and +3.8% y/y — hottest since 2023. Gold initially absorbed it but then began the leg lower as 10y broke to one-year highs.</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Wed 13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US April PPI release</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Consensus +0.3% m/m</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High</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Hot PPI extended the bond/stock/metals slump (Bloomberg commentary). Gold capped at 4,728.</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Thu 14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Trump–Xi summit conclusion</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Pre-meeting hopes for de-escalation</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Medium</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No major breakthrough; metals slid further as energy-shock narrative persisted.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Fri 15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Iran/Hormuz: UAE oil port and nuclear facility hit</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Pre-existing closure</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High</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Drove the 2.6% session loss; established the new swing low at 4,481.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Sat–Sun 16–17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Weekend: Hormuz stalemate continues</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Strait closure into a fifth week</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Medium</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Set up Monday's risk-off gap-and-drift; oil prices firmed further.</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Mon 18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Asia session opens at the lows</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After ~4% weekly drop</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Medium</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Spot tested 4,480 area; closed flat with a small doji — first exhaustion signal.</w:t>
            </w:r>
          </w:p>
        </w:tc>
      </w:tr>
    </w:tbl>
    <w:p>
      <w:pPr>
        <w:spacing w:after="80" w:before="160"/>
      </w:pPr>
      <w:r>
        <w:rPr>
          <w:rFonts w:ascii="Calibri" w:cs="Calibri" w:eastAsia="Calibri" w:hAnsi="Calibri"/>
          <w:b/>
          <w:bCs/>
          <w:color w:val="374151"/>
          <w:sz w:val="22"/>
          <w:szCs w:val="22"/>
        </w:rPr>
        <w:t xml:space="preserve">§13e  News calendar — Upcoming period (19–25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200"/>
        <w:gridCol w:w="1000"/>
        <w:gridCol w:w="2860"/>
      </w:tblGrid>
      <w:tr>
        <w:tc>
          <w:tcPr>
            <w:tcW w:type="dxa" w:w="12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Date</w:t>
            </w:r>
          </w:p>
        </w:tc>
        <w:tc>
          <w:tcPr>
            <w:tcW w:type="dxa" w:w="2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Event</w:t>
            </w:r>
          </w:p>
        </w:tc>
        <w:tc>
          <w:tcPr>
            <w:tcW w:type="dxa" w:w="22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Consensus / Context</w:t>
            </w:r>
          </w:p>
        </w:tc>
        <w:tc>
          <w:tcPr>
            <w:tcW w:type="dxa" w:w="10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Impact</w:t>
            </w:r>
          </w:p>
        </w:tc>
        <w:tc>
          <w:tcPr>
            <w:tcW w:type="dxa" w:w="28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Market implication for Gold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Tue 19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Report as-of date — no top-tier scheduled US data</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Low</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Trading driven by overnight Asia print, Iran headline flow, and yields.</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Wed 20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FOMC April minutes (release)</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Members' deliberation pre-shock</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HIGH</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FLAGGED AS HIGHEST-IMPACT UPCOMING EVENT. Hawkish framing → confirms gold sell-off / extends to 4,444 support. Any dovish hedging language → sharp short-cover rebound toward 4,673 (daily-R1).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Thu 21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Initial jobless claims; US flash PMIs (mfg &amp; svc)</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Claims ~215k; PMIs near 50</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Medium</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A surprise spike in claims would force the bond market to re-price growth fears — historically supportive for gold. PMI miss would be modestly supportive.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Fri 22 May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Univ. of Michigan May inflation expectations</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Prior 5y inflation expectation elevated</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Medium</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Continued elevation = bearish gold (real-yield channel). Any moderation = supportive.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Any day</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De-escalation / Hormuz reopening headline</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Status: closed; talks deadlocked</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HIGH</w:t>
            </w:r>
          </w:p>
        </w:tc>
        <w:tc>
          <w:tcPr>
            <w:tcW w:type="dxa" w:w="2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The single largest available bullish catalyst — would simultaneously lower oil, lower implied inflation, lower yields, and weaken USDX. Could trigger a 4,700–4,800 retest.</w:t>
            </w:r>
          </w:p>
        </w:tc>
      </w:tr>
    </w:tbl>
    <w:p>
      <w:pPr>
        <w:spacing w:after="80" w:before="0"/>
      </w:pPr>
      <w:r>
        <w:rPr>
          <w:rFonts w:ascii="Calibri" w:cs="Calibri" w:eastAsia="Calibri" w:hAnsi="Calibri"/>
          <w:b/>
          <w:bCs/>
          <w:i w:val="false"/>
          <w:iCs w:val="false"/>
          <w:sz w:val="22"/>
          <w:szCs w:val="22"/>
        </w:rPr>
        <w:t xml:space="preserve">Single highest-impact upcoming event: </w:t>
      </w:r>
      <w:r>
        <w:rPr>
          <w:rFonts w:ascii="Calibri" w:cs="Calibri" w:eastAsia="Calibri" w:hAnsi="Calibri"/>
          <w:b/>
          <w:bCs/>
          <w:i w:val="false"/>
          <w:iCs w:val="false"/>
          <w:color w:val="C62828"/>
          <w:sz w:val="22"/>
          <w:szCs w:val="22"/>
        </w:rPr>
        <w:t xml:space="preserve">FOMC April minutes — Wed 20 May 2026</w:t>
      </w:r>
      <w:r>
        <w:rPr>
          <w:rFonts w:ascii="Calibri" w:cs="Calibri" w:eastAsia="Calibri" w:hAnsi="Calibri"/>
          <w:b w:val="false"/>
          <w:bCs w:val="false"/>
          <w:i w:val="false"/>
          <w:iCs w:val="false"/>
          <w:sz w:val="22"/>
          <w:szCs w:val="22"/>
        </w:rPr>
        <w:t xml:space="preserve">. Mechanism: any tilt in the minutes vs the post-meeting statement directly re-prices the front of the curve, which feeds the dollar and real-yield channels — gold's two most reliable transmission mechanisms.</w:t>
      </w:r>
    </w:p>
    <w:p>
      <w:pPr>
        <w:pBdr>
          <w:bottom w:val="single" w:color="1F3864" w:sz="8" w:space="2"/>
        </w:pBdr>
        <w:spacing w:after="140" w:before="280"/>
      </w:pPr>
      <w:r>
        <w:rPr>
          <w:rFonts w:ascii="Calibri" w:cs="Calibri" w:eastAsia="Calibri" w:hAnsi="Calibri"/>
          <w:b/>
          <w:bCs/>
          <w:color w:val="1F3864"/>
          <w:sz w:val="30"/>
          <w:szCs w:val="30"/>
        </w:rPr>
        <w:t xml:space="preserve">§14  Macro Context</w:t>
      </w:r>
    </w:p>
    <w:p>
      <w:pPr>
        <w:pStyle w:val="ListParagraph"/>
        <w:numPr>
          <w:ilvl w:val="0"/>
          <w:numId w:val="2"/>
        </w:numPr>
        <w:spacing w:after="80"/>
      </w:pPr>
      <w:r>
        <w:rPr>
          <w:rFonts w:ascii="Calibri" w:cs="Calibri" w:eastAsia="Calibri" w:hAnsi="Calibri"/>
          <w:b/>
          <w:bCs/>
          <w:i w:val="false"/>
          <w:iCs w:val="false"/>
          <w:sz w:val="22"/>
          <w:szCs w:val="22"/>
        </w:rPr>
        <w:t xml:space="preserve">Rates: </w:t>
      </w:r>
      <w:r>
        <w:rPr>
          <w:rFonts w:ascii="Calibri" w:cs="Calibri" w:eastAsia="Calibri" w:hAnsi="Calibri"/>
          <w:b w:val="false"/>
          <w:bCs w:val="false"/>
          <w:i w:val="false"/>
          <w:iCs w:val="false"/>
          <w:sz w:val="22"/>
          <w:szCs w:val="22"/>
        </w:rPr>
        <w:t xml:space="preserve">US 10y nominal yield 4.60% (highest since Jan 2025); US 10y real (TIPS) ~2.00% as of 14 May per FRED. Both elevated and rising — the principal pressure channel on gold.</w:t>
      </w:r>
    </w:p>
    <w:p>
      <w:pPr>
        <w:pStyle w:val="ListParagraph"/>
        <w:numPr>
          <w:ilvl w:val="0"/>
          <w:numId w:val="2"/>
        </w:numPr>
        <w:spacing w:after="80"/>
      </w:pPr>
      <w:r>
        <w:rPr>
          <w:rFonts w:ascii="Calibri" w:cs="Calibri" w:eastAsia="Calibri" w:hAnsi="Calibri"/>
          <w:b/>
          <w:bCs/>
          <w:i w:val="false"/>
          <w:iCs w:val="false"/>
          <w:sz w:val="22"/>
          <w:szCs w:val="22"/>
        </w:rPr>
        <w:t xml:space="preserve">Inflation: </w:t>
      </w:r>
      <w:r>
        <w:rPr>
          <w:rFonts w:ascii="Calibri" w:cs="Calibri" w:eastAsia="Calibri" w:hAnsi="Calibri"/>
          <w:b w:val="false"/>
          <w:bCs w:val="false"/>
          <w:i w:val="false"/>
          <w:iCs w:val="false"/>
          <w:sz w:val="22"/>
          <w:szCs w:val="22"/>
        </w:rPr>
        <w:t xml:space="preserve">April CPI +3.8% y/y (highest in nearly three years); April PPI hot. Fed rate-cut expectations for 2026 essentially eliminated; ~48% probability assigned to a December rate hike (CME FedWatch).</w:t>
      </w:r>
    </w:p>
    <w:p>
      <w:pPr>
        <w:pStyle w:val="ListParagraph"/>
        <w:numPr>
          <w:ilvl w:val="0"/>
          <w:numId w:val="2"/>
        </w:numPr>
        <w:spacing w:after="80"/>
      </w:pPr>
      <w:r>
        <w:rPr>
          <w:rFonts w:ascii="Calibri" w:cs="Calibri" w:eastAsia="Calibri" w:hAnsi="Calibri"/>
          <w:b/>
          <w:bCs/>
          <w:i w:val="false"/>
          <w:iCs w:val="false"/>
          <w:sz w:val="22"/>
          <w:szCs w:val="22"/>
        </w:rPr>
        <w:t xml:space="preserve">Liquidity / FX: </w:t>
      </w:r>
      <w:r>
        <w:rPr>
          <w:rFonts w:ascii="Calibri" w:cs="Calibri" w:eastAsia="Calibri" w:hAnsi="Calibri"/>
          <w:b w:val="false"/>
          <w:bCs w:val="false"/>
          <w:i w:val="false"/>
          <w:iCs w:val="false"/>
          <w:sz w:val="22"/>
          <w:szCs w:val="22"/>
        </w:rPr>
        <w:t xml:space="preserve">USDX ~99.25, having traded up through 99 last week. Dollar Spot Index up 1.2% prior week. Dollar strength confirms the broad risk-off positioning around US rates.</w:t>
      </w:r>
    </w:p>
    <w:p>
      <w:pPr>
        <w:pStyle w:val="ListParagraph"/>
        <w:numPr>
          <w:ilvl w:val="0"/>
          <w:numId w:val="2"/>
        </w:numPr>
        <w:spacing w:after="80"/>
      </w:pPr>
      <w:r>
        <w:rPr>
          <w:rFonts w:ascii="Calibri" w:cs="Calibri" w:eastAsia="Calibri" w:hAnsi="Calibri"/>
          <w:b/>
          <w:bCs/>
          <w:i w:val="false"/>
          <w:iCs w:val="false"/>
          <w:sz w:val="22"/>
          <w:szCs w:val="22"/>
        </w:rPr>
        <w:t xml:space="preserve">Energy: </w:t>
      </w:r>
      <w:r>
        <w:rPr>
          <w:rFonts w:ascii="Calibri" w:cs="Calibri" w:eastAsia="Calibri" w:hAnsi="Calibri"/>
          <w:b w:val="false"/>
          <w:bCs w:val="false"/>
          <w:i w:val="false"/>
          <w:iCs w:val="false"/>
          <w:sz w:val="22"/>
          <w:szCs w:val="22"/>
        </w:rPr>
        <w:t xml:space="preserve">WTI back near $103/bbl, Brent near $111/bbl — Hormuz closure remains the marginal supply variable. Higher energy is the input feeding through to CPI/PPI in the data flow.</w:t>
      </w:r>
    </w:p>
    <w:p>
      <w:pPr>
        <w:pStyle w:val="ListParagraph"/>
        <w:numPr>
          <w:ilvl w:val="0"/>
          <w:numId w:val="2"/>
        </w:numPr>
        <w:spacing w:after="80"/>
      </w:pPr>
      <w:r>
        <w:rPr>
          <w:rFonts w:ascii="Calibri" w:cs="Calibri" w:eastAsia="Calibri" w:hAnsi="Calibri"/>
          <w:b/>
          <w:bCs/>
          <w:i w:val="false"/>
          <w:iCs w:val="false"/>
          <w:sz w:val="22"/>
          <w:szCs w:val="22"/>
        </w:rPr>
        <w:t xml:space="preserve">Positioning: </w:t>
      </w:r>
      <w:r>
        <w:rPr>
          <w:rFonts w:ascii="Calibri" w:cs="Calibri" w:eastAsia="Calibri" w:hAnsi="Calibri"/>
          <w:b w:val="false"/>
          <w:bCs w:val="false"/>
          <w:i w:val="false"/>
          <w:iCs w:val="false"/>
          <w:sz w:val="22"/>
          <w:szCs w:val="22"/>
        </w:rPr>
        <w:t xml:space="preserve">VIX at 18–19 (elevated but not stressed). ETF outflows in gold over the prior week per market commentary; physical premia in Asia firm — split positioning between paper and physical. No CFTC COT update accessed in this run.</w:t>
      </w:r>
    </w:p>
    <w:p>
      <w:pPr>
        <w:spacing w:after="80" w:before="0"/>
      </w:pPr>
      <w:r>
        <w:rPr>
          <w:rFonts w:ascii="Calibri" w:cs="Calibri" w:eastAsia="Calibri" w:hAnsi="Calibri"/>
          <w:b w:val="false"/>
          <w:bCs w:val="false"/>
          <w:i/>
          <w:iCs/>
          <w:sz w:val="20"/>
          <w:szCs w:val="20"/>
        </w:rPr>
        <w:t xml:space="preserve">Cross-reference: all five readings confirm the §10 cross-asset reads. The §13d watch item (FOMC minutes 20 May) acts on the rates and FX rows — a hawkish minutes print would extend the dollar advance and lift real yields further; a dovish surprise would do the reverse. No contradiction with §10 to flag.</w:t>
      </w:r>
    </w:p>
    <w:p>
      <w:pPr>
        <w:pBdr>
          <w:bottom w:val="single" w:color="1F3864" w:sz="8" w:space="2"/>
        </w:pBdr>
        <w:spacing w:after="140" w:before="280"/>
      </w:pPr>
      <w:r>
        <w:rPr>
          <w:rFonts w:ascii="Calibri" w:cs="Calibri" w:eastAsia="Calibri" w:hAnsi="Calibri"/>
          <w:b/>
          <w:bCs/>
          <w:color w:val="1F3864"/>
          <w:sz w:val="30"/>
          <w:szCs w:val="30"/>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Upside risks (bullish for Gold)</w:t>
            </w:r>
          </w:p>
        </w:tc>
        <w:tc>
          <w:tcPr>
            <w:tcW w:type="dxa" w:w="468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Downside risks (bearish for Gold)</w:t>
            </w:r>
          </w:p>
        </w:tc>
      </w:tr>
      <w:t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Iran de-escalation / Hormuz reopening → oil down, yields down, USDX down — synchronous catalyst.</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Hawkish FOMC April minutes (20 May) confirming policymakers consider further hikes — extends real-yield rise.</w:t>
            </w:r>
          </w:p>
        </w:tc>
      </w:tr>
      <w:t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Dovish surprise in FOMC minutes (e.g., references to growth concerns) → real-yield retracement.</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Continued energy spike via further Hormuz disruption → inflation re-acceleration → yield/dollar pressure.</w:t>
            </w:r>
          </w:p>
        </w:tc>
      </w:tr>
      <w:t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Surprise jobless claims spike (Thu 21 May) → reasserts growth fear → bond bid → real-yield drop.</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Sustained ETF outflows extending the technical break of the 4,500 support.</w:t>
            </w:r>
          </w:p>
        </w:tc>
      </w:tr>
      <w:t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Oversold technical condition: RSI2≈1.6, 18 May doji at 4,481 swing low — high probability of a counter-trend bounce.</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20"/>
                <w:szCs w:val="20"/>
              </w:rPr>
              <w:t xml:space="preserve">Break of the 4,444–4,450 daily-S1 / monthly-S1 confluence opens 4,319 (weekly-S2) then 4,200 (daily-S3).</w:t>
            </w:r>
          </w:p>
        </w:tc>
      </w:tr>
    </w:tbl>
    <w:p>
      <w:pPr>
        <w:spacing w:after="80" w:before="0"/>
      </w:pPr>
      <w:r>
        <w:rPr>
          <w:rFonts w:ascii="Calibri" w:cs="Calibri" w:eastAsia="Calibri" w:hAnsi="Calibri"/>
          <w:b w:val="false"/>
          <w:bCs w:val="false"/>
          <w:i/>
          <w:iCs/>
          <w:sz w:val="20"/>
          <w:szCs w:val="20"/>
        </w:rPr>
        <w:t xml:space="preserve">Cross-reference: pivot position (§11) is bearish on all three timeframes; regime (§9) is trending-down; the upcoming FOMC minutes (§13d) is the largest single binary catalyst. The exhaustion read (§8) is the most credible bullish counterweight in the near term but is not yet confirmed.</w:t>
      </w:r>
    </w:p>
    <w:p>
      <w:pPr>
        <w:pBdr>
          <w:bottom w:val="single" w:color="1F3864" w:sz="8" w:space="2"/>
        </w:pBdr>
        <w:spacing w:after="140" w:before="280"/>
      </w:pPr>
      <w:r>
        <w:rPr>
          <w:rFonts w:ascii="Calibri" w:cs="Calibri" w:eastAsia="Calibri" w:hAnsi="Calibri"/>
          <w:b/>
          <w:bCs/>
          <w:color w:val="1F3864"/>
          <w:sz w:val="30"/>
          <w:szCs w:val="30"/>
        </w:rPr>
        <w:t xml:space="preserve">§16  Forward View</w:t>
      </w:r>
    </w:p>
    <w:p>
      <w:pPr>
        <w:spacing w:after="60" w:before="0"/>
      </w:pPr>
      <w:r>
        <w:rPr>
          <w:rFonts w:ascii="Calibri" w:cs="Calibri" w:eastAsia="Calibri" w:hAnsi="Calibri"/>
          <w:b w:val="false"/>
          <w:bCs w:val="false"/>
          <w:i w:val="false"/>
          <w:iCs w:val="false"/>
          <w:sz w:val="22"/>
          <w:szCs w:val="22"/>
        </w:rPr>
        <w:t xml:space="preserve">Expected direction over the next 5 trading days: medium-term trend remains down but the immediate prior session shows oversold-exhaustion features that argue for a technical bounce into the existing supply zone before any continuation lower. Base case: </w:t>
      </w:r>
    </w:p>
    <w:p>
      <w:pPr>
        <w:pStyle w:val="ListParagraph"/>
        <w:numPr>
          <w:ilvl w:val="0"/>
          <w:numId w:val="2"/>
        </w:numPr>
        <w:spacing w:after="80"/>
      </w:pPr>
      <w:r>
        <w:rPr>
          <w:rFonts w:ascii="Calibri" w:cs="Calibri" w:eastAsia="Calibri" w:hAnsi="Calibri"/>
          <w:b w:val="false"/>
          <w:bCs w:val="false"/>
          <w:sz w:val="22"/>
          <w:szCs w:val="22"/>
        </w:rPr>
        <w:t xml:space="preserve">Days 1–2 (Tue/Wed): bounce attempt toward 4,591 (weekly-P) to 4,673 (daily-R1) on short-covering, contingent on the FOMC minutes not being decisively hawkish.</w:t>
      </w:r>
    </w:p>
    <w:p>
      <w:pPr>
        <w:pStyle w:val="ListParagraph"/>
        <w:numPr>
          <w:ilvl w:val="0"/>
          <w:numId w:val="2"/>
        </w:numPr>
        <w:spacing w:after="80"/>
      </w:pPr>
      <w:r>
        <w:rPr>
          <w:rFonts w:ascii="Calibri" w:cs="Calibri" w:eastAsia="Calibri" w:hAnsi="Calibri"/>
          <w:b w:val="false"/>
          <w:bCs w:val="false"/>
          <w:sz w:val="22"/>
          <w:szCs w:val="22"/>
        </w:rPr>
        <w:t xml:space="preserve">Days 3–5 (Thu/Fri/Mon): trend resumption attempt — direction determined by minutes outcome and 21 May data flow.</w:t>
      </w:r>
    </w:p>
    <w:p>
      <w:pPr>
        <w:spacing w:after="80" w:before="0"/>
      </w:pPr>
      <w:r>
        <w:rPr>
          <w:rFonts w:ascii="Calibri" w:cs="Calibri" w:eastAsia="Calibri" w:hAnsi="Calibri"/>
          <w:b w:val="false"/>
          <w:bCs w:val="false"/>
          <w:i w:val="false"/>
          <w:iCs w:val="false"/>
          <w:sz w:val="22"/>
          <w:szCs w:val="22"/>
        </w:rPr>
        <w:t xml:space="preserve">Expected trading range: USD 4,444 – 4,702 (the daily-S1 / weekly-R1 corridor) over the 5-day horizon, with break above 4,702 invalidating the bearish base case and break below 4,444 confirming continuation to 4,319 (weekly-S2). Base-case invalidation: a decisive daily close back above 4,702 (weekly-R1) — that would breach trend structure and shift the regime read.</w:t>
      </w:r>
    </w:p>
    <w:p>
      <w:pPr>
        <w:spacing w:after="80" w:before="0"/>
      </w:pPr>
      <w:r>
        <w:rPr>
          <w:rFonts w:ascii="Calibri" w:cs="Calibri" w:eastAsia="Calibri" w:hAnsi="Calibri"/>
          <w:b w:val="false"/>
          <w:bCs w:val="false"/>
          <w:i/>
          <w:iCs/>
          <w:sz w:val="20"/>
          <w:szCs w:val="20"/>
        </w:rPr>
        <w:t xml:space="preserve">The forward view respects the §9 medium-term Trending-Down regime. It does not contradict — it merely anticipates a counter-trend bounce within the trend, which is consistent with the §8 Exhaustion judgement.</w:t>
      </w:r>
    </w:p>
    <w:p>
      <w:pPr>
        <w:pBdr>
          <w:bottom w:val="single" w:color="1F3864" w:sz="8" w:space="2"/>
        </w:pBdr>
        <w:spacing w:after="140" w:before="280"/>
      </w:pPr>
      <w:r>
        <w:rPr>
          <w:rFonts w:ascii="Calibri" w:cs="Calibri" w:eastAsia="Calibri" w:hAnsi="Calibri"/>
          <w:b/>
          <w:bCs/>
          <w:color w:val="1F3864"/>
          <w:sz w:val="30"/>
          <w:szCs w:val="30"/>
        </w:rPr>
        <w:t xml:space="preserve">§17  Forecast</w:t>
      </w:r>
    </w:p>
    <w:p>
      <w:pPr>
        <w:spacing w:after="80" w:before="0"/>
      </w:pPr>
      <w:r>
        <w:rPr>
          <w:rFonts w:ascii="Calibri" w:cs="Calibri" w:eastAsia="Calibri" w:hAnsi="Calibri"/>
          <w:b/>
          <w:bCs/>
          <w:i w:val="false"/>
          <w:iCs w:val="false"/>
          <w:sz w:val="24"/>
          <w:szCs w:val="24"/>
        </w:rPr>
        <w:t xml:space="preserve">Gold trades a 4,444–4,702 range over the next 5 sessions with a downward bias, with the FOMC April minutes the binary determinant of whether the 18 May doji becomes a tradable low or merely a pause before continuation toward 4,319.</w:t>
      </w:r>
    </w:p>
    <w:p>
      <w:pPr>
        <w:pBdr>
          <w:bottom w:val="single" w:color="1F3864" w:sz="8" w:space="2"/>
        </w:pBdr>
        <w:spacing w:after="140" w:before="280"/>
      </w:pPr>
      <w:r>
        <w:rPr>
          <w:rFonts w:ascii="Calibri" w:cs="Calibri" w:eastAsia="Calibri" w:hAnsi="Calibri"/>
          <w:b/>
          <w:bCs/>
          <w:color w:val="1F3864"/>
          <w:sz w:val="30"/>
          <w:szCs w:val="30"/>
        </w:rPr>
        <w:t xml:space="preserve">§18  Final Analyst Judgement</w:t>
      </w:r>
    </w:p>
    <w:p>
      <w:pPr>
        <w:spacing w:after="80" w:before="0"/>
      </w:pPr>
      <w:r>
        <w:rPr>
          <w:rFonts w:ascii="Calibri" w:cs="Calibri" w:eastAsia="Calibri" w:hAnsi="Calibri"/>
          <w:b w:val="false"/>
          <w:bCs w:val="false"/>
          <w:i w:val="false"/>
          <w:iCs w:val="false"/>
          <w:sz w:val="22"/>
          <w:szCs w:val="22"/>
        </w:rPr>
        <w:t xml:space="preserve">Consensus call: USD 4,542/oz with a 5-session expected range of USD 4,444 – 4,702. Confidence: Medium. Three most important reasons:</w:t>
      </w:r>
    </w:p>
    <w:p>
      <w:pPr>
        <w:pStyle w:val="ListParagraph"/>
        <w:numPr>
          <w:ilvl w:val="0"/>
          <w:numId w:val="2"/>
        </w:numPr>
        <w:spacing w:after="80"/>
      </w:pPr>
      <w:r>
        <w:rPr>
          <w:rFonts w:ascii="Calibri" w:cs="Calibri" w:eastAsia="Calibri" w:hAnsi="Calibri"/>
          <w:b w:val="false"/>
          <w:bCs w:val="false"/>
          <w:sz w:val="22"/>
          <w:szCs w:val="22"/>
        </w:rPr>
        <w:t xml:space="preserve">Real-yield channel — US 10y real ~2.00% combined with USDX ~99.25 keeps mechanical pressure on the bullion price; until either retracts, the medium-term trend is down.</w:t>
      </w:r>
    </w:p>
    <w:p>
      <w:pPr>
        <w:pStyle w:val="ListParagraph"/>
        <w:numPr>
          <w:ilvl w:val="0"/>
          <w:numId w:val="2"/>
        </w:numPr>
        <w:spacing w:after="80"/>
      </w:pPr>
      <w:r>
        <w:rPr>
          <w:rFonts w:ascii="Calibri" w:cs="Calibri" w:eastAsia="Calibri" w:hAnsi="Calibri"/>
          <w:b w:val="false"/>
          <w:bCs w:val="false"/>
          <w:sz w:val="22"/>
          <w:szCs w:val="22"/>
        </w:rPr>
        <w:t xml:space="preserve">Inflation-driven Fed repricing — markets now assign ~48% probability to a 2026 rate hike, eliminating the most reliable bullish catalyst gold had assumed.</w:t>
      </w:r>
    </w:p>
    <w:p>
      <w:pPr>
        <w:pStyle w:val="ListParagraph"/>
        <w:numPr>
          <w:ilvl w:val="0"/>
          <w:numId w:val="2"/>
        </w:numPr>
        <w:spacing w:after="80"/>
      </w:pPr>
      <w:r>
        <w:rPr>
          <w:rFonts w:ascii="Calibri" w:cs="Calibri" w:eastAsia="Calibri" w:hAnsi="Calibri"/>
          <w:b w:val="false"/>
          <w:bCs w:val="false"/>
          <w:sz w:val="22"/>
          <w:szCs w:val="22"/>
        </w:rPr>
        <w:t xml:space="preserve">Short-term exhaustion — RSI2≈1.6, doji at swing low, and an established 4,444–4,450 pivot-confluence support cluster make a near-term bounce the highest-conviction tactical view.</w:t>
      </w:r>
    </w:p>
    <w:p>
      <w:pPr>
        <w:spacing w:after="80" w:before="0"/>
      </w:pPr>
      <w:r>
        <w:rPr>
          <w:rFonts w:ascii="Calibri" w:cs="Calibri" w:eastAsia="Calibri" w:hAnsi="Calibri"/>
          <w:b/>
          <w:bCs/>
          <w:i w:val="false"/>
          <w:iCs w:val="false"/>
          <w:sz w:val="22"/>
          <w:szCs w:val="22"/>
        </w:rPr>
        <w:t xml:space="preserve">Single watch item: </w:t>
      </w:r>
      <w:r>
        <w:rPr>
          <w:rFonts w:ascii="Calibri" w:cs="Calibri" w:eastAsia="Calibri" w:hAnsi="Calibri"/>
          <w:b w:val="false"/>
          <w:bCs w:val="false"/>
          <w:i w:val="false"/>
          <w:iCs w:val="false"/>
          <w:sz w:val="22"/>
          <w:szCs w:val="22"/>
        </w:rPr>
        <w:t xml:space="preserve">FOMC April minutes — Wednesday 20 May 2026.</w:t>
      </w:r>
    </w:p>
    <w:p>
      <w:pPr>
        <w:pBdr>
          <w:bottom w:val="single" w:color="1F3864" w:sz="8" w:space="2"/>
        </w:pBdr>
        <w:spacing w:after="140" w:before="280"/>
      </w:pPr>
      <w:r>
        <w:rPr>
          <w:rFonts w:ascii="Calibri" w:cs="Calibri" w:eastAsia="Calibri" w:hAnsi="Calibri"/>
          <w:b/>
          <w:bCs/>
          <w:color w:val="1F3864"/>
          <w:sz w:val="30"/>
          <w:szCs w:val="30"/>
        </w:rPr>
        <w:t xml:space="preserve">§19  Source Discipline Note</w:t>
      </w:r>
    </w:p>
    <w:p>
      <w:pPr>
        <w:spacing w:after="80" w:before="0"/>
      </w:pPr>
      <w:r>
        <w:rPr>
          <w:rFonts w:ascii="Calibri" w:cs="Calibri" w:eastAsia="Calibri" w:hAnsi="Calibri"/>
          <w:b w:val="false"/>
          <w:bCs w:val="false"/>
          <w:i w:val="false"/>
          <w:iCs w:val="false"/>
          <w:sz w:val="22"/>
          <w:szCs w:val="22"/>
        </w:rPr>
        <w:t xml:space="preserve">OHLC tape-level dual-exchange corroboration was not achievable for the 12–14 May sessions during this run — those three sessions are marked commentary-corroborated only in §6. The 15 May and 18 May sessions reached dual-source corroboration via Investing.com and Reuters/CNBC (15 May) and Trading Economics/Investing.com (18 May), with deltas under $5 in each case — within the ±$5 commodity tolerance assumed for this asset (one cent precision is the tick basis; tolerance must be set to a sensible multiple of typical intra-session spread).</w:t>
      </w:r>
    </w:p>
    <w:p>
      <w:pPr>
        <w:spacing w:after="80" w:before="0"/>
      </w:pPr>
      <w:r>
        <w:rPr>
          <w:rFonts w:ascii="Calibri" w:cs="Calibri" w:eastAsia="Calibri" w:hAnsi="Calibri"/>
          <w:b w:val="false"/>
          <w:bCs w:val="false"/>
          <w:i w:val="false"/>
          <w:iCs w:val="false"/>
          <w:sz w:val="22"/>
          <w:szCs w:val="22"/>
        </w:rPr>
        <w:t xml:space="preserve">Monthly pivot levels are flagged single-source-indicative — the April 2026 high/low were inferred from price-range commentary rather than dual-tape settlement. This flag is propagated to the §21 trade-card construction per the strategies-module suppression rules.</w:t>
      </w:r>
    </w:p>
    <w:p>
      <w:pPr>
        <w:spacing w:after="80" w:before="0"/>
      </w:pPr>
      <w:r>
        <w:rPr>
          <w:rFonts w:ascii="Calibri" w:cs="Calibri" w:eastAsia="Calibri" w:hAnsi="Calibri"/>
          <w:b w:val="false"/>
          <w:bCs w:val="false"/>
          <w:i w:val="false"/>
          <w:iCs w:val="false"/>
          <w:sz w:val="22"/>
          <w:szCs w:val="22"/>
        </w:rPr>
        <w:t xml:space="preserve">Live current spot vs indicative: the report's central consensus price (USD 4,542/oz) is supported by seven independent observations within a 1% band; this is treated as a live consensus, not indicative. Silver secondary data is indicative throughout.</w:t>
      </w:r>
    </w:p>
    <w:p>
      <w:pPr>
        <w:spacing w:after="80" w:before="0"/>
      </w:pPr>
      <w:r>
        <w:rPr>
          <w:rFonts w:ascii="Calibri" w:cs="Calibri" w:eastAsia="Calibri" w:hAnsi="Calibri"/>
          <w:b w:val="false"/>
          <w:bCs w:val="false"/>
          <w:i w:val="false"/>
          <w:iCs w:val="false"/>
          <w:sz w:val="22"/>
          <w:szCs w:val="22"/>
        </w:rPr>
        <w:t xml:space="preserve">Per the user instruction for this run: corroboration leniency was applied — trading strategies were not suppressed in §21 on the basis of partial corroboration, but the SINGLE-SOURCE-INDICATIVE flags are carried forward into the trade-card caveats as the protocol requires.</w:t>
      </w:r>
    </w:p>
    <w:p>
      <w:pPr>
        <w:pBdr>
          <w:bottom w:val="single" w:color="1F3864" w:sz="8" w:space="2"/>
        </w:pBdr>
        <w:spacing w:after="140" w:before="280"/>
      </w:pPr>
      <w:r>
        <w:rPr>
          <w:rFonts w:ascii="Calibri" w:cs="Calibri" w:eastAsia="Calibri" w:hAnsi="Calibri"/>
          <w:b/>
          <w:bCs/>
          <w:color w:val="1F3864"/>
          <w:sz w:val="30"/>
          <w:szCs w:val="30"/>
        </w:rPr>
        <w:t xml:space="preserve">§20  Agent Log</w:t>
      </w:r>
    </w:p>
    <w:p>
      <w:pPr>
        <w:pStyle w:val="ListParagraph"/>
        <w:numPr>
          <w:ilvl w:val="0"/>
          <w:numId w:val="2"/>
        </w:numPr>
        <w:spacing w:after="80"/>
      </w:pPr>
      <w:r>
        <w:rPr>
          <w:rFonts w:ascii="Calibri" w:cs="Calibri" w:eastAsia="Calibri" w:hAnsi="Calibri"/>
          <w:b w:val="false"/>
          <w:bCs w:val="false"/>
          <w:sz w:val="22"/>
          <w:szCs w:val="22"/>
        </w:rPr>
        <w:t xml:space="preserve">Run timestamp: 19 May 2026 (Europe/London) — report as-of 19 May; data window 12 May 00:00 UK – 18 May 24:00 UK.</w:t>
      </w:r>
    </w:p>
    <w:p>
      <w:pPr>
        <w:pStyle w:val="ListParagraph"/>
        <w:numPr>
          <w:ilvl w:val="0"/>
          <w:numId w:val="2"/>
        </w:numPr>
        <w:spacing w:after="80"/>
      </w:pPr>
      <w:r>
        <w:rPr>
          <w:rFonts w:ascii="Calibri" w:cs="Calibri" w:eastAsia="Calibri" w:hAnsi="Calibri"/>
          <w:b w:val="false"/>
          <w:bCs w:val="false"/>
          <w:sz w:val="22"/>
          <w:szCs w:val="22"/>
        </w:rPr>
        <w:t xml:space="preserve">Daily-open anchor: 00:00 UK (user override applied — confirms M1 default value for this Gold instance).</w:t>
      </w:r>
    </w:p>
    <w:p>
      <w:pPr>
        <w:pStyle w:val="ListParagraph"/>
        <w:numPr>
          <w:ilvl w:val="0"/>
          <w:numId w:val="2"/>
        </w:numPr>
        <w:spacing w:after="80"/>
      </w:pPr>
      <w:r>
        <w:rPr>
          <w:rFonts w:ascii="Calibri" w:cs="Calibri" w:eastAsia="Calibri" w:hAnsi="Calibri"/>
          <w:b w:val="false"/>
          <w:bCs w:val="false"/>
          <w:sz w:val="22"/>
          <w:szCs w:val="22"/>
        </w:rPr>
        <w:t xml:space="preserve">Sources attempted for OHLC: Investing.com, Trading Economics, USAGOLD daily report, CNBC, FXStreet, Reuters via CNBC, FXEmpire, CME Group front-month commentary. yfinance and direct LBMA fix not attempted in this run.</w:t>
      </w:r>
    </w:p>
    <w:p>
      <w:pPr>
        <w:pStyle w:val="ListParagraph"/>
        <w:numPr>
          <w:ilvl w:val="0"/>
          <w:numId w:val="2"/>
        </w:numPr>
        <w:spacing w:after="80"/>
      </w:pPr>
      <w:r>
        <w:rPr>
          <w:rFonts w:ascii="Calibri" w:cs="Calibri" w:eastAsia="Calibri" w:hAnsi="Calibri"/>
          <w:b w:val="false"/>
          <w:bCs w:val="false"/>
          <w:sz w:val="22"/>
          <w:szCs w:val="22"/>
        </w:rPr>
        <w:t xml:space="preserve">OHLC validation method: commentary cross-check within a $5 tolerance band on close, $10 on intraday extremes. Two sessions (15 May, 18 May) achieved formal corroboration; three earlier sessions are commentary-corroborated only.</w:t>
      </w:r>
    </w:p>
    <w:p>
      <w:pPr>
        <w:pStyle w:val="ListParagraph"/>
        <w:numPr>
          <w:ilvl w:val="0"/>
          <w:numId w:val="2"/>
        </w:numPr>
        <w:spacing w:after="80"/>
      </w:pPr>
      <w:r>
        <w:rPr>
          <w:rFonts w:ascii="Calibri" w:cs="Calibri" w:eastAsia="Calibri" w:hAnsi="Calibri"/>
          <w:b w:val="false"/>
          <w:bCs w:val="false"/>
          <w:sz w:val="22"/>
          <w:szCs w:val="22"/>
        </w:rPr>
        <w:t xml:space="preserve">Sentiment derivation: eight articles classified, derivation quotes captured (≤15 words each), source class assigned (Institutional/Trade Press/Media), weighted-mean tilt computed = −0.96. Categorical label = Predominantly Bearish (high-conviction).</w:t>
      </w:r>
    </w:p>
    <w:p>
      <w:pPr>
        <w:pStyle w:val="ListParagraph"/>
        <w:numPr>
          <w:ilvl w:val="0"/>
          <w:numId w:val="2"/>
        </w:numPr>
        <w:spacing w:after="80"/>
      </w:pPr>
      <w:r>
        <w:rPr>
          <w:rFonts w:ascii="Calibri" w:cs="Calibri" w:eastAsia="Calibri" w:hAnsi="Calibri"/>
          <w:b w:val="false"/>
          <w:bCs w:val="false"/>
          <w:sz w:val="22"/>
          <w:szCs w:val="22"/>
        </w:rPr>
        <w:t xml:space="preserve">Direction-scoring weights: defaults (W_short=0.25 / W_medium=0.20 / W_volator=0.10 / W_kaufman=0.15 / W_sentiment=0.15 / W_cross=0.15). Weights are locked through forward-test session 20 — no tuning.</w:t>
      </w:r>
    </w:p>
    <w:p>
      <w:pPr>
        <w:pStyle w:val="ListParagraph"/>
        <w:numPr>
          <w:ilvl w:val="0"/>
          <w:numId w:val="2"/>
        </w:numPr>
        <w:spacing w:after="80"/>
      </w:pPr>
      <w:r>
        <w:rPr>
          <w:rFonts w:ascii="Calibri" w:cs="Calibri" w:eastAsia="Calibri" w:hAnsi="Calibri"/>
          <w:b w:val="false"/>
          <w:bCs w:val="false"/>
          <w:sz w:val="22"/>
          <w:szCs w:val="22"/>
        </w:rPr>
        <w:t xml:space="preserve">Strategies module M5: active. Trade 1 (daily directional): direction-score below threshold for SHORT side at strong conviction — see §21a. Trade 2 (regime-aware pivot): TREND regime branch active. Trade 3 (regime-driven complex): TREND_DOWN active → 3A (momentum-pullback) selected. Monthly pivots single-source-indicative — flag propagated to Trade 2 caveats.</w:t>
      </w:r>
    </w:p>
    <w:p>
      <w:pPr>
        <w:pStyle w:val="ListParagraph"/>
        <w:numPr>
          <w:ilvl w:val="0"/>
          <w:numId w:val="2"/>
        </w:numPr>
        <w:spacing w:after="80"/>
      </w:pPr>
      <w:r>
        <w:rPr>
          <w:rFonts w:ascii="Calibri" w:cs="Calibri" w:eastAsia="Calibri" w:hAnsi="Calibri"/>
          <w:b w:val="false"/>
          <w:bCs w:val="false"/>
          <w:sz w:val="22"/>
          <w:szCs w:val="22"/>
        </w:rPr>
        <w:t xml:space="preserve">Backtest reconstruction: 5 prior sessions replayed (12, 13, 14, 15 May daily + Friday weekly) using the §6 OHLC tape. Sentiment frozen at run-time tilt per the no-leakage rule.</w:t>
      </w:r>
    </w:p>
    <w:p>
      <w:pPr>
        <w:pStyle w:val="ListParagraph"/>
        <w:numPr>
          <w:ilvl w:val="0"/>
          <w:numId w:val="2"/>
        </w:numPr>
        <w:spacing w:after="80"/>
      </w:pPr>
      <w:r>
        <w:rPr>
          <w:rFonts w:ascii="Calibri" w:cs="Calibri" w:eastAsia="Calibri" w:hAnsi="Calibri"/>
          <w:b w:val="false"/>
          <w:bCs w:val="false"/>
          <w:sz w:val="22"/>
          <w:szCs w:val="22"/>
        </w:rPr>
        <w:t xml:space="preserve">Anomalies: RSI2 floored at 0 across three of five sessions — confirmed as correct behaviour under persistent down-closes, not a data fault. Logged for analyst awareness.</w:t>
      </w:r>
    </w:p>
    <w:p>
      <w:pPr>
        <w:pStyle w:val="ListParagraph"/>
        <w:numPr>
          <w:ilvl w:val="0"/>
          <w:numId w:val="2"/>
        </w:numPr>
        <w:spacing w:after="80"/>
      </w:pPr>
      <w:r>
        <w:rPr>
          <w:rFonts w:ascii="Calibri" w:cs="Calibri" w:eastAsia="Calibri" w:hAnsi="Calibri"/>
          <w:b w:val="false"/>
          <w:bCs w:val="false"/>
          <w:sz w:val="22"/>
          <w:szCs w:val="22"/>
        </w:rPr>
        <w:t xml:space="preserve">Forecast reasoning: §17 one-sentence forecast derived from the §9 regime label, §13b numeric tilt, §10 cross-asset confirmation, and §8 short-term Exhaustion read.</w:t>
      </w:r>
    </w:p>
    <w:p>
      <w:pPr>
        <w:pBdr>
          <w:bottom w:val="single" w:color="1F3864" w:sz="8" w:space="2"/>
        </w:pBdr>
        <w:spacing w:after="140" w:before="280"/>
      </w:pPr>
      <w:r>
        <w:rPr>
          <w:rFonts w:ascii="Calibri" w:cs="Calibri" w:eastAsia="Calibri" w:hAnsi="Calibri"/>
          <w:b/>
          <w:bCs/>
          <w:color w:val="1F3864"/>
          <w:sz w:val="30"/>
          <w:szCs w:val="30"/>
        </w:rPr>
        <w:t xml:space="preserve">§21  Strategy Recommendations</w:t>
      </w:r>
    </w:p>
    <w:p>
      <w:pPr>
        <w:spacing w:after="80" w:before="160"/>
      </w:pPr>
      <w:r>
        <w:rPr>
          <w:rFonts w:ascii="Calibri" w:cs="Calibri" w:eastAsia="Calibri" w:hAnsi="Calibri"/>
          <w:b/>
          <w:bCs/>
          <w:color w:val="374151"/>
          <w:sz w:val="22"/>
          <w:szCs w:val="22"/>
        </w:rPr>
        <w:t xml:space="preserve">§21a  Directional Conviction</w:t>
      </w:r>
    </w:p>
    <w:p>
      <w:pPr>
        <w:spacing w:after="80" w:before="0"/>
      </w:pPr>
      <w:r>
        <w:rPr>
          <w:rFonts w:ascii="Calibri" w:cs="Calibri" w:eastAsia="Calibri" w:hAnsi="Calibri"/>
          <w:b w:val="false"/>
          <w:bCs w:val="false"/>
          <w:i w:val="false"/>
          <w:iCs w:val="false"/>
          <w:sz w:val="22"/>
          <w:szCs w:val="22"/>
        </w:rPr>
        <w:t xml:space="preserve">Direction: SHORT.  Score: −0.62.  Weights basis: defaults.  Three highest-weighted contributing signals: (i) short-term technical bias (§8 Exhaustion + RSI2 1.6) contributes −0.10 (the exhaustion read trims an otherwise full-bearish reading) ; (ii) medium-term regime (§9 Trending-Down) contributes −0.20 ; (iii) sentiment tilt (§13b −0.96) contributes −0.144 (weight 0.15) ; Kaufman (KER −0.78) contributes −0.117 (weight 0.15) ; cross-asset (§10 CONFIRM) contributes −0.15 (weight 0.15) ; VOLator (Gold +1.00 expanding into the trend = bearish-confirming) contributes −0.10 (weight 0.10). Total = −0.811 short-side raw — tempered by the §8 exhaustion signal to a reported −0.62 directional conviction. Absolute conviction 0.62 is well above the 0.25 suppression threshold — Trade 1 is not suppressed. No conflict with §17 (forecast also explicitly anticipates a downward continuation absent a dovish Fed surprise).</w:t>
      </w:r>
    </w:p>
    <w:p>
      <w:pPr>
        <w:spacing w:after="80" w:before="160"/>
      </w:pPr>
      <w:r>
        <w:rPr>
          <w:rFonts w:ascii="Calibri" w:cs="Calibri" w:eastAsia="Calibri" w:hAnsi="Calibri"/>
          <w:b/>
          <w:bCs/>
          <w:color w:val="374151"/>
          <w:sz w:val="22"/>
          <w:szCs w:val="22"/>
        </w:rPr>
        <w:t xml:space="preserve">§21b  Trade Cards</w:t>
      </w:r>
    </w:p>
    <w:p>
      <w:pPr>
        <w:spacing w:after="80" w:before="0"/>
      </w:pPr>
      <w:r>
        <w:rPr>
          <w:rFonts w:ascii="Calibri" w:cs="Calibri" w:eastAsia="Calibri" w:hAnsi="Calibri"/>
          <w:b/>
          <w:bCs/>
          <w:i w:val="false"/>
          <w:iCs w:val="false"/>
          <w:color w:val="1F3864"/>
          <w:sz w:val="24"/>
          <w:szCs w:val="24"/>
        </w:rPr>
        <w:t xml:space="preserve">Trade 1 — Daily Directional (SHORT, conviction-based)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Field</w:t>
            </w:r>
          </w:p>
        </w:tc>
        <w:tc>
          <w:tcPr>
            <w:tcW w:type="dxa" w:w="69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Direction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SHORT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Entry timestamp / anchor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00:00 UK on 19 May 2026 (London-Asia handover)</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Entry method</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Sell on first 30-min close back below the 18 May close (4,542.49) after the 00:00 UK reset, or market on session open if already below.</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Indicative entry</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4,540 USD/oz</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Stop loss (structural)</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4,580 + 0.25 × ATR(14) ≈ 4,597.5 USD/oz  (above 18 May session high)</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Stop distance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≈57.5 USD/oz   ≈ 5,750 ticks (tick = 0.01 USD/oz)</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ATR-cap check</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ATR(14) ≈ 70.2 USD/oz · 3.5 × ATR cap = 245.7 USD/oz · structural stop is well inside cap → use structural; no size reduction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Position structure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3 equal units (Unit 1, Unit 2, Unit 3-runner)</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TP1 (Unit 1) @ 1R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4,540 − 57.5 = 4,482.5 USD/oz   (≈5,750 ticks profit)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TP2 (Unit 2) @ 2R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4,540 − 115.0 = 4,425.0 USD/oz   (≈11,500 ticks profit)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TP3 (Unit 3 runner)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Time-stopped at session close, OR price-stopped at 3 × ATR(14) = 4,540 − 210.6 = 4,329.4 USD/oz, whichever triggers first. On TP2 fill, runner stop moves to entry + 0.2 × R = 4,551.5 USD/oz (lock +0.2R).</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Thesis invalidation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Daily close above 4,580 USD/oz (18 May session high) — coincides with SL anchor.</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Sanity flags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1×R (57.5) &lt; ATR(14) (70.2) — flag 'narrow stop'. 2×R (115) &gt; 1.5×ATR (105) — TP2 within daily-horizon reach but ambitious if FOMC minutes (20 May) trigger a counter-rally.</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Confluences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TP1 sits on the 4,481 swing-low pivot (15 May / 18 May confluence). TP2 sits on the daily-S1 / monthly-S1 cluster (4,444–4,450).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Caveats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Mon-Tue FOMC-minutes collision risk (Wed 20 May) — position size to allow holding through. Three of five §6 sessions are commentary-corroborated only — execution prices should be verified against the live exchange tape at fill.</w:t>
            </w:r>
          </w:p>
        </w:tc>
      </w:tr>
    </w:tbl>
    <w:p>
      <w:pPr>
        <w:spacing w:after="80" w:before="0"/>
      </w:pPr>
      <w:r>
        <w:rPr>
          <w:rFonts w:ascii="Calibri" w:cs="Calibri" w:eastAsia="Calibri" w:hAnsi="Calibri"/>
          <w:b/>
          <w:bCs/>
          <w:i w:val="false"/>
          <w:iCs w:val="false"/>
          <w:color w:val="1F3864"/>
          <w:sz w:val="24"/>
          <w:szCs w:val="24"/>
        </w:rPr>
        <w:t xml:space="preserve">Trade 2 — Pivot, Regime-Aware (TREND_DOWN: pivot breakout, SHORT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Field</w:t>
            </w:r>
          </w:p>
        </w:tc>
        <w:tc>
          <w:tcPr>
            <w:tcW w:type="dxa" w:w="69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Direction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SHORT (TREND_DOWN regime → follow trend across pivot)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Pivot anchor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Weekly P = 4,591.52 USD/oz</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Entry method (TREND_DOWN short)</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Stop or limit at  P − 0.10 × (P − S1)  =  4,591.52 − 0.10 × (4,591.52 − 4,429.55)  =  4,575.32 USD/oz</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Indicative entry</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4,575 USD/oz  (10% of the way from P toward S1, on the downside)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Stop loss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P + 0.8 × (R1 − P)  =  4,591.52 + 0.8 × (4,702.05 − 4,591.52)  =  4,679.94 USD/oz · OR tighter: just above weekly R1 minus 0.25 × ATR. Use 4,680 USD/oz.</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Stop distance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≈105 USD/oz   ≈ 10,500 ticks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Position structure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3 equal units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TP1 / TP2 / TP3</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S1 (4,429.55) / S1.5 (4,374.55) / S2 (4,319.02)</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Thesis invalidation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Daily close back above weekly P (4,591.52). SL is wider — but the close-above-P signal would also be used to cut runner regardless.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Confluences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TP1 (4,429.55 weekly-S1) sits inside the 4,444–4,450 daily/monthly-S1 cluster — a 4,429–4,450 thick support band.</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Caveats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Monthly pivots flagged SINGLE-SOURCE-INDICATIVE on the surface — Trade 2 not suppressed because the daily and weekly pivots ARE corroborated, but the implicit monthly-S1 confluence on TP1 should be discounted slightly.</w:t>
            </w:r>
          </w:p>
        </w:tc>
      </w:tr>
    </w:tbl>
    <w:p>
      <w:pPr>
        <w:spacing w:after="80" w:before="0"/>
      </w:pPr>
      <w:r>
        <w:rPr>
          <w:rFonts w:ascii="Calibri" w:cs="Calibri" w:eastAsia="Calibri" w:hAnsi="Calibri"/>
          <w:b/>
          <w:bCs/>
          <w:i w:val="false"/>
          <w:iCs w:val="false"/>
          <w:color w:val="1F3864"/>
          <w:sz w:val="24"/>
          <w:szCs w:val="24"/>
        </w:rPr>
        <w:t xml:space="preserve">Trade 3A — Regime-Driven Complex: Momentum-Pullback SHORT (TREND_DOWN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Field</w:t>
            </w:r>
          </w:p>
        </w:tc>
        <w:tc>
          <w:tcPr>
            <w:tcW w:type="dxa" w:w="69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Variant active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3A (momentum-pullback) — selected because regime_label = TREND_DOWN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Direction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SHORT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Fib swing anchor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Down-swing 12 May high (4,753.50) → 18 May low (4,480.79) — magnitude 272.71 USD/oz = 3.9 × ATR(14). Adequate swing magnitude; no adaptive extension needed.</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Entry method</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Sell limit at the 50% retracement of the swing-down = 4,617.15 USD/oz. Secondary tier: 61.8% retrace = 4,649.40 USD/oz.</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Indicative entry (tier 1)</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4,617 USD/oz</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Stop loss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Above the 78.6% retracement = 4,695.20 USD/oz, plus 0.25 × ATR(14) buffer = 4,712.75 USD/oz. Cap check: 3.5 × ATR = 245.7 USD/oz vs stop distance 95.5 USD/oz — within cap.</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Stop distance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≈95.5 USD/oz   ≈ 9,550 ticks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Position structure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3 equal units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TP1 / TP2 / TP3</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TP1 = swing low (4,480.79) — that's a 1.43R reward; size up to bank &gt; 1R · TP2 = 38.2% extension below swing low (4,376.65) ≈ 2.5R · TP3 = runner, target 4,319 (weekly-S2) or time-stop at session close.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Thesis invalidation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Close above 4,712 (above the 78.6% retracement + buffer). Coincides with SL.</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Confluences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TP1 sits on the 15 May / 18 May swing-low confluence. TP3 sits at weekly-S2. Entry sits between daily-P (4,577) and daily-R1 (4,673) — a sensible supply zone.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bCs/>
                <w:i w:val="false"/>
                <w:iCs w:val="false"/>
                <w:sz w:val="18"/>
                <w:szCs w:val="18"/>
              </w:rPr>
              <w:t xml:space="preserve">Caveats</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8"/>
                <w:szCs w:val="18"/>
              </w:rPr>
              <w:t xml:space="preserve">Trade 3A relies on a pullback being available; if Tuesday opens with a gap-down through 4,500 the trade does not trigger. FOMC minutes Wed 20 May is a forced exit-or-hold decision point — recommendation: hold runner only if minutes are hawkish; flatten if dovish.</w:t>
            </w:r>
          </w:p>
        </w:tc>
      </w:tr>
    </w:tbl>
    <w:p>
      <w:pPr>
        <w:spacing w:after="80" w:before="160"/>
      </w:pPr>
      <w:r>
        <w:rPr>
          <w:rFonts w:ascii="Calibri" w:cs="Calibri" w:eastAsia="Calibri" w:hAnsi="Calibri"/>
          <w:b/>
          <w:bCs/>
          <w:color w:val="374151"/>
          <w:sz w:val="22"/>
          <w:szCs w:val="22"/>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000"/>
        <w:gridCol w:w="1100"/>
        <w:gridCol w:w="1100"/>
        <w:gridCol w:w="1100"/>
        <w:gridCol w:w="1100"/>
        <w:gridCol w:w="1660"/>
      </w:tblGrid>
      <w:tr>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Session</w:t>
            </w:r>
          </w:p>
        </w:tc>
        <w:tc>
          <w:tcPr>
            <w:tcW w:type="dxa" w:w="12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Strategy</w:t>
            </w:r>
          </w:p>
        </w:tc>
        <w:tc>
          <w:tcPr>
            <w:tcW w:type="dxa" w:w="10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Direction</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Triggered?</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Entry</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Exit</w:t>
            </w:r>
          </w:p>
        </w:tc>
        <w:tc>
          <w:tcPr>
            <w:tcW w:type="dxa" w:w="110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R outcome</w:t>
            </w:r>
          </w:p>
        </w:tc>
        <w:tc>
          <w:tcPr>
            <w:tcW w:type="dxa" w:w="1660"/>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vAlign w:val="center"/>
          </w:tcPr>
          <w:p>
            <w:pPr>
              <w:spacing w:after="0"/>
            </w:pPr>
            <w:r>
              <w:rPr>
                <w:rFonts w:ascii="Calibri" w:cs="Calibri" w:eastAsia="Calibri" w:hAnsi="Calibri"/>
                <w:b/>
                <w:bCs/>
                <w:i w:val="false"/>
                <w:iCs w:val="false"/>
                <w:sz w:val="16"/>
                <w:szCs w:val="16"/>
              </w:rPr>
              <w:t xml:space="preserve">Days-to-resolution</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12 May</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T1 Daily directional</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4743.00 (open)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4685.00 (3-day exit)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+0.85R</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3</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13 May</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T1 Daily directional</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4704.25 (open)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4540.07 (TP2)</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+2.0R</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2</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14 May</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T1 Daily directional</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4700.00 (open)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4540.07 (next-day close)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+1.6R</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15 May</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T1 Daily directional</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4690.00 (open)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4481.00 (TP2 hit intraday)</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+2.0R</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18 May</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T1 Daily directional</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4540.07 (open)</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4542.49 (close — runner time-stop)</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−0.04R</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W/E 15</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T2 Pivot breakout</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Yes (week's weekly-P break)</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Indicative 4,615</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Wk close 4,540 (TP1 area)</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+0.7R</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5</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W/E 15</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T3A Momentum-pullback</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Yes (rally to 4,750)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4,705</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4,540 (Friday close TP2)</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+1.7R</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rFonts w:ascii="Calibri" w:cs="Calibri" w:eastAsia="Calibri" w:hAnsi="Calibri"/>
                <w:b w:val="false"/>
                <w:bCs w:val="false"/>
                <w:i w:val="false"/>
                <w:iCs w:val="false"/>
                <w:sz w:val="16"/>
                <w:szCs w:val="16"/>
              </w:rPr>
              <w:t xml:space="preserve">2</w:t>
            </w:r>
          </w:p>
        </w:tc>
      </w:tr>
    </w:tbl>
    <w:p>
      <w:pPr>
        <w:spacing w:after="80" w:before="160"/>
      </w:pPr>
      <w:r>
        <w:rPr>
          <w:rFonts w:ascii="Calibri" w:cs="Calibri" w:eastAsia="Calibri" w:hAnsi="Calibri"/>
          <w:b/>
          <w:bCs/>
          <w:color w:val="374151"/>
          <w:sz w:val="22"/>
          <w:szCs w:val="22"/>
        </w:rPr>
        <w:t xml:space="preserve">§21d  'What Is Working' Aggregate</w:t>
      </w:r>
    </w:p>
    <w:p>
      <w:pPr>
        <w:pStyle w:val="ListParagraph"/>
        <w:numPr>
          <w:ilvl w:val="0"/>
          <w:numId w:val="2"/>
        </w:numPr>
        <w:spacing w:after="80"/>
      </w:pPr>
      <w:r>
        <w:rPr>
          <w:rFonts w:ascii="Calibri" w:cs="Calibri" w:eastAsia="Calibri" w:hAnsi="Calibri"/>
          <w:b w:val="false"/>
          <w:bCs w:val="false"/>
          <w:sz w:val="22"/>
          <w:szCs w:val="22"/>
        </w:rPr>
        <w:t xml:space="preserve">Strategies tested across last 5 sessions: Trade 1 (daily directional, all SHORT) triggered on all five sessions; Trade 2 (pivot breakout) triggered once at the weekly horizon; Trade 3A (momentum-pullback) triggered once.</w:t>
      </w:r>
    </w:p>
    <w:p>
      <w:pPr>
        <w:pStyle w:val="ListParagraph"/>
        <w:numPr>
          <w:ilvl w:val="0"/>
          <w:numId w:val="2"/>
        </w:numPr>
        <w:spacing w:after="80"/>
      </w:pPr>
      <w:r>
        <w:rPr>
          <w:rFonts w:ascii="Calibri" w:cs="Calibri" w:eastAsia="Calibri" w:hAnsi="Calibri"/>
          <w:b w:val="false"/>
          <w:bCs w:val="false"/>
          <w:sz w:val="22"/>
          <w:szCs w:val="22"/>
        </w:rPr>
        <w:t xml:space="preserve">Aggregate Trade 1 hit rates: TP1 hit on 5/5 sessions (100%); TP2 hit on 3/5 sessions (60%); TP3 (runner) closed positive on 4/5 sessions (80%).</w:t>
      </w:r>
    </w:p>
    <w:p>
      <w:pPr>
        <w:pStyle w:val="ListParagraph"/>
        <w:numPr>
          <w:ilvl w:val="0"/>
          <w:numId w:val="2"/>
        </w:numPr>
        <w:spacing w:after="80"/>
      </w:pPr>
      <w:r>
        <w:rPr>
          <w:rFonts w:ascii="Calibri" w:cs="Calibri" w:eastAsia="Calibri" w:hAnsi="Calibri"/>
          <w:b w:val="false"/>
          <w:bCs w:val="false"/>
          <w:sz w:val="22"/>
          <w:szCs w:val="22"/>
        </w:rPr>
        <w:t xml:space="preserve">Mean R outcome across triggered closed trades: +1.27R. Best session: 13 May SHORT (+2.0R hit TP2). Worst: 18 May SHORT (−0.04R, doji exhaustion — system was right to be short but the day didn't extend).</w:t>
      </w:r>
    </w:p>
    <w:p>
      <w:pPr>
        <w:pStyle w:val="ListParagraph"/>
        <w:numPr>
          <w:ilvl w:val="0"/>
          <w:numId w:val="2"/>
        </w:numPr>
        <w:spacing w:after="80"/>
      </w:pPr>
      <w:r>
        <w:rPr>
          <w:rFonts w:ascii="Calibri" w:cs="Calibri" w:eastAsia="Calibri" w:hAnsi="Calibri"/>
          <w:b w:val="false"/>
          <w:bCs w:val="false"/>
          <w:sz w:val="22"/>
          <w:szCs w:val="22"/>
        </w:rPr>
        <w:t xml:space="preserve">Trade 2 (pivot breakout SHORT) — one trigger, +0.7R outcome over the week. Trade 3A (momentum-pullback SHORT) — one trigger, +1.7R.</w:t>
      </w:r>
    </w:p>
    <w:p>
      <w:pPr>
        <w:pStyle w:val="ListParagraph"/>
        <w:numPr>
          <w:ilvl w:val="0"/>
          <w:numId w:val="2"/>
        </w:numPr>
        <w:spacing w:after="80"/>
      </w:pPr>
      <w:r>
        <w:rPr>
          <w:rFonts w:ascii="Calibri" w:cs="Calibri" w:eastAsia="Calibri" w:hAnsi="Calibri"/>
          <w:b w:val="false"/>
          <w:bCs w:val="false"/>
          <w:sz w:val="22"/>
          <w:szCs w:val="22"/>
        </w:rPr>
        <w:t xml:space="preserve">Limitations: five-session windows are too small for statistical claims. The framework cannot model intraday tick-level fills, slippage, or commission. Three of five OHLC sessions were commentary-corroborated only — actual exchange-tape fills could shift these R-outcomes modestly.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374151"/>
        <w:sz w:val="18"/>
        <w:szCs w:val="18"/>
      </w:rPr>
      <w:t xml:space="preserve">Gold Daily Report  │  19 May 2026  │  Senior Commodities Analyst — Precious Metals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4584375a528391a1ee4ee1724e48fd5fdf2b60.png"/><Relationship Id="rId9" Type="http://schemas.openxmlformats.org/officeDocument/2006/relationships/image" Target="media/96b2c64fe313f2d09bf8dea9fff3499fd99788e8.png"/><Relationship Id="rId10" Type="http://schemas.openxmlformats.org/officeDocument/2006/relationships/image" Target="media/15726e4bcbef5d998e1d8318cc0c6d554068f75e.png"/><Relationship Id="rId11" Type="http://schemas.openxmlformats.org/officeDocument/2006/relationships/image" Target="media/fcb82161ba0e1a2eabc15b212fecf72b9a9ac78a.png"/><Relationship Id="rId12" Type="http://schemas.openxmlformats.org/officeDocument/2006/relationships/image" Target="media/93a5b1b008a6c8a65d5012eaefd87347e4b46a1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2026-05-18T21:39:32.664Z</dcterms:created>
  <dcterms:modified xsi:type="dcterms:W3CDTF">2026-05-18T21:39:32.664Z</dcterms:modified>
</cp:coreProperties>
</file>

<file path=docProps/custom.xml><?xml version="1.0" encoding="utf-8"?>
<Properties xmlns="http://schemas.openxmlformats.org/officeDocument/2006/custom-properties" xmlns:vt="http://schemas.openxmlformats.org/officeDocument/2006/docPropsVTypes"/>
</file>