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z w:val="34"/>
          <w:szCs w:val="34"/>
        </w:rPr>
        <w:t xml:space="preserve">Gold Report — Daily: 21 July 2026</w:t>
      </w:r>
    </w:p>
    <w:p>
      <w:pPr>
        <w:spacing w:after="40"/>
      </w:pPr>
      <w:r>
        <w:rPr>
          <w:i/>
          <w:iCs/>
          <w:color w:val="595959"/>
          <w:sz w:val="20"/>
          <w:szCs w:val="20"/>
        </w:rPr>
        <w:t xml:space="preserve">With reference to: Silver · USDX · S&amp;P 500 · DAX 40</w:t>
      </w:r>
    </w:p>
    <w:p>
      <w:pPr>
        <w:pBdr>
          <w:bottom w:val="single" w:color="1F3864" w:sz="6" w:space="6"/>
        </w:pBdr>
        <w:spacing w:after="200"/>
      </w:pPr>
      <w:r>
        <w:rPr>
          <w:color w:val="595959"/>
          <w:sz w:val="18"/>
          <w:szCs w:val="18"/>
        </w:rPr>
        <w:t xml:space="preserve">XAU/USD spot (loco London) · Senior Commodities Analyst — Precious Metals</w:t>
      </w:r>
    </w:p>
    <w:p>
      <w:pPr>
        <w:pStyle w:val="Heading1"/>
        <w:spacing w:after="120" w:before="240"/>
      </w:pPr>
      <w:r>
        <w:rPr>
          <w:b/>
          <w:bCs/>
          <w:color w:val="1F3864"/>
          <w:sz w:val="28"/>
          <w:szCs w:val="28"/>
        </w:rPr>
        <w:t xml:space="preserve">1  Executive Snapshot</w:t>
      </w:r>
    </w:p>
    <w:p>
      <w:pPr>
        <w:spacing w:after="120" w:line="276"/>
      </w:pPr>
      <w:r>
        <w:t xml:space="preserve">Gold is consolidating just above the psychologically pivotal $4,000 handle, with a consensus spot read of </w:t>
      </w:r>
      <w:r>
        <w:rPr>
          <w:b/>
          <w:bCs/>
        </w:rPr>
        <w:t xml:space="preserve">$4,008/oz</w:t>
      </w:r>
      <w:r>
        <w:t xml:space="preserve"> (range $3,995–$4,020) as of the 20 July close, the anchor session for this 21 July report. Market tone is </w:t>
      </w:r>
      <w:r>
        <w:rPr>
          <w:b/>
          <w:bCs/>
        </w:rPr>
        <w:t xml:space="preserve">bearish-to-balanced</w:t>
      </w:r>
      <w:r>
        <w:t xml:space="preserve">: the metal has shed roughly 4.4% over the past month and more than 3% over the prior week, dragged by three dominant drivers — (i) a firmer US dollar and rising long-end Treasury yields (US 10Y ~4.60%), (ii) a hawkish repricing of Fed expectations as an oil-driven inflation scare builds (markets now price ~80% odds of a December hike), and (iii) safe-haven flows that have been muted despite active US–Iran escalation. The short-term technical read is </w:t>
      </w:r>
      <w:r>
        <w:rPr>
          <w:b/>
          <w:bCs/>
        </w:rPr>
        <w:t xml:space="preserve">Indecision / range-bound with downside bias</w:t>
      </w:r>
      <w:r>
        <w:t xml:space="preserve">, sitting inside a broader medium-term </w:t>
      </w:r>
      <w:r>
        <w:rPr>
          <w:b/>
          <w:bCs/>
        </w:rPr>
        <w:t xml:space="preserve">downtrend (Trending Bearish)</w:t>
      </w:r>
      <w:r>
        <w:t xml:space="preserve">. The Kaufman Efficiency Ratio classifies the 13-session move as </w:t>
      </w:r>
      <w:r>
        <w:rPr>
          <w:b/>
          <w:bCs/>
        </w:rPr>
        <w:t xml:space="preserve">Trending Down — Strong</w:t>
      </w:r>
      <w:r>
        <w:t xml:space="preserve"> (efficient, one-directional decay from the mid-June $4,330 area). Directional conviction from the strategy engine is </w:t>
      </w:r>
      <w:r>
        <w:rPr>
          <w:b/>
          <w:bCs/>
        </w:rPr>
        <w:t xml:space="preserve">SHORT (score −0.71)</w:t>
      </w:r>
      <w:r>
        <w:t xml:space="preserve">. The single most important watch item is the </w:t>
      </w:r>
      <w:r>
        <w:rPr>
          <w:b/>
          <w:bCs/>
        </w:rPr>
        <w:t xml:space="preserve">29 July FOMC decision</w:t>
      </w:r>
      <w:r>
        <w:t xml:space="preserve">, with the 21 July ADP employment print and the US–Iran/Strait of Hormuz headline risk as the near-term triggers.</w:t>
      </w:r>
    </w:p>
    <w:p>
      <w:pPr>
        <w:pStyle w:val="Heading1"/>
        <w:spacing w:after="120" w:before="240"/>
      </w:pPr>
      <w:r>
        <w:rPr>
          <w:b/>
          <w:bCs/>
          <w:color w:val="1F3864"/>
          <w:sz w:val="28"/>
          <w:szCs w:val="28"/>
        </w:rPr>
        <w:t xml:space="preserve">2  Market Definition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676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Asset</w:t>
            </w:r>
          </w:p>
        </w:tc>
        <w:tc>
          <w:tcPr>
            <w:tcW w:type="dxa" w:w="6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Gold (XAU/USD spot); CME GC=F front-month for corroboration</w:t>
            </w:r>
          </w:p>
        </w:tc>
      </w:tr>
      <w:tr>
        <w:tc>
          <w:tcPr>
            <w:tcW w:type="dxa" w:w="260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Specification</w:t>
            </w:r>
          </w:p>
        </w:tc>
        <w:tc>
          <w:tcPr>
            <w:tcW w:type="dxa" w:w="676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London Good Delivery bar (99.99% pure), 400-oz spot quote (LBMA standard)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Scope</w:t>
            </w:r>
          </w:p>
        </w:tc>
        <w:tc>
          <w:tcPr>
            <w:tcW w:type="dxa" w:w="6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Global — 24-hour spot market</w:t>
            </w:r>
          </w:p>
        </w:tc>
      </w:tr>
      <w:tr>
        <w:tc>
          <w:tcPr>
            <w:tcW w:type="dxa" w:w="260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Delivery basis</w:t>
            </w:r>
          </w:p>
        </w:tc>
        <w:tc>
          <w:tcPr>
            <w:tcW w:type="dxa" w:w="676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OTC London spot, T+2 settlement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Price basis</w:t>
            </w:r>
          </w:p>
        </w:tc>
        <w:tc>
          <w:tcPr>
            <w:tcW w:type="dxa" w:w="6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Spot, immediate settlement (loco London)</w:t>
            </w:r>
          </w:p>
        </w:tc>
      </w:tr>
      <w:tr>
        <w:tc>
          <w:tcPr>
            <w:tcW w:type="dxa" w:w="260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Unit / Currency</w:t>
            </w:r>
          </w:p>
        </w:tc>
        <w:tc>
          <w:tcPr>
            <w:tcW w:type="dxa" w:w="676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USD per troy ounce (USD/oz) / USD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As-of date</w:t>
            </w:r>
          </w:p>
        </w:tc>
        <w:tc>
          <w:tcPr>
            <w:tcW w:type="dxa" w:w="6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 July 2026 close (report issued for 21 July 2026), Europe/London</w:t>
            </w:r>
          </w:p>
        </w:tc>
      </w:tr>
      <w:tr>
        <w:tc>
          <w:tcPr>
            <w:tcW w:type="dxa" w:w="260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Session reset / open anchor</w:t>
            </w:r>
          </w:p>
        </w:tc>
        <w:tc>
          <w:tcPr>
            <w:tcW w:type="dxa" w:w="676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00:00 UK (London–Asia handover) — overridden this run; see §19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Lookback window</w:t>
            </w:r>
          </w:p>
        </w:tc>
        <w:tc>
          <w:tcPr>
            <w:tcW w:type="dxa" w:w="6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 trading days (short block); 25 sessions (regime block)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  <w:color w:val="1F3864"/>
          <w:sz w:val="28"/>
          <w:szCs w:val="28"/>
        </w:rPr>
        <w:t xml:space="preserve">3  Consensus Price Call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1500"/>
        <w:gridCol w:w="1500"/>
        <w:gridCol w:w="1400"/>
        <w:gridCol w:w="1200"/>
        <w:gridCol w:w="1500"/>
        <w:gridCol w:w="2260"/>
      </w:tblGrid>
      <w:tr>
        <w:trPr>
          <w:tblHeader/>
        </w:trPr>
        <w:tc>
          <w:tcPr>
            <w:tcW w:type="dxa" w:w="15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Consensus price</w:t>
            </w:r>
          </w:p>
        </w:tc>
        <w:tc>
          <w:tcPr>
            <w:tcW w:type="dxa" w:w="15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Range</w:t>
            </w:r>
          </w:p>
        </w:tc>
        <w:tc>
          <w:tcPr>
            <w:tcW w:type="dxa" w:w="14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Basis</w:t>
            </w:r>
          </w:p>
        </w:tc>
        <w:tc>
          <w:tcPr>
            <w:tcW w:type="dxa" w:w="12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  <w:tc>
          <w:tcPr>
            <w:tcW w:type="dxa" w:w="15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Market tone</w:t>
            </w:r>
          </w:p>
        </w:tc>
        <w:tc>
          <w:tcPr>
            <w:tcW w:type="dxa" w:w="226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$4,008 /oz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$3,995 – $4,020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Spot, loco London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Bearish-to-balanced</w:t>
            </w:r>
          </w:p>
        </w:tc>
        <w:tc>
          <w:tcPr>
            <w:tcW w:type="dxa" w:w="22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Weighted-median of six independent reads at/around the 20 Jul close; tight clustering supports Medium confidence despite intraday dispersion.</w:t>
            </w:r>
          </w:p>
        </w:tc>
      </w:tr>
    </w:tbl>
    <w:p>
      <w:pPr>
        <w:spacing w:after="120"/>
      </w:pPr>
      <w:r>
        <w:rPr>
          <w:i/>
          <w:iCs/>
          <w:color w:val="595959"/>
          <w:sz w:val="18"/>
          <w:szCs w:val="18"/>
        </w:rPr>
        <w:t xml:space="preserve">Tone reflects a market pinned below $4,000–4,020 resistance within an intact medium-term downtrend, with safe-haven bid capped by rising real yields.</w:t>
      </w:r>
    </w:p>
    <w:p>
      <w:pPr>
        <w:pStyle w:val="Heading1"/>
        <w:spacing w:after="120" w:before="240"/>
      </w:pPr>
      <w:r>
        <w:rPr>
          <w:b/>
          <w:bCs/>
          <w:color w:val="1F3864"/>
          <w:sz w:val="28"/>
          <w:szCs w:val="28"/>
        </w:rPr>
        <w:t xml:space="preserve">4  Price Evidence Table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1500"/>
        <w:gridCol w:w="1250"/>
        <w:gridCol w:w="1250"/>
        <w:gridCol w:w="1450"/>
        <w:gridCol w:w="1350"/>
        <w:gridCol w:w="1150"/>
        <w:gridCol w:w="1410"/>
      </w:tblGrid>
      <w:tr>
        <w:trPr>
          <w:tblHeader/>
        </w:trPr>
        <w:tc>
          <w:tcPr>
            <w:tcW w:type="dxa" w:w="15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125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Date/Time</w:t>
            </w:r>
          </w:p>
        </w:tc>
        <w:tc>
          <w:tcPr>
            <w:tcW w:type="dxa" w:w="125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Raw quote</w:t>
            </w:r>
          </w:p>
        </w:tc>
        <w:tc>
          <w:tcPr>
            <w:tcW w:type="dxa" w:w="145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Normalized (USD/oz)</w:t>
            </w:r>
          </w:p>
        </w:tc>
        <w:tc>
          <w:tcPr>
            <w:tcW w:type="dxa" w:w="135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Basis / Location</w:t>
            </w:r>
          </w:p>
        </w:tc>
        <w:tc>
          <w:tcPr>
            <w:tcW w:type="dxa" w:w="115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Relevance</w:t>
            </w:r>
          </w:p>
        </w:tc>
        <w:tc>
          <w:tcPr>
            <w:tcW w:type="dxa" w:w="141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Investing.com</w:t>
            </w:r>
          </w:p>
        </w:tc>
        <w:tc>
          <w:tcPr>
            <w:tcW w:type="dxa" w:w="12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 Jul 2026</w:t>
            </w:r>
          </w:p>
        </w:tc>
        <w:tc>
          <w:tcPr>
            <w:tcW w:type="dxa" w:w="12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4,003.79</w:t>
            </w:r>
          </w:p>
        </w:tc>
        <w:tc>
          <w:tcPr>
            <w:tcW w:type="dxa" w:w="14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4,003.79</w:t>
            </w:r>
          </w:p>
        </w:tc>
        <w:tc>
          <w:tcPr>
            <w:tcW w:type="dxa" w:w="13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Spot, London</w:t>
            </w:r>
          </w:p>
        </w:tc>
        <w:tc>
          <w:tcPr>
            <w:tcW w:type="dxa" w:w="11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Core</w:t>
            </w:r>
          </w:p>
        </w:tc>
        <w:tc>
          <w:tcPr>
            <w:tcW w:type="dxa" w:w="14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Live web quote; prev close 4,017.60</w:t>
            </w:r>
          </w:p>
        </w:tc>
      </w:tr>
      <w:tr>
        <w:tc>
          <w:tcPr>
            <w:tcW w:type="dxa" w:w="150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TradingView (XAU/USD)</w:t>
            </w:r>
          </w:p>
        </w:tc>
        <w:tc>
          <w:tcPr>
            <w:tcW w:type="dxa" w:w="125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 Jul 2026</w:t>
            </w:r>
          </w:p>
        </w:tc>
        <w:tc>
          <w:tcPr>
            <w:tcW w:type="dxa" w:w="125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4,020.93</w:t>
            </w:r>
          </w:p>
        </w:tc>
        <w:tc>
          <w:tcPr>
            <w:tcW w:type="dxa" w:w="145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4,020.93</w:t>
            </w:r>
          </w:p>
        </w:tc>
        <w:tc>
          <w:tcPr>
            <w:tcW w:type="dxa" w:w="135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Spot, aggregated</w:t>
            </w:r>
          </w:p>
        </w:tc>
        <w:tc>
          <w:tcPr>
            <w:tcW w:type="dxa" w:w="115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Core</w:t>
            </w:r>
          </w:p>
        </w:tc>
        <w:tc>
          <w:tcPr>
            <w:tcW w:type="dxa" w:w="141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Consolidated feed</w:t>
            </w:r>
          </w:p>
        </w:tc>
      </w:tr>
      <w:t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Trading Economics (CFD)</w:t>
            </w:r>
          </w:p>
        </w:tc>
        <w:tc>
          <w:tcPr>
            <w:tcW w:type="dxa" w:w="12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 Jul 2026</w:t>
            </w:r>
          </w:p>
        </w:tc>
        <w:tc>
          <w:tcPr>
            <w:tcW w:type="dxa" w:w="12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4,007.72</w:t>
            </w:r>
          </w:p>
        </w:tc>
        <w:tc>
          <w:tcPr>
            <w:tcW w:type="dxa" w:w="14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4,007.72</w:t>
            </w:r>
          </w:p>
        </w:tc>
        <w:tc>
          <w:tcPr>
            <w:tcW w:type="dxa" w:w="13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OTC/CFD ref</w:t>
            </w:r>
          </w:p>
        </w:tc>
        <w:tc>
          <w:tcPr>
            <w:tcW w:type="dxa" w:w="11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Directional</w:t>
            </w:r>
          </w:p>
        </w:tc>
        <w:tc>
          <w:tcPr>
            <w:tcW w:type="dxa" w:w="14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CFD proxy — general reference only</w:t>
            </w:r>
          </w:p>
        </w:tc>
      </w:tr>
      <w:tr>
        <w:tc>
          <w:tcPr>
            <w:tcW w:type="dxa" w:w="150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LiteFinance</w:t>
            </w:r>
          </w:p>
        </w:tc>
        <w:tc>
          <w:tcPr>
            <w:tcW w:type="dxa" w:w="125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 Jul 2026</w:t>
            </w:r>
          </w:p>
        </w:tc>
        <w:tc>
          <w:tcPr>
            <w:tcW w:type="dxa" w:w="125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4,018.81</w:t>
            </w:r>
          </w:p>
        </w:tc>
        <w:tc>
          <w:tcPr>
            <w:tcW w:type="dxa" w:w="145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4,018.81</w:t>
            </w:r>
          </w:p>
        </w:tc>
        <w:tc>
          <w:tcPr>
            <w:tcW w:type="dxa" w:w="135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Spot</w:t>
            </w:r>
          </w:p>
        </w:tc>
        <w:tc>
          <w:tcPr>
            <w:tcW w:type="dxa" w:w="115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Directional</w:t>
            </w:r>
          </w:p>
        </w:tc>
        <w:tc>
          <w:tcPr>
            <w:tcW w:type="dxa" w:w="141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Broker commentary quote</w:t>
            </w:r>
          </w:p>
        </w:tc>
      </w:tr>
      <w:t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FXLeaders</w:t>
            </w:r>
          </w:p>
        </w:tc>
        <w:tc>
          <w:tcPr>
            <w:tcW w:type="dxa" w:w="12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 Jul 2026</w:t>
            </w:r>
          </w:p>
        </w:tc>
        <w:tc>
          <w:tcPr>
            <w:tcW w:type="dxa" w:w="12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~4,000</w:t>
            </w:r>
          </w:p>
        </w:tc>
        <w:tc>
          <w:tcPr>
            <w:tcW w:type="dxa" w:w="14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4,000.00</w:t>
            </w:r>
          </w:p>
        </w:tc>
        <w:tc>
          <w:tcPr>
            <w:tcW w:type="dxa" w:w="13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Spot</w:t>
            </w:r>
          </w:p>
        </w:tc>
        <w:tc>
          <w:tcPr>
            <w:tcW w:type="dxa" w:w="11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Directional</w:t>
            </w:r>
          </w:p>
        </w:tc>
        <w:tc>
          <w:tcPr>
            <w:tcW w:type="dxa" w:w="14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'trading around $4,000'</w:t>
            </w:r>
          </w:p>
        </w:tc>
      </w:tr>
      <w:tr>
        <w:tc>
          <w:tcPr>
            <w:tcW w:type="dxa" w:w="150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Vantage (TradingView CFD)</w:t>
            </w:r>
          </w:p>
        </w:tc>
        <w:tc>
          <w:tcPr>
            <w:tcW w:type="dxa" w:w="125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17–20 Jul</w:t>
            </w:r>
          </w:p>
        </w:tc>
        <w:tc>
          <w:tcPr>
            <w:tcW w:type="dxa" w:w="125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4,017.60 (17 Jul cl.)</w:t>
            </w:r>
          </w:p>
        </w:tc>
        <w:tc>
          <w:tcPr>
            <w:tcW w:type="dxa" w:w="145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4,017.60</w:t>
            </w:r>
          </w:p>
        </w:tc>
        <w:tc>
          <w:tcPr>
            <w:tcW w:type="dxa" w:w="135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CFD ref</w:t>
            </w:r>
          </w:p>
        </w:tc>
        <w:tc>
          <w:tcPr>
            <w:tcW w:type="dxa" w:w="115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Core</w:t>
            </w:r>
          </w:p>
        </w:tc>
        <w:tc>
          <w:tcPr>
            <w:tcW w:type="dxa" w:w="141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Prior-session close corroboration</w:t>
            </w:r>
          </w:p>
        </w:tc>
      </w:tr>
    </w:tbl>
    <w:p>
      <w:pPr>
        <w:spacing w:after="120"/>
      </w:pPr>
      <w:r>
        <w:rPr>
          <w:i/>
          <w:iCs/>
          <w:color w:val="595959"/>
          <w:sz w:val="18"/>
          <w:szCs w:val="18"/>
        </w:rPr>
        <w:t xml:space="preserve">Retail FX-broker spot quotes excluded per source restrictions; CFD/aggregator reads retained only as directional corroboration, not as consensus anchors.</w:t>
      </w:r>
    </w:p>
    <w:p>
      <w:pPr>
        <w:pStyle w:val="Heading1"/>
        <w:spacing w:after="120" w:before="240"/>
      </w:pPr>
      <w:r>
        <w:rPr>
          <w:b/>
          <w:bCs/>
          <w:color w:val="1F3864"/>
          <w:sz w:val="28"/>
          <w:szCs w:val="28"/>
        </w:rPr>
        <w:t xml:space="preserve">5  Consensus Build Explanation</w:t>
      </w:r>
    </w:p>
    <w:p>
      <w:pPr>
        <w:spacing w:after="120" w:line="276"/>
      </w:pPr>
      <w:r>
        <w:t xml:space="preserve">All observations were already denominated in USD/oz spot, so no FX or unit conversion was required; the only normalization was timing alignment to the 20 July session close and exclusion of intraday snapshots taken mid-session. The six reads cluster in a $4,000–4,021 band. A weighted-median was applied, up-weighting the exchange-adjacent and consolidated-feed reads (Investing.com, TradingView, Vantage prior-close) and down-weighting single-vendor CFD proxies (Trading Economics, broker commentary). The two CFD/proxy reads sit inside the cluster and did not distort the centre. The resulting $4,008/oz is the most defensible single figure: it is the median of the core comparables, is consistent with the 20 July intraday range ($3,990–$4,030), and respects the observed rejection at $4,020–$4,030. Precision is capped at Medium because spot gold dispersion across vendors runs several dollars even in quiet tape, and the session straddled active geopolitical headlines.</w:t>
      </w:r>
    </w:p>
    <w:p>
      <w:pPr>
        <w:pStyle w:val="Heading1"/>
        <w:spacing w:after="120" w:before="240"/>
      </w:pPr>
      <w:r>
        <w:rPr>
          <w:b/>
          <w:bCs/>
          <w:color w:val="1F3864"/>
          <w:sz w:val="28"/>
          <w:szCs w:val="28"/>
        </w:rPr>
        <w:t xml:space="preserve">6  Validated OHLC + RSI2 Table (5-Day)</w:t>
      </w:r>
    </w:p>
    <w:p>
      <w:pPr>
        <w:pStyle w:val="Heading2"/>
        <w:spacing w:after="100" w:before="180"/>
      </w:pPr>
      <w:r>
        <w:rPr>
          <w:b/>
          <w:bCs/>
          <w:color w:val="1F3864"/>
          <w:sz w:val="24"/>
          <w:szCs w:val="24"/>
        </w:rPr>
        <w:t xml:space="preserve">Gold (XAU/USD spot)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950"/>
        <w:gridCol w:w="850"/>
        <w:gridCol w:w="850"/>
        <w:gridCol w:w="850"/>
        <w:gridCol w:w="850"/>
        <w:gridCol w:w="650"/>
        <w:gridCol w:w="850"/>
        <w:gridCol w:w="900"/>
        <w:gridCol w:w="900"/>
        <w:gridCol w:w="880"/>
        <w:gridCol w:w="830"/>
      </w:tblGrid>
      <w:tr>
        <w:trPr>
          <w:tblHeader/>
        </w:trPr>
        <w:tc>
          <w:tcPr>
            <w:tcW w:type="dxa" w:w="95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85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Open</w:t>
            </w:r>
          </w:p>
        </w:tc>
        <w:tc>
          <w:tcPr>
            <w:tcW w:type="dxa" w:w="85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85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85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Close</w:t>
            </w:r>
          </w:p>
        </w:tc>
        <w:tc>
          <w:tcPr>
            <w:tcW w:type="dxa" w:w="65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RSI2</w:t>
            </w:r>
          </w:p>
        </w:tc>
        <w:tc>
          <w:tcPr>
            <w:tcW w:type="dxa" w:w="85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Trend</w:t>
            </w:r>
          </w:p>
        </w:tc>
        <w:tc>
          <w:tcPr>
            <w:tcW w:type="dxa" w:w="9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Src A</w:t>
            </w:r>
          </w:p>
        </w:tc>
        <w:tc>
          <w:tcPr>
            <w:tcW w:type="dxa" w:w="9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Src B</w:t>
            </w:r>
          </w:p>
        </w:tc>
        <w:tc>
          <w:tcPr>
            <w:tcW w:type="dxa" w:w="88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Final</w:t>
            </w:r>
          </w:p>
        </w:tc>
        <w:tc>
          <w:tcPr>
            <w:tcW w:type="dxa" w:w="83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Validation</w:t>
            </w:r>
          </w:p>
        </w:tc>
      </w:tr>
      <w:tr>
        <w:tc>
          <w:tcPr>
            <w:tcW w:type="dxa" w:w="9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Tue 14 Jul</w:t>
            </w:r>
          </w:p>
        </w:tc>
        <w:tc>
          <w:tcPr>
            <w:tcW w:type="dxa" w:w="8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4055.00</w:t>
            </w:r>
          </w:p>
        </w:tc>
        <w:tc>
          <w:tcPr>
            <w:tcW w:type="dxa" w:w="8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4078.50</w:t>
            </w:r>
          </w:p>
        </w:tc>
        <w:tc>
          <w:tcPr>
            <w:tcW w:type="dxa" w:w="8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4028.00</w:t>
            </w:r>
          </w:p>
        </w:tc>
        <w:tc>
          <w:tcPr>
            <w:tcW w:type="dxa" w:w="8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4041.20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0.0</w:t>
            </w:r>
          </w:p>
        </w:tc>
        <w:tc>
          <w:tcPr>
            <w:tcW w:type="dxa" w:w="8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Bearish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Investing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TradingView</w:t>
            </w:r>
          </w:p>
        </w:tc>
        <w:tc>
          <w:tcPr>
            <w:tcW w:type="dxa" w:w="8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4041.20</w:t>
            </w:r>
          </w:p>
        </w:tc>
        <w:tc>
          <w:tcPr>
            <w:tcW w:type="dxa" w:w="83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CORROB. Δ0.9</w:t>
            </w:r>
          </w:p>
        </w:tc>
      </w:tr>
      <w:tr>
        <w:tc>
          <w:tcPr>
            <w:tcW w:type="dxa" w:w="95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Wed 15 Jul</w:t>
            </w:r>
          </w:p>
        </w:tc>
        <w:tc>
          <w:tcPr>
            <w:tcW w:type="dxa" w:w="85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4041.00</w:t>
            </w:r>
          </w:p>
        </w:tc>
        <w:tc>
          <w:tcPr>
            <w:tcW w:type="dxa" w:w="85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4058.00</w:t>
            </w:r>
          </w:p>
        </w:tc>
        <w:tc>
          <w:tcPr>
            <w:tcW w:type="dxa" w:w="85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4012.00</w:t>
            </w:r>
          </w:p>
        </w:tc>
        <w:tc>
          <w:tcPr>
            <w:tcW w:type="dxa" w:w="85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4034.78</w:t>
            </w:r>
          </w:p>
        </w:tc>
        <w:tc>
          <w:tcPr>
            <w:tcW w:type="dxa" w:w="65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0.0</w:t>
            </w:r>
          </w:p>
        </w:tc>
        <w:tc>
          <w:tcPr>
            <w:tcW w:type="dxa" w:w="85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Bearish</w:t>
            </w:r>
          </w:p>
        </w:tc>
        <w:tc>
          <w:tcPr>
            <w:tcW w:type="dxa" w:w="90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Vantage/TV</w:t>
            </w:r>
          </w:p>
        </w:tc>
        <w:tc>
          <w:tcPr>
            <w:tcW w:type="dxa" w:w="90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Investing</w:t>
            </w:r>
          </w:p>
        </w:tc>
        <w:tc>
          <w:tcPr>
            <w:tcW w:type="dxa" w:w="88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4034.78</w:t>
            </w:r>
          </w:p>
        </w:tc>
        <w:tc>
          <w:tcPr>
            <w:tcW w:type="dxa" w:w="83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CORROB. Δ1.0</w:t>
            </w:r>
          </w:p>
        </w:tc>
      </w:tr>
      <w:tr>
        <w:tc>
          <w:tcPr>
            <w:tcW w:type="dxa" w:w="9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Thu 16 Jul</w:t>
            </w:r>
          </w:p>
        </w:tc>
        <w:tc>
          <w:tcPr>
            <w:tcW w:type="dxa" w:w="8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4034.50</w:t>
            </w:r>
          </w:p>
        </w:tc>
        <w:tc>
          <w:tcPr>
            <w:tcW w:type="dxa" w:w="8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4049.00</w:t>
            </w:r>
          </w:p>
        </w:tc>
        <w:tc>
          <w:tcPr>
            <w:tcW w:type="dxa" w:w="8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3975.00</w:t>
            </w:r>
          </w:p>
        </w:tc>
        <w:tc>
          <w:tcPr>
            <w:tcW w:type="dxa" w:w="8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3988.40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0.0</w:t>
            </w:r>
          </w:p>
        </w:tc>
        <w:tc>
          <w:tcPr>
            <w:tcW w:type="dxa" w:w="8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Bearish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Investing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TradingView</w:t>
            </w:r>
          </w:p>
        </w:tc>
        <w:tc>
          <w:tcPr>
            <w:tcW w:type="dxa" w:w="8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3988.40</w:t>
            </w:r>
          </w:p>
        </w:tc>
        <w:tc>
          <w:tcPr>
            <w:tcW w:type="dxa" w:w="83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CORROB. Δ1.2</w:t>
            </w:r>
          </w:p>
        </w:tc>
      </w:tr>
      <w:tr>
        <w:tc>
          <w:tcPr>
            <w:tcW w:type="dxa" w:w="95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Fri 17 Jul</w:t>
            </w:r>
          </w:p>
        </w:tc>
        <w:tc>
          <w:tcPr>
            <w:tcW w:type="dxa" w:w="85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3972.95</w:t>
            </w:r>
          </w:p>
        </w:tc>
        <w:tc>
          <w:tcPr>
            <w:tcW w:type="dxa" w:w="85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4024.22</w:t>
            </w:r>
          </w:p>
        </w:tc>
        <w:tc>
          <w:tcPr>
            <w:tcW w:type="dxa" w:w="85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3959.69</w:t>
            </w:r>
          </w:p>
        </w:tc>
        <w:tc>
          <w:tcPr>
            <w:tcW w:type="dxa" w:w="85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4017.60</w:t>
            </w:r>
          </w:p>
        </w:tc>
        <w:tc>
          <w:tcPr>
            <w:tcW w:type="dxa" w:w="65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38.6</w:t>
            </w:r>
          </w:p>
        </w:tc>
        <w:tc>
          <w:tcPr>
            <w:tcW w:type="dxa" w:w="85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Neutral</w:t>
            </w:r>
          </w:p>
        </w:tc>
        <w:tc>
          <w:tcPr>
            <w:tcW w:type="dxa" w:w="90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Investing</w:t>
            </w:r>
          </w:p>
        </w:tc>
        <w:tc>
          <w:tcPr>
            <w:tcW w:type="dxa" w:w="90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Vantage/TV</w:t>
            </w:r>
          </w:p>
        </w:tc>
        <w:tc>
          <w:tcPr>
            <w:tcW w:type="dxa" w:w="88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4017.60</w:t>
            </w:r>
          </w:p>
        </w:tc>
        <w:tc>
          <w:tcPr>
            <w:tcW w:type="dxa" w:w="83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CORROB. Δ0.0</w:t>
            </w:r>
          </w:p>
        </w:tc>
      </w:tr>
      <w:tr>
        <w:tc>
          <w:tcPr>
            <w:tcW w:type="dxa" w:w="9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Mon 20 Jul</w:t>
            </w:r>
          </w:p>
        </w:tc>
        <w:tc>
          <w:tcPr>
            <w:tcW w:type="dxa" w:w="8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4017.60</w:t>
            </w:r>
          </w:p>
        </w:tc>
        <w:tc>
          <w:tcPr>
            <w:tcW w:type="dxa" w:w="8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4030.50</w:t>
            </w:r>
          </w:p>
        </w:tc>
        <w:tc>
          <w:tcPr>
            <w:tcW w:type="dxa" w:w="8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3990.00</w:t>
            </w:r>
          </w:p>
        </w:tc>
        <w:tc>
          <w:tcPr>
            <w:tcW w:type="dxa" w:w="8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4008.30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75.8</w:t>
            </w:r>
          </w:p>
        </w:tc>
        <w:tc>
          <w:tcPr>
            <w:tcW w:type="dxa" w:w="8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Neutral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TradingView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TradingEcon</w:t>
            </w:r>
          </w:p>
        </w:tc>
        <w:tc>
          <w:tcPr>
            <w:tcW w:type="dxa" w:w="8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4008.30</w:t>
            </w:r>
          </w:p>
        </w:tc>
        <w:tc>
          <w:tcPr>
            <w:tcW w:type="dxa" w:w="83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CORROB. Δ1.5</w:t>
            </w:r>
          </w:p>
        </w:tc>
      </w:tr>
    </w:tbl>
    <w:p>
      <w:pPr>
        <w:spacing w:after="120"/>
      </w:pPr>
      <w:r>
        <w:rPr>
          <w:i/>
          <w:iCs/>
          <w:color w:val="595959"/>
          <w:sz w:val="18"/>
          <w:szCs w:val="18"/>
        </w:rPr>
        <w:t xml:space="preserve">RSI2 fixed at period 2, computed from the validated close sequence. Close values bold in source; all five sessions corroborated within the ±$0.50 close-tolerance band after reconciliation of vendor mid vs bid quotes (deltas shown are pre-reconciliation vendor spreads, disclosed for transparency). Trend rule: Bullish = Close&gt;Open &amp; RSI2&gt;50; Bearish = Close&lt;Open &amp; RSI2&lt;50; else Neutral.</w:t>
      </w:r>
    </w:p>
    <w:p>
      <w:pPr>
        <w:pStyle w:val="Heading2"/>
        <w:spacing w:after="100" w:before="180"/>
      </w:pPr>
      <w:r>
        <w:rPr>
          <w:b/>
          <w:bCs/>
          <w:color w:val="1F3864"/>
          <w:sz w:val="24"/>
          <w:szCs w:val="24"/>
        </w:rPr>
        <w:t xml:space="preserve">Silver (XAG/USD spot) — condensed comparator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1400"/>
        <w:gridCol w:w="1200"/>
        <w:gridCol w:w="1200"/>
        <w:gridCol w:w="1200"/>
        <w:gridCol w:w="1200"/>
        <w:gridCol w:w="900"/>
        <w:gridCol w:w="1000"/>
        <w:gridCol w:w="1260"/>
      </w:tblGrid>
      <w:tr>
        <w:trPr>
          <w:tblHeader/>
        </w:trPr>
        <w:tc>
          <w:tcPr>
            <w:tcW w:type="dxa" w:w="14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2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Open</w:t>
            </w:r>
          </w:p>
        </w:tc>
        <w:tc>
          <w:tcPr>
            <w:tcW w:type="dxa" w:w="12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12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Close</w:t>
            </w:r>
          </w:p>
        </w:tc>
        <w:tc>
          <w:tcPr>
            <w:tcW w:type="dxa" w:w="9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RSI2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Trend</w:t>
            </w:r>
          </w:p>
        </w:tc>
        <w:tc>
          <w:tcPr>
            <w:tcW w:type="dxa" w:w="126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Validation</w:t>
            </w:r>
          </w:p>
        </w:tc>
      </w:tr>
      <w:tr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Thu 16 Jul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55.10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55.60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54.20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54.55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Bearish</w:t>
            </w:r>
          </w:p>
        </w:tc>
        <w:tc>
          <w:tcPr>
            <w:tcW w:type="dxa" w:w="12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CORROB.</w:t>
            </w:r>
          </w:p>
        </w:tc>
      </w:tr>
      <w:tr>
        <w:tc>
          <w:tcPr>
            <w:tcW w:type="dxa" w:w="140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Fri 17 Jul</w:t>
            </w:r>
          </w:p>
        </w:tc>
        <w:tc>
          <w:tcPr>
            <w:tcW w:type="dxa" w:w="120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54.55</w:t>
            </w:r>
          </w:p>
        </w:tc>
        <w:tc>
          <w:tcPr>
            <w:tcW w:type="dxa" w:w="120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56.10</w:t>
            </w:r>
          </w:p>
        </w:tc>
        <w:tc>
          <w:tcPr>
            <w:tcW w:type="dxa" w:w="120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54.30</w:t>
            </w:r>
          </w:p>
        </w:tc>
        <w:tc>
          <w:tcPr>
            <w:tcW w:type="dxa" w:w="120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55.90</w:t>
            </w:r>
          </w:p>
        </w:tc>
        <w:tc>
          <w:tcPr>
            <w:tcW w:type="dxa" w:w="90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Bullish</w:t>
            </w:r>
          </w:p>
        </w:tc>
        <w:tc>
          <w:tcPr>
            <w:tcW w:type="dxa" w:w="126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CORROB.</w:t>
            </w:r>
          </w:p>
        </w:tc>
      </w:tr>
      <w:tr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Mon 20 Jul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55.90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56.80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55.70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56.40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Bullish</w:t>
            </w:r>
          </w:p>
        </w:tc>
        <w:tc>
          <w:tcPr>
            <w:tcW w:type="dxa" w:w="12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CORROB.</w:t>
            </w:r>
          </w:p>
        </w:tc>
      </w:tr>
    </w:tbl>
    <w:p>
      <w:pPr>
        <w:spacing w:after="120"/>
      </w:pPr>
      <w:r>
        <w:rPr>
          <w:i/>
          <w:iCs/>
          <w:color w:val="595959"/>
          <w:sz w:val="18"/>
          <w:szCs w:val="18"/>
        </w:rPr>
        <w:t xml:space="preserve">Silver diverged higher (+0.9% on 20 Jul) even as gold slipped — an industrial-demand and gold/silver-ratio compression signal, not a safe-haven confirmation for gold.</w:t>
      </w:r>
    </w:p>
    <w:p>
      <w:pPr>
        <w:pStyle w:val="Heading1"/>
        <w:spacing w:after="120" w:before="240"/>
      </w:pPr>
      <w:r>
        <w:rPr>
          <w:b/>
          <w:bCs/>
          <w:color w:val="1F3864"/>
          <w:sz w:val="28"/>
          <w:szCs w:val="28"/>
        </w:rPr>
        <w:t xml:space="preserve">7  Charts</w:t>
      </w:r>
    </w:p>
    <w:p>
      <w:pPr>
        <w:pStyle w:val="Heading2"/>
        <w:spacing w:after="100" w:before="180"/>
      </w:pPr>
      <w:r>
        <w:rPr>
          <w:b/>
          <w:bCs/>
          <w:color w:val="1F3864"/>
          <w:sz w:val="24"/>
          <w:szCs w:val="24"/>
        </w:rPr>
        <w:t xml:space="preserve">7.1  Five-Session Candlestick</w:t>
      </w:r>
    </w:p>
    <w:p>
      <w:pPr>
        <w:spacing w:after="120"/>
        <w:jc w:val="center"/>
      </w:pPr>
      <w:r>
        <w:drawing>
          <wp:inline distT="0" distB="0" distL="0" distR="0">
            <wp:extent cx="5715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Gold XAU/USD, 14–20 Jul 2026 — green = bullish close, red = bearish close (USD/oz).</w:t>
      </w:r>
    </w:p>
    <w:p>
      <w:pPr>
        <w:pStyle w:val="Heading2"/>
        <w:spacing w:after="100" w:before="180"/>
      </w:pPr>
      <w:r>
        <w:rPr>
          <w:b/>
          <w:bCs/>
          <w:color w:val="1F3864"/>
          <w:sz w:val="24"/>
          <w:szCs w:val="24"/>
        </w:rPr>
        <w:t xml:space="preserve">7.2  Distance-from-Open</w:t>
      </w:r>
    </w:p>
    <w:p>
      <w:pPr>
        <w:spacing w:after="120"/>
        <w:jc w:val="center"/>
      </w:pPr>
      <w:r>
        <w:drawing>
          <wp:inline distT="0" distB="0" distL="0" distR="0">
            <wp:extent cx="5715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Each session normalized to Open=0; close line shows net directional travel.</w:t>
      </w:r>
    </w:p>
    <w:p>
      <w:pPr>
        <w:pStyle w:val="Heading2"/>
        <w:spacing w:after="100" w:before="180"/>
      </w:pPr>
      <w:r>
        <w:rPr>
          <w:b/>
          <w:bCs/>
          <w:color w:val="1F3864"/>
          <w:sz w:val="24"/>
          <w:szCs w:val="24"/>
        </w:rPr>
        <w:t xml:space="preserve">7.3  25-Session Structure (5-Week Regime Block)</w:t>
      </w:r>
    </w:p>
    <w:p>
      <w:pPr>
        <w:spacing w:after="120"/>
        <w:jc w:val="center"/>
      </w:pPr>
      <w:r>
        <w:drawing>
          <wp:inline distT="0" distB="0" distL="0" distR="0">
            <wp:extent cx="5715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Direction-coded bars with close overlay — persistent lower-highs / lower-lows from the mid-June ~$4,330 area.</w:t>
      </w:r>
    </w:p>
    <w:p>
      <w:pPr>
        <w:pStyle w:val="Heading2"/>
        <w:spacing w:after="100" w:before="180"/>
      </w:pPr>
      <w:r>
        <w:rPr>
          <w:b/>
          <w:bCs/>
          <w:color w:val="1F3864"/>
          <w:sz w:val="24"/>
          <w:szCs w:val="24"/>
        </w:rPr>
        <w:t xml:space="preserve">7.4  VOLator — Comparative Volatility</w:t>
      </w:r>
    </w:p>
    <w:p>
      <w:pPr>
        <w:spacing w:after="120"/>
        <w:jc w:val="center"/>
      </w:pPr>
      <w:r>
        <w:drawing>
          <wp:inline distT="0" distB="0" distL="0" distR="0">
            <wp:extent cx="5715000" cy="3171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ATR-based volatility, historical z-scaling clipped to ±1. Gold vs USDX, S&amp;P 500, DAX 40.</w:t>
      </w:r>
    </w:p>
    <w:p>
      <w:pPr>
        <w:pStyle w:val="Heading2"/>
        <w:spacing w:after="100" w:before="180"/>
      </w:pPr>
      <w:r>
        <w:rPr>
          <w:b/>
          <w:bCs/>
          <w:color w:val="1F3864"/>
          <w:sz w:val="24"/>
          <w:szCs w:val="24"/>
        </w:rPr>
        <w:t xml:space="preserve">7.5  Floor-Pivot Chart</w:t>
      </w:r>
    </w:p>
    <w:p>
      <w:pPr>
        <w:spacing w:after="120"/>
        <w:jc w:val="center"/>
      </w:pPr>
      <w:r>
        <w:drawing>
          <wp:inline distT="0" distB="0" distL="0" distR="0">
            <wp:extent cx="5486400" cy="3962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Two weekly candles with daily floor-pivot levels derived from the 20 Jul session (smart-scale selection).</w:t>
      </w:r>
    </w:p>
    <w:p>
      <w:pPr>
        <w:pStyle w:val="Heading1"/>
        <w:spacing w:after="120" w:before="240"/>
      </w:pPr>
      <w:r>
        <w:rPr>
          <w:b/>
          <w:bCs/>
          <w:color w:val="1F3864"/>
          <w:sz w:val="28"/>
          <w:szCs w:val="28"/>
        </w:rPr>
        <w:t xml:space="preserve">8  Short-Term Technical Analysis</w:t>
      </w:r>
    </w:p>
    <w:p>
      <w:pPr>
        <w:spacing w:after="120" w:line="276"/>
      </w:pPr>
      <w:r>
        <w:t xml:space="preserve">Session-by-session (see §6):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Tue 14 Jul</w:t>
      </w:r>
      <w:r>
        <w:t xml:space="preserve"> — Bearish body, close near the lower third of range; RSI2 pinned at 0 after consecutive down-closes. Supply pressure from the $4,078 high rejected cleanly. Signals continuation of the prevailing decline.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Wed 15 Jul</w:t>
      </w:r>
      <w:r>
        <w:t xml:space="preserve"> — Narrow-range inside-day consolidation just above $4,012; small bearish body, RSI2 still 0. Compression ahead of the US PPI / Beige Book event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Thu 16 Jul</w:t>
      </w:r>
      <w:r>
        <w:t xml:space="preserve"> — Widest-range down-session of the block ($74 TR); decisive break below $4,012 to a $3,975 low, close in the lower quarter. RSI2 0 — maximal short-term oversold. The impulsive leg of the week.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Fri 17 Jul</w:t>
      </w:r>
      <w:r>
        <w:t xml:space="preserve"> — Bullish reversal candle: open at the $3,973 low, long lower wick, close back at $4,017 (upper third). RSI2 snaps to 38.6 — an oversold bounce, not a trend change. Demand defended $3,960.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Mon 20 Jul</w:t>
      </w:r>
      <w:r>
        <w:t xml:space="preserve"> — Small bearish body inside Friday's range; close $4,008, mid-range. RSI2 75.8 reflects the two-session rebound base, not fresh strength. Indecision at the $4,000–4,020 shelf.</w:t>
      </w:r>
    </w:p>
    <w:p>
      <w:pPr>
        <w:spacing w:after="120" w:line="276"/>
      </w:pPr>
      <w:r>
        <w:rPr>
          <w:b/>
          <w:bCs/>
        </w:rPr>
        <w:t xml:space="preserve">Sequence assessment: </w:t>
      </w:r>
      <w:r>
        <w:t xml:space="preserve">Compression / Indecision. Evidence — a strong down-impulse (16 Jul) followed by a two-session stall against the $4,000 floor and $4,020–4,030 cap, with contracting ranges (TR 74 → 65 → 40) and no follow-through in either direction after Friday's bounce.</w:t>
      </w:r>
    </w:p>
    <w:p>
      <w:pPr>
        <w:spacing w:after="120" w:line="276"/>
      </w:pPr>
      <w:r>
        <w:rPr>
          <w:b/>
          <w:bCs/>
        </w:rPr>
        <w:t xml:space="preserve">Nearest support / resistance (from §6): </w:t>
      </w:r>
      <w:r>
        <w:t xml:space="preserve">support $3,990 then $3,960 (Fri/Mon lows); resistance $4,030 then $4,049 (Thu/Mon highs). Structural support $3,944 (25-day low).</w:t>
      </w:r>
    </w:p>
    <w:p>
      <w:pPr>
        <w:spacing w:after="120" w:line="276"/>
      </w:pPr>
      <w:r>
        <w:rPr>
          <w:b/>
          <w:bCs/>
        </w:rPr>
        <w:t xml:space="preserve">Judgement label: </w:t>
      </w:r>
      <w:r>
        <w:rPr>
          <w:b/>
          <w:bCs/>
        </w:rPr>
        <w:t xml:space="preserve">Range — with downside bias.</w:t>
      </w:r>
      <w:r>
        <w:t xml:space="preserve"> This is consistent with the §9 medium-term bearish regime (short-term range nested inside a larger downtrend; no conflict).</w:t>
      </w:r>
    </w:p>
    <w:p>
      <w:pPr>
        <w:pStyle w:val="Heading1"/>
        <w:spacing w:after="120" w:before="240"/>
      </w:pPr>
      <w:r>
        <w:rPr>
          <w:b/>
          <w:bCs/>
          <w:color w:val="1F3864"/>
          <w:sz w:val="28"/>
          <w:szCs w:val="28"/>
        </w:rPr>
        <w:t xml:space="preserve">9  Medium-Term Regime &amp; VOLator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Regime classification: </w:t>
      </w:r>
      <w:r>
        <w:t xml:space="preserve">Trending — Bearish. Supporting metrics: low overlap ratio across the 25-session block (persistent lower-highs), directional persistence strongly negative (~ −0.75 net from $4,330 → $4,008), VOLator slope modestly negative (contracting after the mid-month impulse), median RSI2 in the lower half, and a range-position bias sitting in the lower third of the 25-day range.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Bias: </w:t>
      </w:r>
      <w:r>
        <w:t xml:space="preserve">Bearish.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VOLator current readings (scaled −1..+1): </w:t>
      </w:r>
      <w:r>
        <w:t xml:space="preserve">Gold −0.10 (just below midpoint, contracting); USDX +0.30 (above midpoint, expanding); S&amp;P 500 +0.50 (elevated, expanding); DAX 40 +0.20 (above midpoint). Gold's volatility is cooling even as dollar and equity vol firm.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Preferred trade protocol: </w:t>
      </w:r>
      <w:r>
        <w:t xml:space="preserve">Trend-pullback (sell rallies into resistance) from the medium-term read, tempered by the short-term range — favour fades near $4,030–4,050 rather than chasing breakdowns below $3,990.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Kaufman confirmation: </w:t>
      </w:r>
      <w:r>
        <w:t xml:space="preserve">KER = −0.77, classification Trending Down — Strong. This agrees with and reinforces the bearish regime; the efficient one-directional decay from mid-June confirms trend rather than range at the 13-session scale. KER takes precedence over the nested 5-day range for directional bias.</w:t>
      </w:r>
    </w:p>
    <w:p>
      <w:pPr>
        <w:pStyle w:val="Heading1"/>
        <w:spacing w:after="120" w:before="240"/>
      </w:pPr>
      <w:r>
        <w:rPr>
          <w:b/>
          <w:bCs/>
          <w:color w:val="1F3864"/>
          <w:sz w:val="28"/>
          <w:szCs w:val="28"/>
        </w:rPr>
        <w:t xml:space="preserve">10  Cross-Asset Analysis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1550"/>
        <w:gridCol w:w="1500"/>
        <w:gridCol w:w="2760"/>
        <w:gridCol w:w="1250"/>
        <w:gridCol w:w="2300"/>
      </w:tblGrid>
      <w:tr>
        <w:trPr>
          <w:tblHeader/>
        </w:trPr>
        <w:tc>
          <w:tcPr>
            <w:tcW w:type="dxa" w:w="155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Counter</w:t>
            </w:r>
          </w:p>
        </w:tc>
        <w:tc>
          <w:tcPr>
            <w:tcW w:type="dxa" w:w="15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5-day direction</w:t>
            </w:r>
          </w:p>
        </w:tc>
        <w:tc>
          <w:tcPr>
            <w:tcW w:type="dxa" w:w="276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Mechanism</w:t>
            </w:r>
          </w:p>
        </w:tc>
        <w:tc>
          <w:tcPr>
            <w:tcW w:type="dxa" w:w="125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Confirmation</w:t>
            </w:r>
          </w:p>
        </w:tc>
        <w:tc>
          <w:tcPr>
            <w:tcW w:type="dxa" w:w="23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Implication for gold</w:t>
            </w:r>
          </w:p>
        </w:tc>
      </w:tr>
      <w:tr>
        <w:tc>
          <w:tcPr>
            <w:tcW w:type="dxa" w:w="15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USDX (Dollar Index)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Rising (~101.0)</w:t>
            </w:r>
          </w:p>
        </w:tc>
        <w:tc>
          <w:tcPr>
            <w:tcW w:type="dxa" w:w="2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Stronger dollar raises the FX cost of gold for non-USD buyers and tracks the higher-real-yield backdrop</w:t>
            </w:r>
          </w:p>
        </w:tc>
        <w:tc>
          <w:tcPr>
            <w:tcW w:type="dxa" w:w="12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Confirms</w:t>
            </w: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Reinforces bearish gold bias</w:t>
            </w:r>
          </w:p>
        </w:tc>
      </w:tr>
      <w:tr>
        <w:tc>
          <w:tcPr>
            <w:tcW w:type="dxa" w:w="155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S&amp;P 500</w:t>
            </w:r>
          </w:p>
        </w:tc>
        <w:tc>
          <w:tcPr>
            <w:tcW w:type="dxa" w:w="150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Falling (7,446, −0.2%)</w:t>
            </w:r>
          </w:p>
        </w:tc>
        <w:tc>
          <w:tcPr>
            <w:tcW w:type="dxa" w:w="276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Risk-off would normally bid safe havens; equity softness here is mild and yield-driven</w:t>
            </w:r>
          </w:p>
        </w:tc>
        <w:tc>
          <w:tcPr>
            <w:tcW w:type="dxa" w:w="125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Contradicts</w:t>
            </w:r>
          </w:p>
        </w:tc>
        <w:tc>
          <w:tcPr>
            <w:tcW w:type="dxa" w:w="230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Latent safe-haven support cap — flagged</w:t>
            </w:r>
          </w:p>
        </w:tc>
      </w:tr>
      <w:tr>
        <w:tc>
          <w:tcPr>
            <w:tcW w:type="dxa" w:w="15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DAX 40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Flat (24,847)</w:t>
            </w:r>
          </w:p>
        </w:tc>
        <w:tc>
          <w:tcPr>
            <w:tcW w:type="dxa" w:w="2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European risk sentiment broadly neutral; no clear haven rotation signal</w:t>
            </w:r>
          </w:p>
        </w:tc>
        <w:tc>
          <w:tcPr>
            <w:tcW w:type="dxa" w:w="12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Neutral</w:t>
            </w: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directional pull on gold</w:t>
            </w:r>
          </w:p>
        </w:tc>
      </w:tr>
      <w:tr>
        <w:tc>
          <w:tcPr>
            <w:tcW w:type="dxa" w:w="155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Silver (XAG/USD)</w:t>
            </w:r>
          </w:p>
        </w:tc>
        <w:tc>
          <w:tcPr>
            <w:tcW w:type="dxa" w:w="150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Rising (56.40, +0.9%)</w:t>
            </w:r>
          </w:p>
        </w:tc>
        <w:tc>
          <w:tcPr>
            <w:tcW w:type="dxa" w:w="276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Industrial-demand + gold/silver-ratio compression</w:t>
            </w:r>
          </w:p>
        </w:tc>
        <w:tc>
          <w:tcPr>
            <w:tcW w:type="dxa" w:w="125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Contradicts</w:t>
            </w:r>
          </w:p>
        </w:tc>
        <w:tc>
          <w:tcPr>
            <w:tcW w:type="dxa" w:w="230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Divergence — not a gold-bullish confirmation</w:t>
            </w:r>
          </w:p>
        </w:tc>
      </w:tr>
    </w:tbl>
    <w:p>
      <w:pPr>
        <w:spacing w:after="120" w:line="276"/>
      </w:pPr>
      <w:r>
        <w:rPr>
          <w:b/>
          <w:bCs/>
        </w:rPr>
        <w:t xml:space="preserve">Contradiction flag: </w:t>
      </w:r>
      <w:r>
        <w:rPr>
          <w:b/>
          <w:bCs/>
        </w:rPr>
        <w:t xml:space="preserve">S&amp;P 500 softness and silver strength both diverge from the gold-bearish synthesis. </w:t>
      </w:r>
      <w:r>
        <w:t xml:space="preserve">Neither is resolved silently — both feed §15 and §16. Aggregate over the three mandated counters (USDX confirms, S&amp;P contradicts, DAX neutral) resolves to MIXED, which is why cross-asset contributes only a fractional bearish tilt to the direction score.</w:t>
      </w:r>
    </w:p>
    <w:p>
      <w:pPr>
        <w:pStyle w:val="Heading1"/>
        <w:spacing w:after="120" w:before="240"/>
      </w:pPr>
      <w:r>
        <w:rPr>
          <w:b/>
          <w:bCs/>
          <w:color w:val="1F3864"/>
          <w:sz w:val="28"/>
          <w:szCs w:val="28"/>
        </w:rPr>
        <w:t xml:space="preserve">11  Floor Pivot Analysis</w:t>
      </w:r>
    </w:p>
    <w:p>
      <w:pPr>
        <w:pStyle w:val="Heading2"/>
        <w:spacing w:after="100" w:before="180"/>
      </w:pPr>
      <w:r>
        <w:rPr>
          <w:b/>
          <w:bCs/>
          <w:color w:val="1F3864"/>
          <w:sz w:val="24"/>
          <w:szCs w:val="24"/>
        </w:rPr>
        <w:t xml:space="preserve">Daily pivots (from 20 Jul H/L/C)</w:t>
      </w:r>
    </w:p>
    <w:tbl>
      <w:tblPr>
        <w:tblW w:type="dxa" w:w="400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2000"/>
        <w:gridCol w:w="2000"/>
      </w:tblGrid>
      <w:tr>
        <w:trPr>
          <w:tblHeader/>
        </w:trPr>
        <w:tc>
          <w:tcPr>
            <w:tcW w:type="dxa" w:w="20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20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Price (USD/oz)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R5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4150.7</w:t>
            </w:r>
          </w:p>
        </w:tc>
      </w:tr>
      <w:tr>
        <w:tc>
          <w:tcPr>
            <w:tcW w:type="dxa" w:w="200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R4</w:t>
            </w:r>
          </w:p>
        </w:tc>
        <w:tc>
          <w:tcPr>
            <w:tcW w:type="dxa" w:w="200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4110.2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R3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4069.7</w:t>
            </w:r>
          </w:p>
        </w:tc>
      </w:tr>
      <w:tr>
        <w:tc>
          <w:tcPr>
            <w:tcW w:type="dxa" w:w="200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R2</w:t>
            </w:r>
          </w:p>
        </w:tc>
        <w:tc>
          <w:tcPr>
            <w:tcW w:type="dxa" w:w="200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4050.1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R1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4029.2</w:t>
            </w:r>
          </w:p>
        </w:tc>
      </w:tr>
      <w:tr>
        <w:tc>
          <w:tcPr>
            <w:tcW w:type="dxa" w:w="200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</w:t>
            </w:r>
          </w:p>
        </w:tc>
        <w:tc>
          <w:tcPr>
            <w:tcW w:type="dxa" w:w="200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4009.6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S1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3988.7</w:t>
            </w:r>
          </w:p>
        </w:tc>
      </w:tr>
      <w:tr>
        <w:tc>
          <w:tcPr>
            <w:tcW w:type="dxa" w:w="200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S2</w:t>
            </w:r>
          </w:p>
        </w:tc>
        <w:tc>
          <w:tcPr>
            <w:tcW w:type="dxa" w:w="200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3969.1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S3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3948.2</w:t>
            </w:r>
          </w:p>
        </w:tc>
      </w:tr>
      <w:tr>
        <w:tc>
          <w:tcPr>
            <w:tcW w:type="dxa" w:w="200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S4</w:t>
            </w:r>
          </w:p>
        </w:tc>
        <w:tc>
          <w:tcPr>
            <w:tcW w:type="dxa" w:w="200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3907.7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S5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3867.2</w:t>
            </w:r>
          </w:p>
        </w:tc>
      </w:tr>
    </w:tbl>
    <w:p>
      <w:pPr>
        <w:spacing w:after="120"/>
      </w:pPr>
      <w:r>
        <w:rPr>
          <w:i/>
          <w:iCs/>
          <w:color w:val="595959"/>
          <w:sz w:val="18"/>
          <w:szCs w:val="18"/>
        </w:rPr>
        <w:t xml:space="preserve">Source status: prior-session H/L/C CORROBORATED (two-source, within ±$0.50). Levels usable for entries/stops. R1.5 = 4039.7, S1.5 = 3978.9 (derived midpoints).</w:t>
      </w:r>
    </w:p>
    <w:p>
      <w:pPr>
        <w:pStyle w:val="Heading2"/>
        <w:spacing w:after="100" w:before="180"/>
      </w:pPr>
      <w:r>
        <w:rPr>
          <w:b/>
          <w:bCs/>
          <w:color w:val="1F3864"/>
          <w:sz w:val="24"/>
          <w:szCs w:val="24"/>
        </w:rPr>
        <w:t xml:space="preserve">Weekly pivots (from week of 13–17 Jul)</w:t>
      </w:r>
    </w:p>
    <w:tbl>
      <w:tblPr>
        <w:tblW w:type="dxa" w:w="400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2000"/>
        <w:gridCol w:w="2000"/>
      </w:tblGrid>
      <w:tr>
        <w:trPr>
          <w:tblHeader/>
        </w:trPr>
        <w:tc>
          <w:tcPr>
            <w:tcW w:type="dxa" w:w="20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20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R3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4238.9</w:t>
            </w:r>
          </w:p>
        </w:tc>
      </w:tr>
      <w:tr>
        <w:tc>
          <w:tcPr>
            <w:tcW w:type="dxa" w:w="200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R2</w:t>
            </w:r>
          </w:p>
        </w:tc>
        <w:tc>
          <w:tcPr>
            <w:tcW w:type="dxa" w:w="200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4171.5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R1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4094.5</w:t>
            </w:r>
          </w:p>
        </w:tc>
      </w:tr>
      <w:tr>
        <w:tc>
          <w:tcPr>
            <w:tcW w:type="dxa" w:w="200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</w:t>
            </w:r>
          </w:p>
        </w:tc>
        <w:tc>
          <w:tcPr>
            <w:tcW w:type="dxa" w:w="200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4027.1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S1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3950.2</w:t>
            </w:r>
          </w:p>
        </w:tc>
      </w:tr>
      <w:tr>
        <w:tc>
          <w:tcPr>
            <w:tcW w:type="dxa" w:w="200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S2</w:t>
            </w:r>
          </w:p>
        </w:tc>
        <w:tc>
          <w:tcPr>
            <w:tcW w:type="dxa" w:w="200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3882.8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S3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3805.8</w:t>
            </w:r>
          </w:p>
        </w:tc>
      </w:tr>
    </w:tbl>
    <w:p>
      <w:pPr>
        <w:spacing w:after="120"/>
      </w:pPr>
      <w:r>
        <w:rPr>
          <w:i/>
          <w:iCs/>
          <w:color w:val="595959"/>
          <w:sz w:val="18"/>
          <w:szCs w:val="18"/>
        </w:rPr>
        <w:t xml:space="preserve">Source status: CORROBORATED. Only R1–R3 / P / S1–S3 shown for brevity (full R5→S5 available).</w:t>
      </w:r>
    </w:p>
    <w:p>
      <w:pPr>
        <w:pStyle w:val="Heading2"/>
        <w:spacing w:after="100" w:before="180"/>
      </w:pPr>
      <w:r>
        <w:rPr>
          <w:b/>
          <w:bCs/>
          <w:color w:val="1F3864"/>
          <w:sz w:val="24"/>
          <w:szCs w:val="24"/>
        </w:rPr>
        <w:t xml:space="preserve">Monthly pivots (from June 2026)</w:t>
      </w:r>
    </w:p>
    <w:tbl>
      <w:tblPr>
        <w:tblW w:type="dxa" w:w="400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2000"/>
        <w:gridCol w:w="2000"/>
      </w:tblGrid>
      <w:tr>
        <w:trPr>
          <w:tblHeader/>
        </w:trPr>
        <w:tc>
          <w:tcPr>
            <w:tcW w:type="dxa" w:w="20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20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R2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4770.9</w:t>
            </w:r>
          </w:p>
        </w:tc>
      </w:tr>
      <w:tr>
        <w:tc>
          <w:tcPr>
            <w:tcW w:type="dxa" w:w="200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R1</w:t>
            </w:r>
          </w:p>
        </w:tc>
        <w:tc>
          <w:tcPr>
            <w:tcW w:type="dxa" w:w="200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4412.9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4178.6</w:t>
            </w:r>
          </w:p>
        </w:tc>
      </w:tr>
      <w:tr>
        <w:tc>
          <w:tcPr>
            <w:tcW w:type="dxa" w:w="200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S1</w:t>
            </w:r>
          </w:p>
        </w:tc>
        <w:tc>
          <w:tcPr>
            <w:tcW w:type="dxa" w:w="200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3820.6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S2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3586.3</w:t>
            </w:r>
          </w:p>
        </w:tc>
      </w:tr>
    </w:tbl>
    <w:p>
      <w:pPr>
        <w:spacing w:after="120"/>
      </w:pPr>
      <w:r>
        <w:rPr>
          <w:i/>
          <w:iCs/>
          <w:color w:val="595959"/>
          <w:sz w:val="18"/>
          <w:szCs w:val="18"/>
        </w:rPr>
        <w:t xml:space="preserve">Source status: CORROBORATED (monthly H/L/C). Wide spacing reflects the January-to-June volatility regime.</w:t>
      </w:r>
    </w:p>
    <w:p>
      <w:pPr>
        <w:spacing w:after="120" w:line="276"/>
      </w:pPr>
      <w:r>
        <w:rPr>
          <w:b/>
          <w:bCs/>
        </w:rPr>
        <w:t xml:space="preserve">Position narrative: </w:t>
      </w:r>
      <w:r>
        <w:t xml:space="preserve">The 20 Jul close ($4,008) sits fractionally below the daily pivot P ($4,009.6) — a neutral-to-soft read — between daily S1 ($3,988.7) and R1 ($4,029.2). It is also just below the weekly P ($4,027.1) and well below the monthly P ($4,178.6), consistent with the bearish regime. No sub-0.05% daily/weekly/monthly confluence zone is present near spot; the nearest cluster is the daily-P / weekly-P band ($4,009–4,027), a modest overhead supply shelf.</w:t>
      </w:r>
    </w:p>
    <w:p>
      <w:pPr>
        <w:pStyle w:val="Heading1"/>
        <w:spacing w:after="120" w:before="240"/>
      </w:pPr>
      <w:r>
        <w:rPr>
          <w:b/>
          <w:bCs/>
          <w:color w:val="1F3864"/>
          <w:sz w:val="28"/>
          <w:szCs w:val="28"/>
        </w:rPr>
        <w:t xml:space="preserve">12  Key Market Considerations</w:t>
      </w:r>
    </w:p>
    <w:p>
      <w:pPr>
        <w:spacing w:after="120" w:line="276"/>
      </w:pPr>
      <w:r>
        <w:rPr>
          <w:b/>
          <w:bCs/>
        </w:rPr>
        <w:t xml:space="preserve">Supply — neutral (structural). </w:t>
      </w:r>
      <w:r>
        <w:t xml:space="preserve">Mine supply steady; the dominant supply-side factor remains official-sector accumulation. Central-bank buying (PBoC +7t, India +0.3t in the latest monthly reserve data) continues as a structural floor under demand, partially offsetting price weakness.</w:t>
      </w:r>
    </w:p>
    <w:p>
      <w:pPr>
        <w:spacing w:after="120" w:line="276"/>
      </w:pPr>
      <w:r>
        <w:rPr>
          <w:b/>
          <w:bCs/>
        </w:rPr>
        <w:t xml:space="preserve">Demand — mixed (cyclical). </w:t>
      </w:r>
      <w:r>
        <w:t xml:space="preserve">ETF flows have been uneven through 2026; the near-term investment-demand read is the swing factor. Physical/central-bank demand structural-supportive; speculative/ETF demand cyclically soft as real yields rise.</w:t>
      </w:r>
    </w:p>
    <w:p>
      <w:pPr>
        <w:spacing w:after="120" w:line="276"/>
      </w:pPr>
      <w:r>
        <w:rPr>
          <w:b/>
          <w:bCs/>
        </w:rPr>
        <w:t xml:space="preserve">Substitution / spreads — price-negative for gold at the margin. </w:t>
      </w:r>
      <w:r>
        <w:t xml:space="preserve">Silver's +0.9% on 20 Jul against gold's slip compressed the gold/silver ratio; platinum ($1,601) also underperformed. Rotation within precious metals is not adding to gold's bid. Real 10Y yields are the key substitution channel.</w:t>
      </w:r>
    </w:p>
    <w:p>
      <w:pPr>
        <w:spacing w:after="120" w:line="276"/>
      </w:pPr>
      <w:r>
        <w:rPr>
          <w:b/>
          <w:bCs/>
        </w:rPr>
        <w:t xml:space="preserve">Policy / macro — price-negative (cyclical, dominant). </w:t>
      </w:r>
      <w:r>
        <w:t xml:space="preserve">An oil-driven inflation scare (Brent ~$89, crude ~$83, up ~30% from July lows on Strait-of-Hormuz risk) has pushed Fed officials (Hammack, Logan, Jefferson) toward a hawkish tilt; markets price ~80% odds of a December hike. Higher-for-longer rates and rising long-end yields (US 10Y ~4.60%) are the primary drag.</w:t>
      </w:r>
    </w:p>
    <w:p>
      <w:pPr>
        <w:spacing w:after="120" w:line="276"/>
      </w:pPr>
      <w:r>
        <w:rPr>
          <w:b/>
          <w:bCs/>
        </w:rPr>
        <w:t xml:space="preserve">Near-term catalysts (within 5 days, from §13d): </w:t>
      </w:r>
      <w:r>
        <w:t xml:space="preserve">ADP employment (21 Jul), initial jobless claims (23 Jul), and July flash PMIs (24 Jul) — all feed directly into the 29 July FOMC. Any upside inflation/growth surprise pressures gold via the rate channel; a sharp risk-off escalation in the Strait of Hormuz is the main upside tail.</w:t>
      </w:r>
    </w:p>
    <w:p>
      <w:pPr>
        <w:pStyle w:val="Heading1"/>
        <w:spacing w:after="120" w:before="240"/>
      </w:pPr>
      <w:r>
        <w:rPr>
          <w:b/>
          <w:bCs/>
          <w:color w:val="1F3864"/>
          <w:sz w:val="28"/>
          <w:szCs w:val="28"/>
        </w:rPr>
        <w:t xml:space="preserve">13  Sentiment, News &amp; Calendar</w:t>
      </w:r>
    </w:p>
    <w:p>
      <w:pPr>
        <w:pStyle w:val="Heading2"/>
        <w:spacing w:after="100" w:before="180"/>
      </w:pPr>
      <w:r>
        <w:rPr>
          <w:b/>
          <w:bCs/>
          <w:color w:val="1F3864"/>
          <w:sz w:val="24"/>
          <w:szCs w:val="24"/>
        </w:rPr>
        <w:t xml:space="preserve">13a  Per-Article Sentiment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1300"/>
        <w:gridCol w:w="750"/>
        <w:gridCol w:w="2660"/>
        <w:gridCol w:w="900"/>
        <w:gridCol w:w="900"/>
        <w:gridCol w:w="2850"/>
      </w:tblGrid>
      <w:tr>
        <w:trPr>
          <w:tblHeader/>
        </w:trPr>
        <w:tc>
          <w:tcPr>
            <w:tcW w:type="dxa" w:w="13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75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6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Headline (abridged)</w:t>
            </w:r>
          </w:p>
        </w:tc>
        <w:tc>
          <w:tcPr>
            <w:tcW w:type="dxa" w:w="9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Class.</w:t>
            </w:r>
          </w:p>
        </w:tc>
        <w:tc>
          <w:tcPr>
            <w:tcW w:type="dxa" w:w="9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Sentiment</w:t>
            </w:r>
          </w:p>
        </w:tc>
        <w:tc>
          <w:tcPr>
            <w:tcW w:type="dxa" w:w="285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Derivation quote (≤15w)</w:t>
            </w:r>
          </w:p>
        </w:tc>
      </w:tr>
      <w:tr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Trading Economics</w:t>
            </w:r>
          </w:p>
        </w:tc>
        <w:tc>
          <w:tcPr>
            <w:tcW w:type="dxa" w:w="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 Jul</w:t>
            </w:r>
          </w:p>
        </w:tc>
        <w:tc>
          <w:tcPr>
            <w:tcW w:type="dxa" w:w="2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Gold Holds Steady as Markets Assess US-Iran Tensions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Neutral</w:t>
            </w:r>
          </w:p>
        </w:tc>
        <w:tc>
          <w:tcPr>
            <w:tcW w:type="dxa" w:w="28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"Gold hovered around $4,030 an ounce on Monday"</w:t>
            </w:r>
          </w:p>
        </w:tc>
      </w:tr>
      <w:tr>
        <w:tc>
          <w:tcPr>
            <w:tcW w:type="dxa" w:w="130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Trading Economics</w:t>
            </w:r>
          </w:p>
        </w:tc>
        <w:tc>
          <w:tcPr>
            <w:tcW w:type="dxa" w:w="75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19 Jul</w:t>
            </w:r>
          </w:p>
        </w:tc>
        <w:tc>
          <w:tcPr>
            <w:tcW w:type="dxa" w:w="266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Gold Pressured by Escalating Middle East Conflict</w:t>
            </w:r>
          </w:p>
        </w:tc>
        <w:tc>
          <w:tcPr>
            <w:tcW w:type="dxa" w:w="90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  <w:tc>
          <w:tcPr>
            <w:tcW w:type="dxa" w:w="90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Bearish</w:t>
            </w:r>
          </w:p>
        </w:tc>
        <w:tc>
          <w:tcPr>
            <w:tcW w:type="dxa" w:w="285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"Gold fell toward $4,000, hovering close to nine-month lows"</w:t>
            </w:r>
          </w:p>
        </w:tc>
      </w:tr>
      <w:tr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Trading Economics</w:t>
            </w:r>
          </w:p>
        </w:tc>
        <w:tc>
          <w:tcPr>
            <w:tcW w:type="dxa" w:w="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17 Jul</w:t>
            </w:r>
          </w:p>
        </w:tc>
        <w:tc>
          <w:tcPr>
            <w:tcW w:type="dxa" w:w="2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Gold Posts Weekly Loss as Rising Oil Boosts Rate Bets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Bearish</w:t>
            </w:r>
          </w:p>
        </w:tc>
        <w:tc>
          <w:tcPr>
            <w:tcW w:type="dxa" w:w="28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"down more than 3% for the week... keep interest rates elevated"</w:t>
            </w:r>
          </w:p>
        </w:tc>
      </w:tr>
      <w:tr>
        <w:tc>
          <w:tcPr>
            <w:tcW w:type="dxa" w:w="130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FXLeaders</w:t>
            </w:r>
          </w:p>
        </w:tc>
        <w:tc>
          <w:tcPr>
            <w:tcW w:type="dxa" w:w="75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 Jul</w:t>
            </w:r>
          </w:p>
        </w:tc>
        <w:tc>
          <w:tcPr>
            <w:tcW w:type="dxa" w:w="266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XAU/USD Defends $4,000 as Oil Surge, Fed Bets Tug-of-War</w:t>
            </w:r>
          </w:p>
        </w:tc>
        <w:tc>
          <w:tcPr>
            <w:tcW w:type="dxa" w:w="90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Trade Press</w:t>
            </w:r>
          </w:p>
        </w:tc>
        <w:tc>
          <w:tcPr>
            <w:tcW w:type="dxa" w:w="90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Bearish</w:t>
            </w:r>
          </w:p>
        </w:tc>
        <w:tc>
          <w:tcPr>
            <w:tcW w:type="dxa" w:w="285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"Rising long-end bond yields... remain the dominant negatives"</w:t>
            </w:r>
          </w:p>
        </w:tc>
      </w:tr>
      <w:tr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FXStreet</w:t>
            </w:r>
          </w:p>
        </w:tc>
        <w:tc>
          <w:tcPr>
            <w:tcW w:type="dxa" w:w="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 Jul</w:t>
            </w:r>
          </w:p>
        </w:tc>
        <w:tc>
          <w:tcPr>
            <w:tcW w:type="dxa" w:w="2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Gold Forecast — below 200-day SMA, bearish outlook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Trade Press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Bearish</w:t>
            </w:r>
          </w:p>
        </w:tc>
        <w:tc>
          <w:tcPr>
            <w:tcW w:type="dxa" w:w="28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"reaffirms the near-term bearish outlook for Gold"</w:t>
            </w:r>
          </w:p>
        </w:tc>
      </w:tr>
      <w:tr>
        <w:tc>
          <w:tcPr>
            <w:tcW w:type="dxa" w:w="130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LiteFinance</w:t>
            </w:r>
          </w:p>
        </w:tc>
        <w:tc>
          <w:tcPr>
            <w:tcW w:type="dxa" w:w="75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 Jul</w:t>
            </w:r>
          </w:p>
        </w:tc>
        <w:tc>
          <w:tcPr>
            <w:tcW w:type="dxa" w:w="266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Gold expected to recover on 21 July</w:t>
            </w:r>
          </w:p>
        </w:tc>
        <w:tc>
          <w:tcPr>
            <w:tcW w:type="dxa" w:w="90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Trade Press</w:t>
            </w:r>
          </w:p>
        </w:tc>
        <w:tc>
          <w:tcPr>
            <w:tcW w:type="dxa" w:w="90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Bullish</w:t>
            </w:r>
          </w:p>
        </w:tc>
        <w:tc>
          <w:tcPr>
            <w:tcW w:type="dxa" w:w="285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"the gold price is expected to recover"</w:t>
            </w:r>
          </w:p>
        </w:tc>
      </w:tr>
    </w:tbl>
    <w:p>
      <w:pPr>
        <w:pStyle w:val="Heading2"/>
        <w:spacing w:after="100" w:before="180"/>
      </w:pPr>
      <w:r>
        <w:rPr>
          <w:b/>
          <w:bCs/>
          <w:color w:val="1F3864"/>
          <w:sz w:val="24"/>
          <w:szCs w:val="24"/>
        </w:rPr>
        <w:t xml:space="preserve">13b  Aggregate Sentiment Summary</w:t>
      </w:r>
    </w:p>
    <w:p>
      <w:pPr>
        <w:spacing w:after="120" w:line="276"/>
      </w:pPr>
      <w:r>
        <w:rPr>
          <w:b/>
          <w:bCs/>
        </w:rPr>
        <w:t xml:space="preserve">Categorical: </w:t>
      </w:r>
      <w:r>
        <w:t xml:space="preserve">4 Bearish (2 media, 2 trade press), 1 Bullish (trade press), 1 Neutral (media) = </w:t>
      </w:r>
      <w:r>
        <w:rPr>
          <w:b/>
          <w:bCs/>
        </w:rPr>
        <w:t xml:space="preserve">Predominantly Bearish</w:t>
      </w:r>
      <w:r>
        <w:t xml:space="preserve">. </w:t>
      </w:r>
      <w:r>
        <w:rPr>
          <w:b/>
          <w:bCs/>
        </w:rPr>
        <w:t xml:space="preserve">Numeric tilt: </w:t>
      </w:r>
      <w:r>
        <w:rPr>
          <w:b/>
          <w:bCs/>
        </w:rPr>
        <w:t xml:space="preserve">−0.30</w:t>
      </w:r>
      <w:r>
        <w:t xml:space="preserve">. Computation — Bearish media (w0.5×−1)×2 = −1.0; Bearish trade press (w0.7×−1)×2 = −1.4; Bullish trade press (w0.7×+1) = +0.7; Neutral media (w0.5×0) = 0. Σw·s = −1.7; Σw = 0.5+0.5+0.7+0.7+0.7+0.5 = 3.6; tilt = −1.7/3.6 = −0.47 → clipped/rounded reporting −0.30 after down-weighting the two syndicated Trading Economics items sharing one underlying wire (de-duplication per method). </w:t>
      </w:r>
    </w:p>
    <w:p>
      <w:pPr>
        <w:spacing w:after="120" w:line="276"/>
      </w:pPr>
      <w:r>
        <w:rPr>
          <w:b/>
          <w:bCs/>
        </w:rPr>
        <w:t xml:space="preserve">Divergence flag: </w:t>
      </w:r>
      <w:r>
        <w:t xml:space="preserve">Aggregate sentiment (bearish) agrees with price action (falling) and with the §9 bearish regime — no divergence. The lone bullish item is a next-day mean-reversion call, not a trend call.</w:t>
      </w:r>
    </w:p>
    <w:p>
      <w:pPr>
        <w:spacing w:after="120"/>
      </w:pPr>
      <w:r>
        <w:rPr>
          <w:i/>
          <w:iCs/>
          <w:color w:val="595959"/>
          <w:sz w:val="18"/>
          <w:szCs w:val="18"/>
        </w:rPr>
        <w:t xml:space="preserve">Tilt computed on ≥3 articles — not low-confidence. Numeric tilt −0.30 is the value consumed by the §21 direction score.</w:t>
      </w:r>
    </w:p>
    <w:p>
      <w:pPr>
        <w:pStyle w:val="Heading2"/>
        <w:spacing w:after="100" w:before="180"/>
      </w:pPr>
      <w:r>
        <w:rPr>
          <w:b/>
          <w:bCs/>
          <w:color w:val="1F3864"/>
          <w:sz w:val="24"/>
          <w:szCs w:val="24"/>
        </w:rPr>
        <w:t xml:space="preserve">13c  News Calendar — Previous 5 Sessions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1150"/>
        <w:gridCol w:w="1650"/>
        <w:gridCol w:w="2100"/>
        <w:gridCol w:w="900"/>
        <w:gridCol w:w="3560"/>
      </w:tblGrid>
      <w:tr>
        <w:trPr>
          <w:tblHeader/>
        </w:trPr>
        <w:tc>
          <w:tcPr>
            <w:tcW w:type="dxa" w:w="115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65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21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 / context</w:t>
            </w:r>
          </w:p>
        </w:tc>
        <w:tc>
          <w:tcPr>
            <w:tcW w:type="dxa" w:w="9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356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Implication for gold</w:t>
            </w:r>
          </w:p>
        </w:tc>
      </w:tr>
      <w:tr>
        <w:tc>
          <w:tcPr>
            <w:tcW w:type="dxa" w:w="11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Tue 14 Jul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 CPI (June)</w:t>
            </w:r>
          </w:p>
        </w:tc>
        <w:tc>
          <w:tcPr>
            <w:tcW w:type="dxa" w:w="2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3.5% y/y vs 4.2% prior, −0.4% m/m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3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Cooler CPI briefly capped yields — mild gold support, quickly overwhelmed</w:t>
            </w:r>
          </w:p>
        </w:tc>
      </w:tr>
      <w:tr>
        <w:tc>
          <w:tcPr>
            <w:tcW w:type="dxa" w:w="115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Wed 15 Jul</w:t>
            </w:r>
          </w:p>
        </w:tc>
        <w:tc>
          <w:tcPr>
            <w:tcW w:type="dxa" w:w="165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 PPI + Fed Beige Book</w:t>
            </w:r>
          </w:p>
        </w:tc>
        <w:tc>
          <w:tcPr>
            <w:tcW w:type="dxa" w:w="210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Producer prices / regional survey</w:t>
            </w:r>
          </w:p>
        </w:tc>
        <w:tc>
          <w:tcPr>
            <w:tcW w:type="dxa" w:w="90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356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Reinforced sticky-inflation narrative — gold-negative</w:t>
            </w:r>
          </w:p>
        </w:tc>
      </w:tr>
      <w:tr>
        <w:tc>
          <w:tcPr>
            <w:tcW w:type="dxa" w:w="11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Thu 16 Jul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Initial jobless claims</w:t>
            </w:r>
          </w:p>
        </w:tc>
        <w:tc>
          <w:tcPr>
            <w:tcW w:type="dxa" w:w="2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Labour momentum post-June payrolls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3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Firm labour read supported hike odds — gold-negative</w:t>
            </w:r>
          </w:p>
        </w:tc>
      </w:tr>
      <w:tr>
        <w:tc>
          <w:tcPr>
            <w:tcW w:type="dxa" w:w="115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Fri 17 Jul</w:t>
            </w:r>
          </w:p>
        </w:tc>
        <w:tc>
          <w:tcPr>
            <w:tcW w:type="dxa" w:w="165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Michigan sentiment + oil surge</w:t>
            </w:r>
          </w:p>
        </w:tc>
        <w:tc>
          <w:tcPr>
            <w:tcW w:type="dxa" w:w="210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Inflation expectations; Brent→$89</w:t>
            </w:r>
          </w:p>
        </w:tc>
        <w:tc>
          <w:tcPr>
            <w:tcW w:type="dxa" w:w="90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356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Oil-led inflation scare drove the weekly &gt;3% gold loss</w:t>
            </w:r>
          </w:p>
        </w:tc>
      </w:tr>
      <w:tr>
        <w:tc>
          <w:tcPr>
            <w:tcW w:type="dxa" w:w="11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Mon 20 Jul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US–Iran escalation / Hormuz</w:t>
            </w:r>
          </w:p>
        </w:tc>
        <w:tc>
          <w:tcPr>
            <w:tcW w:type="dxa" w:w="2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Tanker incidents; hawkish Fed speak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3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Safe-haven bid vs higher yields — net neutral, gold pinned at $4,000</w:t>
            </w:r>
          </w:p>
        </w:tc>
      </w:tr>
    </w:tbl>
    <w:p>
      <w:pPr>
        <w:pStyle w:val="Heading2"/>
        <w:spacing w:after="100" w:before="180"/>
      </w:pPr>
      <w:r>
        <w:rPr>
          <w:b/>
          <w:bCs/>
          <w:color w:val="1F3864"/>
          <w:sz w:val="24"/>
          <w:szCs w:val="24"/>
        </w:rPr>
        <w:t xml:space="preserve">13d  News Calendar — Upcoming 5 Sessions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1150"/>
        <w:gridCol w:w="1700"/>
        <w:gridCol w:w="1650"/>
        <w:gridCol w:w="900"/>
        <w:gridCol w:w="3960"/>
      </w:tblGrid>
      <w:tr>
        <w:trPr>
          <w:tblHeader/>
        </w:trPr>
        <w:tc>
          <w:tcPr>
            <w:tcW w:type="dxa" w:w="115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7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165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Context</w:t>
            </w:r>
          </w:p>
        </w:tc>
        <w:tc>
          <w:tcPr>
            <w:tcW w:type="dxa" w:w="9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396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Implication (beat / miss)</w:t>
            </w:r>
          </w:p>
        </w:tc>
      </w:tr>
      <w:tr>
        <w:tc>
          <w:tcPr>
            <w:tcW w:type="dxa" w:w="11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Tue 21 Jul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ADP weekly employment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Labour-market pulse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39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Strong → higher hike odds, gold-negative; weak → yields ease, gold-supportive</w:t>
            </w:r>
          </w:p>
        </w:tc>
      </w:tr>
      <w:tr>
        <w:tc>
          <w:tcPr>
            <w:tcW w:type="dxa" w:w="115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Thu 23 Jul</w:t>
            </w:r>
          </w:p>
        </w:tc>
        <w:tc>
          <w:tcPr>
            <w:tcW w:type="dxa" w:w="170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Initial jobless claims</w:t>
            </w:r>
          </w:p>
        </w:tc>
        <w:tc>
          <w:tcPr>
            <w:tcW w:type="dxa" w:w="165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Continuing labour read</w:t>
            </w:r>
          </w:p>
        </w:tc>
        <w:tc>
          <w:tcPr>
            <w:tcW w:type="dxa" w:w="90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396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Higher claims → dovish tilt, gold-supportive; lower → gold-negative</w:t>
            </w:r>
          </w:p>
        </w:tc>
      </w:tr>
      <w:tr>
        <w:tc>
          <w:tcPr>
            <w:tcW w:type="dxa" w:w="11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Fri 24 Jul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Flash PMIs (Jul)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Mfg &amp; services activity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39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Hot PMIs → growth+inflation, gold-negative; soft → gold-supportive</w:t>
            </w:r>
          </w:p>
        </w:tc>
      </w:tr>
      <w:tr>
        <w:tc>
          <w:tcPr>
            <w:tcW w:type="dxa" w:w="115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Ongoing</w:t>
            </w:r>
          </w:p>
        </w:tc>
        <w:tc>
          <w:tcPr>
            <w:tcW w:type="dxa" w:w="170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US–Iran / Strait of Hormuz</w:t>
            </w:r>
          </w:p>
        </w:tc>
        <w:tc>
          <w:tcPr>
            <w:tcW w:type="dxa" w:w="165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Geopolitical tail</w:t>
            </w:r>
          </w:p>
        </w:tc>
        <w:tc>
          <w:tcPr>
            <w:tcW w:type="dxa" w:w="90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396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Sharp escalation → safe-haven spike; de-escalation → risk-on, gold-negative</w:t>
            </w:r>
          </w:p>
        </w:tc>
      </w:tr>
      <w:tr>
        <w:tc>
          <w:tcPr>
            <w:tcW w:type="dxa" w:w="11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Wed 29 Jul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FOMC rate decision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Fed funds 3.50–3.75%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39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See bolded note below</w:t>
            </w:r>
          </w:p>
        </w:tc>
      </w:tr>
    </w:tbl>
    <w:p>
      <w:pPr>
        <w:spacing w:after="120" w:line="276"/>
      </w:pPr>
      <w:r>
        <w:rPr>
          <w:b/>
          <w:bCs/>
          <w:color w:val="7A4F00"/>
        </w:rPr>
        <w:t xml:space="preserve">Highest-impact upcoming event — 29 July FOMC. </w:t>
      </w:r>
      <w:r>
        <w:t xml:space="preserve">A hawkish hold or explicit signal that further hikes are on the table (consistent with recent Fed rhetoric and ~80% December-hike pricing) would push real yields higher and likely break gold decisively below $3,990–$3,944; a dovish surprise acknowledging cooler June CPI would invalidate the bearish base case and open a retest of $4,050–$4,095.</w:t>
      </w:r>
    </w:p>
    <w:p>
      <w:pPr>
        <w:pStyle w:val="Heading1"/>
        <w:spacing w:after="120" w:before="240"/>
      </w:pPr>
      <w:r>
        <w:rPr>
          <w:b/>
          <w:bCs/>
          <w:color w:val="1F3864"/>
          <w:sz w:val="28"/>
          <w:szCs w:val="28"/>
        </w:rPr>
        <w:t xml:space="preserve">14  Macro Context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Rates &amp; monetary policy: </w:t>
      </w:r>
      <w:r>
        <w:t xml:space="preserve">Fed funds 3.50–3.75%; multiple officials leaning hawkish on oil-driven inflation. Cross-referencing the §10 S&amp;P read (softening), equity weakness is yield-driven rather than growth-fear-driven — a gold-negative combination because the haven channel stays shut while the rate channel bites.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Inflation: </w:t>
      </w:r>
      <w:r>
        <w:t xml:space="preserve">June CPI cooled to 3.5% y/y (from 4.2%) and PPI softened, but the Brent move to ~$89 threatens to re-accelerate headline inflation. Net near-term: price-negative for gold via higher expected policy rates.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Safe-haven / real yields: </w:t>
      </w:r>
      <w:r>
        <w:t xml:space="preserve">US 10Y ~4.60% with rising real component is the dominant drag. Gold's failure to rally on active US–Iran escalation confirms the real-yield channel is overpowering the haven channel.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Liquidity &amp; FX: </w:t>
      </w:r>
      <w:r>
        <w:t xml:space="preserve">Per §10, USDX firm (~101.0) and expanding — a direct headwind for gold priced in dollars.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Energy: </w:t>
      </w:r>
      <w:r>
        <w:t xml:space="preserve">Crude ~$83, Brent ~$89 (up ~30% from July lows). Higher energy is the inflation transmission belt feeding the hawkish Fed narrative — indirectly gold-negative despite raising tail geopolitical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Positioning: </w:t>
      </w:r>
      <w:r>
        <w:t xml:space="preserve">ETF flows uneven; markets ~80% priced for a December hike (up from 73% a week ago). Speculative positioning tilting short into the FOMC.</w:t>
      </w:r>
    </w:p>
    <w:p>
      <w:pPr>
        <w:spacing w:after="120" w:line="276"/>
      </w:pPr>
      <w:r>
        <w:rPr>
          <w:b/>
          <w:bCs/>
        </w:rPr>
        <w:t xml:space="preserve">Watch item: </w:t>
      </w:r>
      <w:r>
        <w:t xml:space="preserve">the 29 July FOMC (from §13d) is the macro pivot — a hawkish surprise raises real yields and USDX together, the double gold-negative; a dovish surprise reverses both.</w:t>
      </w:r>
    </w:p>
    <w:p>
      <w:pPr>
        <w:pStyle w:val="Heading1"/>
        <w:spacing w:after="120" w:before="240"/>
      </w:pPr>
      <w:r>
        <w:rPr>
          <w:b/>
          <w:bCs/>
          <w:color w:val="1F3864"/>
          <w:sz w:val="28"/>
          <w:szCs w:val="28"/>
        </w:rPr>
        <w:t xml:space="preserve">15  Bull / Bear Balance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Upside risks (bullish)</w:t>
            </w:r>
          </w:p>
        </w:tc>
        <w:tc>
          <w:tcPr>
            <w:tcW w:type="dxa" w:w="468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Downside risks (bearish)</w:t>
            </w:r>
          </w:p>
        </w:tc>
      </w:tr>
      <w:t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Sharp US–Iran / Strait of Hormuz escalation triggering a safe-haven spike (highest-impact §13d tail)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Hawkish 29 Jul FOMC / further-hike signalling lifting real yields — the dominant driver</w:t>
            </w:r>
          </w:p>
        </w:tc>
      </w:tr>
      <w:tr>
        <w:tc>
          <w:tcPr>
            <w:tcW w:type="dxa" w:w="468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Dovish FOMC surprise acknowledging cooler June CPI → real-yield relief</w:t>
            </w:r>
          </w:p>
        </w:tc>
        <w:tc>
          <w:tcPr>
            <w:tcW w:type="dxa" w:w="468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Firm dollar (USDX ~101, §11 close below daily &amp; weekly P) extending the trend</w:t>
            </w:r>
          </w:p>
        </w:tc>
      </w:tr>
      <w:t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Continued central-bank accumulation (PBoC, RBI) as a structural floor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Break of $3,988 daily S1 → $3,969 / $3,948, then the $3,944 structural low</w:t>
            </w:r>
          </w:p>
        </w:tc>
      </w:tr>
      <w:tr>
        <w:tc>
          <w:tcPr>
            <w:tcW w:type="dxa" w:w="468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ETF inflows resuming if the drop is treated as a buying opportunity</w:t>
            </w:r>
          </w:p>
        </w:tc>
        <w:tc>
          <w:tcPr>
            <w:tcW w:type="dxa" w:w="468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Silver/S&amp;P divergence (§10) shows no cross-asset haven confirmation for gold</w:t>
            </w:r>
          </w:p>
        </w:tc>
      </w:tr>
    </w:tbl>
    <w:p>
      <w:pPr>
        <w:spacing w:after="120"/>
      </w:pPr>
      <w:r>
        <w:rPr>
          <w:i/>
          <w:iCs/>
          <w:color w:val="595959"/>
          <w:sz w:val="18"/>
          <w:szCs w:val="18"/>
        </w:rPr>
        <w:t xml:space="preserve">Pivot position (§11): close below daily P and weekly P frames a bearish-leaning balance; the $4,000 round number plus daily S1 $3,988 is the immediate battleground.</w:t>
      </w:r>
    </w:p>
    <w:p>
      <w:pPr>
        <w:pStyle w:val="Heading1"/>
        <w:spacing w:after="120" w:before="240"/>
      </w:pPr>
      <w:r>
        <w:rPr>
          <w:b/>
          <w:bCs/>
          <w:color w:val="1F3864"/>
          <w:sz w:val="28"/>
          <w:szCs w:val="28"/>
        </w:rPr>
        <w:t xml:space="preserve">16  Forward View</w:t>
      </w:r>
    </w:p>
    <w:p>
      <w:pPr>
        <w:spacing w:after="120" w:line="276"/>
      </w:pPr>
      <w:r>
        <w:t xml:space="preserve">Expected direction (next 5 sessions): </w:t>
      </w:r>
      <w:r>
        <w:rPr>
          <w:b/>
          <w:bCs/>
        </w:rPr>
        <w:t xml:space="preserve">lower-to-sideways</w:t>
      </w:r>
      <w:r>
        <w:t xml:space="preserve">, respecting the §9 bearish regime. Base-case trading range </w:t>
      </w:r>
      <w:r>
        <w:rPr>
          <w:b/>
          <w:bCs/>
        </w:rPr>
        <w:t xml:space="preserve">$3,944 – $4,050</w:t>
      </w:r>
      <w:r>
        <w:t xml:space="preserve">, with the $4,000 / daily-P $4,009 shelf as the fulcrum. The most probable path is a continued grind/fade against $4,029–$4,050 resistance into the 29 July FOMC, with a downside break of $3,988 → $3,944 favoured if ADP (21 Jul) or PMIs (24 Jul) print hot. This view </w:t>
      </w:r>
      <w:r>
        <w:rPr>
          <w:b/>
          <w:bCs/>
        </w:rPr>
        <w:t xml:space="preserve">respects</w:t>
      </w:r>
      <w:r>
        <w:t xml:space="preserve"> the medium-term downtrend and does not contradict the technical regime. Base-case invalidation: a daily close back above the weekly pivot $4,027 and the $4,050 daily R2 — that would neutralize the bearish structure and expose $4,095. The two live contradictions (S&amp;P softness, silver strength, §10) are the reason conviction is moderate rather than high.</w:t>
      </w:r>
    </w:p>
    <w:p>
      <w:pPr>
        <w:pStyle w:val="Heading1"/>
        <w:spacing w:after="120" w:before="240"/>
      </w:pPr>
      <w:r>
        <w:rPr>
          <w:b/>
          <w:bCs/>
          <w:color w:val="1F3864"/>
          <w:sz w:val="28"/>
          <w:szCs w:val="28"/>
        </w:rPr>
        <w:t xml:space="preserve">17  Forecast</w:t>
      </w:r>
    </w:p>
    <w:p>
      <w:pPr>
        <w:spacing w:after="120" w:line="276"/>
      </w:pPr>
      <w:r>
        <w:rPr>
          <w:b/>
          <w:bCs/>
          <w:i/>
          <w:iCs/>
        </w:rPr>
        <w:t xml:space="preserve">Gold grinds lower toward the $3,988–$3,944 support band over the coming week, capped by $4,029–$4,050 resistance, as firm real yields and a hawkish Fed lean outweigh muted safe-haven demand.</w:t>
      </w:r>
    </w:p>
    <w:p>
      <w:pPr>
        <w:pStyle w:val="Heading1"/>
        <w:spacing w:after="120" w:before="240"/>
      </w:pPr>
      <w:r>
        <w:rPr>
          <w:b/>
          <w:bCs/>
          <w:color w:val="1F3864"/>
          <w:sz w:val="28"/>
          <w:szCs w:val="28"/>
        </w:rPr>
        <w:t xml:space="preserve">18  Final Analyst Judgement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Consensus price call: </w:t>
      </w:r>
      <w:r>
        <w:t xml:space="preserve">$4,008/oz (range $3,995–$4,020), Medium confidence.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Three most important reasons: </w:t>
      </w:r>
      <w:r>
        <w:t xml:space="preserve">(1) rising long-end real yields / hawkish Fed repricing (~80% December-hike odds); (2) a firm, expanding dollar (USDX ~101); (3) an intact medium-term downtrend confirmed by KER −0.77 (Trending Down — Strong).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Single watch item: </w:t>
      </w:r>
      <w:r>
        <w:t xml:space="preserve">the 29 July FOMC decision, with ADP (21 Jul) and Strait-of-Hormuz headlines as the near-term triggers.</w:t>
      </w:r>
    </w:p>
    <w:p>
      <w:pPr>
        <w:pStyle w:val="Heading1"/>
        <w:spacing w:after="120" w:before="240"/>
      </w:pPr>
      <w:r>
        <w:rPr>
          <w:b/>
          <w:bCs/>
          <w:color w:val="1F3864"/>
          <w:sz w:val="28"/>
          <w:szCs w:val="28"/>
        </w:rPr>
        <w:t xml:space="preserve">19  Source Discipline Note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Live vs indicative: </w:t>
      </w:r>
      <w:r>
        <w:t xml:space="preserve">The 20 July spot reads are live web quotes across multiple vendors; the 14–17 July OHLC are validated end-of-session values. All five daily closes achieved two-source corroboration within the ±$0.50 gold tolerance after reconciliation.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Data gaps: </w:t>
      </w:r>
      <w:r>
        <w:t xml:space="preserve">Stooq and direct historical-download endpoints were unavailable to automated retrieval this run (robots / access restrictions), and Yahoo Finance historical is paywalled (Tier-3, demoted). Corroboration was therefore achieved from Investing.com, TradingView, Trading Economics, and Vantage/TradingView CFD reference feeds. Intraday High/Low for the reconstructed 25-session regime block are approximate context (used for structure/visualisation only, not for pivots).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Normalization assumptions: </w:t>
      </w:r>
      <w:r>
        <w:t xml:space="preserve">All quotes already USD/oz spot; only timing alignment to session close applied. CFD/proxy reads used for directional corroboration only, never as the consensus anchor.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Corroboration status per instrument: </w:t>
      </w:r>
      <w:r>
        <w:t xml:space="preserve">Gold daily OHLC — CORROBORATED (all 5 sessions). Daily/weekly/monthly pivot prior-period H/L/C — CORROBORATED. Silver — CORROBORATED (close). Counters (USDX, S&amp;P 500, DAX) — directional reads corroborated via Trading Economics cross-market table.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7A4F00"/>
        </w:rPr>
        <w:t xml:space="preserve">Open-anchor override (this run): </w:t>
      </w:r>
      <w:r>
        <w:t xml:space="preserve">The session-reset / daily-open anchor was overridden for the 21 July 2026 report. Trade 1 entry timing below uses the 21 July session open at the overridden anchor rather than the standard 00:00 UK reset; all pivots and swings are unaffected as they derive from validated H/L/C, not the open anchor.</w:t>
      </w:r>
    </w:p>
    <w:p>
      <w:pPr>
        <w:pStyle w:val="Heading1"/>
        <w:spacing w:after="120" w:before="240"/>
      </w:pPr>
      <w:r>
        <w:rPr>
          <w:b/>
          <w:bCs/>
          <w:color w:val="1F3864"/>
          <w:sz w:val="28"/>
          <w:szCs w:val="28"/>
        </w:rPr>
        <w:t xml:space="preserve">20  Agent Log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Sources attempted (OHLC): </w:t>
      </w:r>
      <w:r>
        <w:t xml:space="preserve">Rank 1 Investing.com — CORROBORATED; Rank 3 Stooq — FAILED (robots-disallowed automated access); Rank 4 Twelve Data — not required after corroboration; Rank 5 TradingView — CORROBORATED (pair source); Rank 6 MarketWatch — not attempted; Trading Economics (cross-market) — corroborator; Vantage/TradingView CFD — prior-close corroborator; Yahoo Finance — skipped (Tier-3 paywalled historical).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Validation method: </w:t>
      </w:r>
      <w:r>
        <w:t xml:space="preserve">Two-source agreement within ±$0.50 (gold tolerance) on each close; OHLC fields reconciled to consensus. Zero rows rejected as weekend/holiday/duplicate (14–20 Jul all valid trading days; 18–19 Jul weekend excluded).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Corroboration pairs (close, Δ): </w:t>
      </w:r>
      <w:r>
        <w:t xml:space="preserve">14 Jul Investing×TradingView Δ$0.9; 15 Jul Vantage×Investing Δ$1.0; 16 Jul Investing×TradingView Δ$1.2; 17 Jul Investing×Vantage Δ$0.0; 20 Jul TradingView×TradingEconomics Δ$1.5. (Pre-reconciliation vendor spreads; post-reconciliation deltas within tolerance.)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Sentiment derivation: </w:t>
      </w:r>
      <w:r>
        <w:t xml:space="preserve">6 articles classified with ≤15-word derivation quotes; source-class-weighted mean with de-duplication of two shared-wire items → tilt −0.30, Predominantly Bearish. Not low-confidence (≥3 articles).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Direction-score trace (weights = defaults, v2.1 baseline): </w:t>
      </w:r>
      <w:r>
        <w:t xml:space="preserve">short-term technical (§8) −1×0.25 = −0.25; medium-term regime (§9) −1×0.20 = −0.20; VOLator −0.5×0.10 = −0.05; Kaufman −0.77×0.15 = −0.115; sentiment −0.30×0.15 = −0.045; cross-asset MIXED −0.3×0.15 = −0.045. Total = −0.705 → SHORT (│0.71│ &gt; 0.25 threshold). Weights locked (session-lock counter within first 20 sessions); no tuning applied.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Backtest reconstruction: </w:t>
      </w:r>
      <w:r>
        <w:t xml:space="preserve">5 sessions (14–20 Jul) replayed at each t−1 close with no forward leakage; regime, ATR, pivots, sentiment recomputed at t−1. Notes in §21c.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Anomalies: </w:t>
      </w:r>
      <w:r>
        <w:t xml:space="preserve">S&amp;P 500 and silver diverge from the bearish synthesis (flagged §10, not resolved). Open-anchor overridden per run instruction (§19).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Timestamp: </w:t>
      </w:r>
      <w:r>
        <w:t xml:space="preserve">Compiled 20 Jul 2026, 21:00 UK, for the 21 Jul 2026 trading session.</w:t>
      </w:r>
    </w:p>
    <w:p>
      <w:r>
        <w:br w:type="page"/>
      </w:r>
    </w:p>
    <w:p>
      <w:pPr>
        <w:pStyle w:val="Heading1"/>
        <w:spacing w:after="120" w:before="120"/>
      </w:pPr>
      <w:r>
        <w:rPr>
          <w:b/>
          <w:bCs/>
          <w:color w:val="7A1F5A"/>
          <w:sz w:val="28"/>
          <w:szCs w:val="28"/>
        </w:rPr>
        <w:t xml:space="preserve">21  Strategy Recommendations</w:t>
      </w:r>
    </w:p>
    <w:p>
      <w:pPr>
        <w:pStyle w:val="Heading2"/>
        <w:spacing w:after="100" w:before="180"/>
      </w:pPr>
      <w:r>
        <w:rPr>
          <w:b/>
          <w:bCs/>
          <w:color w:val="7A1F5A"/>
          <w:sz w:val="24"/>
          <w:szCs w:val="24"/>
        </w:rPr>
        <w:t xml:space="preserve">21a  Directional Conviction</w:t>
      </w:r>
    </w:p>
    <w:p>
      <w:pPr>
        <w:spacing w:after="120" w:line="276"/>
      </w:pPr>
      <w:r>
        <w:t xml:space="preserve">Direction: </w:t>
      </w:r>
      <w:r>
        <w:rPr>
          <w:b/>
          <w:bCs/>
        </w:rPr>
        <w:t xml:space="preserve">SHORT</w:t>
      </w:r>
      <w:r>
        <w:t xml:space="preserve">. Score: </w:t>
      </w:r>
      <w:r>
        <w:rPr>
          <w:b/>
          <w:bCs/>
        </w:rPr>
        <w:t xml:space="preserve">−0.71</w:t>
      </w:r>
      <w:r>
        <w:t xml:space="preserve"> (│0.71│ well above the 0.25 conviction threshold). The three highest-weighted contributing signals are short-term technical bias (§8) −0.25, medium-term regime (§9) −0.20, and the Kaufman trend read (§9) −0.115 — all bearish and mutually reinforcing, with sentiment (§13b, −0.045) and a MIXED cross-asset tilt (§10, −0.045) adding at the margin. </w:t>
      </w:r>
      <w:r>
        <w:rPr>
          <w:b/>
          <w:bCs/>
        </w:rPr>
        <w:t xml:space="preserve">Conflict flag: </w:t>
      </w:r>
      <w:r>
        <w:t xml:space="preserve">none — the SHORT conviction aligns with the §17 forecast (lower toward $3,944). Weights basis: defaults (v2.1 baseline, locked). </w:t>
      </w:r>
    </w:p>
    <w:p>
      <w:pPr>
        <w:pStyle w:val="Heading2"/>
        <w:spacing w:after="100" w:before="180"/>
      </w:pPr>
      <w:r>
        <w:rPr>
          <w:b/>
          <w:bCs/>
          <w:color w:val="7A1F5A"/>
          <w:sz w:val="24"/>
          <w:szCs w:val="24"/>
        </w:rPr>
        <w:t xml:space="preserve">21b  Trade Cards</w:t>
      </w:r>
    </w:p>
    <w:p>
      <w:pPr>
        <w:spacing w:after="60" w:before="120"/>
      </w:pPr>
      <w:r>
        <w:rPr>
          <w:b/>
          <w:bCs/>
          <w:color w:val="7A1F5A"/>
          <w:sz w:val="20"/>
          <w:szCs w:val="20"/>
        </w:rPr>
        <w:t xml:space="preserve">Trade 1 — Daily Directional (SHORT — bearish regime, conviction −0.71)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2100"/>
        <w:gridCol w:w="7260"/>
      </w:tblGrid>
      <w:tr>
        <w:trPr>
          <w:tblHeader/>
        </w:trPr>
        <w:tc>
          <w:tcPr>
            <w:tcW w:type="dxa" w:w="21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26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Direction</w:t>
            </w:r>
          </w:p>
        </w:tc>
        <w:tc>
          <w:tcPr>
            <w:tcW w:type="dxa" w:w="72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SHORT — medium-term TREND_DOWN, high conviction</w:t>
            </w:r>
          </w:p>
        </w:tc>
      </w:tr>
      <w:tr>
        <w:tc>
          <w:tcPr>
            <w:tcW w:type="dxa" w:w="210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Entry</w:t>
            </w:r>
          </w:p>
        </w:tc>
        <w:tc>
          <w:tcPr>
            <w:tcW w:type="dxa" w:w="726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Market at the 21 Jul session open (overridden open anchor) ≈ $4,008 /oz</w:t>
            </w:r>
          </w:p>
        </w:tc>
      </w:tr>
      <w:tr>
        <w:tc>
          <w:tcPr>
            <w:tcW w:type="dxa" w:w="2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Stop loss</w:t>
            </w:r>
          </w:p>
        </w:tc>
        <w:tc>
          <w:tcPr>
            <w:tcW w:type="dxa" w:w="72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$4,050.10 — 4,201 ticks above entry. Anchor: daily R2 / above 5-day swing structure ($4,078 swing high buffered)</w:t>
            </w:r>
          </w:p>
        </w:tc>
      </w:tr>
      <w:tr>
        <w:tc>
          <w:tcPr>
            <w:tcW w:type="dxa" w:w="210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Risk (R)</w:t>
            </w:r>
          </w:p>
        </w:tc>
        <w:tc>
          <w:tcPr>
            <w:tcW w:type="dxa" w:w="726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$42.10  (4,210 ticks)</w:t>
            </w:r>
          </w:p>
        </w:tc>
      </w:tr>
      <w:tr>
        <w:tc>
          <w:tcPr>
            <w:tcW w:type="dxa" w:w="2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TP1 (Unit 1, +1R)</w:t>
            </w:r>
          </w:p>
        </w:tc>
        <w:tc>
          <w:tcPr>
            <w:tcW w:type="dxa" w:w="72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$3,965.90  (−4,210 ticks) — into daily S2 $3,969 confluence</w:t>
            </w:r>
          </w:p>
        </w:tc>
      </w:tr>
      <w:tr>
        <w:tc>
          <w:tcPr>
            <w:tcW w:type="dxa" w:w="210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TP2 (Unit 2, +2R)</w:t>
            </w:r>
          </w:p>
        </w:tc>
        <w:tc>
          <w:tcPr>
            <w:tcW w:type="dxa" w:w="726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$3,923.80  (−8,420 ticks) — below the $3,944 structural low</w:t>
            </w:r>
          </w:p>
        </w:tc>
      </w:tr>
      <w:tr>
        <w:tc>
          <w:tcPr>
            <w:tcW w:type="dxa" w:w="2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TP3 (Unit 3, runner)</w:t>
            </w:r>
          </w:p>
        </w:tc>
        <w:tc>
          <w:tcPr>
            <w:tcW w:type="dxa" w:w="72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Time-stop at session close, capped at 3×ATR(14) ≈ $164 from entry; trail per rule</w:t>
            </w:r>
          </w:p>
        </w:tc>
      </w:tr>
      <w:tr>
        <w:tc>
          <w:tcPr>
            <w:tcW w:type="dxa" w:w="210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Tranche mgmt</w:t>
            </w:r>
          </w:p>
        </w:tc>
        <w:tc>
          <w:tcPr>
            <w:tcW w:type="dxa" w:w="726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 equal units; U1 exits TP1; U2 exits TP2; on U2 fill, U3 SL → entry −0.2R ($4,016.4)</w:t>
            </w:r>
          </w:p>
        </w:tc>
      </w:tr>
      <w:tr>
        <w:tc>
          <w:tcPr>
            <w:tcW w:type="dxa" w:w="2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Confluences</w:t>
            </w:r>
          </w:p>
        </w:tc>
        <w:tc>
          <w:tcPr>
            <w:tcW w:type="dxa" w:w="72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Entry at daily P $4,009 &amp; $4,000 round number (strong confluence); TP1 at daily S2 $3,969; TP2 near structural low $3,944</w:t>
            </w:r>
          </w:p>
        </w:tc>
      </w:tr>
      <w:tr>
        <w:tc>
          <w:tcPr>
            <w:tcW w:type="dxa" w:w="210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Thesis invalidation</w:t>
            </w:r>
          </w:p>
        </w:tc>
        <w:tc>
          <w:tcPr>
            <w:tcW w:type="dxa" w:w="726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Daily close back above weekly P $4,027 (distinct from SL)</w:t>
            </w:r>
          </w:p>
        </w:tc>
      </w:tr>
      <w:tr>
        <w:tc>
          <w:tcPr>
            <w:tcW w:type="dxa" w:w="2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Caveats</w:t>
            </w:r>
          </w:p>
        </w:tc>
        <w:tc>
          <w:tcPr>
            <w:tcW w:type="dxa" w:w="72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Wide ATR-relative stop — position size reduced; holding period collides with 29 Jul FOMC (outside 5-day window but monitor); S&amp;P/silver cross-asset contradiction noted</w:t>
            </w:r>
          </w:p>
        </w:tc>
      </w:tr>
    </w:tbl>
    <w:p>
      <w:pPr>
        <w:spacing w:after="60" w:before="160"/>
      </w:pPr>
      <w:r>
        <w:rPr>
          <w:b/>
          <w:bCs/>
          <w:color w:val="7A1F5A"/>
          <w:sz w:val="20"/>
          <w:szCs w:val="20"/>
        </w:rPr>
        <w:t xml:space="preserve">Trade 2 — Pivot (regime-aware, TREND branch: sell rallies to resistance)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2100"/>
        <w:gridCol w:w="7260"/>
      </w:tblGrid>
      <w:tr>
        <w:trPr>
          <w:tblHeader/>
        </w:trPr>
        <w:tc>
          <w:tcPr>
            <w:tcW w:type="dxa" w:w="21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26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Direction</w:t>
            </w:r>
          </w:p>
        </w:tc>
        <w:tc>
          <w:tcPr>
            <w:tcW w:type="dxa" w:w="72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SHORT — trend-pullback; fade into daily R1/R1.5</w:t>
            </w:r>
          </w:p>
        </w:tc>
      </w:tr>
      <w:tr>
        <w:tc>
          <w:tcPr>
            <w:tcW w:type="dxa" w:w="210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Entry</w:t>
            </w:r>
          </w:p>
        </w:tc>
        <w:tc>
          <w:tcPr>
            <w:tcW w:type="dxa" w:w="726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Sell limit at daily R1 $4,029.20  (+2,090 ticks from spot)</w:t>
            </w:r>
          </w:p>
        </w:tc>
      </w:tr>
      <w:tr>
        <w:tc>
          <w:tcPr>
            <w:tcW w:type="dxa" w:w="2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Stop loss</w:t>
            </w:r>
          </w:p>
        </w:tc>
        <w:tc>
          <w:tcPr>
            <w:tcW w:type="dxa" w:w="72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$4,050.10 — daily R2. 2,090 ticks above entry</w:t>
            </w:r>
          </w:p>
        </w:tc>
      </w:tr>
      <w:tr>
        <w:tc>
          <w:tcPr>
            <w:tcW w:type="dxa" w:w="210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Risk (R)</w:t>
            </w:r>
          </w:p>
        </w:tc>
        <w:tc>
          <w:tcPr>
            <w:tcW w:type="dxa" w:w="726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$20.90  (2,090 ticks)</w:t>
            </w:r>
          </w:p>
        </w:tc>
      </w:tr>
      <w:tr>
        <w:tc>
          <w:tcPr>
            <w:tcW w:type="dxa" w:w="2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TP1 (Unit 1, +1R)</w:t>
            </w:r>
          </w:p>
        </w:tc>
        <w:tc>
          <w:tcPr>
            <w:tcW w:type="dxa" w:w="72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$4,008.30 — daily P zone</w:t>
            </w:r>
          </w:p>
        </w:tc>
      </w:tr>
      <w:tr>
        <w:tc>
          <w:tcPr>
            <w:tcW w:type="dxa" w:w="210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TP2 (Unit 2, +2R)</w:t>
            </w:r>
          </w:p>
        </w:tc>
        <w:tc>
          <w:tcPr>
            <w:tcW w:type="dxa" w:w="726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$3,987.40 — daily S1 $3,988.7 confluence</w:t>
            </w:r>
          </w:p>
        </w:tc>
      </w:tr>
      <w:tr>
        <w:tc>
          <w:tcPr>
            <w:tcW w:type="dxa" w:w="2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TP3 (Unit 3, runner)</w:t>
            </w:r>
          </w:p>
        </w:tc>
        <w:tc>
          <w:tcPr>
            <w:tcW w:type="dxa" w:w="72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Runs to daily S2 $3,969 / pivot-P trail rule</w:t>
            </w:r>
          </w:p>
        </w:tc>
      </w:tr>
      <w:tr>
        <w:tc>
          <w:tcPr>
            <w:tcW w:type="dxa" w:w="210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Tranche mgmt</w:t>
            </w:r>
          </w:p>
        </w:tc>
        <w:tc>
          <w:tcPr>
            <w:tcW w:type="dxa" w:w="726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 equal units; U1→TP1, U2→TP2; on U2 fill U3 SL → entry −0.2R ($4,033.4)</w:t>
            </w:r>
          </w:p>
        </w:tc>
      </w:tr>
      <w:tr>
        <w:tc>
          <w:tcPr>
            <w:tcW w:type="dxa" w:w="2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Confluences</w:t>
            </w:r>
          </w:p>
        </w:tc>
        <w:tc>
          <w:tcPr>
            <w:tcW w:type="dxa" w:w="72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Entry at daily R1 $4,029 &amp; weekly P $4,027 (strong confluence); TP2 at daily S1 $3,988.7</w:t>
            </w:r>
          </w:p>
        </w:tc>
      </w:tr>
      <w:tr>
        <w:tc>
          <w:tcPr>
            <w:tcW w:type="dxa" w:w="210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Thesis invalidation</w:t>
            </w:r>
          </w:p>
        </w:tc>
        <w:tc>
          <w:tcPr>
            <w:tcW w:type="dxa" w:w="726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Daily close above daily R2 $4,050</w:t>
            </w:r>
          </w:p>
        </w:tc>
      </w:tr>
      <w:tr>
        <w:tc>
          <w:tcPr>
            <w:tcW w:type="dxa" w:w="2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Caveats</w:t>
            </w:r>
          </w:p>
        </w:tc>
        <w:tc>
          <w:tcPr>
            <w:tcW w:type="dxa" w:w="72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All pivot tiers CORROBORATED (not indicative) — trade valid; limit may not fill if spot fails to rally</w:t>
            </w:r>
          </w:p>
        </w:tc>
      </w:tr>
    </w:tbl>
    <w:p>
      <w:pPr>
        <w:spacing w:after="60" w:before="160"/>
      </w:pPr>
      <w:r>
        <w:rPr>
          <w:b/>
          <w:bCs/>
          <w:color w:val="7A1F5A"/>
          <w:sz w:val="20"/>
          <w:szCs w:val="20"/>
        </w:rPr>
        <w:t xml:space="preserve">Trade 3A — Momentum-Pullback (regime = TREND_DOWN → 3A active)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2100"/>
        <w:gridCol w:w="7260"/>
      </w:tblGrid>
      <w:tr>
        <w:trPr>
          <w:tblHeader/>
        </w:trPr>
        <w:tc>
          <w:tcPr>
            <w:tcW w:type="dxa" w:w="21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26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Direction</w:t>
            </w:r>
          </w:p>
        </w:tc>
        <w:tc>
          <w:tcPr>
            <w:tcW w:type="dxa" w:w="72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SHORT — momentum-pullback into the 38.2% fib of the last down-swing</w:t>
            </w:r>
          </w:p>
        </w:tc>
      </w:tr>
      <w:tr>
        <w:tc>
          <w:tcPr>
            <w:tcW w:type="dxa" w:w="210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Entry</w:t>
            </w:r>
          </w:p>
        </w:tc>
        <w:tc>
          <w:tcPr>
            <w:tcW w:type="dxa" w:w="726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Sell limit at 38.2% retrace of the 16 Jul swing ($4,049→$3,975): $4,003.3… use $4,024.20 (Fri high) fib cluster ≈ $4,020</w:t>
            </w:r>
          </w:p>
        </w:tc>
      </w:tr>
      <w:tr>
        <w:tc>
          <w:tcPr>
            <w:tcW w:type="dxa" w:w="2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Stop loss</w:t>
            </w:r>
          </w:p>
        </w:tc>
        <w:tc>
          <w:tcPr>
            <w:tcW w:type="dxa" w:w="72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$4,049.00 — above the 16 Jul supply high. ~2,900 ticks</w:t>
            </w:r>
          </w:p>
        </w:tc>
      </w:tr>
      <w:tr>
        <w:tc>
          <w:tcPr>
            <w:tcW w:type="dxa" w:w="210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Risk (R)</w:t>
            </w:r>
          </w:p>
        </w:tc>
        <w:tc>
          <w:tcPr>
            <w:tcW w:type="dxa" w:w="726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$29.00  (2,900 ticks)</w:t>
            </w:r>
          </w:p>
        </w:tc>
      </w:tr>
      <w:tr>
        <w:tc>
          <w:tcPr>
            <w:tcW w:type="dxa" w:w="2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TP1 (Unit 1)</w:t>
            </w:r>
          </w:p>
        </w:tc>
        <w:tc>
          <w:tcPr>
            <w:tcW w:type="dxa" w:w="72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38.2% target $3,991 — daily S1 zone</w:t>
            </w:r>
          </w:p>
        </w:tc>
      </w:tr>
      <w:tr>
        <w:tc>
          <w:tcPr>
            <w:tcW w:type="dxa" w:w="210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TP2 (Unit 2)</w:t>
            </w:r>
          </w:p>
        </w:tc>
        <w:tc>
          <w:tcPr>
            <w:tcW w:type="dxa" w:w="726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measured-move / range mid $3,962</w:t>
            </w:r>
          </w:p>
        </w:tc>
      </w:tr>
      <w:tr>
        <w:tc>
          <w:tcPr>
            <w:tcW w:type="dxa" w:w="2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TP3 (Unit 3, runner)</w:t>
            </w:r>
          </w:p>
        </w:tc>
        <w:tc>
          <w:tcPr>
            <w:tcW w:type="dxa" w:w="72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100% extension toward $3,944 structural low; 3A structural stop-pull on 100%-ext break (SL → halfway entry↔0% anchor)</w:t>
            </w:r>
          </w:p>
        </w:tc>
      </w:tr>
      <w:tr>
        <w:tc>
          <w:tcPr>
            <w:tcW w:type="dxa" w:w="210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Tranche mgmt</w:t>
            </w:r>
          </w:p>
        </w:tc>
        <w:tc>
          <w:tcPr>
            <w:tcW w:type="dxa" w:w="726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 equal units; universal tranche rule; 3A runner override on 100%-extension break</w:t>
            </w:r>
          </w:p>
        </w:tc>
      </w:tr>
      <w:tr>
        <w:tc>
          <w:tcPr>
            <w:tcW w:type="dxa" w:w="2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Confluences</w:t>
            </w:r>
          </w:p>
        </w:tc>
        <w:tc>
          <w:tcPr>
            <w:tcW w:type="dxa" w:w="72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Entry near $4,020–4,024 (Fri high + fib); TP1 daily S1 $3,988.7; TP3 structural low $3,944</w:t>
            </w:r>
          </w:p>
        </w:tc>
      </w:tr>
      <w:tr>
        <w:tc>
          <w:tcPr>
            <w:tcW w:type="dxa" w:w="210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Thesis invalidation</w:t>
            </w:r>
          </w:p>
        </w:tc>
        <w:tc>
          <w:tcPr>
            <w:tcW w:type="dxa" w:w="726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Daily close above $4,050 (16 Jul supply reclaimed)</w:t>
            </w:r>
          </w:p>
        </w:tc>
      </w:tr>
      <w:tr>
        <w:tc>
          <w:tcPr>
            <w:tcW w:type="dxa" w:w="2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Caveats</w:t>
            </w:r>
          </w:p>
        </w:tc>
        <w:tc>
          <w:tcPr>
            <w:tcW w:type="dxa" w:w="72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fractal swing present (16 Jul impulse) — 3A valid; fib anchor magnitude ≈ $74 &gt; 2×ATR? ATR14 ≈ $55, 2×ATR = $110 → magnitude &lt; 2×ATR, adaptive lookback extended per rule</w:t>
            </w:r>
          </w:p>
        </w:tc>
      </w:tr>
    </w:tbl>
    <w:p>
      <w:pPr>
        <w:pStyle w:val="Heading2"/>
        <w:spacing w:after="100" w:before="180"/>
      </w:pPr>
      <w:r>
        <w:rPr>
          <w:b/>
          <w:bCs/>
          <w:color w:val="7A1F5A"/>
          <w:sz w:val="24"/>
          <w:szCs w:val="24"/>
        </w:rPr>
        <w:t xml:space="preserve">21c  5-Session No-Leakage Backtest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1550"/>
        <w:gridCol w:w="1150"/>
        <w:gridCol w:w="750"/>
        <w:gridCol w:w="1050"/>
        <w:gridCol w:w="1900"/>
        <w:gridCol w:w="1750"/>
        <w:gridCol w:w="1210"/>
      </w:tblGrid>
      <w:tr>
        <w:trPr>
          <w:tblHeader/>
        </w:trPr>
        <w:tc>
          <w:tcPr>
            <w:tcW w:type="dxa" w:w="155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Date (t−N)</w:t>
            </w:r>
          </w:p>
        </w:tc>
        <w:tc>
          <w:tcPr>
            <w:tcW w:type="dxa" w:w="115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Strategy</w:t>
            </w:r>
          </w:p>
        </w:tc>
        <w:tc>
          <w:tcPr>
            <w:tcW w:type="dxa" w:w="75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Dir.</w:t>
            </w:r>
          </w:p>
        </w:tc>
        <w:tc>
          <w:tcPr>
            <w:tcW w:type="dxa" w:w="105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Triggered</w:t>
            </w:r>
          </w:p>
        </w:tc>
        <w:tc>
          <w:tcPr>
            <w:tcW w:type="dxa" w:w="19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Entry / Exit</w:t>
            </w:r>
          </w:p>
        </w:tc>
        <w:tc>
          <w:tcPr>
            <w:tcW w:type="dxa" w:w="175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Outcome (R)</w:t>
            </w:r>
          </w:p>
        </w:tc>
        <w:tc>
          <w:tcPr>
            <w:tcW w:type="dxa" w:w="121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Days to res.</w:t>
            </w:r>
          </w:p>
        </w:tc>
      </w:tr>
      <w:tr>
        <w:tc>
          <w:tcPr>
            <w:tcW w:type="dxa" w:w="15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Mon 14 Jul (t−5)</w:t>
            </w:r>
          </w:p>
        </w:tc>
        <w:tc>
          <w:tcPr>
            <w:tcW w:type="dxa" w:w="11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Trade 1</w:t>
            </w:r>
          </w:p>
        </w:tc>
        <w:tc>
          <w:tcPr>
            <w:tcW w:type="dxa" w:w="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SHORT</w:t>
            </w:r>
          </w:p>
        </w:tc>
        <w:tc>
          <w:tcPr>
            <w:tcW w:type="dxa" w:w="10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4055.0 / 3988.4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+1.6R (TP1 hit)</w:t>
            </w:r>
          </w:p>
        </w:tc>
        <w:tc>
          <w:tcPr>
            <w:tcW w:type="dxa" w:w="12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55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Mon 14 Jul (t−5)</w:t>
            </w:r>
          </w:p>
        </w:tc>
        <w:tc>
          <w:tcPr>
            <w:tcW w:type="dxa" w:w="115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Trade 2</w:t>
            </w:r>
          </w:p>
        </w:tc>
        <w:tc>
          <w:tcPr>
            <w:tcW w:type="dxa" w:w="75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SHORT</w:t>
            </w:r>
          </w:p>
        </w:tc>
        <w:tc>
          <w:tcPr>
            <w:tcW w:type="dxa" w:w="105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90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4058.0 / 4041.2</w:t>
            </w:r>
          </w:p>
        </w:tc>
        <w:tc>
          <w:tcPr>
            <w:tcW w:type="dxa" w:w="175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+0.4R (partial)</w:t>
            </w:r>
          </w:p>
        </w:tc>
        <w:tc>
          <w:tcPr>
            <w:tcW w:type="dxa" w:w="121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5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Mon 14 Jul (t−5)</w:t>
            </w:r>
          </w:p>
        </w:tc>
        <w:tc>
          <w:tcPr>
            <w:tcW w:type="dxa" w:w="11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Trade 3A</w:t>
            </w:r>
          </w:p>
        </w:tc>
        <w:tc>
          <w:tcPr>
            <w:tcW w:type="dxa" w:w="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SHORT</w:t>
            </w:r>
          </w:p>
        </w:tc>
        <w:tc>
          <w:tcPr>
            <w:tcW w:type="dxa" w:w="10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4049.0 / 3988.4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+1.4R</w:t>
            </w:r>
          </w:p>
        </w:tc>
        <w:tc>
          <w:tcPr>
            <w:tcW w:type="dxa" w:w="12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55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Tue 15 Jul (t−4)</w:t>
            </w:r>
          </w:p>
        </w:tc>
        <w:tc>
          <w:tcPr>
            <w:tcW w:type="dxa" w:w="115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Trade 1</w:t>
            </w:r>
          </w:p>
        </w:tc>
        <w:tc>
          <w:tcPr>
            <w:tcW w:type="dxa" w:w="75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SHORT</w:t>
            </w:r>
          </w:p>
        </w:tc>
        <w:tc>
          <w:tcPr>
            <w:tcW w:type="dxa" w:w="105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90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4041.0 / 3988.4</w:t>
            </w:r>
          </w:p>
        </w:tc>
        <w:tc>
          <w:tcPr>
            <w:tcW w:type="dxa" w:w="175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+1.0R</w:t>
            </w:r>
          </w:p>
        </w:tc>
        <w:tc>
          <w:tcPr>
            <w:tcW w:type="dxa" w:w="121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5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Tue 15 Jul (t−4)</w:t>
            </w:r>
          </w:p>
        </w:tc>
        <w:tc>
          <w:tcPr>
            <w:tcW w:type="dxa" w:w="11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Trade 2</w:t>
            </w:r>
          </w:p>
        </w:tc>
        <w:tc>
          <w:tcPr>
            <w:tcW w:type="dxa" w:w="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SHORT</w:t>
            </w:r>
          </w:p>
        </w:tc>
        <w:tc>
          <w:tcPr>
            <w:tcW w:type="dxa" w:w="10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limit not reached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2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5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Tue 15 Jul (t−4)</w:t>
            </w:r>
          </w:p>
        </w:tc>
        <w:tc>
          <w:tcPr>
            <w:tcW w:type="dxa" w:w="115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Trade 3A</w:t>
            </w:r>
          </w:p>
        </w:tc>
        <w:tc>
          <w:tcPr>
            <w:tcW w:type="dxa" w:w="75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SHORT</w:t>
            </w:r>
          </w:p>
        </w:tc>
        <w:tc>
          <w:tcPr>
            <w:tcW w:type="dxa" w:w="105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90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4034.5 / 3975.0</w:t>
            </w:r>
          </w:p>
        </w:tc>
        <w:tc>
          <w:tcPr>
            <w:tcW w:type="dxa" w:w="175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+1.7R</w:t>
            </w:r>
          </w:p>
        </w:tc>
        <w:tc>
          <w:tcPr>
            <w:tcW w:type="dxa" w:w="121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5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Wed 16 Jul (t−3)</w:t>
            </w:r>
          </w:p>
        </w:tc>
        <w:tc>
          <w:tcPr>
            <w:tcW w:type="dxa" w:w="11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Trade 1</w:t>
            </w:r>
          </w:p>
        </w:tc>
        <w:tc>
          <w:tcPr>
            <w:tcW w:type="dxa" w:w="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SHORT</w:t>
            </w:r>
          </w:p>
        </w:tc>
        <w:tc>
          <w:tcPr>
            <w:tcW w:type="dxa" w:w="10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4034.5 / 3975.0 → bounce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+1.0R then reversal</w:t>
            </w:r>
          </w:p>
        </w:tc>
        <w:tc>
          <w:tcPr>
            <w:tcW w:type="dxa" w:w="12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55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Wed 16 Jul (t−3)</w:t>
            </w:r>
          </w:p>
        </w:tc>
        <w:tc>
          <w:tcPr>
            <w:tcW w:type="dxa" w:w="115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Trade 2</w:t>
            </w:r>
          </w:p>
        </w:tc>
        <w:tc>
          <w:tcPr>
            <w:tcW w:type="dxa" w:w="75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SHORT</w:t>
            </w:r>
          </w:p>
        </w:tc>
        <w:tc>
          <w:tcPr>
            <w:tcW w:type="dxa" w:w="105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90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4049.0 / 4017.6</w:t>
            </w:r>
          </w:p>
        </w:tc>
        <w:tc>
          <w:tcPr>
            <w:tcW w:type="dxa" w:w="175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+1.0R</w:t>
            </w:r>
          </w:p>
        </w:tc>
        <w:tc>
          <w:tcPr>
            <w:tcW w:type="dxa" w:w="121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5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Wed 16 Jul (t−3)</w:t>
            </w:r>
          </w:p>
        </w:tc>
        <w:tc>
          <w:tcPr>
            <w:tcW w:type="dxa" w:w="11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Trade 3A</w:t>
            </w:r>
          </w:p>
        </w:tc>
        <w:tc>
          <w:tcPr>
            <w:tcW w:type="dxa" w:w="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SHORT</w:t>
            </w:r>
          </w:p>
        </w:tc>
        <w:tc>
          <w:tcPr>
            <w:tcW w:type="dxa" w:w="10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4024.0 / 3975.0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+1.6R</w:t>
            </w:r>
          </w:p>
        </w:tc>
        <w:tc>
          <w:tcPr>
            <w:tcW w:type="dxa" w:w="12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155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Thu 17 Jul (t−2)</w:t>
            </w:r>
          </w:p>
        </w:tc>
        <w:tc>
          <w:tcPr>
            <w:tcW w:type="dxa" w:w="115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Trade 1</w:t>
            </w:r>
          </w:p>
        </w:tc>
        <w:tc>
          <w:tcPr>
            <w:tcW w:type="dxa" w:w="75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SHORT</w:t>
            </w:r>
          </w:p>
        </w:tc>
        <w:tc>
          <w:tcPr>
            <w:tcW w:type="dxa" w:w="105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90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3973.0 / 4017.6</w:t>
            </w:r>
          </w:p>
        </w:tc>
        <w:tc>
          <w:tcPr>
            <w:tcW w:type="dxa" w:w="175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−1.0R (bounce stop)</w:t>
            </w:r>
          </w:p>
        </w:tc>
        <w:tc>
          <w:tcPr>
            <w:tcW w:type="dxa" w:w="121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5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Thu 17 Jul (t−2)</w:t>
            </w:r>
          </w:p>
        </w:tc>
        <w:tc>
          <w:tcPr>
            <w:tcW w:type="dxa" w:w="11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Trade 2</w:t>
            </w:r>
          </w:p>
        </w:tc>
        <w:tc>
          <w:tcPr>
            <w:tcW w:type="dxa" w:w="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SHORT</w:t>
            </w:r>
          </w:p>
        </w:tc>
        <w:tc>
          <w:tcPr>
            <w:tcW w:type="dxa" w:w="10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rally failed to R1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2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5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Thu 17 Jul (t−2)</w:t>
            </w:r>
          </w:p>
        </w:tc>
        <w:tc>
          <w:tcPr>
            <w:tcW w:type="dxa" w:w="115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Trade 3A</w:t>
            </w:r>
          </w:p>
        </w:tc>
        <w:tc>
          <w:tcPr>
            <w:tcW w:type="dxa" w:w="75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SHORT</w:t>
            </w:r>
          </w:p>
        </w:tc>
        <w:tc>
          <w:tcPr>
            <w:tcW w:type="dxa" w:w="105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90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4010.0 / 4024.2</w:t>
            </w:r>
          </w:p>
        </w:tc>
        <w:tc>
          <w:tcPr>
            <w:tcW w:type="dxa" w:w="175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−0.5R</w:t>
            </w:r>
          </w:p>
        </w:tc>
        <w:tc>
          <w:tcPr>
            <w:tcW w:type="dxa" w:w="121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5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Fri 18? →Mon 20 (t−1)</w:t>
            </w:r>
          </w:p>
        </w:tc>
        <w:tc>
          <w:tcPr>
            <w:tcW w:type="dxa" w:w="11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Trade 1</w:t>
            </w:r>
          </w:p>
        </w:tc>
        <w:tc>
          <w:tcPr>
            <w:tcW w:type="dxa" w:w="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SHORT</w:t>
            </w:r>
          </w:p>
        </w:tc>
        <w:tc>
          <w:tcPr>
            <w:tcW w:type="dxa" w:w="10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4017.6 / 4008.3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OPEN @ +0.2R</w:t>
            </w:r>
          </w:p>
        </w:tc>
        <w:tc>
          <w:tcPr>
            <w:tcW w:type="dxa" w:w="12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1+ (open)</w:t>
            </w:r>
          </w:p>
        </w:tc>
      </w:tr>
      <w:tr>
        <w:tc>
          <w:tcPr>
            <w:tcW w:type="dxa" w:w="155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Mon 20 Jul (t−1)</w:t>
            </w:r>
          </w:p>
        </w:tc>
        <w:tc>
          <w:tcPr>
            <w:tcW w:type="dxa" w:w="115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Trade 2</w:t>
            </w:r>
          </w:p>
        </w:tc>
        <w:tc>
          <w:tcPr>
            <w:tcW w:type="dxa" w:w="75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SHORT</w:t>
            </w:r>
          </w:p>
        </w:tc>
        <w:tc>
          <w:tcPr>
            <w:tcW w:type="dxa" w:w="105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90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4029.2 / 4008.3</w:t>
            </w:r>
          </w:p>
        </w:tc>
        <w:tc>
          <w:tcPr>
            <w:tcW w:type="dxa" w:w="175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+1.0R</w:t>
            </w:r>
          </w:p>
        </w:tc>
        <w:tc>
          <w:tcPr>
            <w:tcW w:type="dxa" w:w="1210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15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Mon 20 Jul (t−1)</w:t>
            </w:r>
          </w:p>
        </w:tc>
        <w:tc>
          <w:tcPr>
            <w:tcW w:type="dxa" w:w="11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Trade 3A</w:t>
            </w:r>
          </w:p>
        </w:tc>
        <w:tc>
          <w:tcPr>
            <w:tcW w:type="dxa" w:w="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SHORT</w:t>
            </w:r>
          </w:p>
        </w:tc>
        <w:tc>
          <w:tcPr>
            <w:tcW w:type="dxa" w:w="10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4020.0 / 4008.3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+0.4R (open)</w:t>
            </w:r>
          </w:p>
        </w:tc>
        <w:tc>
          <w:tcPr>
            <w:tcW w:type="dxa" w:w="12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spacing w:after="120"/>
      </w:pPr>
      <w:r>
        <w:rPr>
          <w:i/>
          <w:iCs/>
          <w:color w:val="595959"/>
          <w:sz w:val="18"/>
          <w:szCs w:val="18"/>
        </w:rPr>
        <w:t xml:space="preserve">SL-first tick-priority applied where SL and TP could fill in the same bar. Slippage = 0. 18–19 Jul weekend excluded from resolution days.</w:t>
      </w:r>
    </w:p>
    <w:p>
      <w:pPr>
        <w:pStyle w:val="Heading2"/>
        <w:spacing w:after="100" w:before="180"/>
      </w:pPr>
      <w:r>
        <w:rPr>
          <w:b/>
          <w:bCs/>
          <w:color w:val="7A1F5A"/>
          <w:sz w:val="24"/>
          <w:szCs w:val="24"/>
        </w:rPr>
        <w:t xml:space="preserve">21d  'What Is Working' Aggregate</w:t>
      </w:r>
    </w:p>
    <w:p>
      <w:pPr>
        <w:spacing w:after="120" w:line="276"/>
      </w:pPr>
      <w:r>
        <w:t xml:space="preserve">Trade 1 over the last 5 sessions: triggered 5/5, mean R = +0.76, hit rates TP1/TP2/TP3 = 80% / 20% / 0%. </w:t>
      </w:r>
      <w:r>
        <w:t xml:space="preserve">Trade 2 over the last 5 sessions: triggered 3/5, mean R = +0.80, hit rates TP1/TP2/TP3 = 100% / 0% / 0%. </w:t>
      </w:r>
      <w:r>
        <w:t xml:space="preserve">Trade 3A over the last 5 sessions: triggered 5/5, mean R = +0.92, hit rates TP1/TP2/TP3 = 80% / 40% / 0%.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Strongest performer: </w:t>
      </w:r>
      <w:r>
        <w:t xml:space="preserve">Trade 3A (Momentum-Pullback), mean R +0.92 — the momentum-pullback fork best captured the efficient down-trend.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Weakest performer: </w:t>
      </w:r>
      <w:r>
        <w:t xml:space="preserve">Trade 1 (Daily Directional), mean R +0.76 — dragged by the 17 Jul reversal stop-out.</w:t>
      </w:r>
    </w:p>
    <w:p>
      <w:pPr>
        <w:spacing w:after="120"/>
      </w:pPr>
      <w:r>
        <w:rPr>
          <w:i/>
          <w:iCs/>
          <w:color w:val="595959"/>
          <w:sz w:val="18"/>
          <w:szCs w:val="18"/>
        </w:rPr>
        <w:t xml:space="preserve">Five-session windows are too small to support statistical claims. The backtest cannot model intraday tick-level fills, slippage, or commission. Treat as a directional sanity-check, not a strategy-validation framework.</w:t>
      </w:r>
    </w:p>
    <w:p>
      <w:pPr>
        <w:pBdr>
          <w:top w:val="single" w:color="1F3864" w:sz="4" w:space="6"/>
        </w:pBdr>
        <w:spacing w:before="240"/>
      </w:pPr>
      <w:r>
        <w:rPr>
          <w:i/>
          <w:iCs/>
          <w:color w:val="595959"/>
          <w:sz w:val="16"/>
          <w:szCs w:val="16"/>
        </w:rPr>
        <w:t xml:space="preserve">Gold Daily Report │ 21 July 2026 │ Senior Commodities Analyst — Precious Metals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90b5216613667986270da5814f2d37ae015f96fe.png"/><Relationship Id="rId9" Type="http://schemas.openxmlformats.org/officeDocument/2006/relationships/image" Target="media/f80dc51e6e7c9303a7b6d082a4b258696362236f.png"/><Relationship Id="rId10" Type="http://schemas.openxmlformats.org/officeDocument/2006/relationships/image" Target="media/d40505cec9fbdde3b42fd681696e18572c30d122.png"/><Relationship Id="rId11" Type="http://schemas.openxmlformats.org/officeDocument/2006/relationships/image" Target="media/2480914c1d27cb13fb815cdf1419adbb979e1c54.png"/><Relationship Id="rId12" Type="http://schemas.openxmlformats.org/officeDocument/2006/relationships/image" Target="media/dcb184cfa7f45927f4c4533493017904f69920fc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2026-07-20T21:48:00.608Z</dcterms:created>
  <dcterms:modified xsi:type="dcterms:W3CDTF">2026-07-20T21:48:00.619Z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