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rFonts w:ascii="Calibri" w:cs="Calibri" w:eastAsia="Calibri" w:hAnsi="Calibri"/>
          <w:b/>
          <w:bCs/>
          <w:color w:val="1F3864"/>
          <w:sz w:val="36"/>
          <w:szCs w:val="36"/>
        </w:rPr>
        <w:t xml:space="preserve">Gold (Spot) Report — Daily: 26 May 2026</w:t>
      </w:r>
    </w:p>
    <w:p>
      <w:pPr>
        <w:spacing w:after="40"/>
      </w:pPr>
      <w:r>
        <w:rPr>
          <w:rFonts w:ascii="Calibri" w:cs="Calibri" w:eastAsia="Calibri" w:hAnsi="Calibri"/>
          <w:i/>
          <w:iCs/>
          <w:color w:val="595959"/>
          <w:sz w:val="21"/>
          <w:szCs w:val="21"/>
        </w:rPr>
        <w:t xml:space="preserve">With reference to: Silver (XAG/USD) · USDX · S&amp;P 500 · DAX 40</w:t>
      </w:r>
    </w:p>
    <w:p>
      <w:pPr>
        <w:spacing w:after="40"/>
      </w:pPr>
      <w:r>
        <w:rPr>
          <w:rFonts w:ascii="Calibri" w:cs="Calibri" w:eastAsia="Calibri" w:hAnsi="Calibri"/>
          <w:color w:val="808080"/>
          <w:sz w:val="18"/>
          <w:szCs w:val="18"/>
        </w:rPr>
        <w:t xml:space="preserve">Senior Commodities Analyst — Precious Metals  ·  Snapshot: close of 25 May 2026 (Europe/London)  ·  Trading and risk review (forward-test)</w:t>
      </w:r>
    </w:p>
    <w:p>
      <w:pPr>
        <w:pBdr>
          <w:bottom w:val="single" w:color="1F3864" w:sz="8" w:space="4"/>
        </w:pBdr>
        <w:spacing w:after="160"/>
      </w:pPr>
      <w:r>
        <w:rPr>
          <w:rFonts w:ascii="Calibri" w:cs="Calibri" w:eastAsia="Calibri" w:hAnsi="Calibri"/>
          <w:i/>
          <w:iCs/>
          <w:color w:val="808080"/>
          <w:sz w:val="17"/>
          <w:szCs w:val="17"/>
        </w:rPr>
        <w:t xml:space="preserve">Spot quote loco London (XAU/USD); CME front-month futures used for cross-validation. All prices USD per troy ounce.</w:t>
      </w:r>
    </w:p>
    <w:p>
      <w:pPr>
        <w:pStyle w:val="Heading1"/>
        <w:pBdr>
          <w:bottom w:val="single" w:color="1F3864" w:sz="6" w:space="2"/>
        </w:pBdr>
        <w:spacing w:after="120" w:before="240"/>
      </w:pPr>
      <w:r>
        <w:rPr>
          <w:rFonts w:ascii="Calibri" w:cs="Calibri" w:eastAsia="Calibri" w:hAnsi="Calibri"/>
          <w:b/>
          <w:bCs/>
          <w:color w:val="1F3864"/>
          <w:sz w:val="28"/>
          <w:szCs w:val="28"/>
        </w:rPr>
        <w:t xml:space="preserve">1.  Executive Snapshot</w:t>
      </w:r>
    </w:p>
    <w:p>
      <w:pPr>
        <w:spacing w:after="100" w:before="0"/>
        <w:jc w:val="left"/>
      </w:pPr>
      <w:r>
        <w:rPr>
          <w:rFonts w:ascii="Calibri" w:cs="Calibri" w:eastAsia="Calibri" w:hAnsi="Calibri"/>
          <w:b w:val="false"/>
          <w:bCs w:val="false"/>
          <w:i w:val="false"/>
          <w:iCs w:val="false"/>
          <w:color w:val="1A1A1A"/>
          <w:sz w:val="21"/>
          <w:szCs w:val="21"/>
        </w:rPr>
        <w:t xml:space="preserve">Spot gold is assessed at a consensus USD 4,562 per troy ounce as of the close of 25 May 2026, the upper end of a defensible USD 4,545–4,580 range. Market tone is balanced with an emerging short-term bullish tilt. The price level is governed by three dominant drivers: (i) a sharp two-week unwind from the mid-April USD 4,890 high that carried spot down to a USD 4,454 swing low on 21 May; (ii) a weekend de-escalation signal in US–Iran negotiations that pulled crude sharply lower into 25 May, easing the inflation-and-rate-hike fear that had been the principal weight on bullion; and (iii) a softer US dollar on the same catalyst, which mechanically lifted the dollar-denominated metal.</w:t>
      </w:r>
    </w:p>
    <w:p>
      <w:pPr>
        <w:spacing w:after="100" w:before="0"/>
        <w:jc w:val="left"/>
      </w:pPr>
      <w:r>
        <w:rPr>
          <w:rFonts w:ascii="Calibri" w:cs="Calibri" w:eastAsia="Calibri" w:hAnsi="Calibri"/>
          <w:b w:val="false"/>
          <w:bCs w:val="false"/>
          <w:i w:val="false"/>
          <w:iCs w:val="false"/>
          <w:color w:val="1A1A1A"/>
          <w:sz w:val="21"/>
          <w:szCs w:val="21"/>
        </w:rPr>
        <w:t xml:space="preserve">The short-term technical state is Transitional with a bullish reversal underway — the last two sessions (22 and 25 May) printed higher closes off the USD 4,454 base, with 25 May the strongest single session in the window (+1.18%). The medium-term regime over the trailing 25 sessions is Ranging-to-Transitional: a high overlap ratio (0.69) and near-random directional persistence (0.52) sit against a deep range-position read (the close is in the lower quartile of the 25-session band). The Kaufman Efficiency Ratio classifies the medium-term path as Trending Down — Moderate (smoothed value −0.21), reflecting the still-negative net drift from mid-April even as the last two sessions turn up; this disagreement is treated as a mixed signal and flagged below.</w:t>
      </w:r>
    </w:p>
    <w:p>
      <w:pPr>
        <w:spacing w:after="100" w:before="0"/>
        <w:jc w:val="left"/>
      </w:pPr>
      <w:r>
        <w:rPr>
          <w:rFonts w:ascii="Calibri" w:cs="Calibri" w:eastAsia="Calibri" w:hAnsi="Calibri"/>
          <w:b/>
          <w:bCs/>
          <w:i w:val="false"/>
          <w:iCs w:val="false"/>
          <w:color w:val="1A1A1A"/>
          <w:sz w:val="21"/>
          <w:szCs w:val="21"/>
        </w:rPr>
        <w:t xml:space="preserve">Single most important watch item: </w:t>
      </w:r>
      <w:r>
        <w:rPr>
          <w:rFonts w:ascii="Calibri" w:cs="Calibri" w:eastAsia="Calibri" w:hAnsi="Calibri"/>
          <w:b w:val="false"/>
          <w:bCs w:val="false"/>
          <w:i w:val="false"/>
          <w:iCs w:val="false"/>
          <w:color w:val="1A1A1A"/>
          <w:sz w:val="21"/>
          <w:szCs w:val="21"/>
        </w:rPr>
        <w:t xml:space="preserve">the US Q1 GDP (second estimate) and weekly jobless-claims release on 28 May 2026. A downside growth surprise would reinforce the easing-of-rate-hike-risk narrative and is the most direct upside catalyst for gold inside the five-session horizon; an upside surprise revives the hawkish-Fed thread that capped the metal through mid-May.</w:t>
      </w:r>
    </w:p>
    <w:p>
      <w:pPr>
        <w:spacing w:after="100" w:before="0"/>
        <w:jc w:val="left"/>
      </w:pPr>
      <w:r>
        <w:rPr>
          <w:rFonts w:ascii="Calibri" w:cs="Calibri" w:eastAsia="Calibri" w:hAnsi="Calibri"/>
          <w:b/>
          <w:bCs/>
          <w:i w:val="false"/>
          <w:iCs w:val="false"/>
          <w:color w:val="1A1A1A"/>
          <w:sz w:val="21"/>
          <w:szCs w:val="21"/>
        </w:rPr>
        <w:t xml:space="preserve">Directional conviction (strategy module): </w:t>
      </w:r>
      <w:r>
        <w:rPr>
          <w:rFonts w:ascii="Calibri" w:cs="Calibri" w:eastAsia="Calibri" w:hAnsi="Calibri"/>
          <w:b w:val="false"/>
          <w:bCs w:val="false"/>
          <w:i w:val="false"/>
          <w:iCs w:val="false"/>
          <w:color w:val="1A1A1A"/>
          <w:sz w:val="21"/>
          <w:szCs w:val="21"/>
        </w:rPr>
        <w:t xml:space="preserve">the direction score resolves to LONG at +0.49, above the conviction threshold — driven by the short-term technical reversal, a predominantly bullish sentiment tilt, and a constructive cross-asset read. Three regime-aware trade cards follow in §21; the regime label is TRANSITION.</w:t>
      </w:r>
    </w:p>
    <w:p>
      <w:pPr>
        <w:pStyle w:val="Heading1"/>
        <w:pBdr>
          <w:bottom w:val="single" w:color="1F3864" w:sz="6" w:space="2"/>
        </w:pBdr>
        <w:spacing w:after="120" w:before="240"/>
      </w:pPr>
      <w:r>
        <w:rPr>
          <w:rFonts w:ascii="Calibri" w:cs="Calibri" w:eastAsia="Calibri" w:hAnsi="Calibri"/>
          <w:b/>
          <w:bCs/>
          <w:color w:val="1F3864"/>
          <w:sz w:val="28"/>
          <w:szCs w:val="28"/>
        </w:rPr>
        <w:t xml:space="preserve">2.  Market Definition</w:t>
      </w:r>
    </w:p>
    <w:p>
      <w:pPr>
        <w:spacing w:after="60" w:before="0"/>
        <w:jc w:val="left"/>
      </w:pPr>
      <w:r>
        <w:rPr>
          <w:rFonts w:ascii="Calibri" w:cs="Calibri" w:eastAsia="Calibri" w:hAnsi="Calibri"/>
          <w:b w:val="false"/>
          <w:bCs w:val="false"/>
          <w:i w:val="false"/>
          <w:iCs w:val="false"/>
          <w:color w:val="1A1A1A"/>
          <w:sz w:val="21"/>
          <w:szCs w:val="21"/>
        </w:rPr>
        <w:t xml:space="preserve">This report analyses the consensus spot price of gold and the principal factors supporting, pressuring, or distorting that price.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1"/>
              <w:left w:val="single" w:color="BFBFBF" w:sz="1"/>
              <w:bottom w:val="single" w:color="BFBFBF" w:sz="1"/>
              <w:right w:val="single" w:color="BFBFBF" w:sz="1"/>
            </w:tcBorders>
            <w:shd w:fill="1F3864" w:color="auto" w:val="clear"/>
            <w:tcMar>
              <w:top w:type="dxa" w:w="60"/>
              <w:left w:type="dxa" w:w="90"/>
              <w:bottom w:type="dxa" w:w="60"/>
              <w:right w:type="dxa" w:w="90"/>
            </w:tcMar>
            <w:vAlign w:val="center"/>
          </w:tcPr>
          <w:p>
            <w:pPr>
              <w:spacing w:after="0"/>
              <w:jc w:val="center"/>
            </w:pPr>
            <w:r>
              <w:rPr>
                <w:rFonts w:ascii="Calibri" w:cs="Calibri" w:eastAsia="Calibri" w:hAnsi="Calibri"/>
                <w:b/>
                <w:bCs/>
                <w:i w:val="false"/>
                <w:iCs w:val="false"/>
                <w:color w:val="FFFFFF"/>
                <w:sz w:val="17"/>
                <w:szCs w:val="17"/>
              </w:rPr>
              <w:t xml:space="preserve">Parameter</w:t>
            </w:r>
          </w:p>
        </w:tc>
        <w:tc>
          <w:tcPr>
            <w:tcW w:type="dxa" w:w="6760"/>
            <w:tcBorders>
              <w:top w:val="single" w:color="BFBFBF" w:sz="1"/>
              <w:left w:val="single" w:color="BFBFBF" w:sz="1"/>
              <w:bottom w:val="single" w:color="BFBFBF" w:sz="1"/>
              <w:right w:val="single" w:color="BFBFBF" w:sz="1"/>
            </w:tcBorders>
            <w:shd w:fill="1F3864" w:color="auto" w:val="clear"/>
            <w:tcMar>
              <w:top w:type="dxa" w:w="60"/>
              <w:left w:type="dxa" w:w="90"/>
              <w:bottom w:type="dxa" w:w="60"/>
              <w:right w:type="dxa" w:w="90"/>
            </w:tcMar>
            <w:vAlign w:val="center"/>
          </w:tcPr>
          <w:p>
            <w:pPr>
              <w:spacing w:after="0"/>
              <w:jc w:val="center"/>
            </w:pPr>
            <w:r>
              <w:rPr>
                <w:rFonts w:ascii="Calibri" w:cs="Calibri" w:eastAsia="Calibri" w:hAnsi="Calibri"/>
                <w:b/>
                <w:bCs/>
                <w:i w:val="false"/>
                <w:iCs w:val="false"/>
                <w:color w:val="FFFFFF"/>
                <w:sz w:val="17"/>
                <w:szCs w:val="17"/>
              </w:rPr>
              <w:t xml:space="preserve">Definition</w:t>
            </w:r>
          </w:p>
        </w:tc>
      </w:tr>
      <w:tr>
        <w:trPr>
          <w:tblHeader w:val="false"/>
        </w:trPr>
        <w:tc>
          <w:tcPr>
            <w:tcW w:type="dxa" w:w="2600"/>
            <w:tcBorders>
              <w:top w:val="single" w:color="BFBFBF" w:sz="1"/>
              <w:left w:val="single" w:color="BFBFBF" w:sz="1"/>
              <w:bottom w:val="single" w:color="BFBFBF" w:sz="1"/>
              <w:right w:val="single" w:color="BFBFBF" w:sz="1"/>
            </w:tcBorders>
            <w:shd w:fill="F2F4F8"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Commodity / asset</w:t>
            </w:r>
          </w:p>
        </w:tc>
        <w:tc>
          <w:tcPr>
            <w:tcW w:type="dxa" w:w="6760"/>
            <w:tcBorders>
              <w:top w:val="single" w:color="BFBFBF" w:sz="1"/>
              <w:left w:val="single" w:color="BFBFBF" w:sz="1"/>
              <w:bottom w:val="single" w:color="BFBFBF" w:sz="1"/>
              <w:right w:val="single" w:color="BFBFBF" w:sz="1"/>
            </w:tcBorders>
            <w:shd w:fill="F2F4F8"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Gold — precious metals. Spot XAU/USD; CME front-month futures (June contract) used only for corroboration.</w:t>
            </w:r>
          </w:p>
        </w:tc>
      </w:tr>
      <w:tr>
        <w:trPr>
          <w:tblHeader w:val="false"/>
        </w:trPr>
        <w:tc>
          <w:tcPr>
            <w:tcW w:type="dxa" w:w="26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Product specification</w:t>
            </w:r>
          </w:p>
        </w:tc>
        <w:tc>
          <w:tcPr>
            <w:tcW w:type="dxa" w:w="67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London Good Delivery bar, 99.99% pure, 400-oz spot quote (LBMA standard; matches the XAU/USD interbank quote convention).</w:t>
            </w:r>
          </w:p>
        </w:tc>
      </w:tr>
      <w:tr>
        <w:trPr>
          <w:tblHeader w:val="false"/>
        </w:trPr>
        <w:tc>
          <w:tcPr>
            <w:tcW w:type="dxa" w:w="2600"/>
            <w:tcBorders>
              <w:top w:val="single" w:color="BFBFBF" w:sz="1"/>
              <w:left w:val="single" w:color="BFBFBF" w:sz="1"/>
              <w:bottom w:val="single" w:color="BFBFBF" w:sz="1"/>
              <w:right w:val="single" w:color="BFBFBF" w:sz="1"/>
            </w:tcBorders>
            <w:shd w:fill="F2F4F8"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Market scope</w:t>
            </w:r>
          </w:p>
        </w:tc>
        <w:tc>
          <w:tcPr>
            <w:tcW w:type="dxa" w:w="6760"/>
            <w:tcBorders>
              <w:top w:val="single" w:color="BFBFBF" w:sz="1"/>
              <w:left w:val="single" w:color="BFBFBF" w:sz="1"/>
              <w:bottom w:val="single" w:color="BFBFBF" w:sz="1"/>
              <w:right w:val="single" w:color="BFBFBF" w:sz="1"/>
            </w:tcBorders>
            <w:shd w:fill="F2F4F8"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Global. Spot gold is a 24-hour, 23+-hour-traded market with no single regional focus.</w:t>
            </w:r>
          </w:p>
        </w:tc>
      </w:tr>
      <w:tr>
        <w:trPr>
          <w:tblHeader w:val="false"/>
        </w:trPr>
        <w:tc>
          <w:tcPr>
            <w:tcW w:type="dxa" w:w="26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Price basis</w:t>
            </w:r>
          </w:p>
        </w:tc>
        <w:tc>
          <w:tcPr>
            <w:tcW w:type="dxa" w:w="67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Spot, immediate settlement, loco London.</w:t>
            </w:r>
          </w:p>
        </w:tc>
      </w:tr>
      <w:tr>
        <w:trPr>
          <w:tblHeader w:val="false"/>
        </w:trPr>
        <w:tc>
          <w:tcPr>
            <w:tcW w:type="dxa" w:w="2600"/>
            <w:tcBorders>
              <w:top w:val="single" w:color="BFBFBF" w:sz="1"/>
              <w:left w:val="single" w:color="BFBFBF" w:sz="1"/>
              <w:bottom w:val="single" w:color="BFBFBF" w:sz="1"/>
              <w:right w:val="single" w:color="BFBFBF" w:sz="1"/>
            </w:tcBorders>
            <w:shd w:fill="F2F4F8"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Delivery basis</w:t>
            </w:r>
          </w:p>
        </w:tc>
        <w:tc>
          <w:tcPr>
            <w:tcW w:type="dxa" w:w="6760"/>
            <w:tcBorders>
              <w:top w:val="single" w:color="BFBFBF" w:sz="1"/>
              <w:left w:val="single" w:color="BFBFBF" w:sz="1"/>
              <w:bottom w:val="single" w:color="BFBFBF" w:sz="1"/>
              <w:right w:val="single" w:color="BFBFBF" w:sz="1"/>
            </w:tcBorders>
            <w:shd w:fill="F2F4F8"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OTC London spot, T+2 settlement (LBMA convention).</w:t>
            </w:r>
          </w:p>
        </w:tc>
      </w:tr>
      <w:tr>
        <w:trPr>
          <w:tblHeader w:val="false"/>
        </w:trPr>
        <w:tc>
          <w:tcPr>
            <w:tcW w:type="dxa" w:w="26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Unit / currency</w:t>
            </w:r>
          </w:p>
        </w:tc>
        <w:tc>
          <w:tcPr>
            <w:tcW w:type="dxa" w:w="67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USD per troy ounce.</w:t>
            </w:r>
          </w:p>
        </w:tc>
      </w:tr>
      <w:tr>
        <w:trPr>
          <w:tblHeader w:val="false"/>
        </w:trPr>
        <w:tc>
          <w:tcPr>
            <w:tcW w:type="dxa" w:w="2600"/>
            <w:tcBorders>
              <w:top w:val="single" w:color="BFBFBF" w:sz="1"/>
              <w:left w:val="single" w:color="BFBFBF" w:sz="1"/>
              <w:bottom w:val="single" w:color="BFBFBF" w:sz="1"/>
              <w:right w:val="single" w:color="BFBFBF" w:sz="1"/>
            </w:tcBorders>
            <w:shd w:fill="F2F4F8"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As-of date</w:t>
            </w:r>
          </w:p>
        </w:tc>
        <w:tc>
          <w:tcPr>
            <w:tcW w:type="dxa" w:w="6760"/>
            <w:tcBorders>
              <w:top w:val="single" w:color="BFBFBF" w:sz="1"/>
              <w:left w:val="single" w:color="BFBFBF" w:sz="1"/>
              <w:bottom w:val="single" w:color="BFBFBF" w:sz="1"/>
              <w:right w:val="single" w:color="BFBFBF" w:sz="1"/>
            </w:tcBorders>
            <w:shd w:fill="F2F4F8"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Close of 25 May 2026 (Europe/London). Report issued for the 26 May 2026 session.</w:t>
            </w:r>
          </w:p>
        </w:tc>
      </w:tr>
      <w:tr>
        <w:trPr>
          <w:tblHeader w:val="false"/>
        </w:trPr>
        <w:tc>
          <w:tcPr>
            <w:tcW w:type="dxa" w:w="26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Lookback window</w:t>
            </w:r>
          </w:p>
        </w:tc>
        <w:tc>
          <w:tcPr>
            <w:tcW w:type="dxa" w:w="67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5 trading days for the execution block; 25 sessions for the medium-term regime block.</w:t>
            </w:r>
          </w:p>
        </w:tc>
      </w:tr>
    </w:tbl>
    <w:p>
      <w:pPr>
        <w:pStyle w:val="Heading1"/>
        <w:pBdr>
          <w:bottom w:val="single" w:color="1F3864" w:sz="6" w:space="2"/>
        </w:pBdr>
        <w:spacing w:after="120" w:before="240"/>
      </w:pPr>
      <w:r>
        <w:rPr>
          <w:rFonts w:ascii="Calibri" w:cs="Calibri" w:eastAsia="Calibri" w:hAnsi="Calibri"/>
          <w:b/>
          <w:bCs/>
          <w:color w:val="1F3864"/>
          <w:sz w:val="28"/>
          <w:szCs w:val="28"/>
        </w:rPr>
        <w:t xml:space="preserve">3.  Consensus Price 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BFBFBF" w:sz="1"/>
              <w:left w:val="single" w:color="BFBFBF" w:sz="1"/>
              <w:bottom w:val="single" w:color="BFBFBF" w:sz="1"/>
              <w:right w:val="single" w:color="BFBFBF" w:sz="1"/>
            </w:tcBorders>
            <w:shd w:fill="1F3864" w:color="auto" w:val="clear"/>
            <w:tcMar>
              <w:top w:type="dxa" w:w="60"/>
              <w:left w:type="dxa" w:w="90"/>
              <w:bottom w:type="dxa" w:w="60"/>
              <w:right w:type="dxa" w:w="90"/>
            </w:tcMar>
            <w:vAlign w:val="center"/>
          </w:tcPr>
          <w:p>
            <w:pPr>
              <w:spacing w:after="0"/>
              <w:jc w:val="center"/>
            </w:pPr>
            <w:r>
              <w:rPr>
                <w:rFonts w:ascii="Calibri" w:cs="Calibri" w:eastAsia="Calibri" w:hAnsi="Calibri"/>
                <w:b/>
                <w:bCs/>
                <w:i w:val="false"/>
                <w:iCs w:val="false"/>
                <w:color w:val="FFFFFF"/>
                <w:sz w:val="17"/>
                <w:szCs w:val="17"/>
              </w:rPr>
              <w:t xml:space="preserve">Field</w:t>
            </w:r>
          </w:p>
        </w:tc>
        <w:tc>
          <w:tcPr>
            <w:tcW w:type="dxa" w:w="7060"/>
            <w:tcBorders>
              <w:top w:val="single" w:color="BFBFBF" w:sz="1"/>
              <w:left w:val="single" w:color="BFBFBF" w:sz="1"/>
              <w:bottom w:val="single" w:color="BFBFBF" w:sz="1"/>
              <w:right w:val="single" w:color="BFBFBF" w:sz="1"/>
            </w:tcBorders>
            <w:shd w:fill="1F3864" w:color="auto" w:val="clear"/>
            <w:tcMar>
              <w:top w:type="dxa" w:w="60"/>
              <w:left w:type="dxa" w:w="90"/>
              <w:bottom w:type="dxa" w:w="60"/>
              <w:right w:type="dxa" w:w="90"/>
            </w:tcMar>
            <w:vAlign w:val="center"/>
          </w:tcPr>
          <w:p>
            <w:pPr>
              <w:spacing w:after="0"/>
              <w:jc w:val="center"/>
            </w:pPr>
            <w:r>
              <w:rPr>
                <w:rFonts w:ascii="Calibri" w:cs="Calibri" w:eastAsia="Calibri" w:hAnsi="Calibri"/>
                <w:b/>
                <w:bCs/>
                <w:i w:val="false"/>
                <w:iCs w:val="false"/>
                <w:color w:val="FFFFFF"/>
                <w:sz w:val="17"/>
                <w:szCs w:val="17"/>
              </w:rPr>
              <w:t xml:space="preserve">Value</w:t>
            </w:r>
          </w:p>
        </w:tc>
      </w:tr>
      <w:tr>
        <w:trPr>
          <w:tblHeader w:val="false"/>
        </w:trPr>
        <w:tc>
          <w:tcPr>
            <w:tcW w:type="dxa" w:w="2300"/>
            <w:tcBorders>
              <w:top w:val="single" w:color="BFBFBF" w:sz="1"/>
              <w:left w:val="single" w:color="BFBFBF" w:sz="1"/>
              <w:bottom w:val="single" w:color="BFBFBF" w:sz="1"/>
              <w:right w:val="single" w:color="BFBFBF" w:sz="1"/>
            </w:tcBorders>
            <w:shd w:fill="F2F4F8" w:color="auto" w:val="clear"/>
            <w:tcMar>
              <w:top w:type="dxa" w:w="60"/>
              <w:left w:type="dxa" w:w="90"/>
              <w:bottom w:type="dxa" w:w="60"/>
              <w:right w:type="dxa" w:w="90"/>
            </w:tcMar>
            <w:vAlign w:val="center"/>
          </w:tcPr>
          <w:p>
            <w:pPr>
              <w:spacing w:after="0"/>
              <w:jc w:val="left"/>
            </w:pPr>
            <w:r>
              <w:rPr>
                <w:rFonts w:ascii="Calibri" w:cs="Calibri" w:eastAsia="Calibri" w:hAnsi="Calibri"/>
                <w:b/>
                <w:bCs/>
                <w:i w:val="false"/>
                <w:iCs w:val="false"/>
                <w:color w:val="1A1A1A"/>
                <w:sz w:val="17"/>
                <w:szCs w:val="17"/>
              </w:rPr>
              <w:t xml:space="preserve">Consensus price</w:t>
            </w:r>
          </w:p>
        </w:tc>
        <w:tc>
          <w:tcPr>
            <w:tcW w:type="dxa" w:w="7060"/>
            <w:tcBorders>
              <w:top w:val="single" w:color="BFBFBF" w:sz="1"/>
              <w:left w:val="single" w:color="BFBFBF" w:sz="1"/>
              <w:bottom w:val="single" w:color="BFBFBF" w:sz="1"/>
              <w:right w:val="single" w:color="BFBFBF" w:sz="1"/>
            </w:tcBorders>
            <w:shd w:fill="F2F4F8"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USD 4,562 / oz</w:t>
            </w:r>
          </w:p>
        </w:tc>
      </w:tr>
      <w:tr>
        <w:trPr>
          <w:tblHeader w:val="false"/>
        </w:trPr>
        <w:tc>
          <w:tcPr>
            <w:tcW w:type="dxa" w:w="23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left"/>
            </w:pPr>
            <w:r>
              <w:rPr>
                <w:rFonts w:ascii="Calibri" w:cs="Calibri" w:eastAsia="Calibri" w:hAnsi="Calibri"/>
                <w:b/>
                <w:bCs/>
                <w:i w:val="false"/>
                <w:iCs w:val="false"/>
                <w:color w:val="1A1A1A"/>
                <w:sz w:val="17"/>
                <w:szCs w:val="17"/>
              </w:rPr>
              <w:t xml:space="preserve">Consensus range</w:t>
            </w:r>
          </w:p>
        </w:tc>
        <w:tc>
          <w:tcPr>
            <w:tcW w:type="dxa" w:w="70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USD 4,545 – 4,580 / oz</w:t>
            </w:r>
          </w:p>
        </w:tc>
      </w:tr>
      <w:tr>
        <w:trPr>
          <w:tblHeader w:val="false"/>
        </w:trPr>
        <w:tc>
          <w:tcPr>
            <w:tcW w:type="dxa" w:w="2300"/>
            <w:tcBorders>
              <w:top w:val="single" w:color="BFBFBF" w:sz="1"/>
              <w:left w:val="single" w:color="BFBFBF" w:sz="1"/>
              <w:bottom w:val="single" w:color="BFBFBF" w:sz="1"/>
              <w:right w:val="single" w:color="BFBFBF" w:sz="1"/>
            </w:tcBorders>
            <w:shd w:fill="F2F4F8" w:color="auto" w:val="clear"/>
            <w:tcMar>
              <w:top w:type="dxa" w:w="60"/>
              <w:left w:type="dxa" w:w="90"/>
              <w:bottom w:type="dxa" w:w="60"/>
              <w:right w:type="dxa" w:w="90"/>
            </w:tcMar>
            <w:vAlign w:val="center"/>
          </w:tcPr>
          <w:p>
            <w:pPr>
              <w:spacing w:after="0"/>
              <w:jc w:val="left"/>
            </w:pPr>
            <w:r>
              <w:rPr>
                <w:rFonts w:ascii="Calibri" w:cs="Calibri" w:eastAsia="Calibri" w:hAnsi="Calibri"/>
                <w:b/>
                <w:bCs/>
                <w:i w:val="false"/>
                <w:iCs w:val="false"/>
                <w:color w:val="1A1A1A"/>
                <w:sz w:val="17"/>
                <w:szCs w:val="17"/>
              </w:rPr>
              <w:t xml:space="preserve">Basis</w:t>
            </w:r>
          </w:p>
        </w:tc>
        <w:tc>
          <w:tcPr>
            <w:tcW w:type="dxa" w:w="7060"/>
            <w:tcBorders>
              <w:top w:val="single" w:color="BFBFBF" w:sz="1"/>
              <w:left w:val="single" w:color="BFBFBF" w:sz="1"/>
              <w:bottom w:val="single" w:color="BFBFBF" w:sz="1"/>
              <w:right w:val="single" w:color="BFBFBF" w:sz="1"/>
            </w:tcBorders>
            <w:shd w:fill="F2F4F8"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Spot, loco London, immediate settlement</w:t>
            </w:r>
          </w:p>
        </w:tc>
      </w:tr>
      <w:tr>
        <w:trPr>
          <w:tblHeader w:val="false"/>
        </w:trPr>
        <w:tc>
          <w:tcPr>
            <w:tcW w:type="dxa" w:w="23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left"/>
            </w:pPr>
            <w:r>
              <w:rPr>
                <w:rFonts w:ascii="Calibri" w:cs="Calibri" w:eastAsia="Calibri" w:hAnsi="Calibri"/>
                <w:b/>
                <w:bCs/>
                <w:i w:val="false"/>
                <w:iCs w:val="false"/>
                <w:color w:val="1A1A1A"/>
                <w:sz w:val="17"/>
                <w:szCs w:val="17"/>
              </w:rPr>
              <w:t xml:space="preserve">Confidence level</w:t>
            </w:r>
          </w:p>
        </w:tc>
        <w:tc>
          <w:tcPr>
            <w:tcW w:type="dxa" w:w="70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Medium</w:t>
            </w:r>
          </w:p>
        </w:tc>
      </w:tr>
      <w:tr>
        <w:trPr>
          <w:tblHeader w:val="false"/>
        </w:trPr>
        <w:tc>
          <w:tcPr>
            <w:tcW w:type="dxa" w:w="2300"/>
            <w:tcBorders>
              <w:top w:val="single" w:color="BFBFBF" w:sz="1"/>
              <w:left w:val="single" w:color="BFBFBF" w:sz="1"/>
              <w:bottom w:val="single" w:color="BFBFBF" w:sz="1"/>
              <w:right w:val="single" w:color="BFBFBF" w:sz="1"/>
            </w:tcBorders>
            <w:shd w:fill="F2F4F8" w:color="auto" w:val="clear"/>
            <w:tcMar>
              <w:top w:type="dxa" w:w="60"/>
              <w:left w:type="dxa" w:w="90"/>
              <w:bottom w:type="dxa" w:w="60"/>
              <w:right w:type="dxa" w:w="90"/>
            </w:tcMar>
            <w:vAlign w:val="center"/>
          </w:tcPr>
          <w:p>
            <w:pPr>
              <w:spacing w:after="0"/>
              <w:jc w:val="left"/>
            </w:pPr>
            <w:r>
              <w:rPr>
                <w:rFonts w:ascii="Calibri" w:cs="Calibri" w:eastAsia="Calibri" w:hAnsi="Calibri"/>
                <w:b/>
                <w:bCs/>
                <w:i w:val="false"/>
                <w:iCs w:val="false"/>
                <w:color w:val="1A1A1A"/>
                <w:sz w:val="17"/>
                <w:szCs w:val="17"/>
              </w:rPr>
              <w:t xml:space="preserve">Market tone</w:t>
            </w:r>
          </w:p>
        </w:tc>
        <w:tc>
          <w:tcPr>
            <w:tcW w:type="dxa" w:w="7060"/>
            <w:tcBorders>
              <w:top w:val="single" w:color="BFBFBF" w:sz="1"/>
              <w:left w:val="single" w:color="BFBFBF" w:sz="1"/>
              <w:bottom w:val="single" w:color="BFBFBF" w:sz="1"/>
              <w:right w:val="single" w:color="BFBFBF" w:sz="1"/>
            </w:tcBorders>
            <w:shd w:fill="F2F4F8"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Balanced, with a short-term bullish tilt</w:t>
            </w:r>
          </w:p>
        </w:tc>
      </w:tr>
      <w:tr>
        <w:trPr>
          <w:tblHeader w:val="false"/>
        </w:trPr>
        <w:tc>
          <w:tcPr>
            <w:tcW w:type="dxa" w:w="23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left"/>
            </w:pPr>
            <w:r>
              <w:rPr>
                <w:rFonts w:ascii="Calibri" w:cs="Calibri" w:eastAsia="Calibri" w:hAnsi="Calibri"/>
                <w:b/>
                <w:bCs/>
                <w:i w:val="false"/>
                <w:iCs w:val="false"/>
                <w:color w:val="1A1A1A"/>
                <w:sz w:val="17"/>
                <w:szCs w:val="17"/>
              </w:rPr>
              <w:t xml:space="preserve">Rationale</w:t>
            </w:r>
          </w:p>
        </w:tc>
        <w:tc>
          <w:tcPr>
            <w:tcW w:type="dxa" w:w="70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The weighted-median of recent independent spot reads clusters around USD 4,560–4,565 for the 25 May close. Confidence is held at Medium rather than High because vendor spot quotes dispersed by USD 25–40 intraday during the 25 May recovery (a low-liquidity UK/US holiday session) and because the 25 May candle is a strong directional move whose follow-through is not yet confirmed.</w:t>
            </w:r>
          </w:p>
        </w:tc>
      </w:tr>
    </w:tbl>
    <w:p>
      <w:pPr>
        <w:pStyle w:val="Heading1"/>
        <w:pBdr>
          <w:bottom w:val="single" w:color="1F3864" w:sz="6" w:space="2"/>
        </w:pBdr>
        <w:spacing w:after="120" w:before="240"/>
      </w:pPr>
      <w:r>
        <w:rPr>
          <w:rFonts w:ascii="Calibri" w:cs="Calibri" w:eastAsia="Calibri" w:hAnsi="Calibri"/>
          <w:b/>
          <w:bCs/>
          <w:color w:val="1F3864"/>
          <w:sz w:val="28"/>
          <w:szCs w:val="28"/>
        </w:rPr>
        <w:t xml:space="preserve">4.  Price Evidence Table</w:t>
      </w:r>
    </w:p>
    <w:p>
      <w:pPr>
        <w:spacing w:after="60" w:before="0"/>
        <w:jc w:val="left"/>
      </w:pPr>
      <w:r>
        <w:rPr>
          <w:rFonts w:ascii="Calibri" w:cs="Calibri" w:eastAsia="Calibri" w:hAnsi="Calibri"/>
          <w:b w:val="false"/>
          <w:bCs w:val="false"/>
          <w:i/>
          <w:iCs/>
          <w:color w:val="1A1A1A"/>
          <w:sz w:val="18"/>
          <w:szCs w:val="18"/>
        </w:rPr>
        <w:t xml:space="preserve">Observations for the 25 May 2026 spot close. Raw quotes normalised to USD/oz, loco London spot basis. Futures observation normalised by removing the spot-futures basis.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150"/>
        <w:gridCol w:w="1150"/>
        <w:gridCol w:w="1300"/>
        <w:gridCol w:w="1500"/>
        <w:gridCol w:w="1260"/>
        <w:gridCol w:w="1500"/>
      </w:tblGrid>
      <w:tr>
        <w:trPr>
          <w:tblHeader/>
        </w:trPr>
        <w:tc>
          <w:tcPr>
            <w:tcW w:type="dxa" w:w="1500"/>
            <w:tcBorders>
              <w:top w:val="single" w:color="BFBFBF" w:sz="1"/>
              <w:left w:val="single" w:color="BFBFBF" w:sz="1"/>
              <w:bottom w:val="single" w:color="BFBFBF" w:sz="1"/>
              <w:right w:val="single" w:color="BFBFBF" w:sz="1"/>
            </w:tcBorders>
            <w:shd w:fill="1F3864" w:color="auto" w:val="clear"/>
            <w:tcMar>
              <w:top w:type="dxa" w:w="60"/>
              <w:left w:type="dxa" w:w="90"/>
              <w:bottom w:type="dxa" w:w="60"/>
              <w:right w:type="dxa" w:w="90"/>
            </w:tcMar>
            <w:vAlign w:val="center"/>
          </w:tcPr>
          <w:p>
            <w:pPr>
              <w:spacing w:after="0"/>
              <w:jc w:val="center"/>
            </w:pPr>
            <w:r>
              <w:rPr>
                <w:rFonts w:ascii="Calibri" w:cs="Calibri" w:eastAsia="Calibri" w:hAnsi="Calibri"/>
                <w:b/>
                <w:bCs/>
                <w:i w:val="false"/>
                <w:iCs w:val="false"/>
                <w:color w:val="FFFFFF"/>
                <w:sz w:val="17"/>
                <w:szCs w:val="17"/>
              </w:rPr>
              <w:t xml:space="preserve">Source</w:t>
            </w:r>
          </w:p>
        </w:tc>
        <w:tc>
          <w:tcPr>
            <w:tcW w:type="dxa" w:w="1150"/>
            <w:tcBorders>
              <w:top w:val="single" w:color="BFBFBF" w:sz="1"/>
              <w:left w:val="single" w:color="BFBFBF" w:sz="1"/>
              <w:bottom w:val="single" w:color="BFBFBF" w:sz="1"/>
              <w:right w:val="single" w:color="BFBFBF" w:sz="1"/>
            </w:tcBorders>
            <w:shd w:fill="1F3864" w:color="auto" w:val="clear"/>
            <w:tcMar>
              <w:top w:type="dxa" w:w="60"/>
              <w:left w:type="dxa" w:w="90"/>
              <w:bottom w:type="dxa" w:w="60"/>
              <w:right w:type="dxa" w:w="90"/>
            </w:tcMar>
            <w:vAlign w:val="center"/>
          </w:tcPr>
          <w:p>
            <w:pPr>
              <w:spacing w:after="0"/>
              <w:jc w:val="center"/>
            </w:pPr>
            <w:r>
              <w:rPr>
                <w:rFonts w:ascii="Calibri" w:cs="Calibri" w:eastAsia="Calibri" w:hAnsi="Calibri"/>
                <w:b/>
                <w:bCs/>
                <w:i w:val="false"/>
                <w:iCs w:val="false"/>
                <w:color w:val="FFFFFF"/>
                <w:sz w:val="17"/>
                <w:szCs w:val="17"/>
              </w:rPr>
              <w:t xml:space="preserve">Date/Time</w:t>
            </w:r>
          </w:p>
        </w:tc>
        <w:tc>
          <w:tcPr>
            <w:tcW w:type="dxa" w:w="1150"/>
            <w:tcBorders>
              <w:top w:val="single" w:color="BFBFBF" w:sz="1"/>
              <w:left w:val="single" w:color="BFBFBF" w:sz="1"/>
              <w:bottom w:val="single" w:color="BFBFBF" w:sz="1"/>
              <w:right w:val="single" w:color="BFBFBF" w:sz="1"/>
            </w:tcBorders>
            <w:shd w:fill="1F3864" w:color="auto" w:val="clear"/>
            <w:tcMar>
              <w:top w:type="dxa" w:w="60"/>
              <w:left w:type="dxa" w:w="90"/>
              <w:bottom w:type="dxa" w:w="60"/>
              <w:right w:type="dxa" w:w="90"/>
            </w:tcMar>
            <w:vAlign w:val="center"/>
          </w:tcPr>
          <w:p>
            <w:pPr>
              <w:spacing w:after="0"/>
              <w:jc w:val="center"/>
            </w:pPr>
            <w:r>
              <w:rPr>
                <w:rFonts w:ascii="Calibri" w:cs="Calibri" w:eastAsia="Calibri" w:hAnsi="Calibri"/>
                <w:b/>
                <w:bCs/>
                <w:i w:val="false"/>
                <w:iCs w:val="false"/>
                <w:color w:val="FFFFFF"/>
                <w:sz w:val="17"/>
                <w:szCs w:val="17"/>
              </w:rPr>
              <w:t xml:space="preserve">Raw quote</w:t>
            </w:r>
          </w:p>
        </w:tc>
        <w:tc>
          <w:tcPr>
            <w:tcW w:type="dxa" w:w="1300"/>
            <w:tcBorders>
              <w:top w:val="single" w:color="BFBFBF" w:sz="1"/>
              <w:left w:val="single" w:color="BFBFBF" w:sz="1"/>
              <w:bottom w:val="single" w:color="BFBFBF" w:sz="1"/>
              <w:right w:val="single" w:color="BFBFBF" w:sz="1"/>
            </w:tcBorders>
            <w:shd w:fill="1F3864" w:color="auto" w:val="clear"/>
            <w:tcMar>
              <w:top w:type="dxa" w:w="60"/>
              <w:left w:type="dxa" w:w="90"/>
              <w:bottom w:type="dxa" w:w="60"/>
              <w:right w:type="dxa" w:w="90"/>
            </w:tcMar>
            <w:vAlign w:val="center"/>
          </w:tcPr>
          <w:p>
            <w:pPr>
              <w:spacing w:after="0"/>
              <w:jc w:val="center"/>
            </w:pPr>
            <w:r>
              <w:rPr>
                <w:rFonts w:ascii="Calibri" w:cs="Calibri" w:eastAsia="Calibri" w:hAnsi="Calibri"/>
                <w:b/>
                <w:bCs/>
                <w:i w:val="false"/>
                <w:iCs w:val="false"/>
                <w:color w:val="FFFFFF"/>
                <w:sz w:val="17"/>
                <w:szCs w:val="17"/>
              </w:rPr>
              <w:t xml:space="preserve">Normalised</w:t>
            </w:r>
          </w:p>
        </w:tc>
        <w:tc>
          <w:tcPr>
            <w:tcW w:type="dxa" w:w="1500"/>
            <w:tcBorders>
              <w:top w:val="single" w:color="BFBFBF" w:sz="1"/>
              <w:left w:val="single" w:color="BFBFBF" w:sz="1"/>
              <w:bottom w:val="single" w:color="BFBFBF" w:sz="1"/>
              <w:right w:val="single" w:color="BFBFBF" w:sz="1"/>
            </w:tcBorders>
            <w:shd w:fill="1F3864" w:color="auto" w:val="clear"/>
            <w:tcMar>
              <w:top w:type="dxa" w:w="60"/>
              <w:left w:type="dxa" w:w="90"/>
              <w:bottom w:type="dxa" w:w="60"/>
              <w:right w:type="dxa" w:w="90"/>
            </w:tcMar>
            <w:vAlign w:val="center"/>
          </w:tcPr>
          <w:p>
            <w:pPr>
              <w:spacing w:after="0"/>
              <w:jc w:val="center"/>
            </w:pPr>
            <w:r>
              <w:rPr>
                <w:rFonts w:ascii="Calibri" w:cs="Calibri" w:eastAsia="Calibri" w:hAnsi="Calibri"/>
                <w:b/>
                <w:bCs/>
                <w:i w:val="false"/>
                <w:iCs w:val="false"/>
                <w:color w:val="FFFFFF"/>
                <w:sz w:val="17"/>
                <w:szCs w:val="17"/>
              </w:rPr>
              <w:t xml:space="preserve">Basis / location</w:t>
            </w:r>
          </w:p>
        </w:tc>
        <w:tc>
          <w:tcPr>
            <w:tcW w:type="dxa" w:w="1260"/>
            <w:tcBorders>
              <w:top w:val="single" w:color="BFBFBF" w:sz="1"/>
              <w:left w:val="single" w:color="BFBFBF" w:sz="1"/>
              <w:bottom w:val="single" w:color="BFBFBF" w:sz="1"/>
              <w:right w:val="single" w:color="BFBFBF" w:sz="1"/>
            </w:tcBorders>
            <w:shd w:fill="1F3864" w:color="auto" w:val="clear"/>
            <w:tcMar>
              <w:top w:type="dxa" w:w="60"/>
              <w:left w:type="dxa" w:w="90"/>
              <w:bottom w:type="dxa" w:w="60"/>
              <w:right w:type="dxa" w:w="90"/>
            </w:tcMar>
            <w:vAlign w:val="center"/>
          </w:tcPr>
          <w:p>
            <w:pPr>
              <w:spacing w:after="0"/>
              <w:jc w:val="center"/>
            </w:pPr>
            <w:r>
              <w:rPr>
                <w:rFonts w:ascii="Calibri" w:cs="Calibri" w:eastAsia="Calibri" w:hAnsi="Calibri"/>
                <w:b/>
                <w:bCs/>
                <w:i w:val="false"/>
                <w:iCs w:val="false"/>
                <w:color w:val="FFFFFF"/>
                <w:sz w:val="17"/>
                <w:szCs w:val="17"/>
              </w:rPr>
              <w:t xml:space="preserve">Relevance</w:t>
            </w:r>
          </w:p>
        </w:tc>
        <w:tc>
          <w:tcPr>
            <w:tcW w:type="dxa" w:w="1500"/>
            <w:tcBorders>
              <w:top w:val="single" w:color="BFBFBF" w:sz="1"/>
              <w:left w:val="single" w:color="BFBFBF" w:sz="1"/>
              <w:bottom w:val="single" w:color="BFBFBF" w:sz="1"/>
              <w:right w:val="single" w:color="BFBFBF" w:sz="1"/>
            </w:tcBorders>
            <w:shd w:fill="1F3864" w:color="auto" w:val="clear"/>
            <w:tcMar>
              <w:top w:type="dxa" w:w="60"/>
              <w:left w:type="dxa" w:w="90"/>
              <w:bottom w:type="dxa" w:w="60"/>
              <w:right w:type="dxa" w:w="90"/>
            </w:tcMar>
            <w:vAlign w:val="center"/>
          </w:tcPr>
          <w:p>
            <w:pPr>
              <w:spacing w:after="0"/>
              <w:jc w:val="center"/>
            </w:pPr>
            <w:r>
              <w:rPr>
                <w:rFonts w:ascii="Calibri" w:cs="Calibri" w:eastAsia="Calibri" w:hAnsi="Calibri"/>
                <w:b/>
                <w:bCs/>
                <w:i w:val="false"/>
                <w:iCs w:val="false"/>
                <w:color w:val="FFFFFF"/>
                <w:sz w:val="17"/>
                <w:szCs w:val="17"/>
              </w:rPr>
              <w:t xml:space="preserve">Notes</w:t>
            </w:r>
          </w:p>
        </w:tc>
      </w:tr>
      <w:tr>
        <w:trPr>
          <w:tblHeader w:val="false"/>
        </w:trPr>
        <w:tc>
          <w:tcPr>
            <w:tcW w:type="dxa" w:w="1500"/>
            <w:tcBorders>
              <w:top w:val="single" w:color="BFBFBF" w:sz="1"/>
              <w:left w:val="single" w:color="BFBFBF" w:sz="1"/>
              <w:bottom w:val="single" w:color="BFBFBF" w:sz="1"/>
              <w:right w:val="single" w:color="BFBFBF" w:sz="1"/>
            </w:tcBorders>
            <w:shd w:fill="F2F4F8"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USA Gold</w:t>
            </w:r>
          </w:p>
        </w:tc>
        <w:tc>
          <w:tcPr>
            <w:tcW w:type="dxa" w:w="1150"/>
            <w:tcBorders>
              <w:top w:val="single" w:color="BFBFBF" w:sz="1"/>
              <w:left w:val="single" w:color="BFBFBF" w:sz="1"/>
              <w:bottom w:val="single" w:color="BFBFBF" w:sz="1"/>
              <w:right w:val="single" w:color="BFBFBF" w:sz="1"/>
            </w:tcBorders>
            <w:shd w:fill="F2F4F8"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25 May close</w:t>
            </w:r>
          </w:p>
        </w:tc>
        <w:tc>
          <w:tcPr>
            <w:tcW w:type="dxa" w:w="1150"/>
            <w:tcBorders>
              <w:top w:val="single" w:color="BFBFBF" w:sz="1"/>
              <w:left w:val="single" w:color="BFBFBF" w:sz="1"/>
              <w:bottom w:val="single" w:color="BFBFBF" w:sz="1"/>
              <w:right w:val="single" w:color="BFBFBF" w:sz="1"/>
            </w:tcBorders>
            <w:shd w:fill="F2F4F8"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4,562.69</w:t>
            </w:r>
          </w:p>
        </w:tc>
        <w:tc>
          <w:tcPr>
            <w:tcW w:type="dxa" w:w="1300"/>
            <w:tcBorders>
              <w:top w:val="single" w:color="BFBFBF" w:sz="1"/>
              <w:left w:val="single" w:color="BFBFBF" w:sz="1"/>
              <w:bottom w:val="single" w:color="BFBFBF" w:sz="1"/>
              <w:right w:val="single" w:color="BFBFBF" w:sz="1"/>
            </w:tcBorders>
            <w:shd w:fill="F2F4F8"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4,562.69</w:t>
            </w:r>
          </w:p>
        </w:tc>
        <w:tc>
          <w:tcPr>
            <w:tcW w:type="dxa" w:w="1500"/>
            <w:tcBorders>
              <w:top w:val="single" w:color="BFBFBF" w:sz="1"/>
              <w:left w:val="single" w:color="BFBFBF" w:sz="1"/>
              <w:bottom w:val="single" w:color="BFBFBF" w:sz="1"/>
              <w:right w:val="single" w:color="BFBFBF" w:sz="1"/>
            </w:tcBorders>
            <w:shd w:fill="F2F4F8"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Spot, loco London</w:t>
            </w:r>
          </w:p>
        </w:tc>
        <w:tc>
          <w:tcPr>
            <w:tcW w:type="dxa" w:w="1260"/>
            <w:tcBorders>
              <w:top w:val="single" w:color="BFBFBF" w:sz="1"/>
              <w:left w:val="single" w:color="BFBFBF" w:sz="1"/>
              <w:bottom w:val="single" w:color="BFBFBF" w:sz="1"/>
              <w:right w:val="single" w:color="BFBFBF" w:sz="1"/>
            </w:tcBorders>
            <w:shd w:fill="F2F4F8"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Core</w:t>
            </w:r>
          </w:p>
        </w:tc>
        <w:tc>
          <w:tcPr>
            <w:tcW w:type="dxa" w:w="1500"/>
            <w:tcBorders>
              <w:top w:val="single" w:color="BFBFBF" w:sz="1"/>
              <w:left w:val="single" w:color="BFBFBF" w:sz="1"/>
              <w:bottom w:val="single" w:color="BFBFBF" w:sz="1"/>
              <w:right w:val="single" w:color="BFBFBF" w:sz="1"/>
            </w:tcBorders>
            <w:shd w:fill="F2F4F8"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Stated daily close, +1.18%.</w:t>
            </w:r>
          </w:p>
        </w:tc>
      </w:tr>
      <w:tr>
        <w:trPr>
          <w:tblHeader w:val="false"/>
        </w:trPr>
        <w:tc>
          <w:tcPr>
            <w:tcW w:type="dxa" w:w="15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IFC Markets</w:t>
            </w:r>
          </w:p>
        </w:tc>
        <w:tc>
          <w:tcPr>
            <w:tcW w:type="dxa" w:w="115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25 May</w:t>
            </w:r>
          </w:p>
        </w:tc>
        <w:tc>
          <w:tcPr>
            <w:tcW w:type="dxa" w:w="115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4,571.04</w:t>
            </w:r>
          </w:p>
        </w:tc>
        <w:tc>
          <w:tcPr>
            <w:tcW w:type="dxa" w:w="13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4,571.04</w:t>
            </w:r>
          </w:p>
        </w:tc>
        <w:tc>
          <w:tcPr>
            <w:tcW w:type="dxa" w:w="15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Spot XAU/USD</w:t>
            </w:r>
          </w:p>
        </w:tc>
        <w:tc>
          <w:tcPr>
            <w:tcW w:type="dxa" w:w="12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Core</w:t>
            </w:r>
          </w:p>
        </w:tc>
        <w:tc>
          <w:tcPr>
            <w:tcW w:type="dxa" w:w="15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Spot per-ounce read.</w:t>
            </w:r>
          </w:p>
        </w:tc>
      </w:tr>
      <w:tr>
        <w:trPr>
          <w:tblHeader w:val="false"/>
        </w:trPr>
        <w:tc>
          <w:tcPr>
            <w:tcW w:type="dxa" w:w="1500"/>
            <w:tcBorders>
              <w:top w:val="single" w:color="BFBFBF" w:sz="1"/>
              <w:left w:val="single" w:color="BFBFBF" w:sz="1"/>
              <w:bottom w:val="single" w:color="BFBFBF" w:sz="1"/>
              <w:right w:val="single" w:color="BFBFBF" w:sz="1"/>
            </w:tcBorders>
            <w:shd w:fill="F2F4F8"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FXEmpire (OANDA)</w:t>
            </w:r>
          </w:p>
        </w:tc>
        <w:tc>
          <w:tcPr>
            <w:tcW w:type="dxa" w:w="1150"/>
            <w:tcBorders>
              <w:top w:val="single" w:color="BFBFBF" w:sz="1"/>
              <w:left w:val="single" w:color="BFBFBF" w:sz="1"/>
              <w:bottom w:val="single" w:color="BFBFBF" w:sz="1"/>
              <w:right w:val="single" w:color="BFBFBF" w:sz="1"/>
            </w:tcBorders>
            <w:shd w:fill="F2F4F8"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25 May 18:29 UTC</w:t>
            </w:r>
          </w:p>
        </w:tc>
        <w:tc>
          <w:tcPr>
            <w:tcW w:type="dxa" w:w="1150"/>
            <w:tcBorders>
              <w:top w:val="single" w:color="BFBFBF" w:sz="1"/>
              <w:left w:val="single" w:color="BFBFBF" w:sz="1"/>
              <w:bottom w:val="single" w:color="BFBFBF" w:sz="1"/>
              <w:right w:val="single" w:color="BFBFBF" w:sz="1"/>
            </w:tcBorders>
            <w:shd w:fill="F2F4F8"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4,570.32</w:t>
            </w:r>
          </w:p>
        </w:tc>
        <w:tc>
          <w:tcPr>
            <w:tcW w:type="dxa" w:w="1300"/>
            <w:tcBorders>
              <w:top w:val="single" w:color="BFBFBF" w:sz="1"/>
              <w:left w:val="single" w:color="BFBFBF" w:sz="1"/>
              <w:bottom w:val="single" w:color="BFBFBF" w:sz="1"/>
              <w:right w:val="single" w:color="BFBFBF" w:sz="1"/>
            </w:tcBorders>
            <w:shd w:fill="F2F4F8"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4,570.32</w:t>
            </w:r>
          </w:p>
        </w:tc>
        <w:tc>
          <w:tcPr>
            <w:tcW w:type="dxa" w:w="1500"/>
            <w:tcBorders>
              <w:top w:val="single" w:color="BFBFBF" w:sz="1"/>
              <w:left w:val="single" w:color="BFBFBF" w:sz="1"/>
              <w:bottom w:val="single" w:color="BFBFBF" w:sz="1"/>
              <w:right w:val="single" w:color="BFBFBF" w:sz="1"/>
            </w:tcBorders>
            <w:shd w:fill="F2F4F8"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Spot XAU/USD CFD</w:t>
            </w:r>
          </w:p>
        </w:tc>
        <w:tc>
          <w:tcPr>
            <w:tcW w:type="dxa" w:w="1260"/>
            <w:tcBorders>
              <w:top w:val="single" w:color="BFBFBF" w:sz="1"/>
              <w:left w:val="single" w:color="BFBFBF" w:sz="1"/>
              <w:bottom w:val="single" w:color="BFBFBF" w:sz="1"/>
              <w:right w:val="single" w:color="BFBFBF" w:sz="1"/>
            </w:tcBorders>
            <w:shd w:fill="F2F4F8"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Core</w:t>
            </w:r>
          </w:p>
        </w:tc>
        <w:tc>
          <w:tcPr>
            <w:tcW w:type="dxa" w:w="1500"/>
            <w:tcBorders>
              <w:top w:val="single" w:color="BFBFBF" w:sz="1"/>
              <w:left w:val="single" w:color="BFBFBF" w:sz="1"/>
              <w:bottom w:val="single" w:color="BFBFBF" w:sz="1"/>
              <w:right w:val="single" w:color="BFBFBF" w:sz="1"/>
            </w:tcBorders>
            <w:shd w:fill="F2F4F8"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OANDA-sourced spot.</w:t>
            </w:r>
          </w:p>
        </w:tc>
      </w:tr>
      <w:tr>
        <w:trPr>
          <w:tblHeader w:val="false"/>
        </w:trPr>
        <w:tc>
          <w:tcPr>
            <w:tcW w:type="dxa" w:w="15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Bloomberg</w:t>
            </w:r>
          </w:p>
        </w:tc>
        <w:tc>
          <w:tcPr>
            <w:tcW w:type="dxa" w:w="115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25 May intraday</w:t>
            </w:r>
          </w:p>
        </w:tc>
        <w:tc>
          <w:tcPr>
            <w:tcW w:type="dxa" w:w="115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4,602.30</w:t>
            </w:r>
          </w:p>
        </w:tc>
        <w:tc>
          <w:tcPr>
            <w:tcW w:type="dxa" w:w="13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≈4,578</w:t>
            </w:r>
          </w:p>
        </w:tc>
        <w:tc>
          <w:tcPr>
            <w:tcW w:type="dxa" w:w="15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Spot, loco London</w:t>
            </w:r>
          </w:p>
        </w:tc>
        <w:tc>
          <w:tcPr>
            <w:tcW w:type="dxa" w:w="12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Directional</w:t>
            </w:r>
          </w:p>
        </w:tc>
        <w:tc>
          <w:tcPr>
            <w:tcW w:type="dxa" w:w="15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Intraday peak read; outside close window — down-weighted.</w:t>
            </w:r>
          </w:p>
        </w:tc>
      </w:tr>
      <w:tr>
        <w:trPr>
          <w:tblHeader w:val="false"/>
        </w:trPr>
        <w:tc>
          <w:tcPr>
            <w:tcW w:type="dxa" w:w="1500"/>
            <w:tcBorders>
              <w:top w:val="single" w:color="BFBFBF" w:sz="1"/>
              <w:left w:val="single" w:color="BFBFBF" w:sz="1"/>
              <w:bottom w:val="single" w:color="BFBFBF" w:sz="1"/>
              <w:right w:val="single" w:color="BFBFBF" w:sz="1"/>
            </w:tcBorders>
            <w:shd w:fill="F2F4F8"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CNBC (XAU=)</w:t>
            </w:r>
          </w:p>
        </w:tc>
        <w:tc>
          <w:tcPr>
            <w:tcW w:type="dxa" w:w="1150"/>
            <w:tcBorders>
              <w:top w:val="single" w:color="BFBFBF" w:sz="1"/>
              <w:left w:val="single" w:color="BFBFBF" w:sz="1"/>
              <w:bottom w:val="single" w:color="BFBFBF" w:sz="1"/>
              <w:right w:val="single" w:color="BFBFBF" w:sz="1"/>
            </w:tcBorders>
            <w:shd w:fill="F2F4F8"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25 May intraday</w:t>
            </w:r>
          </w:p>
        </w:tc>
        <w:tc>
          <w:tcPr>
            <w:tcW w:type="dxa" w:w="1150"/>
            <w:tcBorders>
              <w:top w:val="single" w:color="BFBFBF" w:sz="1"/>
              <w:left w:val="single" w:color="BFBFBF" w:sz="1"/>
              <w:bottom w:val="single" w:color="BFBFBF" w:sz="1"/>
              <w:right w:val="single" w:color="BFBFBF" w:sz="1"/>
            </w:tcBorders>
            <w:shd w:fill="F2F4F8"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4,556.49</w:t>
            </w:r>
          </w:p>
        </w:tc>
        <w:tc>
          <w:tcPr>
            <w:tcW w:type="dxa" w:w="1300"/>
            <w:tcBorders>
              <w:top w:val="single" w:color="BFBFBF" w:sz="1"/>
              <w:left w:val="single" w:color="BFBFBF" w:sz="1"/>
              <w:bottom w:val="single" w:color="BFBFBF" w:sz="1"/>
              <w:right w:val="single" w:color="BFBFBF" w:sz="1"/>
            </w:tcBorders>
            <w:shd w:fill="F2F4F8"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4,556.49</w:t>
            </w:r>
          </w:p>
        </w:tc>
        <w:tc>
          <w:tcPr>
            <w:tcW w:type="dxa" w:w="1500"/>
            <w:tcBorders>
              <w:top w:val="single" w:color="BFBFBF" w:sz="1"/>
              <w:left w:val="single" w:color="BFBFBF" w:sz="1"/>
              <w:bottom w:val="single" w:color="BFBFBF" w:sz="1"/>
              <w:right w:val="single" w:color="BFBFBF" w:sz="1"/>
            </w:tcBorders>
            <w:shd w:fill="F2F4F8"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Spot XAU/USD</w:t>
            </w:r>
          </w:p>
        </w:tc>
        <w:tc>
          <w:tcPr>
            <w:tcW w:type="dxa" w:w="1260"/>
            <w:tcBorders>
              <w:top w:val="single" w:color="BFBFBF" w:sz="1"/>
              <w:left w:val="single" w:color="BFBFBF" w:sz="1"/>
              <w:bottom w:val="single" w:color="BFBFBF" w:sz="1"/>
              <w:right w:val="single" w:color="BFBFBF" w:sz="1"/>
            </w:tcBorders>
            <w:shd w:fill="F2F4F8"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Core</w:t>
            </w:r>
          </w:p>
        </w:tc>
        <w:tc>
          <w:tcPr>
            <w:tcW w:type="dxa" w:w="1500"/>
            <w:tcBorders>
              <w:top w:val="single" w:color="BFBFBF" w:sz="1"/>
              <w:left w:val="single" w:color="BFBFBF" w:sz="1"/>
              <w:bottom w:val="single" w:color="BFBFBF" w:sz="1"/>
              <w:right w:val="single" w:color="BFBFBF" w:sz="1"/>
            </w:tcBorders>
            <w:shd w:fill="F2F4F8"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Intraday quote near close.</w:t>
            </w:r>
          </w:p>
        </w:tc>
      </w:tr>
      <w:tr>
        <w:trPr>
          <w:tblHeader w:val="false"/>
        </w:trPr>
        <w:tc>
          <w:tcPr>
            <w:tcW w:type="dxa" w:w="15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Investing.com (GC=F)</w:t>
            </w:r>
          </w:p>
        </w:tc>
        <w:tc>
          <w:tcPr>
            <w:tcW w:type="dxa" w:w="115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22 May settle</w:t>
            </w:r>
          </w:p>
        </w:tc>
        <w:tc>
          <w:tcPr>
            <w:tcW w:type="dxa" w:w="115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4,655.35</w:t>
            </w:r>
          </w:p>
        </w:tc>
        <w:tc>
          <w:tcPr>
            <w:tcW w:type="dxa" w:w="13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≈4,560</w:t>
            </w:r>
          </w:p>
        </w:tc>
        <w:tc>
          <w:tcPr>
            <w:tcW w:type="dxa" w:w="15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CME futures, June</w:t>
            </w:r>
          </w:p>
        </w:tc>
        <w:tc>
          <w:tcPr>
            <w:tcW w:type="dxa" w:w="12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Directional</w:t>
            </w:r>
          </w:p>
        </w:tc>
        <w:tc>
          <w:tcPr>
            <w:tcW w:type="dxa" w:w="15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Futures; spot-futures basis removed for comparability.</w:t>
            </w:r>
          </w:p>
        </w:tc>
      </w:tr>
      <w:tr>
        <w:trPr>
          <w:tblHeader w:val="false"/>
        </w:trPr>
        <w:tc>
          <w:tcPr>
            <w:tcW w:type="dxa" w:w="1500"/>
            <w:tcBorders>
              <w:top w:val="single" w:color="BFBFBF" w:sz="1"/>
              <w:left w:val="single" w:color="BFBFBF" w:sz="1"/>
              <w:bottom w:val="single" w:color="BFBFBF" w:sz="1"/>
              <w:right w:val="single" w:color="BFBFBF" w:sz="1"/>
            </w:tcBorders>
            <w:shd w:fill="F2F4F8"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Trading Economics</w:t>
            </w:r>
          </w:p>
        </w:tc>
        <w:tc>
          <w:tcPr>
            <w:tcW w:type="dxa" w:w="1150"/>
            <w:tcBorders>
              <w:top w:val="single" w:color="BFBFBF" w:sz="1"/>
              <w:left w:val="single" w:color="BFBFBF" w:sz="1"/>
              <w:bottom w:val="single" w:color="BFBFBF" w:sz="1"/>
              <w:right w:val="single" w:color="BFBFBF" w:sz="1"/>
            </w:tcBorders>
            <w:shd w:fill="F2F4F8"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22 May close</w:t>
            </w:r>
          </w:p>
        </w:tc>
        <w:tc>
          <w:tcPr>
            <w:tcW w:type="dxa" w:w="1150"/>
            <w:tcBorders>
              <w:top w:val="single" w:color="BFBFBF" w:sz="1"/>
              <w:left w:val="single" w:color="BFBFBF" w:sz="1"/>
              <w:bottom w:val="single" w:color="BFBFBF" w:sz="1"/>
              <w:right w:val="single" w:color="BFBFBF" w:sz="1"/>
            </w:tcBorders>
            <w:shd w:fill="F2F4F8"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4,516.75</w:t>
            </w:r>
          </w:p>
        </w:tc>
        <w:tc>
          <w:tcPr>
            <w:tcW w:type="dxa" w:w="1300"/>
            <w:tcBorders>
              <w:top w:val="single" w:color="BFBFBF" w:sz="1"/>
              <w:left w:val="single" w:color="BFBFBF" w:sz="1"/>
              <w:bottom w:val="single" w:color="BFBFBF" w:sz="1"/>
              <w:right w:val="single" w:color="BFBFBF" w:sz="1"/>
            </w:tcBorders>
            <w:shd w:fill="F2F4F8"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4,516.75</w:t>
            </w:r>
          </w:p>
        </w:tc>
        <w:tc>
          <w:tcPr>
            <w:tcW w:type="dxa" w:w="1500"/>
            <w:tcBorders>
              <w:top w:val="single" w:color="BFBFBF" w:sz="1"/>
              <w:left w:val="single" w:color="BFBFBF" w:sz="1"/>
              <w:bottom w:val="single" w:color="BFBFBF" w:sz="1"/>
              <w:right w:val="single" w:color="BFBFBF" w:sz="1"/>
            </w:tcBorders>
            <w:shd w:fill="F2F4F8"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Spot CFD benchmark</w:t>
            </w:r>
          </w:p>
        </w:tc>
        <w:tc>
          <w:tcPr>
            <w:tcW w:type="dxa" w:w="1260"/>
            <w:tcBorders>
              <w:top w:val="single" w:color="BFBFBF" w:sz="1"/>
              <w:left w:val="single" w:color="BFBFBF" w:sz="1"/>
              <w:bottom w:val="single" w:color="BFBFBF" w:sz="1"/>
              <w:right w:val="single" w:color="BFBFBF" w:sz="1"/>
            </w:tcBorders>
            <w:shd w:fill="F2F4F8"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Core</w:t>
            </w:r>
          </w:p>
        </w:tc>
        <w:tc>
          <w:tcPr>
            <w:tcW w:type="dxa" w:w="1500"/>
            <w:tcBorders>
              <w:top w:val="single" w:color="BFBFBF" w:sz="1"/>
              <w:left w:val="single" w:color="BFBFBF" w:sz="1"/>
              <w:bottom w:val="single" w:color="BFBFBF" w:sz="1"/>
              <w:right w:val="single" w:color="BFBFBF" w:sz="1"/>
            </w:tcBorders>
            <w:shd w:fill="F2F4F8"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Prior-session anchor for the 25 May move.</w:t>
            </w:r>
          </w:p>
        </w:tc>
      </w:tr>
    </w:tbl>
    <w:p>
      <w:pPr>
        <w:spacing w:after="60" w:before="0"/>
        <w:jc w:val="left"/>
      </w:pPr>
      <w:r>
        <w:rPr>
          <w:rFonts w:ascii="Calibri" w:cs="Calibri" w:eastAsia="Calibri" w:hAnsi="Calibri"/>
          <w:b w:val="false"/>
          <w:bCs w:val="false"/>
          <w:i/>
          <w:iCs/>
          <w:color w:val="1A1A1A"/>
          <w:sz w:val="18"/>
          <w:szCs w:val="18"/>
        </w:rPr>
        <w:t xml:space="preserve">Six independent observations clear the minimum-source requirement. The Bloomberg intraday peak and the GC=F futures print are classified Directional rather than Core because neither is a clean spot-close read on the loco-London basis.</w:t>
      </w:r>
    </w:p>
    <w:p>
      <w:pPr>
        <w:pStyle w:val="Heading1"/>
        <w:pBdr>
          <w:bottom w:val="single" w:color="1F3864" w:sz="6" w:space="2"/>
        </w:pBdr>
        <w:spacing w:after="120" w:before="240"/>
      </w:pPr>
      <w:r>
        <w:rPr>
          <w:rFonts w:ascii="Calibri" w:cs="Calibri" w:eastAsia="Calibri" w:hAnsi="Calibri"/>
          <w:b/>
          <w:bCs/>
          <w:color w:val="1F3864"/>
          <w:sz w:val="28"/>
          <w:szCs w:val="28"/>
        </w:rPr>
        <w:t xml:space="preserve">5.  Consensus Build Explanation</w:t>
      </w:r>
    </w:p>
    <w:p>
      <w:pPr>
        <w:spacing w:after="100" w:before="0"/>
        <w:jc w:val="left"/>
      </w:pPr>
      <w:r>
        <w:rPr>
          <w:rFonts w:ascii="Calibri" w:cs="Calibri" w:eastAsia="Calibri" w:hAnsi="Calibri"/>
          <w:b w:val="false"/>
          <w:bCs w:val="false"/>
          <w:i w:val="false"/>
          <w:iCs w:val="false"/>
          <w:color w:val="1A1A1A"/>
          <w:sz w:val="21"/>
          <w:szCs w:val="21"/>
        </w:rPr>
        <w:t xml:space="preserve">Normalisation. All quotes were converted to the USD/oz, loco-London spot basis. The single futures observation (CME June contract, USD 4,655 settle on 22 May) was adjusted by removing the prevailing spot-futures basis to produce a spot-comparable figure of roughly USD 4,560; this carries an explicit basis-conversion assumption and is therefore used only as a directional cross-check, not as a core input.</w:t>
      </w:r>
    </w:p>
    <w:p>
      <w:pPr>
        <w:spacing w:after="100" w:before="0"/>
        <w:jc w:val="left"/>
      </w:pPr>
      <w:r>
        <w:rPr>
          <w:rFonts w:ascii="Calibri" w:cs="Calibri" w:eastAsia="Calibri" w:hAnsi="Calibri"/>
          <w:b w:val="false"/>
          <w:bCs w:val="false"/>
          <w:i w:val="false"/>
          <w:iCs w:val="false"/>
          <w:color w:val="1A1A1A"/>
          <w:sz w:val="21"/>
          <w:szCs w:val="21"/>
        </w:rPr>
        <w:t xml:space="preserve">Weighting. A weighted-median was applied, over-weighting the three clean 25 May spot-close reads (USA Gold, IFC Markets, FXEmpire) and the CNBC intraday quote, and down-weighting (i) the Bloomberg intraday peak, which reflects the session high rather than the close, and (ii) the futures-derived figure, which carries a conversion assumption. The four core spot reads span USD 4,556–4,571; their weighted-median falls at approximately USD 4,562.</w:t>
      </w:r>
    </w:p>
    <w:p>
      <w:pPr>
        <w:spacing w:after="100" w:before="0"/>
        <w:jc w:val="left"/>
      </w:pPr>
      <w:r>
        <w:rPr>
          <w:rFonts w:ascii="Calibri" w:cs="Calibri" w:eastAsia="Calibri" w:hAnsi="Calibri"/>
          <w:b w:val="false"/>
          <w:bCs w:val="false"/>
          <w:i w:val="false"/>
          <w:iCs w:val="false"/>
          <w:color w:val="1A1A1A"/>
          <w:sz w:val="21"/>
          <w:szCs w:val="21"/>
        </w:rPr>
        <w:t xml:space="preserve">Exclusions. No observation was fully excluded. Retail bullion-dealer premium prices were not gathered, consistent with the instruction to exclude retail spot. The cached vendor historical tables (Investing.com spot and futures) terminate on 14 May 2026 and therefore could not corroborate the 15–25 May sessions directly; those sessions are flagged in §19.</w:t>
      </w:r>
    </w:p>
    <w:p>
      <w:pPr>
        <w:spacing w:after="100" w:before="0"/>
        <w:jc w:val="left"/>
      </w:pPr>
      <w:r>
        <w:rPr>
          <w:rFonts w:ascii="Calibri" w:cs="Calibri" w:eastAsia="Calibri" w:hAnsi="Calibri"/>
          <w:b w:val="false"/>
          <w:bCs w:val="false"/>
          <w:i w:val="false"/>
          <w:iCs w:val="false"/>
          <w:color w:val="1A1A1A"/>
          <w:sz w:val="21"/>
          <w:szCs w:val="21"/>
        </w:rPr>
        <w:t xml:space="preserve">Why the number is defensible. USD 4,562 is the weighted-median of the cleanest available spot-close reads, is internally consistent with the basis-adjusted futures print, and sits squarely inside the independently observed 25 May session range. The Medium confidence rating reflects genuine intraday vendor dispersion on a thin holiday session rather than any conflict over the central tendency.</w:t>
      </w:r>
    </w:p>
    <w:p>
      <w:r>
        <w:br w:type="page"/>
      </w:r>
    </w:p>
    <w:p>
      <w:pPr>
        <w:pStyle w:val="Heading1"/>
        <w:pBdr>
          <w:bottom w:val="single" w:color="2E7D32" w:sz="6" w:space="2"/>
        </w:pBdr>
        <w:spacing w:after="120" w:before="240"/>
      </w:pPr>
      <w:r>
        <w:rPr>
          <w:rFonts w:ascii="Calibri" w:cs="Calibri" w:eastAsia="Calibri" w:hAnsi="Calibri"/>
          <w:b/>
          <w:bCs/>
          <w:color w:val="2E7D32"/>
          <w:sz w:val="28"/>
          <w:szCs w:val="28"/>
        </w:rPr>
        <w:t xml:space="preserve">6.  Validated OHLC + RSI2 Table (5-Day)</w:t>
      </w:r>
    </w:p>
    <w:p>
      <w:pPr>
        <w:spacing w:after="60" w:before="0"/>
        <w:jc w:val="left"/>
      </w:pPr>
      <w:r>
        <w:rPr>
          <w:rFonts w:ascii="Calibri" w:cs="Calibri" w:eastAsia="Calibri" w:hAnsi="Calibri"/>
          <w:b w:val="false"/>
          <w:bCs w:val="false"/>
          <w:i/>
          <w:iCs/>
          <w:color w:val="1A1A1A"/>
          <w:sz w:val="18"/>
          <w:szCs w:val="18"/>
        </w:rPr>
        <w:t xml:space="preserve">Five validated trading sessions for gold spot ending at the 25 May 2026 snapshot. The 23–24 May weekend dates are excluded. RSI2 is period-2, computed from the validated close sequence; it saturates at 0 or 100 after consecutive same-direction closes — this is expected behaviour, not an error.</w:t>
      </w:r>
    </w:p>
    <w:tbl>
      <w:tblPr>
        <w:tblW w:type="dxa" w:w="9340"/>
        <w:tblBorders>
          <w:top w:val="single" w:color="auto" w:sz="4"/>
          <w:left w:val="single" w:color="auto" w:sz="4"/>
          <w:bottom w:val="single" w:color="auto" w:sz="4"/>
          <w:right w:val="single" w:color="auto" w:sz="4"/>
          <w:insideH w:val="single" w:color="auto" w:sz="4"/>
          <w:insideV w:val="single" w:color="auto" w:sz="4"/>
        </w:tblBorders>
      </w:tblPr>
      <w:tblGrid>
        <w:gridCol w:w="920"/>
        <w:gridCol w:w="1120"/>
        <w:gridCol w:w="1120"/>
        <w:gridCol w:w="1120"/>
        <w:gridCol w:w="1120"/>
        <w:gridCol w:w="760"/>
        <w:gridCol w:w="1120"/>
        <w:gridCol w:w="1180"/>
        <w:gridCol w:w="880"/>
      </w:tblGrid>
      <w:tr>
        <w:trPr>
          <w:tblHeader/>
        </w:trPr>
        <w:tc>
          <w:tcPr>
            <w:tcW w:type="dxa" w:w="920"/>
            <w:tcBorders>
              <w:top w:val="single" w:color="BFBFBF" w:sz="1"/>
              <w:left w:val="single" w:color="BFBFBF" w:sz="1"/>
              <w:bottom w:val="single" w:color="BFBFBF" w:sz="1"/>
              <w:right w:val="single" w:color="BFBFBF" w:sz="1"/>
            </w:tcBorders>
            <w:shd w:fill="1F3864" w:color="auto" w:val="clear"/>
            <w:tcMar>
              <w:top w:type="dxa" w:w="60"/>
              <w:left w:type="dxa" w:w="90"/>
              <w:bottom w:type="dxa" w:w="60"/>
              <w:right w:type="dxa" w:w="90"/>
            </w:tcMar>
            <w:vAlign w:val="center"/>
          </w:tcPr>
          <w:p>
            <w:pPr>
              <w:spacing w:after="0"/>
              <w:jc w:val="center"/>
            </w:pPr>
            <w:r>
              <w:rPr>
                <w:rFonts w:ascii="Calibri" w:cs="Calibri" w:eastAsia="Calibri" w:hAnsi="Calibri"/>
                <w:b/>
                <w:bCs/>
                <w:i w:val="false"/>
                <w:iCs w:val="false"/>
                <w:color w:val="FFFFFF"/>
                <w:sz w:val="17"/>
                <w:szCs w:val="17"/>
              </w:rPr>
              <w:t xml:space="preserve">Date</w:t>
            </w:r>
          </w:p>
        </w:tc>
        <w:tc>
          <w:tcPr>
            <w:tcW w:type="dxa" w:w="1120"/>
            <w:tcBorders>
              <w:top w:val="single" w:color="BFBFBF" w:sz="1"/>
              <w:left w:val="single" w:color="BFBFBF" w:sz="1"/>
              <w:bottom w:val="single" w:color="BFBFBF" w:sz="1"/>
              <w:right w:val="single" w:color="BFBFBF" w:sz="1"/>
            </w:tcBorders>
            <w:shd w:fill="1F3864" w:color="auto" w:val="clear"/>
            <w:tcMar>
              <w:top w:type="dxa" w:w="60"/>
              <w:left w:type="dxa" w:w="90"/>
              <w:bottom w:type="dxa" w:w="60"/>
              <w:right w:type="dxa" w:w="90"/>
            </w:tcMar>
            <w:vAlign w:val="center"/>
          </w:tcPr>
          <w:p>
            <w:pPr>
              <w:spacing w:after="0"/>
              <w:jc w:val="center"/>
            </w:pPr>
            <w:r>
              <w:rPr>
                <w:rFonts w:ascii="Calibri" w:cs="Calibri" w:eastAsia="Calibri" w:hAnsi="Calibri"/>
                <w:b/>
                <w:bCs/>
                <w:i w:val="false"/>
                <w:iCs w:val="false"/>
                <w:color w:val="FFFFFF"/>
                <w:sz w:val="17"/>
                <w:szCs w:val="17"/>
              </w:rPr>
              <w:t xml:space="preserve">Open</w:t>
            </w:r>
          </w:p>
        </w:tc>
        <w:tc>
          <w:tcPr>
            <w:tcW w:type="dxa" w:w="1120"/>
            <w:tcBorders>
              <w:top w:val="single" w:color="BFBFBF" w:sz="1"/>
              <w:left w:val="single" w:color="BFBFBF" w:sz="1"/>
              <w:bottom w:val="single" w:color="BFBFBF" w:sz="1"/>
              <w:right w:val="single" w:color="BFBFBF" w:sz="1"/>
            </w:tcBorders>
            <w:shd w:fill="1F3864" w:color="auto" w:val="clear"/>
            <w:tcMar>
              <w:top w:type="dxa" w:w="60"/>
              <w:left w:type="dxa" w:w="90"/>
              <w:bottom w:type="dxa" w:w="60"/>
              <w:right w:type="dxa" w:w="90"/>
            </w:tcMar>
            <w:vAlign w:val="center"/>
          </w:tcPr>
          <w:p>
            <w:pPr>
              <w:spacing w:after="0"/>
              <w:jc w:val="center"/>
            </w:pPr>
            <w:r>
              <w:rPr>
                <w:rFonts w:ascii="Calibri" w:cs="Calibri" w:eastAsia="Calibri" w:hAnsi="Calibri"/>
                <w:b/>
                <w:bCs/>
                <w:i w:val="false"/>
                <w:iCs w:val="false"/>
                <w:color w:val="FFFFFF"/>
                <w:sz w:val="17"/>
                <w:szCs w:val="17"/>
              </w:rPr>
              <w:t xml:space="preserve">High</w:t>
            </w:r>
          </w:p>
        </w:tc>
        <w:tc>
          <w:tcPr>
            <w:tcW w:type="dxa" w:w="1120"/>
            <w:tcBorders>
              <w:top w:val="single" w:color="BFBFBF" w:sz="1"/>
              <w:left w:val="single" w:color="BFBFBF" w:sz="1"/>
              <w:bottom w:val="single" w:color="BFBFBF" w:sz="1"/>
              <w:right w:val="single" w:color="BFBFBF" w:sz="1"/>
            </w:tcBorders>
            <w:shd w:fill="1F3864" w:color="auto" w:val="clear"/>
            <w:tcMar>
              <w:top w:type="dxa" w:w="60"/>
              <w:left w:type="dxa" w:w="90"/>
              <w:bottom w:type="dxa" w:w="60"/>
              <w:right w:type="dxa" w:w="90"/>
            </w:tcMar>
            <w:vAlign w:val="center"/>
          </w:tcPr>
          <w:p>
            <w:pPr>
              <w:spacing w:after="0"/>
              <w:jc w:val="center"/>
            </w:pPr>
            <w:r>
              <w:rPr>
                <w:rFonts w:ascii="Calibri" w:cs="Calibri" w:eastAsia="Calibri" w:hAnsi="Calibri"/>
                <w:b/>
                <w:bCs/>
                <w:i w:val="false"/>
                <w:iCs w:val="false"/>
                <w:color w:val="FFFFFF"/>
                <w:sz w:val="17"/>
                <w:szCs w:val="17"/>
              </w:rPr>
              <w:t xml:space="preserve">Low</w:t>
            </w:r>
          </w:p>
        </w:tc>
        <w:tc>
          <w:tcPr>
            <w:tcW w:type="dxa" w:w="1120"/>
            <w:tcBorders>
              <w:top w:val="single" w:color="BFBFBF" w:sz="1"/>
              <w:left w:val="single" w:color="BFBFBF" w:sz="1"/>
              <w:bottom w:val="single" w:color="BFBFBF" w:sz="1"/>
              <w:right w:val="single" w:color="BFBFBF" w:sz="1"/>
            </w:tcBorders>
            <w:shd w:fill="1F3864" w:color="auto" w:val="clear"/>
            <w:tcMar>
              <w:top w:type="dxa" w:w="60"/>
              <w:left w:type="dxa" w:w="90"/>
              <w:bottom w:type="dxa" w:w="60"/>
              <w:right w:type="dxa" w:w="90"/>
            </w:tcMar>
            <w:vAlign w:val="center"/>
          </w:tcPr>
          <w:p>
            <w:pPr>
              <w:spacing w:after="0"/>
              <w:jc w:val="center"/>
            </w:pPr>
            <w:r>
              <w:rPr>
                <w:rFonts w:ascii="Calibri" w:cs="Calibri" w:eastAsia="Calibri" w:hAnsi="Calibri"/>
                <w:b/>
                <w:bCs/>
                <w:i w:val="false"/>
                <w:iCs w:val="false"/>
                <w:color w:val="FFFFFF"/>
                <w:sz w:val="17"/>
                <w:szCs w:val="17"/>
              </w:rPr>
              <w:t xml:space="preserve">Close</w:t>
            </w:r>
          </w:p>
        </w:tc>
        <w:tc>
          <w:tcPr>
            <w:tcW w:type="dxa" w:w="760"/>
            <w:tcBorders>
              <w:top w:val="single" w:color="BFBFBF" w:sz="1"/>
              <w:left w:val="single" w:color="BFBFBF" w:sz="1"/>
              <w:bottom w:val="single" w:color="BFBFBF" w:sz="1"/>
              <w:right w:val="single" w:color="BFBFBF" w:sz="1"/>
            </w:tcBorders>
            <w:shd w:fill="1F3864" w:color="auto" w:val="clear"/>
            <w:tcMar>
              <w:top w:type="dxa" w:w="60"/>
              <w:left w:type="dxa" w:w="90"/>
              <w:bottom w:type="dxa" w:w="60"/>
              <w:right w:type="dxa" w:w="90"/>
            </w:tcMar>
            <w:vAlign w:val="center"/>
          </w:tcPr>
          <w:p>
            <w:pPr>
              <w:spacing w:after="0"/>
              <w:jc w:val="center"/>
            </w:pPr>
            <w:r>
              <w:rPr>
                <w:rFonts w:ascii="Calibri" w:cs="Calibri" w:eastAsia="Calibri" w:hAnsi="Calibri"/>
                <w:b/>
                <w:bCs/>
                <w:i w:val="false"/>
                <w:iCs w:val="false"/>
                <w:color w:val="FFFFFF"/>
                <w:sz w:val="17"/>
                <w:szCs w:val="17"/>
              </w:rPr>
              <w:t xml:space="preserve">RSI2</w:t>
            </w:r>
          </w:p>
        </w:tc>
        <w:tc>
          <w:tcPr>
            <w:tcW w:type="dxa" w:w="1120"/>
            <w:tcBorders>
              <w:top w:val="single" w:color="BFBFBF" w:sz="1"/>
              <w:left w:val="single" w:color="BFBFBF" w:sz="1"/>
              <w:bottom w:val="single" w:color="BFBFBF" w:sz="1"/>
              <w:right w:val="single" w:color="BFBFBF" w:sz="1"/>
            </w:tcBorders>
            <w:shd w:fill="1F3864" w:color="auto" w:val="clear"/>
            <w:tcMar>
              <w:top w:type="dxa" w:w="60"/>
              <w:left w:type="dxa" w:w="90"/>
              <w:bottom w:type="dxa" w:w="60"/>
              <w:right w:type="dxa" w:w="90"/>
            </w:tcMar>
            <w:vAlign w:val="center"/>
          </w:tcPr>
          <w:p>
            <w:pPr>
              <w:spacing w:after="0"/>
              <w:jc w:val="center"/>
            </w:pPr>
            <w:r>
              <w:rPr>
                <w:rFonts w:ascii="Calibri" w:cs="Calibri" w:eastAsia="Calibri" w:hAnsi="Calibri"/>
                <w:b/>
                <w:bCs/>
                <w:i w:val="false"/>
                <w:iCs w:val="false"/>
                <w:color w:val="FFFFFF"/>
                <w:sz w:val="17"/>
                <w:szCs w:val="17"/>
              </w:rPr>
              <w:t xml:space="preserve">Trend</w:t>
            </w:r>
          </w:p>
        </w:tc>
        <w:tc>
          <w:tcPr>
            <w:tcW w:type="dxa" w:w="1180"/>
            <w:tcBorders>
              <w:top w:val="single" w:color="BFBFBF" w:sz="1"/>
              <w:left w:val="single" w:color="BFBFBF" w:sz="1"/>
              <w:bottom w:val="single" w:color="BFBFBF" w:sz="1"/>
              <w:right w:val="single" w:color="BFBFBF" w:sz="1"/>
            </w:tcBorders>
            <w:shd w:fill="1F3864" w:color="auto" w:val="clear"/>
            <w:tcMar>
              <w:top w:type="dxa" w:w="60"/>
              <w:left w:type="dxa" w:w="90"/>
              <w:bottom w:type="dxa" w:w="60"/>
              <w:right w:type="dxa" w:w="90"/>
            </w:tcMar>
            <w:vAlign w:val="center"/>
          </w:tcPr>
          <w:p>
            <w:pPr>
              <w:spacing w:after="0"/>
              <w:jc w:val="center"/>
            </w:pPr>
            <w:r>
              <w:rPr>
                <w:rFonts w:ascii="Calibri" w:cs="Calibri" w:eastAsia="Calibri" w:hAnsi="Calibri"/>
                <w:b/>
                <w:bCs/>
                <w:i w:val="false"/>
                <w:iCs w:val="false"/>
                <w:color w:val="FFFFFF"/>
                <w:sz w:val="17"/>
                <w:szCs w:val="17"/>
              </w:rPr>
              <w:t xml:space="preserve">Sources</w:t>
            </w:r>
          </w:p>
        </w:tc>
        <w:tc>
          <w:tcPr>
            <w:tcW w:type="dxa" w:w="880"/>
            <w:tcBorders>
              <w:top w:val="single" w:color="BFBFBF" w:sz="1"/>
              <w:left w:val="single" w:color="BFBFBF" w:sz="1"/>
              <w:bottom w:val="single" w:color="BFBFBF" w:sz="1"/>
              <w:right w:val="single" w:color="BFBFBF" w:sz="1"/>
            </w:tcBorders>
            <w:shd w:fill="1F3864" w:color="auto" w:val="clear"/>
            <w:tcMar>
              <w:top w:type="dxa" w:w="60"/>
              <w:left w:type="dxa" w:w="90"/>
              <w:bottom w:type="dxa" w:w="60"/>
              <w:right w:type="dxa" w:w="90"/>
            </w:tcMar>
            <w:vAlign w:val="center"/>
          </w:tcPr>
          <w:p>
            <w:pPr>
              <w:spacing w:after="0"/>
              <w:jc w:val="center"/>
            </w:pPr>
            <w:r>
              <w:rPr>
                <w:rFonts w:ascii="Calibri" w:cs="Calibri" w:eastAsia="Calibri" w:hAnsi="Calibri"/>
                <w:b/>
                <w:bCs/>
                <w:i w:val="false"/>
                <w:iCs w:val="false"/>
                <w:color w:val="FFFFFF"/>
                <w:sz w:val="17"/>
                <w:szCs w:val="17"/>
              </w:rPr>
              <w:t xml:space="preserve">Outcome</w:t>
            </w:r>
          </w:p>
        </w:tc>
      </w:tr>
      <w:tr>
        <w:trPr>
          <w:tblHeader w:val="false"/>
        </w:trPr>
        <w:tc>
          <w:tcPr>
            <w:tcW w:type="dxa" w:w="920"/>
            <w:tcBorders>
              <w:top w:val="single" w:color="BFBFBF" w:sz="1"/>
              <w:left w:val="single" w:color="BFBFBF" w:sz="1"/>
              <w:bottom w:val="single" w:color="BFBFBF" w:sz="1"/>
              <w:right w:val="single" w:color="BFBFBF" w:sz="1"/>
            </w:tcBorders>
            <w:shd w:fill="F2F4F8"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19 May</w:t>
            </w:r>
          </w:p>
        </w:tc>
        <w:tc>
          <w:tcPr>
            <w:tcW w:type="dxa" w:w="1120"/>
            <w:tcBorders>
              <w:top w:val="single" w:color="BFBFBF" w:sz="1"/>
              <w:left w:val="single" w:color="BFBFBF" w:sz="1"/>
              <w:bottom w:val="single" w:color="BFBFBF" w:sz="1"/>
              <w:right w:val="single" w:color="BFBFBF" w:sz="1"/>
            </w:tcBorders>
            <w:shd w:fill="F2F4F8"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4,552.26</w:t>
            </w:r>
          </w:p>
        </w:tc>
        <w:tc>
          <w:tcPr>
            <w:tcW w:type="dxa" w:w="1120"/>
            <w:tcBorders>
              <w:top w:val="single" w:color="BFBFBF" w:sz="1"/>
              <w:left w:val="single" w:color="BFBFBF" w:sz="1"/>
              <w:bottom w:val="single" w:color="BFBFBF" w:sz="1"/>
              <w:right w:val="single" w:color="BFBFBF" w:sz="1"/>
            </w:tcBorders>
            <w:shd w:fill="F2F4F8"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4,583.40</w:t>
            </w:r>
          </w:p>
        </w:tc>
        <w:tc>
          <w:tcPr>
            <w:tcW w:type="dxa" w:w="1120"/>
            <w:tcBorders>
              <w:top w:val="single" w:color="BFBFBF" w:sz="1"/>
              <w:left w:val="single" w:color="BFBFBF" w:sz="1"/>
              <w:bottom w:val="single" w:color="BFBFBF" w:sz="1"/>
              <w:right w:val="single" w:color="BFBFBF" w:sz="1"/>
            </w:tcBorders>
            <w:shd w:fill="F2F4F8"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4,505.80</w:t>
            </w:r>
          </w:p>
        </w:tc>
        <w:tc>
          <w:tcPr>
            <w:tcW w:type="dxa" w:w="1120"/>
            <w:tcBorders>
              <w:top w:val="single" w:color="BFBFBF" w:sz="1"/>
              <w:left w:val="single" w:color="BFBFBF" w:sz="1"/>
              <w:bottom w:val="single" w:color="BFBFBF" w:sz="1"/>
              <w:right w:val="single" w:color="BFBFBF" w:sz="1"/>
            </w:tcBorders>
            <w:shd w:fill="F2F4F8" w:color="auto" w:val="clear"/>
            <w:tcMar>
              <w:top w:type="dxa" w:w="60"/>
              <w:left w:type="dxa" w:w="90"/>
              <w:bottom w:type="dxa" w:w="60"/>
              <w:right w:type="dxa" w:w="90"/>
            </w:tcMar>
            <w:vAlign w:val="center"/>
          </w:tcPr>
          <w:p>
            <w:pPr>
              <w:spacing w:after="0"/>
              <w:jc w:val="left"/>
            </w:pPr>
            <w:r>
              <w:rPr>
                <w:rFonts w:ascii="Calibri" w:cs="Calibri" w:eastAsia="Calibri" w:hAnsi="Calibri"/>
                <w:b/>
                <w:bCs/>
                <w:i w:val="false"/>
                <w:iCs w:val="false"/>
                <w:color w:val="1A1A1A"/>
                <w:sz w:val="17"/>
                <w:szCs w:val="17"/>
              </w:rPr>
              <w:t xml:space="preserve">4,537.00</w:t>
            </w:r>
          </w:p>
        </w:tc>
        <w:tc>
          <w:tcPr>
            <w:tcW w:type="dxa" w:w="760"/>
            <w:tcBorders>
              <w:top w:val="single" w:color="BFBFBF" w:sz="1"/>
              <w:left w:val="single" w:color="BFBFBF" w:sz="1"/>
              <w:bottom w:val="single" w:color="BFBFBF" w:sz="1"/>
              <w:right w:val="single" w:color="BFBFBF" w:sz="1"/>
            </w:tcBorders>
            <w:shd w:fill="F2F4F8"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0.0</w:t>
            </w:r>
          </w:p>
        </w:tc>
        <w:tc>
          <w:tcPr>
            <w:tcW w:type="dxa" w:w="1120"/>
            <w:tcBorders>
              <w:top w:val="single" w:color="BFBFBF" w:sz="1"/>
              <w:left w:val="single" w:color="BFBFBF" w:sz="1"/>
              <w:bottom w:val="single" w:color="BFBFBF" w:sz="1"/>
              <w:right w:val="single" w:color="BFBFBF" w:sz="1"/>
            </w:tcBorders>
            <w:shd w:fill="F2F4F8"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Bearish</w:t>
            </w:r>
          </w:p>
        </w:tc>
        <w:tc>
          <w:tcPr>
            <w:tcW w:type="dxa" w:w="1180"/>
            <w:tcBorders>
              <w:top w:val="single" w:color="BFBFBF" w:sz="1"/>
              <w:left w:val="single" w:color="BFBFBF" w:sz="1"/>
              <w:bottom w:val="single" w:color="BFBFBF" w:sz="1"/>
              <w:right w:val="single" w:color="BFBFBF" w:sz="1"/>
            </w:tcBorders>
            <w:shd w:fill="F2F4F8"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Multi-vendor spot</w:t>
            </w:r>
          </w:p>
        </w:tc>
        <w:tc>
          <w:tcPr>
            <w:tcW w:type="dxa" w:w="880"/>
            <w:tcBorders>
              <w:top w:val="single" w:color="BFBFBF" w:sz="1"/>
              <w:left w:val="single" w:color="BFBFBF" w:sz="1"/>
              <w:bottom w:val="single" w:color="BFBFBF" w:sz="1"/>
              <w:right w:val="single" w:color="BFBFBF" w:sz="1"/>
            </w:tcBorders>
            <w:shd w:fill="F2F4F8"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Indicative</w:t>
            </w:r>
          </w:p>
        </w:tc>
      </w:tr>
      <w:tr>
        <w:trPr>
          <w:tblHeader w:val="false"/>
        </w:trPr>
        <w:tc>
          <w:tcPr>
            <w:tcW w:type="dxa" w:w="9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20 May</w:t>
            </w:r>
          </w:p>
        </w:tc>
        <w:tc>
          <w:tcPr>
            <w:tcW w:type="dxa" w:w="11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4,537.00</w:t>
            </w:r>
          </w:p>
        </w:tc>
        <w:tc>
          <w:tcPr>
            <w:tcW w:type="dxa" w:w="11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4,568.09</w:t>
            </w:r>
          </w:p>
        </w:tc>
        <w:tc>
          <w:tcPr>
            <w:tcW w:type="dxa" w:w="11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4,460.20</w:t>
            </w:r>
          </w:p>
        </w:tc>
        <w:tc>
          <w:tcPr>
            <w:tcW w:type="dxa" w:w="11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left"/>
            </w:pPr>
            <w:r>
              <w:rPr>
                <w:rFonts w:ascii="Calibri" w:cs="Calibri" w:eastAsia="Calibri" w:hAnsi="Calibri"/>
                <w:b/>
                <w:bCs/>
                <w:i w:val="false"/>
                <w:iCs w:val="false"/>
                <w:color w:val="1A1A1A"/>
                <w:sz w:val="17"/>
                <w:szCs w:val="17"/>
              </w:rPr>
              <w:t xml:space="preserve">4,480.50</w:t>
            </w:r>
          </w:p>
        </w:tc>
        <w:tc>
          <w:tcPr>
            <w:tcW w:type="dxa" w:w="7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0.0</w:t>
            </w:r>
          </w:p>
        </w:tc>
        <w:tc>
          <w:tcPr>
            <w:tcW w:type="dxa" w:w="11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Bearish</w:t>
            </w:r>
          </w:p>
        </w:tc>
        <w:tc>
          <w:tcPr>
            <w:tcW w:type="dxa" w:w="118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TU × spot reads</w:t>
            </w:r>
          </w:p>
        </w:tc>
        <w:tc>
          <w:tcPr>
            <w:tcW w:type="dxa" w:w="88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Indicative</w:t>
            </w:r>
          </w:p>
        </w:tc>
      </w:tr>
      <w:tr>
        <w:trPr>
          <w:tblHeader w:val="false"/>
        </w:trPr>
        <w:tc>
          <w:tcPr>
            <w:tcW w:type="dxa" w:w="920"/>
            <w:tcBorders>
              <w:top w:val="single" w:color="BFBFBF" w:sz="1"/>
              <w:left w:val="single" w:color="BFBFBF" w:sz="1"/>
              <w:bottom w:val="single" w:color="BFBFBF" w:sz="1"/>
              <w:right w:val="single" w:color="BFBFBF" w:sz="1"/>
            </w:tcBorders>
            <w:shd w:fill="F2F4F8"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21 May</w:t>
            </w:r>
          </w:p>
        </w:tc>
        <w:tc>
          <w:tcPr>
            <w:tcW w:type="dxa" w:w="1120"/>
            <w:tcBorders>
              <w:top w:val="single" w:color="BFBFBF" w:sz="1"/>
              <w:left w:val="single" w:color="BFBFBF" w:sz="1"/>
              <w:bottom w:val="single" w:color="BFBFBF" w:sz="1"/>
              <w:right w:val="single" w:color="BFBFBF" w:sz="1"/>
            </w:tcBorders>
            <w:shd w:fill="F2F4F8"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4,480.50</w:t>
            </w:r>
          </w:p>
        </w:tc>
        <w:tc>
          <w:tcPr>
            <w:tcW w:type="dxa" w:w="1120"/>
            <w:tcBorders>
              <w:top w:val="single" w:color="BFBFBF" w:sz="1"/>
              <w:left w:val="single" w:color="BFBFBF" w:sz="1"/>
              <w:bottom w:val="single" w:color="BFBFBF" w:sz="1"/>
              <w:right w:val="single" w:color="BFBFBF" w:sz="1"/>
            </w:tcBorders>
            <w:shd w:fill="F2F4F8"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4,538.60</w:t>
            </w:r>
          </w:p>
        </w:tc>
        <w:tc>
          <w:tcPr>
            <w:tcW w:type="dxa" w:w="1120"/>
            <w:tcBorders>
              <w:top w:val="single" w:color="BFBFBF" w:sz="1"/>
              <w:left w:val="single" w:color="BFBFBF" w:sz="1"/>
              <w:bottom w:val="single" w:color="BFBFBF" w:sz="1"/>
              <w:right w:val="single" w:color="BFBFBF" w:sz="1"/>
            </w:tcBorders>
            <w:shd w:fill="F2F4F8"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4,454.14</w:t>
            </w:r>
          </w:p>
        </w:tc>
        <w:tc>
          <w:tcPr>
            <w:tcW w:type="dxa" w:w="1120"/>
            <w:tcBorders>
              <w:top w:val="single" w:color="BFBFBF" w:sz="1"/>
              <w:left w:val="single" w:color="BFBFBF" w:sz="1"/>
              <w:bottom w:val="single" w:color="BFBFBF" w:sz="1"/>
              <w:right w:val="single" w:color="BFBFBF" w:sz="1"/>
            </w:tcBorders>
            <w:shd w:fill="F2F4F8" w:color="auto" w:val="clear"/>
            <w:tcMar>
              <w:top w:type="dxa" w:w="60"/>
              <w:left w:type="dxa" w:w="90"/>
              <w:bottom w:type="dxa" w:w="60"/>
              <w:right w:type="dxa" w:w="90"/>
            </w:tcMar>
            <w:vAlign w:val="center"/>
          </w:tcPr>
          <w:p>
            <w:pPr>
              <w:spacing w:after="0"/>
              <w:jc w:val="left"/>
            </w:pPr>
            <w:r>
              <w:rPr>
                <w:rFonts w:ascii="Calibri" w:cs="Calibri" w:eastAsia="Calibri" w:hAnsi="Calibri"/>
                <w:b/>
                <w:bCs/>
                <w:i w:val="false"/>
                <w:iCs w:val="false"/>
                <w:color w:val="1A1A1A"/>
                <w:sz w:val="17"/>
                <w:szCs w:val="17"/>
              </w:rPr>
              <w:t xml:space="preserve">4,510.40</w:t>
            </w:r>
          </w:p>
        </w:tc>
        <w:tc>
          <w:tcPr>
            <w:tcW w:type="dxa" w:w="760"/>
            <w:tcBorders>
              <w:top w:val="single" w:color="BFBFBF" w:sz="1"/>
              <w:left w:val="single" w:color="BFBFBF" w:sz="1"/>
              <w:bottom w:val="single" w:color="BFBFBF" w:sz="1"/>
              <w:right w:val="single" w:color="BFBFBF" w:sz="1"/>
            </w:tcBorders>
            <w:shd w:fill="F2F4F8"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34.6</w:t>
            </w:r>
          </w:p>
        </w:tc>
        <w:tc>
          <w:tcPr>
            <w:tcW w:type="dxa" w:w="1120"/>
            <w:tcBorders>
              <w:top w:val="single" w:color="BFBFBF" w:sz="1"/>
              <w:left w:val="single" w:color="BFBFBF" w:sz="1"/>
              <w:bottom w:val="single" w:color="BFBFBF" w:sz="1"/>
              <w:right w:val="single" w:color="BFBFBF" w:sz="1"/>
            </w:tcBorders>
            <w:shd w:fill="F2F4F8"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Neutral</w:t>
            </w:r>
          </w:p>
        </w:tc>
        <w:tc>
          <w:tcPr>
            <w:tcW w:type="dxa" w:w="1180"/>
            <w:tcBorders>
              <w:top w:val="single" w:color="BFBFBF" w:sz="1"/>
              <w:left w:val="single" w:color="BFBFBF" w:sz="1"/>
              <w:bottom w:val="single" w:color="BFBFBF" w:sz="1"/>
              <w:right w:val="single" w:color="BFBFBF" w:sz="1"/>
            </w:tcBorders>
            <w:shd w:fill="F2F4F8"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Spot reads × wkly-low</w:t>
            </w:r>
          </w:p>
        </w:tc>
        <w:tc>
          <w:tcPr>
            <w:tcW w:type="dxa" w:w="880"/>
            <w:tcBorders>
              <w:top w:val="single" w:color="BFBFBF" w:sz="1"/>
              <w:left w:val="single" w:color="BFBFBF" w:sz="1"/>
              <w:bottom w:val="single" w:color="BFBFBF" w:sz="1"/>
              <w:right w:val="single" w:color="BFBFBF" w:sz="1"/>
            </w:tcBorders>
            <w:shd w:fill="F2F4F8"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Indicative</w:t>
            </w:r>
          </w:p>
        </w:tc>
      </w:tr>
      <w:tr>
        <w:trPr>
          <w:tblHeader w:val="false"/>
        </w:trPr>
        <w:tc>
          <w:tcPr>
            <w:tcW w:type="dxa" w:w="9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22 May</w:t>
            </w:r>
          </w:p>
        </w:tc>
        <w:tc>
          <w:tcPr>
            <w:tcW w:type="dxa" w:w="11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4,510.40</w:t>
            </w:r>
          </w:p>
        </w:tc>
        <w:tc>
          <w:tcPr>
            <w:tcW w:type="dxa" w:w="11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4,579.68</w:t>
            </w:r>
          </w:p>
        </w:tc>
        <w:tc>
          <w:tcPr>
            <w:tcW w:type="dxa" w:w="11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4,505.30</w:t>
            </w:r>
          </w:p>
        </w:tc>
        <w:tc>
          <w:tcPr>
            <w:tcW w:type="dxa" w:w="11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left"/>
            </w:pPr>
            <w:r>
              <w:rPr>
                <w:rFonts w:ascii="Calibri" w:cs="Calibri" w:eastAsia="Calibri" w:hAnsi="Calibri"/>
                <w:b/>
                <w:bCs/>
                <w:i w:val="false"/>
                <w:iCs w:val="false"/>
                <w:color w:val="1A1A1A"/>
                <w:sz w:val="17"/>
                <w:szCs w:val="17"/>
              </w:rPr>
              <w:t xml:space="preserve">4,516.75</w:t>
            </w:r>
          </w:p>
        </w:tc>
        <w:tc>
          <w:tcPr>
            <w:tcW w:type="dxa" w:w="7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100.0</w:t>
            </w:r>
          </w:p>
        </w:tc>
        <w:tc>
          <w:tcPr>
            <w:tcW w:type="dxa" w:w="11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Bullish</w:t>
            </w:r>
          </w:p>
        </w:tc>
        <w:tc>
          <w:tcPr>
            <w:tcW w:type="dxa" w:w="118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Investing.com × T.Econ</w:t>
            </w:r>
          </w:p>
        </w:tc>
        <w:tc>
          <w:tcPr>
            <w:tcW w:type="dxa" w:w="88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Corroborated (Δ≈0)</w:t>
            </w:r>
          </w:p>
        </w:tc>
      </w:tr>
      <w:tr>
        <w:trPr>
          <w:tblHeader w:val="false"/>
        </w:trPr>
        <w:tc>
          <w:tcPr>
            <w:tcW w:type="dxa" w:w="920"/>
            <w:tcBorders>
              <w:top w:val="single" w:color="BFBFBF" w:sz="1"/>
              <w:left w:val="single" w:color="BFBFBF" w:sz="1"/>
              <w:bottom w:val="single" w:color="BFBFBF" w:sz="1"/>
              <w:right w:val="single" w:color="BFBFBF" w:sz="1"/>
            </w:tcBorders>
            <w:shd w:fill="F2F4F8"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25 May</w:t>
            </w:r>
          </w:p>
        </w:tc>
        <w:tc>
          <w:tcPr>
            <w:tcW w:type="dxa" w:w="1120"/>
            <w:tcBorders>
              <w:top w:val="single" w:color="BFBFBF" w:sz="1"/>
              <w:left w:val="single" w:color="BFBFBF" w:sz="1"/>
              <w:bottom w:val="single" w:color="BFBFBF" w:sz="1"/>
              <w:right w:val="single" w:color="BFBFBF" w:sz="1"/>
            </w:tcBorders>
            <w:shd w:fill="F2F4F8"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4,509.38</w:t>
            </w:r>
          </w:p>
        </w:tc>
        <w:tc>
          <w:tcPr>
            <w:tcW w:type="dxa" w:w="1120"/>
            <w:tcBorders>
              <w:top w:val="single" w:color="BFBFBF" w:sz="1"/>
              <w:left w:val="single" w:color="BFBFBF" w:sz="1"/>
              <w:bottom w:val="single" w:color="BFBFBF" w:sz="1"/>
              <w:right w:val="single" w:color="BFBFBF" w:sz="1"/>
            </w:tcBorders>
            <w:shd w:fill="F2F4F8"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4,602.30</w:t>
            </w:r>
          </w:p>
        </w:tc>
        <w:tc>
          <w:tcPr>
            <w:tcW w:type="dxa" w:w="1120"/>
            <w:tcBorders>
              <w:top w:val="single" w:color="BFBFBF" w:sz="1"/>
              <w:left w:val="single" w:color="BFBFBF" w:sz="1"/>
              <w:bottom w:val="single" w:color="BFBFBF" w:sz="1"/>
              <w:right w:val="single" w:color="BFBFBF" w:sz="1"/>
            </w:tcBorders>
            <w:shd w:fill="F2F4F8"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4,505.10</w:t>
            </w:r>
          </w:p>
        </w:tc>
        <w:tc>
          <w:tcPr>
            <w:tcW w:type="dxa" w:w="1120"/>
            <w:tcBorders>
              <w:top w:val="single" w:color="BFBFBF" w:sz="1"/>
              <w:left w:val="single" w:color="BFBFBF" w:sz="1"/>
              <w:bottom w:val="single" w:color="BFBFBF" w:sz="1"/>
              <w:right w:val="single" w:color="BFBFBF" w:sz="1"/>
            </w:tcBorders>
            <w:shd w:fill="F2F4F8" w:color="auto" w:val="clear"/>
            <w:tcMar>
              <w:top w:type="dxa" w:w="60"/>
              <w:left w:type="dxa" w:w="90"/>
              <w:bottom w:type="dxa" w:w="60"/>
              <w:right w:type="dxa" w:w="90"/>
            </w:tcMar>
            <w:vAlign w:val="center"/>
          </w:tcPr>
          <w:p>
            <w:pPr>
              <w:spacing w:after="0"/>
              <w:jc w:val="left"/>
            </w:pPr>
            <w:r>
              <w:rPr>
                <w:rFonts w:ascii="Calibri" w:cs="Calibri" w:eastAsia="Calibri" w:hAnsi="Calibri"/>
                <w:b/>
                <w:bCs/>
                <w:i w:val="false"/>
                <w:iCs w:val="false"/>
                <w:color w:val="1A1A1A"/>
                <w:sz w:val="17"/>
                <w:szCs w:val="17"/>
              </w:rPr>
              <w:t xml:space="preserve">4,562.69</w:t>
            </w:r>
          </w:p>
        </w:tc>
        <w:tc>
          <w:tcPr>
            <w:tcW w:type="dxa" w:w="760"/>
            <w:tcBorders>
              <w:top w:val="single" w:color="BFBFBF" w:sz="1"/>
              <w:left w:val="single" w:color="BFBFBF" w:sz="1"/>
              <w:bottom w:val="single" w:color="BFBFBF" w:sz="1"/>
              <w:right w:val="single" w:color="BFBFBF" w:sz="1"/>
            </w:tcBorders>
            <w:shd w:fill="F2F4F8"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100.0</w:t>
            </w:r>
          </w:p>
        </w:tc>
        <w:tc>
          <w:tcPr>
            <w:tcW w:type="dxa" w:w="1120"/>
            <w:tcBorders>
              <w:top w:val="single" w:color="BFBFBF" w:sz="1"/>
              <w:left w:val="single" w:color="BFBFBF" w:sz="1"/>
              <w:bottom w:val="single" w:color="BFBFBF" w:sz="1"/>
              <w:right w:val="single" w:color="BFBFBF" w:sz="1"/>
            </w:tcBorders>
            <w:shd w:fill="F2F4F8"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Bullish</w:t>
            </w:r>
          </w:p>
        </w:tc>
        <w:tc>
          <w:tcPr>
            <w:tcW w:type="dxa" w:w="1180"/>
            <w:tcBorders>
              <w:top w:val="single" w:color="BFBFBF" w:sz="1"/>
              <w:left w:val="single" w:color="BFBFBF" w:sz="1"/>
              <w:bottom w:val="single" w:color="BFBFBF" w:sz="1"/>
              <w:right w:val="single" w:color="BFBFBF" w:sz="1"/>
            </w:tcBorders>
            <w:shd w:fill="F2F4F8"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USA Gold × IFC × FXE</w:t>
            </w:r>
          </w:p>
        </w:tc>
        <w:tc>
          <w:tcPr>
            <w:tcW w:type="dxa" w:w="880"/>
            <w:tcBorders>
              <w:top w:val="single" w:color="BFBFBF" w:sz="1"/>
              <w:left w:val="single" w:color="BFBFBF" w:sz="1"/>
              <w:bottom w:val="single" w:color="BFBFBF" w:sz="1"/>
              <w:right w:val="single" w:color="BFBFBF" w:sz="1"/>
            </w:tcBorders>
            <w:shd w:fill="F2F4F8"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Corroborated (Δ≈8)</w:t>
            </w:r>
          </w:p>
        </w:tc>
      </w:tr>
    </w:tbl>
    <w:p>
      <w:pPr>
        <w:spacing w:after="100" w:before="0"/>
        <w:jc w:val="left"/>
      </w:pPr>
      <w:r>
        <w:rPr>
          <w:rFonts w:ascii="Calibri" w:cs="Calibri" w:eastAsia="Calibri" w:hAnsi="Calibri"/>
          <w:b/>
          <w:bCs/>
          <w:i w:val="false"/>
          <w:iCs w:val="false"/>
          <w:color w:val="1A1A1A"/>
          <w:sz w:val="21"/>
          <w:szCs w:val="21"/>
        </w:rPr>
        <w:t xml:space="preserve">Validation note. </w:t>
      </w:r>
      <w:r>
        <w:rPr>
          <w:rFonts w:ascii="Calibri" w:cs="Calibri" w:eastAsia="Calibri" w:hAnsi="Calibri"/>
          <w:b w:val="false"/>
          <w:bCs w:val="false"/>
          <w:i w:val="false"/>
          <w:iCs w:val="false"/>
          <w:color w:val="1A1A1A"/>
          <w:sz w:val="21"/>
          <w:szCs w:val="21"/>
        </w:rPr>
        <w:t xml:space="preserve">The 22 and 25 May closes are corroborated within the documented working tolerance by at least two independent sources. The 19–21 May intraday High/Low fields are marked single-source — indicative only: the cached two-source historical tables terminate on 14 May, so those sessions were reconstructed from multiple individual spot reads rather than two reconciled OHLC feeds. Per the source-discipline rules these indicative fields are not used for pivot prior-period calculations; daily pivots for 26 May are built from the corroborated 25 May session only. See §19.</w:t>
      </w:r>
    </w:p>
    <w:p>
      <w:pPr>
        <w:pStyle w:val="Heading2"/>
        <w:spacing w:after="80" w:before="160"/>
      </w:pPr>
      <w:r>
        <w:rPr>
          <w:rFonts w:ascii="Calibri" w:cs="Calibri" w:eastAsia="Calibri" w:hAnsi="Calibri"/>
          <w:b/>
          <w:bCs/>
          <w:color w:val="404040"/>
          <w:sz w:val="23"/>
          <w:szCs w:val="23"/>
        </w:rPr>
        <w:t xml:space="preserve">Secondary asset — Silver (XAG/USD), condensed</w:t>
      </w:r>
    </w:p>
    <w:p>
      <w:pPr>
        <w:spacing w:after="60" w:before="0"/>
        <w:jc w:val="left"/>
      </w:pPr>
      <w:r>
        <w:rPr>
          <w:rFonts w:ascii="Calibri" w:cs="Calibri" w:eastAsia="Calibri" w:hAnsi="Calibri"/>
          <w:b w:val="false"/>
          <w:bCs w:val="false"/>
          <w:i w:val="false"/>
          <w:iCs w:val="false"/>
          <w:color w:val="1A1A1A"/>
          <w:sz w:val="21"/>
          <w:szCs w:val="21"/>
        </w:rPr>
        <w:t xml:space="preserve">Silver tracked gold's decline and rebound with a higher beta. Spot silver is read near USD 77.5/oz at the 25 May close, up roughly +2.6% on the session as the precious-metals complex rallied together; the gold/silver ratio compressed to about 58.9. Silver's regime read is consistent with gold's — a sharp drawdown into mid-to-late May followed by a sharp two-session recovery — and does not diverge from the primary-asset synthesis.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860"/>
        <w:gridCol w:w="1500"/>
      </w:tblGrid>
      <w:tr>
        <w:trPr>
          <w:tblHeader/>
        </w:trPr>
        <w:tc>
          <w:tcPr>
            <w:tcW w:type="dxa" w:w="1500"/>
            <w:tcBorders>
              <w:top w:val="single" w:color="BFBFBF" w:sz="1"/>
              <w:left w:val="single" w:color="BFBFBF" w:sz="1"/>
              <w:bottom w:val="single" w:color="BFBFBF" w:sz="1"/>
              <w:right w:val="single" w:color="BFBFBF" w:sz="1"/>
            </w:tcBorders>
            <w:shd w:fill="1F3864" w:color="auto" w:val="clear"/>
            <w:tcMar>
              <w:top w:type="dxa" w:w="60"/>
              <w:left w:type="dxa" w:w="90"/>
              <w:bottom w:type="dxa" w:w="60"/>
              <w:right w:type="dxa" w:w="90"/>
            </w:tcMar>
            <w:vAlign w:val="center"/>
          </w:tcPr>
          <w:p>
            <w:pPr>
              <w:spacing w:after="0"/>
              <w:jc w:val="center"/>
            </w:pPr>
            <w:r>
              <w:rPr>
                <w:rFonts w:ascii="Calibri" w:cs="Calibri" w:eastAsia="Calibri" w:hAnsi="Calibri"/>
                <w:b/>
                <w:bCs/>
                <w:i w:val="false"/>
                <w:iCs w:val="false"/>
                <w:color w:val="FFFFFF"/>
                <w:sz w:val="17"/>
                <w:szCs w:val="17"/>
              </w:rPr>
              <w:t xml:space="preserve">Date</w:t>
            </w:r>
          </w:p>
        </w:tc>
        <w:tc>
          <w:tcPr>
            <w:tcW w:type="dxa" w:w="1500"/>
            <w:tcBorders>
              <w:top w:val="single" w:color="BFBFBF" w:sz="1"/>
              <w:left w:val="single" w:color="BFBFBF" w:sz="1"/>
              <w:bottom w:val="single" w:color="BFBFBF" w:sz="1"/>
              <w:right w:val="single" w:color="BFBFBF" w:sz="1"/>
            </w:tcBorders>
            <w:shd w:fill="1F3864" w:color="auto" w:val="clear"/>
            <w:tcMar>
              <w:top w:type="dxa" w:w="60"/>
              <w:left w:type="dxa" w:w="90"/>
              <w:bottom w:type="dxa" w:w="60"/>
              <w:right w:type="dxa" w:w="90"/>
            </w:tcMar>
            <w:vAlign w:val="center"/>
          </w:tcPr>
          <w:p>
            <w:pPr>
              <w:spacing w:after="0"/>
              <w:jc w:val="center"/>
            </w:pPr>
            <w:r>
              <w:rPr>
                <w:rFonts w:ascii="Calibri" w:cs="Calibri" w:eastAsia="Calibri" w:hAnsi="Calibri"/>
                <w:b/>
                <w:bCs/>
                <w:i w:val="false"/>
                <w:iCs w:val="false"/>
                <w:color w:val="FFFFFF"/>
                <w:sz w:val="17"/>
                <w:szCs w:val="17"/>
              </w:rPr>
              <w:t xml:space="preserve">Open</w:t>
            </w:r>
          </w:p>
        </w:tc>
        <w:tc>
          <w:tcPr>
            <w:tcW w:type="dxa" w:w="1500"/>
            <w:tcBorders>
              <w:top w:val="single" w:color="BFBFBF" w:sz="1"/>
              <w:left w:val="single" w:color="BFBFBF" w:sz="1"/>
              <w:bottom w:val="single" w:color="BFBFBF" w:sz="1"/>
              <w:right w:val="single" w:color="BFBFBF" w:sz="1"/>
            </w:tcBorders>
            <w:shd w:fill="1F3864" w:color="auto" w:val="clear"/>
            <w:tcMar>
              <w:top w:type="dxa" w:w="60"/>
              <w:left w:type="dxa" w:w="90"/>
              <w:bottom w:type="dxa" w:w="60"/>
              <w:right w:type="dxa" w:w="90"/>
            </w:tcMar>
            <w:vAlign w:val="center"/>
          </w:tcPr>
          <w:p>
            <w:pPr>
              <w:spacing w:after="0"/>
              <w:jc w:val="center"/>
            </w:pPr>
            <w:r>
              <w:rPr>
                <w:rFonts w:ascii="Calibri" w:cs="Calibri" w:eastAsia="Calibri" w:hAnsi="Calibri"/>
                <w:b/>
                <w:bCs/>
                <w:i w:val="false"/>
                <w:iCs w:val="false"/>
                <w:color w:val="FFFFFF"/>
                <w:sz w:val="17"/>
                <w:szCs w:val="17"/>
              </w:rPr>
              <w:t xml:space="preserve">High</w:t>
            </w:r>
          </w:p>
        </w:tc>
        <w:tc>
          <w:tcPr>
            <w:tcW w:type="dxa" w:w="1500"/>
            <w:tcBorders>
              <w:top w:val="single" w:color="BFBFBF" w:sz="1"/>
              <w:left w:val="single" w:color="BFBFBF" w:sz="1"/>
              <w:bottom w:val="single" w:color="BFBFBF" w:sz="1"/>
              <w:right w:val="single" w:color="BFBFBF" w:sz="1"/>
            </w:tcBorders>
            <w:shd w:fill="1F3864" w:color="auto" w:val="clear"/>
            <w:tcMar>
              <w:top w:type="dxa" w:w="60"/>
              <w:left w:type="dxa" w:w="90"/>
              <w:bottom w:type="dxa" w:w="60"/>
              <w:right w:type="dxa" w:w="90"/>
            </w:tcMar>
            <w:vAlign w:val="center"/>
          </w:tcPr>
          <w:p>
            <w:pPr>
              <w:spacing w:after="0"/>
              <w:jc w:val="center"/>
            </w:pPr>
            <w:r>
              <w:rPr>
                <w:rFonts w:ascii="Calibri" w:cs="Calibri" w:eastAsia="Calibri" w:hAnsi="Calibri"/>
                <w:b/>
                <w:bCs/>
                <w:i w:val="false"/>
                <w:iCs w:val="false"/>
                <w:color w:val="FFFFFF"/>
                <w:sz w:val="17"/>
                <w:szCs w:val="17"/>
              </w:rPr>
              <w:t xml:space="preserve">Low</w:t>
            </w:r>
          </w:p>
        </w:tc>
        <w:tc>
          <w:tcPr>
            <w:tcW w:type="dxa" w:w="1860"/>
            <w:tcBorders>
              <w:top w:val="single" w:color="BFBFBF" w:sz="1"/>
              <w:left w:val="single" w:color="BFBFBF" w:sz="1"/>
              <w:bottom w:val="single" w:color="BFBFBF" w:sz="1"/>
              <w:right w:val="single" w:color="BFBFBF" w:sz="1"/>
            </w:tcBorders>
            <w:shd w:fill="1F3864" w:color="auto" w:val="clear"/>
            <w:tcMar>
              <w:top w:type="dxa" w:w="60"/>
              <w:left w:type="dxa" w:w="90"/>
              <w:bottom w:type="dxa" w:w="60"/>
              <w:right w:type="dxa" w:w="90"/>
            </w:tcMar>
            <w:vAlign w:val="center"/>
          </w:tcPr>
          <w:p>
            <w:pPr>
              <w:spacing w:after="0"/>
              <w:jc w:val="center"/>
            </w:pPr>
            <w:r>
              <w:rPr>
                <w:rFonts w:ascii="Calibri" w:cs="Calibri" w:eastAsia="Calibri" w:hAnsi="Calibri"/>
                <w:b/>
                <w:bCs/>
                <w:i w:val="false"/>
                <w:iCs w:val="false"/>
                <w:color w:val="FFFFFF"/>
                <w:sz w:val="17"/>
                <w:szCs w:val="17"/>
              </w:rPr>
              <w:t xml:space="preserve">Close</w:t>
            </w:r>
          </w:p>
        </w:tc>
        <w:tc>
          <w:tcPr>
            <w:tcW w:type="dxa" w:w="1500"/>
            <w:tcBorders>
              <w:top w:val="single" w:color="BFBFBF" w:sz="1"/>
              <w:left w:val="single" w:color="BFBFBF" w:sz="1"/>
              <w:bottom w:val="single" w:color="BFBFBF" w:sz="1"/>
              <w:right w:val="single" w:color="BFBFBF" w:sz="1"/>
            </w:tcBorders>
            <w:shd w:fill="1F3864" w:color="auto" w:val="clear"/>
            <w:tcMar>
              <w:top w:type="dxa" w:w="60"/>
              <w:left w:type="dxa" w:w="90"/>
              <w:bottom w:type="dxa" w:w="60"/>
              <w:right w:type="dxa" w:w="90"/>
            </w:tcMar>
            <w:vAlign w:val="center"/>
          </w:tcPr>
          <w:p>
            <w:pPr>
              <w:spacing w:after="0"/>
              <w:jc w:val="center"/>
            </w:pPr>
            <w:r>
              <w:rPr>
                <w:rFonts w:ascii="Calibri" w:cs="Calibri" w:eastAsia="Calibri" w:hAnsi="Calibri"/>
                <w:b/>
                <w:bCs/>
                <w:i w:val="false"/>
                <w:iCs w:val="false"/>
                <w:color w:val="FFFFFF"/>
                <w:sz w:val="17"/>
                <w:szCs w:val="17"/>
              </w:rPr>
              <w:t xml:space="preserve">Trend</w:t>
            </w:r>
          </w:p>
        </w:tc>
      </w:tr>
      <w:tr>
        <w:trPr>
          <w:tblHeader w:val="false"/>
        </w:trPr>
        <w:tc>
          <w:tcPr>
            <w:tcW w:type="dxa" w:w="1500"/>
            <w:tcBorders>
              <w:top w:val="single" w:color="BFBFBF" w:sz="1"/>
              <w:left w:val="single" w:color="BFBFBF" w:sz="1"/>
              <w:bottom w:val="single" w:color="BFBFBF" w:sz="1"/>
              <w:right w:val="single" w:color="BFBFBF" w:sz="1"/>
            </w:tcBorders>
            <w:shd w:fill="F2F4F8"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21 May</w:t>
            </w:r>
          </w:p>
        </w:tc>
        <w:tc>
          <w:tcPr>
            <w:tcW w:type="dxa" w:w="1500"/>
            <w:tcBorders>
              <w:top w:val="single" w:color="BFBFBF" w:sz="1"/>
              <w:left w:val="single" w:color="BFBFBF" w:sz="1"/>
              <w:bottom w:val="single" w:color="BFBFBF" w:sz="1"/>
              <w:right w:val="single" w:color="BFBFBF" w:sz="1"/>
            </w:tcBorders>
            <w:shd w:fill="F2F4F8"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≈74.0</w:t>
            </w:r>
          </w:p>
        </w:tc>
        <w:tc>
          <w:tcPr>
            <w:tcW w:type="dxa" w:w="1500"/>
            <w:tcBorders>
              <w:top w:val="single" w:color="BFBFBF" w:sz="1"/>
              <w:left w:val="single" w:color="BFBFBF" w:sz="1"/>
              <w:bottom w:val="single" w:color="BFBFBF" w:sz="1"/>
              <w:right w:val="single" w:color="BFBFBF" w:sz="1"/>
            </w:tcBorders>
            <w:shd w:fill="F2F4F8"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≈75.6</w:t>
            </w:r>
          </w:p>
        </w:tc>
        <w:tc>
          <w:tcPr>
            <w:tcW w:type="dxa" w:w="1500"/>
            <w:tcBorders>
              <w:top w:val="single" w:color="BFBFBF" w:sz="1"/>
              <w:left w:val="single" w:color="BFBFBF" w:sz="1"/>
              <w:bottom w:val="single" w:color="BFBFBF" w:sz="1"/>
              <w:right w:val="single" w:color="BFBFBF" w:sz="1"/>
            </w:tcBorders>
            <w:shd w:fill="F2F4F8"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≈73.2</w:t>
            </w:r>
          </w:p>
        </w:tc>
        <w:tc>
          <w:tcPr>
            <w:tcW w:type="dxa" w:w="1860"/>
            <w:tcBorders>
              <w:top w:val="single" w:color="BFBFBF" w:sz="1"/>
              <w:left w:val="single" w:color="BFBFBF" w:sz="1"/>
              <w:bottom w:val="single" w:color="BFBFBF" w:sz="1"/>
              <w:right w:val="single" w:color="BFBFBF" w:sz="1"/>
            </w:tcBorders>
            <w:shd w:fill="F2F4F8"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≈75.0</w:t>
            </w:r>
          </w:p>
        </w:tc>
        <w:tc>
          <w:tcPr>
            <w:tcW w:type="dxa" w:w="1500"/>
            <w:tcBorders>
              <w:top w:val="single" w:color="BFBFBF" w:sz="1"/>
              <w:left w:val="single" w:color="BFBFBF" w:sz="1"/>
              <w:bottom w:val="single" w:color="BFBFBF" w:sz="1"/>
              <w:right w:val="single" w:color="BFBFBF" w:sz="1"/>
            </w:tcBorders>
            <w:shd w:fill="F2F4F8"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Bullish</w:t>
            </w:r>
          </w:p>
        </w:tc>
      </w:tr>
      <w:tr>
        <w:trPr>
          <w:tblHeader w:val="false"/>
        </w:trPr>
        <w:tc>
          <w:tcPr>
            <w:tcW w:type="dxa" w:w="15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22 May</w:t>
            </w:r>
          </w:p>
        </w:tc>
        <w:tc>
          <w:tcPr>
            <w:tcW w:type="dxa" w:w="15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≈75.0</w:t>
            </w:r>
          </w:p>
        </w:tc>
        <w:tc>
          <w:tcPr>
            <w:tcW w:type="dxa" w:w="15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≈75.9</w:t>
            </w:r>
          </w:p>
        </w:tc>
        <w:tc>
          <w:tcPr>
            <w:tcW w:type="dxa" w:w="15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≈74.1</w:t>
            </w:r>
          </w:p>
        </w:tc>
        <w:tc>
          <w:tcPr>
            <w:tcW w:type="dxa" w:w="18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≈75.5</w:t>
            </w:r>
          </w:p>
        </w:tc>
        <w:tc>
          <w:tcPr>
            <w:tcW w:type="dxa" w:w="15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Bullish</w:t>
            </w:r>
          </w:p>
        </w:tc>
      </w:tr>
      <w:tr>
        <w:trPr>
          <w:tblHeader w:val="false"/>
        </w:trPr>
        <w:tc>
          <w:tcPr>
            <w:tcW w:type="dxa" w:w="1500"/>
            <w:tcBorders>
              <w:top w:val="single" w:color="BFBFBF" w:sz="1"/>
              <w:left w:val="single" w:color="BFBFBF" w:sz="1"/>
              <w:bottom w:val="single" w:color="BFBFBF" w:sz="1"/>
              <w:right w:val="single" w:color="BFBFBF" w:sz="1"/>
            </w:tcBorders>
            <w:shd w:fill="F2F4F8"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25 May</w:t>
            </w:r>
          </w:p>
        </w:tc>
        <w:tc>
          <w:tcPr>
            <w:tcW w:type="dxa" w:w="1500"/>
            <w:tcBorders>
              <w:top w:val="single" w:color="BFBFBF" w:sz="1"/>
              <w:left w:val="single" w:color="BFBFBF" w:sz="1"/>
              <w:bottom w:val="single" w:color="BFBFBF" w:sz="1"/>
              <w:right w:val="single" w:color="BFBFBF" w:sz="1"/>
            </w:tcBorders>
            <w:shd w:fill="F2F4F8"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≈75.5</w:t>
            </w:r>
          </w:p>
        </w:tc>
        <w:tc>
          <w:tcPr>
            <w:tcW w:type="dxa" w:w="1500"/>
            <w:tcBorders>
              <w:top w:val="single" w:color="BFBFBF" w:sz="1"/>
              <w:left w:val="single" w:color="BFBFBF" w:sz="1"/>
              <w:bottom w:val="single" w:color="BFBFBF" w:sz="1"/>
              <w:right w:val="single" w:color="BFBFBF" w:sz="1"/>
            </w:tcBorders>
            <w:shd w:fill="F2F4F8"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≈78.0</w:t>
            </w:r>
          </w:p>
        </w:tc>
        <w:tc>
          <w:tcPr>
            <w:tcW w:type="dxa" w:w="1500"/>
            <w:tcBorders>
              <w:top w:val="single" w:color="BFBFBF" w:sz="1"/>
              <w:left w:val="single" w:color="BFBFBF" w:sz="1"/>
              <w:bottom w:val="single" w:color="BFBFBF" w:sz="1"/>
              <w:right w:val="single" w:color="BFBFBF" w:sz="1"/>
            </w:tcBorders>
            <w:shd w:fill="F2F4F8"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≈75.3</w:t>
            </w:r>
          </w:p>
        </w:tc>
        <w:tc>
          <w:tcPr>
            <w:tcW w:type="dxa" w:w="1860"/>
            <w:tcBorders>
              <w:top w:val="single" w:color="BFBFBF" w:sz="1"/>
              <w:left w:val="single" w:color="BFBFBF" w:sz="1"/>
              <w:bottom w:val="single" w:color="BFBFBF" w:sz="1"/>
              <w:right w:val="single" w:color="BFBFBF" w:sz="1"/>
            </w:tcBorders>
            <w:shd w:fill="F2F4F8"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≈77.5</w:t>
            </w:r>
          </w:p>
        </w:tc>
        <w:tc>
          <w:tcPr>
            <w:tcW w:type="dxa" w:w="1500"/>
            <w:tcBorders>
              <w:top w:val="single" w:color="BFBFBF" w:sz="1"/>
              <w:left w:val="single" w:color="BFBFBF" w:sz="1"/>
              <w:bottom w:val="single" w:color="BFBFBF" w:sz="1"/>
              <w:right w:val="single" w:color="BFBFBF" w:sz="1"/>
            </w:tcBorders>
            <w:shd w:fill="F2F4F8"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Bullish</w:t>
            </w:r>
          </w:p>
        </w:tc>
      </w:tr>
    </w:tbl>
    <w:p>
      <w:pPr>
        <w:spacing w:after="60" w:before="0"/>
        <w:jc w:val="left"/>
      </w:pPr>
      <w:r>
        <w:rPr>
          <w:rFonts w:ascii="Calibri" w:cs="Calibri" w:eastAsia="Calibri" w:hAnsi="Calibri"/>
          <w:b w:val="false"/>
          <w:bCs w:val="false"/>
          <w:i/>
          <w:iCs/>
          <w:color w:val="1A1A1A"/>
          <w:sz w:val="17"/>
          <w:szCs w:val="17"/>
        </w:rPr>
        <w:t xml:space="preserve">Silver OHLC is indicative only — sourced from precious-metals market commentary rather than two reconciled feeds. It is used for directional context, not for any pivot or strategy calculation.</w:t>
      </w:r>
    </w:p>
    <w:p>
      <w:r>
        <w:br w:type="page"/>
      </w:r>
    </w:p>
    <w:p>
      <w:pPr>
        <w:pStyle w:val="Heading1"/>
        <w:pBdr>
          <w:bottom w:val="single" w:color="2E7D32" w:sz="6" w:space="2"/>
        </w:pBdr>
        <w:spacing w:after="120" w:before="240"/>
      </w:pPr>
      <w:r>
        <w:rPr>
          <w:rFonts w:ascii="Calibri" w:cs="Calibri" w:eastAsia="Calibri" w:hAnsi="Calibri"/>
          <w:b/>
          <w:bCs/>
          <w:color w:val="2E7D32"/>
          <w:sz w:val="28"/>
          <w:szCs w:val="28"/>
        </w:rPr>
        <w:t xml:space="preserve">7.  Charts</w:t>
      </w:r>
    </w:p>
    <w:p>
      <w:pPr>
        <w:pStyle w:val="Heading2"/>
        <w:spacing w:after="80" w:before="160"/>
      </w:pPr>
      <w:r>
        <w:rPr>
          <w:rFonts w:ascii="Calibri" w:cs="Calibri" w:eastAsia="Calibri" w:hAnsi="Calibri"/>
          <w:b/>
          <w:bCs/>
          <w:color w:val="404040"/>
          <w:sz w:val="23"/>
          <w:szCs w:val="23"/>
        </w:rPr>
        <w:t xml:space="preserve">7.1  Five-Day Candlestick</w:t>
      </w:r>
    </w:p>
    <w:p>
      <w:pPr>
        <w:spacing w:after="120" w:before="80"/>
        <w:jc w:val="center"/>
      </w:pPr>
      <w:r>
        <w:drawing>
          <wp:inline distT="0" distB="0" distL="0" distR="0">
            <wp:extent cx="5715000" cy="3044952"/>
            <wp:effectExtent t="0" r="0" b="0" l="0"/>
            <wp:docPr id="1" name="chart" descr="technical 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044952"/>
                    </a:xfrm>
                    <a:prstGeom prst="rect">
                      <a:avLst/>
                    </a:prstGeom>
                  </pic:spPr>
                </pic:pic>
              </a:graphicData>
            </a:graphic>
          </wp:inline>
        </w:drawing>
      </w:r>
    </w:p>
    <w:p>
      <w:pPr>
        <w:spacing w:after="100" w:before="0"/>
        <w:jc w:val="left"/>
      </w:pPr>
      <w:r>
        <w:rPr>
          <w:rFonts w:ascii="Calibri" w:cs="Calibri" w:eastAsia="Calibri" w:hAnsi="Calibri"/>
          <w:b w:val="false"/>
          <w:bCs w:val="false"/>
          <w:i/>
          <w:iCs/>
          <w:color w:val="1A1A1A"/>
          <w:sz w:val="18"/>
          <w:szCs w:val="18"/>
        </w:rPr>
        <w:t xml:space="preserve">The two bearish bodies on 19–20 May give way to a doji-like recovery candle on 21 May, a small bullish body on 22 May, and a wide bullish body on 25 May — the visual signature of a base forming and an upturn beginning.</w:t>
      </w:r>
    </w:p>
    <w:p>
      <w:pPr>
        <w:pStyle w:val="Heading2"/>
        <w:spacing w:after="80" w:before="160"/>
      </w:pPr>
      <w:r>
        <w:rPr>
          <w:rFonts w:ascii="Calibri" w:cs="Calibri" w:eastAsia="Calibri" w:hAnsi="Calibri"/>
          <w:b/>
          <w:bCs/>
          <w:color w:val="404040"/>
          <w:sz w:val="23"/>
          <w:szCs w:val="23"/>
        </w:rPr>
        <w:t xml:space="preserve">7.2  Distance From Open</w:t>
      </w:r>
    </w:p>
    <w:p>
      <w:pPr>
        <w:spacing w:after="120" w:before="80"/>
        <w:jc w:val="center"/>
      </w:pPr>
      <w:r>
        <w:drawing>
          <wp:inline distT="0" distB="0" distL="0" distR="0">
            <wp:extent cx="5715000" cy="3044952"/>
            <wp:effectExtent t="0" r="0" b="0" l="0"/>
            <wp:docPr id="1" name="chart" descr="technical 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044952"/>
                    </a:xfrm>
                    <a:prstGeom prst="rect">
                      <a:avLst/>
                    </a:prstGeom>
                  </pic:spPr>
                </pic:pic>
              </a:graphicData>
            </a:graphic>
          </wp:inline>
        </w:drawing>
      </w:r>
    </w:p>
    <w:p>
      <w:pPr>
        <w:spacing w:after="100" w:before="0"/>
        <w:jc w:val="left"/>
      </w:pPr>
      <w:r>
        <w:rPr>
          <w:rFonts w:ascii="Calibri" w:cs="Calibri" w:eastAsia="Calibri" w:hAnsi="Calibri"/>
          <w:b w:val="false"/>
          <w:bCs w:val="false"/>
          <w:i/>
          <w:iCs/>
          <w:color w:val="1A1A1A"/>
          <w:sz w:val="18"/>
          <w:szCs w:val="18"/>
        </w:rPr>
        <w:t xml:space="preserve">Normalised to each session's open, the 20 May session shows the deepest negative travel; 25 May shows the largest positive close-above-open distance of the window, confirming demand-side control on the final session.</w:t>
      </w:r>
    </w:p>
    <w:p>
      <w:r>
        <w:br w:type="page"/>
      </w:r>
    </w:p>
    <w:p>
      <w:pPr>
        <w:pStyle w:val="Heading2"/>
        <w:spacing w:after="80" w:before="160"/>
      </w:pPr>
      <w:r>
        <w:rPr>
          <w:rFonts w:ascii="Calibri" w:cs="Calibri" w:eastAsia="Calibri" w:hAnsi="Calibri"/>
          <w:b/>
          <w:bCs/>
          <w:color w:val="404040"/>
          <w:sz w:val="23"/>
          <w:szCs w:val="23"/>
        </w:rPr>
        <w:t xml:space="preserve">7.3  Twenty-Five-Session Structure</w:t>
      </w:r>
    </w:p>
    <w:p>
      <w:pPr>
        <w:spacing w:after="120" w:before="80"/>
        <w:jc w:val="center"/>
      </w:pPr>
      <w:r>
        <w:drawing>
          <wp:inline distT="0" distB="0" distL="0" distR="0">
            <wp:extent cx="5715000" cy="3044952"/>
            <wp:effectExtent t="0" r="0" b="0" l="0"/>
            <wp:docPr id="1" name="chart" descr="technical 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044952"/>
                    </a:xfrm>
                    <a:prstGeom prst="rect">
                      <a:avLst/>
                    </a:prstGeom>
                  </pic:spPr>
                </pic:pic>
              </a:graphicData>
            </a:graphic>
          </wp:inline>
        </w:drawing>
      </w:r>
    </w:p>
    <w:p>
      <w:pPr>
        <w:spacing w:after="100" w:before="0"/>
        <w:jc w:val="left"/>
      </w:pPr>
      <w:r>
        <w:rPr>
          <w:rFonts w:ascii="Calibri" w:cs="Calibri" w:eastAsia="Calibri" w:hAnsi="Calibri"/>
          <w:b w:val="false"/>
          <w:bCs w:val="false"/>
          <w:i/>
          <w:iCs/>
          <w:color w:val="1A1A1A"/>
          <w:sz w:val="18"/>
          <w:szCs w:val="18"/>
        </w:rPr>
        <w:t xml:space="preserve">The close-line overlay makes the regime visible: a high plateau near USD 4,800–4,890 in mid-April, a stepped decline through late April and May, a USD 4,454 trough on 21 May, and a turn higher into the close. Heavy bar overlap through the body of the window is the hallmark of a non-trending, rotational tape.</w:t>
      </w:r>
    </w:p>
    <w:p>
      <w:pPr>
        <w:pStyle w:val="Heading2"/>
        <w:spacing w:after="80" w:before="160"/>
      </w:pPr>
      <w:r>
        <w:rPr>
          <w:rFonts w:ascii="Calibri" w:cs="Calibri" w:eastAsia="Calibri" w:hAnsi="Calibri"/>
          <w:b/>
          <w:bCs/>
          <w:color w:val="404040"/>
          <w:sz w:val="23"/>
          <w:szCs w:val="23"/>
        </w:rPr>
        <w:t xml:space="preserve">7.4  Comparative Volatility (VOLator)</w:t>
      </w:r>
    </w:p>
    <w:p>
      <w:pPr>
        <w:spacing w:after="120" w:before="80"/>
        <w:jc w:val="center"/>
      </w:pPr>
      <w:r>
        <w:drawing>
          <wp:inline distT="0" distB="0" distL="0" distR="0">
            <wp:extent cx="5715000" cy="3172968"/>
            <wp:effectExtent t="0" r="0" b="0" l="0"/>
            <wp:docPr id="1" name="chart" descr="technical 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172968"/>
                    </a:xfrm>
                    <a:prstGeom prst="rect">
                      <a:avLst/>
                    </a:prstGeom>
                  </pic:spPr>
                </pic:pic>
              </a:graphicData>
            </a:graphic>
          </wp:inline>
        </w:drawing>
      </w:r>
    </w:p>
    <w:p>
      <w:pPr>
        <w:spacing w:after="100" w:before="0"/>
        <w:jc w:val="left"/>
      </w:pPr>
      <w:r>
        <w:rPr>
          <w:rFonts w:ascii="Calibri" w:cs="Calibri" w:eastAsia="Calibri" w:hAnsi="Calibri"/>
          <w:b w:val="false"/>
          <w:bCs w:val="false"/>
          <w:i/>
          <w:iCs/>
          <w:color w:val="1A1A1A"/>
          <w:sz w:val="18"/>
          <w:szCs w:val="18"/>
        </w:rPr>
        <w:t xml:space="preserve">Gold's scaled volatility sits in negative territory at the right edge of the window with a downward slope — volatility is contracting from the late-April / mid-May spike. The counter series (USDX, S&amp;P 500, DAX) are shown for comparative shape; see §19 for their corroboration status.</w:t>
      </w:r>
    </w:p>
    <w:p>
      <w:r>
        <w:br w:type="page"/>
      </w:r>
    </w:p>
    <w:p>
      <w:pPr>
        <w:pStyle w:val="Heading2"/>
        <w:spacing w:after="80" w:before="160"/>
      </w:pPr>
      <w:r>
        <w:rPr>
          <w:rFonts w:ascii="Calibri" w:cs="Calibri" w:eastAsia="Calibri" w:hAnsi="Calibri"/>
          <w:b/>
          <w:bCs/>
          <w:color w:val="404040"/>
          <w:sz w:val="23"/>
          <w:szCs w:val="23"/>
        </w:rPr>
        <w:t xml:space="preserve">7.5  Pivot Structure</w:t>
      </w:r>
    </w:p>
    <w:p>
      <w:pPr>
        <w:spacing w:after="120" w:before="80"/>
        <w:jc w:val="center"/>
      </w:pPr>
      <w:r>
        <w:drawing>
          <wp:inline distT="0" distB="0" distL="0" distR="0">
            <wp:extent cx="5486400" cy="3959352"/>
            <wp:effectExtent t="0" r="0" b="0" l="0"/>
            <wp:docPr id="1" name="chart" descr="technical 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86400" cy="3959352"/>
                    </a:xfrm>
                    <a:prstGeom prst="rect">
                      <a:avLst/>
                    </a:prstGeom>
                  </pic:spPr>
                </pic:pic>
              </a:graphicData>
            </a:graphic>
          </wp:inline>
        </w:drawing>
      </w:r>
    </w:p>
    <w:p>
      <w:pPr>
        <w:spacing w:after="100" w:before="0"/>
        <w:jc w:val="left"/>
      </w:pPr>
      <w:r>
        <w:rPr>
          <w:rFonts w:ascii="Calibri" w:cs="Calibri" w:eastAsia="Calibri" w:hAnsi="Calibri"/>
          <w:b w:val="false"/>
          <w:bCs w:val="false"/>
          <w:i/>
          <w:iCs/>
          <w:color w:val="1A1A1A"/>
          <w:sz w:val="18"/>
          <w:szCs w:val="18"/>
        </w:rPr>
        <w:t xml:space="preserve">The prior completed week (w/e 22 May) and the in-progress week (w/c 25 May) are drawn against daily, weekly, and monthly pivot levels. The 25 May close sits just above the daily pivot and the weekly R1, inside a cluster of resistance that defines the immediate upside test.</w:t>
      </w:r>
    </w:p>
    <w:p>
      <w:r>
        <w:br w:type="page"/>
      </w:r>
    </w:p>
    <w:p>
      <w:pPr>
        <w:pStyle w:val="Heading1"/>
        <w:pBdr>
          <w:bottom w:val="single" w:color="2E7D32" w:sz="6" w:space="2"/>
        </w:pBdr>
        <w:spacing w:after="120" w:before="240"/>
      </w:pPr>
      <w:r>
        <w:rPr>
          <w:rFonts w:ascii="Calibri" w:cs="Calibri" w:eastAsia="Calibri" w:hAnsi="Calibri"/>
          <w:b/>
          <w:bCs/>
          <w:color w:val="2E7D32"/>
          <w:sz w:val="28"/>
          <w:szCs w:val="28"/>
        </w:rPr>
        <w:t xml:space="preserve">8.  Short-Term Technical Analysis</w:t>
      </w:r>
    </w:p>
    <w:p>
      <w:pPr>
        <w:spacing w:after="60" w:before="0"/>
        <w:jc w:val="left"/>
      </w:pPr>
      <w:r>
        <w:rPr>
          <w:rFonts w:ascii="Calibri" w:cs="Calibri" w:eastAsia="Calibri" w:hAnsi="Calibri"/>
          <w:b w:val="false"/>
          <w:bCs w:val="false"/>
          <w:i w:val="false"/>
          <w:iCs w:val="false"/>
          <w:color w:val="1A1A1A"/>
          <w:sz w:val="21"/>
          <w:szCs w:val="21"/>
        </w:rPr>
        <w:t xml:space="preserve">Session-by-session, referencing the validated table (see §6):</w:t>
      </w:r>
    </w:p>
    <w:p>
      <w:pPr>
        <w:pStyle w:val="ListParagraph"/>
        <w:numPr>
          <w:ilvl w:val="0"/>
          <w:numId w:val="2"/>
        </w:numPr>
        <w:spacing w:after="100" w:before="0"/>
        <w:jc w:val="left"/>
      </w:pPr>
      <w:r>
        <w:rPr>
          <w:rFonts w:ascii="Calibri" w:cs="Calibri" w:eastAsia="Calibri" w:hAnsi="Calibri"/>
          <w:b/>
          <w:bCs/>
          <w:i w:val="false"/>
          <w:iCs w:val="false"/>
          <w:color w:val="1A1A1A"/>
          <w:sz w:val="21"/>
          <w:szCs w:val="21"/>
        </w:rPr>
        <w:t xml:space="preserve">19 May — </w:t>
      </w:r>
      <w:r>
        <w:rPr>
          <w:rFonts w:ascii="Calibri" w:cs="Calibri" w:eastAsia="Calibri" w:hAnsi="Calibri"/>
          <w:b w:val="false"/>
          <w:bCs w:val="false"/>
          <w:i w:val="false"/>
          <w:iCs w:val="false"/>
          <w:color w:val="1A1A1A"/>
          <w:sz w:val="21"/>
          <w:szCs w:val="21"/>
        </w:rPr>
        <w:t xml:space="preserve">a bearish body, close 40% up the range, RSI2 saturated low. Price extended the prior down-leg; the lower-half close confirmed sellers still in control but the lower wick hinted at first dip-buying.</w:t>
      </w:r>
    </w:p>
    <w:p>
      <w:pPr>
        <w:pStyle w:val="ListParagraph"/>
        <w:numPr>
          <w:ilvl w:val="0"/>
          <w:numId w:val="2"/>
        </w:numPr>
        <w:spacing w:after="100" w:before="0"/>
        <w:jc w:val="left"/>
      </w:pPr>
      <w:r>
        <w:rPr>
          <w:rFonts w:ascii="Calibri" w:cs="Calibri" w:eastAsia="Calibri" w:hAnsi="Calibri"/>
          <w:b/>
          <w:bCs/>
          <w:i w:val="false"/>
          <w:iCs w:val="false"/>
          <w:color w:val="1A1A1A"/>
          <w:sz w:val="21"/>
          <w:szCs w:val="21"/>
        </w:rPr>
        <w:t xml:space="preserve">20 May — </w:t>
      </w:r>
      <w:r>
        <w:rPr>
          <w:rFonts w:ascii="Calibri" w:cs="Calibri" w:eastAsia="Calibri" w:hAnsi="Calibri"/>
          <w:b w:val="false"/>
          <w:bCs w:val="false"/>
          <w:i w:val="false"/>
          <w:iCs w:val="false"/>
          <w:color w:val="1A1A1A"/>
          <w:sz w:val="21"/>
          <w:szCs w:val="21"/>
        </w:rPr>
        <w:t xml:space="preserve">the widest bearish body of the window (close just 19% up the range), RSI2 still saturated low. This is the capitulation session — a clean down-thrust that printed the move's momentum low into the USD 4,460s.</w:t>
      </w:r>
    </w:p>
    <w:p>
      <w:pPr>
        <w:pStyle w:val="ListParagraph"/>
        <w:numPr>
          <w:ilvl w:val="0"/>
          <w:numId w:val="2"/>
        </w:numPr>
        <w:spacing w:after="100" w:before="0"/>
        <w:jc w:val="left"/>
      </w:pPr>
      <w:r>
        <w:rPr>
          <w:rFonts w:ascii="Calibri" w:cs="Calibri" w:eastAsia="Calibri" w:hAnsi="Calibri"/>
          <w:b/>
          <w:bCs/>
          <w:i w:val="false"/>
          <w:iCs w:val="false"/>
          <w:color w:val="1A1A1A"/>
          <w:sz w:val="21"/>
          <w:szCs w:val="21"/>
        </w:rPr>
        <w:t xml:space="preserve">21 May — </w:t>
      </w:r>
      <w:r>
        <w:rPr>
          <w:rFonts w:ascii="Calibri" w:cs="Calibri" w:eastAsia="Calibri" w:hAnsi="Calibri"/>
          <w:b w:val="false"/>
          <w:bCs w:val="false"/>
          <w:i w:val="false"/>
          <w:iCs w:val="false"/>
          <w:color w:val="1A1A1A"/>
          <w:sz w:val="21"/>
          <w:szCs w:val="21"/>
        </w:rPr>
        <w:t xml:space="preserve">a near-doji that reclaimed ground (close 67% up the range) after tagging the USD 4,454 low. RSI2 lifted off the floor to 34.6. The long lower wick is a demand-zone rejection — the first concrete evidence of a base.</w:t>
      </w:r>
    </w:p>
    <w:p>
      <w:pPr>
        <w:pStyle w:val="ListParagraph"/>
        <w:numPr>
          <w:ilvl w:val="0"/>
          <w:numId w:val="2"/>
        </w:numPr>
        <w:spacing w:after="100" w:before="0"/>
        <w:jc w:val="left"/>
      </w:pPr>
      <w:r>
        <w:rPr>
          <w:rFonts w:ascii="Calibri" w:cs="Calibri" w:eastAsia="Calibri" w:hAnsi="Calibri"/>
          <w:b/>
          <w:bCs/>
          <w:i w:val="false"/>
          <w:iCs w:val="false"/>
          <w:color w:val="1A1A1A"/>
          <w:sz w:val="21"/>
          <w:szCs w:val="21"/>
        </w:rPr>
        <w:t xml:space="preserve">22 May — </w:t>
      </w:r>
      <w:r>
        <w:rPr>
          <w:rFonts w:ascii="Calibri" w:cs="Calibri" w:eastAsia="Calibri" w:hAnsi="Calibri"/>
          <w:b w:val="false"/>
          <w:bCs w:val="false"/>
          <w:i w:val="false"/>
          <w:iCs w:val="false"/>
          <w:color w:val="1A1A1A"/>
          <w:sz w:val="21"/>
          <w:szCs w:val="21"/>
        </w:rPr>
        <w:t xml:space="preserve">a small bullish body with a low close location (15%) but a wide upper excursion to USD 4,580. RSI2 saturated high. Interpretation: buyers probed higher and were faded into the holiday weekend, but the session still closed green and above the prior close.</w:t>
      </w:r>
    </w:p>
    <w:p>
      <w:pPr>
        <w:pStyle w:val="ListParagraph"/>
        <w:numPr>
          <w:ilvl w:val="0"/>
          <w:numId w:val="2"/>
        </w:numPr>
        <w:spacing w:after="100" w:before="0"/>
        <w:jc w:val="left"/>
      </w:pPr>
      <w:r>
        <w:rPr>
          <w:rFonts w:ascii="Calibri" w:cs="Calibri" w:eastAsia="Calibri" w:hAnsi="Calibri"/>
          <w:b/>
          <w:bCs/>
          <w:i w:val="false"/>
          <w:iCs w:val="false"/>
          <w:color w:val="1A1A1A"/>
          <w:sz w:val="21"/>
          <w:szCs w:val="21"/>
        </w:rPr>
        <w:t xml:space="preserve">25 May — </w:t>
      </w:r>
      <w:r>
        <w:rPr>
          <w:rFonts w:ascii="Calibri" w:cs="Calibri" w:eastAsia="Calibri" w:hAnsi="Calibri"/>
          <w:b w:val="false"/>
          <w:bCs w:val="false"/>
          <w:i w:val="false"/>
          <w:iCs w:val="false"/>
          <w:color w:val="1A1A1A"/>
          <w:sz w:val="21"/>
          <w:szCs w:val="21"/>
        </w:rPr>
        <w:t xml:space="preserve">a wide bullish body (+USD 53), close 59% up the range, RSI2 saturated high. The strongest session of the window; demand re-asserted decisively on the US–Iran de-escalation catalyst.</w:t>
      </w:r>
    </w:p>
    <w:p>
      <w:pPr>
        <w:spacing w:after="100" w:before="0"/>
        <w:jc w:val="left"/>
      </w:pPr>
      <w:r>
        <w:rPr>
          <w:rFonts w:ascii="Calibri" w:cs="Calibri" w:eastAsia="Calibri" w:hAnsi="Calibri"/>
          <w:b/>
          <w:bCs/>
          <w:i w:val="false"/>
          <w:iCs w:val="false"/>
          <w:color w:val="1A1A1A"/>
          <w:sz w:val="21"/>
          <w:szCs w:val="21"/>
        </w:rPr>
        <w:t xml:space="preserve">Sequence assessment: Exhaustion-into-reversal. </w:t>
      </w:r>
      <w:r>
        <w:rPr>
          <w:rFonts w:ascii="Calibri" w:cs="Calibri" w:eastAsia="Calibri" w:hAnsi="Calibri"/>
          <w:b w:val="false"/>
          <w:bCs w:val="false"/>
          <w:i w:val="false"/>
          <w:iCs w:val="false"/>
          <w:color w:val="1A1A1A"/>
          <w:sz w:val="21"/>
          <w:szCs w:val="21"/>
        </w:rPr>
        <w:t xml:space="preserve">The first two sessions are a momentum down-thrust; 21 May is the exhaustion/rejection bar; 22 and 25 May are the reversal leg. The evidence is the USD 4,454 swing low holding twice, the progressive lift in close location (40% → 19% → 67% → 15% → 59%), and the widening bullish body on the final session.</w:t>
      </w:r>
    </w:p>
    <w:p>
      <w:pPr>
        <w:spacing w:after="100" w:before="0"/>
        <w:jc w:val="left"/>
      </w:pPr>
      <w:r>
        <w:rPr>
          <w:rFonts w:ascii="Calibri" w:cs="Calibri" w:eastAsia="Calibri" w:hAnsi="Calibri"/>
          <w:b/>
          <w:bCs/>
          <w:i w:val="false"/>
          <w:iCs w:val="false"/>
          <w:color w:val="1A1A1A"/>
          <w:sz w:val="21"/>
          <w:szCs w:val="21"/>
        </w:rPr>
        <w:t xml:space="preserve">Nearest support / resistance (from the 5-day structure): </w:t>
      </w:r>
      <w:r>
        <w:rPr>
          <w:rFonts w:ascii="Calibri" w:cs="Calibri" w:eastAsia="Calibri" w:hAnsi="Calibri"/>
          <w:b w:val="false"/>
          <w:bCs w:val="false"/>
          <w:i w:val="false"/>
          <w:iCs w:val="false"/>
          <w:color w:val="1A1A1A"/>
          <w:sz w:val="21"/>
          <w:szCs w:val="21"/>
        </w:rPr>
        <w:t xml:space="preserve">support at USD 4,505 (the 22 / 25 May low cluster) and USD 4,454 (the swing low); resistance at USD 4,583 (19 May high) and USD 4,602 (25 May high).</w:t>
      </w:r>
    </w:p>
    <w:p>
      <w:pPr>
        <w:spacing w:after="100" w:before="0"/>
        <w:jc w:val="left"/>
      </w:pPr>
      <w:r>
        <w:rPr>
          <w:rFonts w:ascii="Calibri" w:cs="Calibri" w:eastAsia="Calibri" w:hAnsi="Calibri"/>
          <w:b/>
          <w:bCs/>
          <w:i w:val="false"/>
          <w:iCs w:val="false"/>
          <w:color w:val="1A1A1A"/>
          <w:sz w:val="21"/>
          <w:szCs w:val="21"/>
        </w:rPr>
        <w:t xml:space="preserve">Judgement label: Bullish continuation (early-stage). </w:t>
      </w:r>
      <w:r>
        <w:rPr>
          <w:rFonts w:ascii="Calibri" w:cs="Calibri" w:eastAsia="Calibri" w:hAnsi="Calibri"/>
          <w:b w:val="false"/>
          <w:bCs w:val="false"/>
          <w:i w:val="false"/>
          <w:iCs w:val="false"/>
          <w:color w:val="1A1A1A"/>
          <w:sz w:val="21"/>
          <w:szCs w:val="21"/>
        </w:rPr>
        <w:t xml:space="preserve">This is consistent with the §9 regime classification of Transitional — the short-term reversal is the leading edge of a regime that has not yet confirmed a trend, so the label is held as early-stage rather than established.</w:t>
      </w:r>
    </w:p>
    <w:p>
      <w:pPr>
        <w:pStyle w:val="Heading1"/>
        <w:pBdr>
          <w:bottom w:val="single" w:color="2E7D32" w:sz="6" w:space="2"/>
        </w:pBdr>
        <w:spacing w:after="120" w:before="240"/>
      </w:pPr>
      <w:r>
        <w:rPr>
          <w:rFonts w:ascii="Calibri" w:cs="Calibri" w:eastAsia="Calibri" w:hAnsi="Calibri"/>
          <w:b/>
          <w:bCs/>
          <w:color w:val="2E7D32"/>
          <w:sz w:val="28"/>
          <w:szCs w:val="28"/>
        </w:rPr>
        <w:t xml:space="preserve">9.  Medium-Term Regime &amp; VOLator</w:t>
      </w:r>
    </w:p>
    <w:p>
      <w:pPr>
        <w:spacing w:after="100" w:before="0"/>
        <w:jc w:val="left"/>
      </w:pPr>
      <w:r>
        <w:rPr>
          <w:rFonts w:ascii="Calibri" w:cs="Calibri" w:eastAsia="Calibri" w:hAnsi="Calibri"/>
          <w:b w:val="false"/>
          <w:bCs w:val="false"/>
          <w:i w:val="false"/>
          <w:iCs w:val="false"/>
          <w:color w:val="1A1A1A"/>
          <w:sz w:val="21"/>
          <w:szCs w:val="21"/>
        </w:rPr>
        <w:t xml:space="preserve">Regime classification: Transitional. The 25-session metrics are mixed rather than cleanly trending or ranging: overlap ratio 0.69 (above the 0.55 range threshold — rotational), directional persistence 0.52 (essentially random — neither a trend nor a clean range), VOLator slope negative (volatility contracting), median RSI2 around 27 (low, reflecting the recent down-pressure), and a range-position bias in the lower quartile of the 25-session band (a Range-Bottom read). Overlap argues ranging; the deep position bias and the still-negative net drift argue the down-leg is not yet spent. The metrics do not jointly satisfy either a Trending or a clean Ranging definition, so the regime resolves to Transitional.</w:t>
      </w:r>
    </w:p>
    <w:p>
      <w:pPr>
        <w:spacing w:after="100" w:before="0"/>
        <w:jc w:val="left"/>
      </w:pPr>
      <w:r>
        <w:rPr>
          <w:rFonts w:ascii="Calibri" w:cs="Calibri" w:eastAsia="Calibri" w:hAnsi="Calibri"/>
          <w:b w:val="false"/>
          <w:bCs w:val="false"/>
          <w:i w:val="false"/>
          <w:iCs w:val="false"/>
          <w:color w:val="1A1A1A"/>
          <w:sz w:val="21"/>
          <w:szCs w:val="21"/>
        </w:rPr>
        <w:t xml:space="preserve">Bias: Neutral-to-bearish on the medium-term structure, with a fresh bullish impulse on the short-term frame. The directional component of the regime is the unresolved tension between a still-negative 25-session drift and a two-session upturn.</w:t>
      </w:r>
    </w:p>
    <w:p>
      <w:pPr>
        <w:spacing w:after="100" w:before="0"/>
        <w:jc w:val="left"/>
      </w:pPr>
      <w:r>
        <w:rPr>
          <w:rFonts w:ascii="Calibri" w:cs="Calibri" w:eastAsia="Calibri" w:hAnsi="Calibri"/>
          <w:b/>
          <w:bCs/>
          <w:i w:val="false"/>
          <w:iCs w:val="false"/>
          <w:color w:val="1A1A1A"/>
          <w:sz w:val="21"/>
          <w:szCs w:val="21"/>
        </w:rPr>
        <w:t xml:space="preserve">VOLator readings (scaled −1 to +1): </w:t>
      </w:r>
      <w:r>
        <w:rPr>
          <w:rFonts w:ascii="Calibri" w:cs="Calibri" w:eastAsia="Calibri" w:hAnsi="Calibri"/>
          <w:b w:val="false"/>
          <w:bCs w:val="false"/>
          <w:i w:val="false"/>
          <w:iCs w:val="false"/>
          <w:color w:val="1A1A1A"/>
          <w:sz w:val="21"/>
          <w:szCs w:val="21"/>
        </w:rPr>
        <w:t xml:space="preserve">Gold approximately −0.94 — well below its midpoint and contracting (slope ≈ −0.09). A contracting-volatility reading is consistent with a market that has stopped trending and is consolidating after the late-April / mid-May expansion. Counter readings are shown comparatively in the §7.4 chart; their precise scaled values are not corroborated to OHLC-grade and are used for shape only (see §19).</w:t>
      </w:r>
    </w:p>
    <w:p>
      <w:pPr>
        <w:spacing w:after="100" w:before="0"/>
        <w:jc w:val="left"/>
      </w:pPr>
      <w:r>
        <w:rPr>
          <w:rFonts w:ascii="Calibri" w:cs="Calibri" w:eastAsia="Calibri" w:hAnsi="Calibri"/>
          <w:b/>
          <w:bCs/>
          <w:i w:val="false"/>
          <w:iCs w:val="false"/>
          <w:color w:val="1A1A1A"/>
          <w:sz w:val="21"/>
          <w:szCs w:val="21"/>
        </w:rPr>
        <w:t xml:space="preserve">Preferred trade protocol: </w:t>
      </w:r>
      <w:r>
        <w:rPr>
          <w:rFonts w:ascii="Calibri" w:cs="Calibri" w:eastAsia="Calibri" w:hAnsi="Calibri"/>
          <w:b w:val="false"/>
          <w:bCs w:val="false"/>
          <w:i w:val="false"/>
          <w:iCs w:val="false"/>
          <w:color w:val="1A1A1A"/>
          <w:sz w:val="21"/>
          <w:szCs w:val="21"/>
        </w:rPr>
        <w:t xml:space="preserve">combining the short-term reversal (§8) with the Transitional medium-term regime yields a reduced-conviction, breakout-confirmation protocol — wait for confirmation before committing size, and treat pivot levels as the structure to trade around rather than fade blindly.</w:t>
      </w:r>
    </w:p>
    <w:p>
      <w:pPr>
        <w:spacing w:after="100" w:before="0"/>
        <w:jc w:val="left"/>
      </w:pPr>
      <w:r>
        <w:rPr>
          <w:rFonts w:ascii="Calibri" w:cs="Calibri" w:eastAsia="Calibri" w:hAnsi="Calibri"/>
          <w:b/>
          <w:bCs/>
          <w:i w:val="false"/>
          <w:iCs w:val="false"/>
          <w:color w:val="1A1A1A"/>
          <w:sz w:val="21"/>
          <w:szCs w:val="21"/>
        </w:rPr>
        <w:t xml:space="preserve">Kaufman confirmation: </w:t>
      </w:r>
      <w:r>
        <w:rPr>
          <w:rFonts w:ascii="Calibri" w:cs="Calibri" w:eastAsia="Calibri" w:hAnsi="Calibri"/>
          <w:b w:val="false"/>
          <w:bCs w:val="false"/>
          <w:i w:val="false"/>
          <w:iCs w:val="false"/>
          <w:color w:val="1A1A1A"/>
          <w:sz w:val="21"/>
          <w:szCs w:val="21"/>
        </w:rPr>
        <w:t xml:space="preserve">the smoothed Kaufman Efficiency Ratio is −0.21, beyond the −0.13 trend threshold, classifying the medium-term path as Trending Down — Moderate. This contradicts the short-term bullish reversal and partially contradicts the Transitional label. The contradiction is not resolved away: the Kaufman read measures the still-negative 25-session net path, while the short-term frame measures the two-session turn. The Transitional regime label takes precedence for trade construction because it correctly captures an unresolved market; the Kaufman disagreement is carried forward as an explicit mixed-signal flag into §15, §16 and the strategy module.</w:t>
      </w:r>
    </w:p>
    <w:p>
      <w:r>
        <w:br w:type="page"/>
      </w:r>
    </w:p>
    <w:p>
      <w:pPr>
        <w:pStyle w:val="Heading1"/>
        <w:pBdr>
          <w:bottom w:val="single" w:color="2E7D32" w:sz="6" w:space="2"/>
        </w:pBdr>
        <w:spacing w:after="120" w:before="240"/>
      </w:pPr>
      <w:r>
        <w:rPr>
          <w:rFonts w:ascii="Calibri" w:cs="Calibri" w:eastAsia="Calibri" w:hAnsi="Calibri"/>
          <w:b/>
          <w:bCs/>
          <w:color w:val="2E7D32"/>
          <w:sz w:val="28"/>
          <w:szCs w:val="28"/>
        </w:rPr>
        <w:t xml:space="preserve">10.  Cross-Asset Analysis</w:t>
      </w:r>
    </w:p>
    <w:p>
      <w:pPr>
        <w:spacing w:after="60" w:before="0"/>
        <w:jc w:val="left"/>
      </w:pPr>
      <w:r>
        <w:rPr>
          <w:rFonts w:ascii="Calibri" w:cs="Calibri" w:eastAsia="Calibri" w:hAnsi="Calibri"/>
          <w:b w:val="false"/>
          <w:bCs w:val="false"/>
          <w:i w:val="false"/>
          <w:iCs w:val="false"/>
          <w:color w:val="1A1A1A"/>
          <w:sz w:val="21"/>
          <w:szCs w:val="21"/>
        </w:rPr>
        <w:t xml:space="preserve">Directional reads over the five-session window and their causal channel to gold. The regime reference is the Transitional synthesis of §9.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080"/>
        <w:gridCol w:w="3400"/>
        <w:gridCol w:w="1380"/>
        <w:gridCol w:w="2000"/>
      </w:tblGrid>
      <w:tr>
        <w:trPr>
          <w:tblHeader/>
        </w:trPr>
        <w:tc>
          <w:tcPr>
            <w:tcW w:type="dxa" w:w="1500"/>
            <w:tcBorders>
              <w:top w:val="single" w:color="BFBFBF" w:sz="1"/>
              <w:left w:val="single" w:color="BFBFBF" w:sz="1"/>
              <w:bottom w:val="single" w:color="BFBFBF" w:sz="1"/>
              <w:right w:val="single" w:color="BFBFBF" w:sz="1"/>
            </w:tcBorders>
            <w:shd w:fill="1F3864" w:color="auto" w:val="clear"/>
            <w:tcMar>
              <w:top w:type="dxa" w:w="60"/>
              <w:left w:type="dxa" w:w="90"/>
              <w:bottom w:type="dxa" w:w="60"/>
              <w:right w:type="dxa" w:w="90"/>
            </w:tcMar>
            <w:vAlign w:val="center"/>
          </w:tcPr>
          <w:p>
            <w:pPr>
              <w:spacing w:after="0"/>
              <w:jc w:val="center"/>
            </w:pPr>
            <w:r>
              <w:rPr>
                <w:rFonts w:ascii="Calibri" w:cs="Calibri" w:eastAsia="Calibri" w:hAnsi="Calibri"/>
                <w:b/>
                <w:bCs/>
                <w:i w:val="false"/>
                <w:iCs w:val="false"/>
                <w:color w:val="FFFFFF"/>
                <w:sz w:val="17"/>
                <w:szCs w:val="17"/>
              </w:rPr>
              <w:t xml:space="preserve">Counter</w:t>
            </w:r>
          </w:p>
        </w:tc>
        <w:tc>
          <w:tcPr>
            <w:tcW w:type="dxa" w:w="1080"/>
            <w:tcBorders>
              <w:top w:val="single" w:color="BFBFBF" w:sz="1"/>
              <w:left w:val="single" w:color="BFBFBF" w:sz="1"/>
              <w:bottom w:val="single" w:color="BFBFBF" w:sz="1"/>
              <w:right w:val="single" w:color="BFBFBF" w:sz="1"/>
            </w:tcBorders>
            <w:shd w:fill="1F3864" w:color="auto" w:val="clear"/>
            <w:tcMar>
              <w:top w:type="dxa" w:w="60"/>
              <w:left w:type="dxa" w:w="90"/>
              <w:bottom w:type="dxa" w:w="60"/>
              <w:right w:type="dxa" w:w="90"/>
            </w:tcMar>
            <w:vAlign w:val="center"/>
          </w:tcPr>
          <w:p>
            <w:pPr>
              <w:spacing w:after="0"/>
              <w:jc w:val="center"/>
            </w:pPr>
            <w:r>
              <w:rPr>
                <w:rFonts w:ascii="Calibri" w:cs="Calibri" w:eastAsia="Calibri" w:hAnsi="Calibri"/>
                <w:b/>
                <w:bCs/>
                <w:i w:val="false"/>
                <w:iCs w:val="false"/>
                <w:color w:val="FFFFFF"/>
                <w:sz w:val="17"/>
                <w:szCs w:val="17"/>
              </w:rPr>
              <w:t xml:space="preserve">5-day dir.</w:t>
            </w:r>
          </w:p>
        </w:tc>
        <w:tc>
          <w:tcPr>
            <w:tcW w:type="dxa" w:w="3400"/>
            <w:tcBorders>
              <w:top w:val="single" w:color="BFBFBF" w:sz="1"/>
              <w:left w:val="single" w:color="BFBFBF" w:sz="1"/>
              <w:bottom w:val="single" w:color="BFBFBF" w:sz="1"/>
              <w:right w:val="single" w:color="BFBFBF" w:sz="1"/>
            </w:tcBorders>
            <w:shd w:fill="1F3864" w:color="auto" w:val="clear"/>
            <w:tcMar>
              <w:top w:type="dxa" w:w="60"/>
              <w:left w:type="dxa" w:w="90"/>
              <w:bottom w:type="dxa" w:w="60"/>
              <w:right w:type="dxa" w:w="90"/>
            </w:tcMar>
            <w:vAlign w:val="center"/>
          </w:tcPr>
          <w:p>
            <w:pPr>
              <w:spacing w:after="0"/>
              <w:jc w:val="center"/>
            </w:pPr>
            <w:r>
              <w:rPr>
                <w:rFonts w:ascii="Calibri" w:cs="Calibri" w:eastAsia="Calibri" w:hAnsi="Calibri"/>
                <w:b/>
                <w:bCs/>
                <w:i w:val="false"/>
                <w:iCs w:val="false"/>
                <w:color w:val="FFFFFF"/>
                <w:sz w:val="17"/>
                <w:szCs w:val="17"/>
              </w:rPr>
              <w:t xml:space="preserve">Mechanism to gold</w:t>
            </w:r>
          </w:p>
        </w:tc>
        <w:tc>
          <w:tcPr>
            <w:tcW w:type="dxa" w:w="1380"/>
            <w:tcBorders>
              <w:top w:val="single" w:color="BFBFBF" w:sz="1"/>
              <w:left w:val="single" w:color="BFBFBF" w:sz="1"/>
              <w:bottom w:val="single" w:color="BFBFBF" w:sz="1"/>
              <w:right w:val="single" w:color="BFBFBF" w:sz="1"/>
            </w:tcBorders>
            <w:shd w:fill="1F3864" w:color="auto" w:val="clear"/>
            <w:tcMar>
              <w:top w:type="dxa" w:w="60"/>
              <w:left w:type="dxa" w:w="90"/>
              <w:bottom w:type="dxa" w:w="60"/>
              <w:right w:type="dxa" w:w="90"/>
            </w:tcMar>
            <w:vAlign w:val="center"/>
          </w:tcPr>
          <w:p>
            <w:pPr>
              <w:spacing w:after="0"/>
              <w:jc w:val="center"/>
            </w:pPr>
            <w:r>
              <w:rPr>
                <w:rFonts w:ascii="Calibri" w:cs="Calibri" w:eastAsia="Calibri" w:hAnsi="Calibri"/>
                <w:b/>
                <w:bCs/>
                <w:i w:val="false"/>
                <w:iCs w:val="false"/>
                <w:color w:val="FFFFFF"/>
                <w:sz w:val="17"/>
                <w:szCs w:val="17"/>
              </w:rPr>
              <w:t xml:space="preserve">Status</w:t>
            </w:r>
          </w:p>
        </w:tc>
        <w:tc>
          <w:tcPr>
            <w:tcW w:type="dxa" w:w="2000"/>
            <w:tcBorders>
              <w:top w:val="single" w:color="BFBFBF" w:sz="1"/>
              <w:left w:val="single" w:color="BFBFBF" w:sz="1"/>
              <w:bottom w:val="single" w:color="BFBFBF" w:sz="1"/>
              <w:right w:val="single" w:color="BFBFBF" w:sz="1"/>
            </w:tcBorders>
            <w:shd w:fill="1F3864" w:color="auto" w:val="clear"/>
            <w:tcMar>
              <w:top w:type="dxa" w:w="60"/>
              <w:left w:type="dxa" w:w="90"/>
              <w:bottom w:type="dxa" w:w="60"/>
              <w:right w:type="dxa" w:w="90"/>
            </w:tcMar>
            <w:vAlign w:val="center"/>
          </w:tcPr>
          <w:p>
            <w:pPr>
              <w:spacing w:after="0"/>
              <w:jc w:val="center"/>
            </w:pPr>
            <w:r>
              <w:rPr>
                <w:rFonts w:ascii="Calibri" w:cs="Calibri" w:eastAsia="Calibri" w:hAnsi="Calibri"/>
                <w:b/>
                <w:bCs/>
                <w:i w:val="false"/>
                <w:iCs w:val="false"/>
                <w:color w:val="FFFFFF"/>
                <w:sz w:val="17"/>
                <w:szCs w:val="17"/>
              </w:rPr>
              <w:t xml:space="preserve">Implication</w:t>
            </w:r>
          </w:p>
        </w:tc>
      </w:tr>
      <w:tr>
        <w:trPr>
          <w:tblHeader w:val="false"/>
        </w:trPr>
        <w:tc>
          <w:tcPr>
            <w:tcW w:type="dxa" w:w="1500"/>
            <w:tcBorders>
              <w:top w:val="single" w:color="BFBFBF" w:sz="1"/>
              <w:left w:val="single" w:color="BFBFBF" w:sz="1"/>
              <w:bottom w:val="single" w:color="BFBFBF" w:sz="1"/>
              <w:right w:val="single" w:color="BFBFBF" w:sz="1"/>
            </w:tcBorders>
            <w:shd w:fill="F2F4F8"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USDX (Dollar Index)</w:t>
            </w:r>
          </w:p>
        </w:tc>
        <w:tc>
          <w:tcPr>
            <w:tcW w:type="dxa" w:w="1080"/>
            <w:tcBorders>
              <w:top w:val="single" w:color="BFBFBF" w:sz="1"/>
              <w:left w:val="single" w:color="BFBFBF" w:sz="1"/>
              <w:bottom w:val="single" w:color="BFBFBF" w:sz="1"/>
              <w:right w:val="single" w:color="BFBFBF" w:sz="1"/>
            </w:tcBorders>
            <w:shd w:fill="F2F4F8"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Flat / softer into 25 May</w:t>
            </w:r>
          </w:p>
        </w:tc>
        <w:tc>
          <w:tcPr>
            <w:tcW w:type="dxa" w:w="3400"/>
            <w:tcBorders>
              <w:top w:val="single" w:color="BFBFBF" w:sz="1"/>
              <w:left w:val="single" w:color="BFBFBF" w:sz="1"/>
              <w:bottom w:val="single" w:color="BFBFBF" w:sz="1"/>
              <w:right w:val="single" w:color="BFBFBF" w:sz="1"/>
            </w:tcBorders>
            <w:shd w:fill="F2F4F8"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Gold is dollar-denominated; a softer dollar mechanically raises the USD price of the metal and eases the cost of holding it for non-USD buyers.</w:t>
            </w:r>
          </w:p>
        </w:tc>
        <w:tc>
          <w:tcPr>
            <w:tcW w:type="dxa" w:w="1380"/>
            <w:tcBorders>
              <w:top w:val="single" w:color="BFBFBF" w:sz="1"/>
              <w:left w:val="single" w:color="BFBFBF" w:sz="1"/>
              <w:bottom w:val="single" w:color="BFBFBF" w:sz="1"/>
              <w:right w:val="single" w:color="BFBFBF" w:sz="1"/>
            </w:tcBorders>
            <w:shd w:fill="F2F4F8"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Confirms</w:t>
            </w:r>
          </w:p>
        </w:tc>
        <w:tc>
          <w:tcPr>
            <w:tcW w:type="dxa" w:w="2000"/>
            <w:tcBorders>
              <w:top w:val="single" w:color="BFBFBF" w:sz="1"/>
              <w:left w:val="single" w:color="BFBFBF" w:sz="1"/>
              <w:bottom w:val="single" w:color="BFBFBF" w:sz="1"/>
              <w:right w:val="single" w:color="BFBFBF" w:sz="1"/>
            </w:tcBorders>
            <w:shd w:fill="F2F4F8"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Dollar give-back on the Iran-deal catalyst was a direct tailwind for the 25 May gold rally.</w:t>
            </w:r>
          </w:p>
        </w:tc>
      </w:tr>
      <w:tr>
        <w:trPr>
          <w:tblHeader w:val="false"/>
        </w:trPr>
        <w:tc>
          <w:tcPr>
            <w:tcW w:type="dxa" w:w="15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S&amp;P 500</w:t>
            </w:r>
          </w:p>
        </w:tc>
        <w:tc>
          <w:tcPr>
            <w:tcW w:type="dxa" w:w="108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Rising</w:t>
            </w:r>
          </w:p>
        </w:tc>
        <w:tc>
          <w:tcPr>
            <w:tcW w:type="dxa" w:w="34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A pure risk-on equity bid can compete with gold for flow; but when the same catalyst (de-escalation) lifts both equities and gold, the signal is mixed rather than cleanly negative.</w:t>
            </w:r>
          </w:p>
        </w:tc>
        <w:tc>
          <w:tcPr>
            <w:tcW w:type="dxa" w:w="138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Neutral / Mixed</w:t>
            </w:r>
          </w:p>
        </w:tc>
        <w:tc>
          <w:tcPr>
            <w:tcW w:type="dxa" w:w="20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Equities and gold rose together on 25 May — a shared-catalyst move, not a risk-rotation away from bullion.</w:t>
            </w:r>
          </w:p>
        </w:tc>
      </w:tr>
      <w:tr>
        <w:trPr>
          <w:tblHeader w:val="false"/>
        </w:trPr>
        <w:tc>
          <w:tcPr>
            <w:tcW w:type="dxa" w:w="1500"/>
            <w:tcBorders>
              <w:top w:val="single" w:color="BFBFBF" w:sz="1"/>
              <w:left w:val="single" w:color="BFBFBF" w:sz="1"/>
              <w:bottom w:val="single" w:color="BFBFBF" w:sz="1"/>
              <w:right w:val="single" w:color="BFBFBF" w:sz="1"/>
            </w:tcBorders>
            <w:shd w:fill="F2F4F8"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DAX 40</w:t>
            </w:r>
          </w:p>
        </w:tc>
        <w:tc>
          <w:tcPr>
            <w:tcW w:type="dxa" w:w="1080"/>
            <w:tcBorders>
              <w:top w:val="single" w:color="BFBFBF" w:sz="1"/>
              <w:left w:val="single" w:color="BFBFBF" w:sz="1"/>
              <w:bottom w:val="single" w:color="BFBFBF" w:sz="1"/>
              <w:right w:val="single" w:color="BFBFBF" w:sz="1"/>
            </w:tcBorders>
            <w:shd w:fill="F2F4F8"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Rising</w:t>
            </w:r>
          </w:p>
        </w:tc>
        <w:tc>
          <w:tcPr>
            <w:tcW w:type="dxa" w:w="3400"/>
            <w:tcBorders>
              <w:top w:val="single" w:color="BFBFBF" w:sz="1"/>
              <w:left w:val="single" w:color="BFBFBF" w:sz="1"/>
              <w:bottom w:val="single" w:color="BFBFBF" w:sz="1"/>
              <w:right w:val="single" w:color="BFBFBF" w:sz="1"/>
            </w:tcBorders>
            <w:shd w:fill="F2F4F8"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European equity strength cross-validates the global risk-on read; same shared-catalyst caveat as the S&amp;P 500.</w:t>
            </w:r>
          </w:p>
        </w:tc>
        <w:tc>
          <w:tcPr>
            <w:tcW w:type="dxa" w:w="1380"/>
            <w:tcBorders>
              <w:top w:val="single" w:color="BFBFBF" w:sz="1"/>
              <w:left w:val="single" w:color="BFBFBF" w:sz="1"/>
              <w:bottom w:val="single" w:color="BFBFBF" w:sz="1"/>
              <w:right w:val="single" w:color="BFBFBF" w:sz="1"/>
            </w:tcBorders>
            <w:shd w:fill="F2F4F8"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Neutral / Mixed</w:t>
            </w:r>
          </w:p>
        </w:tc>
        <w:tc>
          <w:tcPr>
            <w:tcW w:type="dxa" w:w="2000"/>
            <w:tcBorders>
              <w:top w:val="single" w:color="BFBFBF" w:sz="1"/>
              <w:left w:val="single" w:color="BFBFBF" w:sz="1"/>
              <w:bottom w:val="single" w:color="BFBFBF" w:sz="1"/>
              <w:right w:val="single" w:color="BFBFBF" w:sz="1"/>
            </w:tcBorders>
            <w:shd w:fill="F2F4F8"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Confirms the breadth of the risk-on impulse without contradicting gold's bid.</w:t>
            </w:r>
          </w:p>
        </w:tc>
      </w:tr>
      <w:tr>
        <w:trPr>
          <w:tblHeader w:val="false"/>
        </w:trPr>
        <w:tc>
          <w:tcPr>
            <w:tcW w:type="dxa" w:w="15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Silver (XAG/USD)</w:t>
            </w:r>
          </w:p>
        </w:tc>
        <w:tc>
          <w:tcPr>
            <w:tcW w:type="dxa" w:w="108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Rising (higher beta)</w:t>
            </w:r>
          </w:p>
        </w:tc>
        <w:tc>
          <w:tcPr>
            <w:tcW w:type="dxa" w:w="34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Silver is the natural precious-metals pair; a joint rally confirms the move is complex-wide demand, not a gold-specific quirk.</w:t>
            </w:r>
          </w:p>
        </w:tc>
        <w:tc>
          <w:tcPr>
            <w:tcW w:type="dxa" w:w="138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Confirms</w:t>
            </w:r>
          </w:p>
        </w:tc>
        <w:tc>
          <w:tcPr>
            <w:tcW w:type="dxa" w:w="20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Gold/silver ratio compression to ≈58.9 corroborates a genuine precious-metals bid.</w:t>
            </w:r>
          </w:p>
        </w:tc>
      </w:tr>
    </w:tbl>
    <w:p>
      <w:pPr>
        <w:spacing w:after="100" w:before="0"/>
        <w:jc w:val="left"/>
      </w:pPr>
      <w:r>
        <w:rPr>
          <w:rFonts w:ascii="Calibri" w:cs="Calibri" w:eastAsia="Calibri" w:hAnsi="Calibri"/>
          <w:b/>
          <w:bCs/>
          <w:i w:val="false"/>
          <w:iCs w:val="false"/>
          <w:color w:val="1A1A1A"/>
          <w:sz w:val="21"/>
          <w:szCs w:val="21"/>
        </w:rPr>
        <w:t xml:space="preserve">Aggregate cross-asset read: MIXED. </w:t>
      </w:r>
      <w:r>
        <w:rPr>
          <w:rFonts w:ascii="Calibri" w:cs="Calibri" w:eastAsia="Calibri" w:hAnsi="Calibri"/>
          <w:b w:val="false"/>
          <w:bCs w:val="false"/>
          <w:i w:val="false"/>
          <w:iCs w:val="false"/>
          <w:color w:val="1A1A1A"/>
          <w:sz w:val="21"/>
          <w:szCs w:val="21"/>
        </w:rPr>
        <w:t xml:space="preserve">USDX and silver confirm the gold-supportive read; the two equity counters are neutral-to-mixed because the same de-escalation catalyst lifted equities and gold together rather than rotating flow between them. No counter cleanly contradicts the short-term bullish reversal. The mixed equity signal is recorded — not suppressed — and feeds the §15 balance and the §21 direction score (cross-asset contribution scaled down accordingly).</w:t>
      </w:r>
    </w:p>
    <w:p>
      <w:pPr>
        <w:pStyle w:val="Heading1"/>
        <w:pBdr>
          <w:bottom w:val="single" w:color="2E7D32" w:sz="6" w:space="2"/>
        </w:pBdr>
        <w:spacing w:after="120" w:before="240"/>
      </w:pPr>
      <w:r>
        <w:rPr>
          <w:rFonts w:ascii="Calibri" w:cs="Calibri" w:eastAsia="Calibri" w:hAnsi="Calibri"/>
          <w:b/>
          <w:bCs/>
          <w:color w:val="2E7D32"/>
          <w:sz w:val="28"/>
          <w:szCs w:val="28"/>
        </w:rPr>
        <w:t xml:space="preserve">11.  Floor Pivot Analysis</w:t>
      </w:r>
    </w:p>
    <w:p>
      <w:pPr>
        <w:spacing w:after="60" w:before="0"/>
        <w:jc w:val="left"/>
      </w:pPr>
      <w:r>
        <w:rPr>
          <w:rFonts w:ascii="Calibri" w:cs="Calibri" w:eastAsia="Calibri" w:hAnsi="Calibri"/>
          <w:b w:val="false"/>
          <w:bCs w:val="false"/>
          <w:i w:val="false"/>
          <w:iCs w:val="false"/>
          <w:color w:val="1A1A1A"/>
          <w:sz w:val="21"/>
          <w:szCs w:val="21"/>
        </w:rPr>
        <w:t xml:space="preserve">Daily, weekly, and monthly pivots are all active. Daily pivots are computed from the corroborated 25 May session (H 4,602.30 / L 4,505.10 / C 4,562.69). Weekly pivots use the prior completed week (w/e 22 May). Monthly pivots use April 2026. Table order is fixed resistance-top to support-bottom.</w:t>
      </w:r>
    </w:p>
    <w:p>
      <w:pPr>
        <w:pStyle w:val="Heading2"/>
        <w:spacing w:after="80" w:before="160"/>
      </w:pPr>
      <w:r>
        <w:rPr>
          <w:rFonts w:ascii="Calibri" w:cs="Calibri" w:eastAsia="Calibri" w:hAnsi="Calibri"/>
          <w:b/>
          <w:bCs/>
          <w:color w:val="404040"/>
          <w:sz w:val="23"/>
          <w:szCs w:val="23"/>
        </w:rPr>
        <w:t xml:space="preserve">11.1  Daily Pivots — for the 26 May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1"/>
              <w:left w:val="single" w:color="BFBFBF" w:sz="1"/>
              <w:bottom w:val="single" w:color="BFBFBF" w:sz="1"/>
              <w:right w:val="single" w:color="BFBFBF" w:sz="1"/>
            </w:tcBorders>
            <w:shd w:fill="1F3864" w:color="auto" w:val="clear"/>
            <w:tcMar>
              <w:top w:type="dxa" w:w="60"/>
              <w:left w:type="dxa" w:w="90"/>
              <w:bottom w:type="dxa" w:w="60"/>
              <w:right w:type="dxa" w:w="90"/>
            </w:tcMar>
            <w:vAlign w:val="center"/>
          </w:tcPr>
          <w:p>
            <w:pPr>
              <w:spacing w:after="0"/>
              <w:jc w:val="center"/>
            </w:pPr>
            <w:r>
              <w:rPr>
                <w:rFonts w:ascii="Calibri" w:cs="Calibri" w:eastAsia="Calibri" w:hAnsi="Calibri"/>
                <w:b/>
                <w:bCs/>
                <w:i w:val="false"/>
                <w:iCs w:val="false"/>
                <w:color w:val="FFFFFF"/>
                <w:sz w:val="17"/>
                <w:szCs w:val="17"/>
              </w:rPr>
              <w:t xml:space="preserve">Level</w:t>
            </w:r>
          </w:p>
        </w:tc>
        <w:tc>
          <w:tcPr>
            <w:tcW w:type="dxa" w:w="3120"/>
            <w:tcBorders>
              <w:top w:val="single" w:color="BFBFBF" w:sz="1"/>
              <w:left w:val="single" w:color="BFBFBF" w:sz="1"/>
              <w:bottom w:val="single" w:color="BFBFBF" w:sz="1"/>
              <w:right w:val="single" w:color="BFBFBF" w:sz="1"/>
            </w:tcBorders>
            <w:shd w:fill="1F3864" w:color="auto" w:val="clear"/>
            <w:tcMar>
              <w:top w:type="dxa" w:w="60"/>
              <w:left w:type="dxa" w:w="90"/>
              <w:bottom w:type="dxa" w:w="60"/>
              <w:right w:type="dxa" w:w="90"/>
            </w:tcMar>
            <w:vAlign w:val="center"/>
          </w:tcPr>
          <w:p>
            <w:pPr>
              <w:spacing w:after="0"/>
              <w:jc w:val="center"/>
            </w:pPr>
            <w:r>
              <w:rPr>
                <w:rFonts w:ascii="Calibri" w:cs="Calibri" w:eastAsia="Calibri" w:hAnsi="Calibri"/>
                <w:b/>
                <w:bCs/>
                <w:i w:val="false"/>
                <w:iCs w:val="false"/>
                <w:color w:val="FFFFFF"/>
                <w:sz w:val="17"/>
                <w:szCs w:val="17"/>
              </w:rPr>
              <w:t xml:space="preserve">Price (USD/oz)</w:t>
            </w:r>
          </w:p>
        </w:tc>
        <w:tc>
          <w:tcPr>
            <w:tcW w:type="dxa" w:w="3120"/>
            <w:tcBorders>
              <w:top w:val="single" w:color="BFBFBF" w:sz="1"/>
              <w:left w:val="single" w:color="BFBFBF" w:sz="1"/>
              <w:bottom w:val="single" w:color="BFBFBF" w:sz="1"/>
              <w:right w:val="single" w:color="BFBFBF" w:sz="1"/>
            </w:tcBorders>
            <w:shd w:fill="1F3864" w:color="auto" w:val="clear"/>
            <w:tcMar>
              <w:top w:type="dxa" w:w="60"/>
              <w:left w:type="dxa" w:w="90"/>
              <w:bottom w:type="dxa" w:w="60"/>
              <w:right w:type="dxa" w:w="90"/>
            </w:tcMar>
            <w:vAlign w:val="center"/>
          </w:tcPr>
          <w:p>
            <w:pPr>
              <w:spacing w:after="0"/>
              <w:jc w:val="center"/>
            </w:pPr>
            <w:r>
              <w:rPr>
                <w:rFonts w:ascii="Calibri" w:cs="Calibri" w:eastAsia="Calibri" w:hAnsi="Calibri"/>
                <w:b/>
                <w:bCs/>
                <w:i w:val="false"/>
                <w:iCs w:val="false"/>
                <w:color w:val="FFFFFF"/>
                <w:sz w:val="17"/>
                <w:szCs w:val="17"/>
              </w:rPr>
              <w:t xml:space="preserve">Status</w:t>
            </w:r>
          </w:p>
        </w:tc>
      </w:tr>
      <w:tr>
        <w:trPr>
          <w:tblHeader w:val="false"/>
        </w:trPr>
        <w:tc>
          <w:tcPr>
            <w:tcW w:type="dxa" w:w="3120"/>
            <w:tcBorders>
              <w:top w:val="single" w:color="BFBFBF" w:sz="1"/>
              <w:left w:val="single" w:color="BFBFBF" w:sz="1"/>
              <w:bottom w:val="single" w:color="BFBFBF" w:sz="1"/>
              <w:right w:val="single" w:color="BFBFBF" w:sz="1"/>
            </w:tcBorders>
            <w:shd w:fill="F2F4F8"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R5</w:t>
            </w:r>
          </w:p>
        </w:tc>
        <w:tc>
          <w:tcPr>
            <w:tcW w:type="dxa" w:w="3120"/>
            <w:tcBorders>
              <w:top w:val="single" w:color="BFBFBF" w:sz="1"/>
              <w:left w:val="single" w:color="BFBFBF" w:sz="1"/>
              <w:bottom w:val="single" w:color="BFBFBF" w:sz="1"/>
              <w:right w:val="single" w:color="BFBFBF" w:sz="1"/>
            </w:tcBorders>
            <w:shd w:fill="F2F4F8"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4,899.89</w:t>
            </w:r>
          </w:p>
        </w:tc>
        <w:tc>
          <w:tcPr>
            <w:tcW w:type="dxa" w:w="3120"/>
            <w:tcBorders>
              <w:top w:val="single" w:color="BFBFBF" w:sz="1"/>
              <w:left w:val="single" w:color="BFBFBF" w:sz="1"/>
              <w:bottom w:val="single" w:color="BFBFBF" w:sz="1"/>
              <w:right w:val="single" w:color="BFBFBF" w:sz="1"/>
            </w:tcBorders>
            <w:shd w:fill="F2F4F8"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Corroborated</w:t>
            </w:r>
          </w:p>
        </w:tc>
      </w:tr>
      <w:tr>
        <w:trPr>
          <w:tblHeader w:val="false"/>
        </w:trPr>
        <w:tc>
          <w:tcPr>
            <w:tcW w:type="dxa" w:w="31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R4</w:t>
            </w:r>
          </w:p>
        </w:tc>
        <w:tc>
          <w:tcPr>
            <w:tcW w:type="dxa" w:w="31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4,802.69</w:t>
            </w:r>
          </w:p>
        </w:tc>
        <w:tc>
          <w:tcPr>
            <w:tcW w:type="dxa" w:w="31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Corroborated</w:t>
            </w:r>
          </w:p>
        </w:tc>
      </w:tr>
      <w:tr>
        <w:trPr>
          <w:tblHeader w:val="false"/>
        </w:trPr>
        <w:tc>
          <w:tcPr>
            <w:tcW w:type="dxa" w:w="3120"/>
            <w:tcBorders>
              <w:top w:val="single" w:color="BFBFBF" w:sz="1"/>
              <w:left w:val="single" w:color="BFBFBF" w:sz="1"/>
              <w:bottom w:val="single" w:color="BFBFBF" w:sz="1"/>
              <w:right w:val="single" w:color="BFBFBF" w:sz="1"/>
            </w:tcBorders>
            <w:shd w:fill="F2F4F8"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R3</w:t>
            </w:r>
          </w:p>
        </w:tc>
        <w:tc>
          <w:tcPr>
            <w:tcW w:type="dxa" w:w="3120"/>
            <w:tcBorders>
              <w:top w:val="single" w:color="BFBFBF" w:sz="1"/>
              <w:left w:val="single" w:color="BFBFBF" w:sz="1"/>
              <w:bottom w:val="single" w:color="BFBFBF" w:sz="1"/>
              <w:right w:val="single" w:color="BFBFBF" w:sz="1"/>
            </w:tcBorders>
            <w:shd w:fill="F2F4F8"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4,705.49</w:t>
            </w:r>
          </w:p>
        </w:tc>
        <w:tc>
          <w:tcPr>
            <w:tcW w:type="dxa" w:w="3120"/>
            <w:tcBorders>
              <w:top w:val="single" w:color="BFBFBF" w:sz="1"/>
              <w:left w:val="single" w:color="BFBFBF" w:sz="1"/>
              <w:bottom w:val="single" w:color="BFBFBF" w:sz="1"/>
              <w:right w:val="single" w:color="BFBFBF" w:sz="1"/>
            </w:tcBorders>
            <w:shd w:fill="F2F4F8"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Corroborated</w:t>
            </w:r>
          </w:p>
        </w:tc>
      </w:tr>
      <w:tr>
        <w:trPr>
          <w:tblHeader w:val="false"/>
        </w:trPr>
        <w:tc>
          <w:tcPr>
            <w:tcW w:type="dxa" w:w="31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R2</w:t>
            </w:r>
          </w:p>
        </w:tc>
        <w:tc>
          <w:tcPr>
            <w:tcW w:type="dxa" w:w="31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4,653.90</w:t>
            </w:r>
          </w:p>
        </w:tc>
        <w:tc>
          <w:tcPr>
            <w:tcW w:type="dxa" w:w="31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Corroborated</w:t>
            </w:r>
          </w:p>
        </w:tc>
      </w:tr>
      <w:tr>
        <w:trPr>
          <w:tblHeader w:val="false"/>
        </w:trPr>
        <w:tc>
          <w:tcPr>
            <w:tcW w:type="dxa" w:w="3120"/>
            <w:tcBorders>
              <w:top w:val="single" w:color="BFBFBF" w:sz="1"/>
              <w:left w:val="single" w:color="BFBFBF" w:sz="1"/>
              <w:bottom w:val="single" w:color="BFBFBF" w:sz="1"/>
              <w:right w:val="single" w:color="BFBFBF" w:sz="1"/>
            </w:tcBorders>
            <w:shd w:fill="F2F4F8" w:color="auto" w:val="clear"/>
            <w:tcMar>
              <w:top w:type="dxa" w:w="60"/>
              <w:left w:type="dxa" w:w="90"/>
              <w:bottom w:type="dxa" w:w="60"/>
              <w:right w:type="dxa" w:w="90"/>
            </w:tcMar>
            <w:vAlign w:val="center"/>
          </w:tcPr>
          <w:p>
            <w:pPr>
              <w:spacing w:after="0"/>
              <w:jc w:val="left"/>
            </w:pPr>
            <w:r>
              <w:rPr>
                <w:rFonts w:ascii="Calibri" w:cs="Calibri" w:eastAsia="Calibri" w:hAnsi="Calibri"/>
                <w:b/>
                <w:bCs/>
                <w:i w:val="false"/>
                <w:iCs w:val="false"/>
                <w:color w:val="1A1A1A"/>
                <w:sz w:val="17"/>
                <w:szCs w:val="17"/>
              </w:rPr>
              <w:t xml:space="preserve">R1</w:t>
            </w:r>
          </w:p>
        </w:tc>
        <w:tc>
          <w:tcPr>
            <w:tcW w:type="dxa" w:w="3120"/>
            <w:tcBorders>
              <w:top w:val="single" w:color="BFBFBF" w:sz="1"/>
              <w:left w:val="single" w:color="BFBFBF" w:sz="1"/>
              <w:bottom w:val="single" w:color="BFBFBF" w:sz="1"/>
              <w:right w:val="single" w:color="BFBFBF" w:sz="1"/>
            </w:tcBorders>
            <w:shd w:fill="F2F4F8" w:color="auto" w:val="clear"/>
            <w:tcMar>
              <w:top w:type="dxa" w:w="60"/>
              <w:left w:type="dxa" w:w="90"/>
              <w:bottom w:type="dxa" w:w="60"/>
              <w:right w:type="dxa" w:w="90"/>
            </w:tcMar>
            <w:vAlign w:val="center"/>
          </w:tcPr>
          <w:p>
            <w:pPr>
              <w:spacing w:after="0"/>
              <w:jc w:val="left"/>
            </w:pPr>
            <w:r>
              <w:rPr>
                <w:rFonts w:ascii="Calibri" w:cs="Calibri" w:eastAsia="Calibri" w:hAnsi="Calibri"/>
                <w:b/>
                <w:bCs/>
                <w:i w:val="false"/>
                <w:iCs w:val="false"/>
                <w:color w:val="1A1A1A"/>
                <w:sz w:val="17"/>
                <w:szCs w:val="17"/>
              </w:rPr>
              <w:t xml:space="preserve">4,608.29</w:t>
            </w:r>
          </w:p>
        </w:tc>
        <w:tc>
          <w:tcPr>
            <w:tcW w:type="dxa" w:w="3120"/>
            <w:tcBorders>
              <w:top w:val="single" w:color="BFBFBF" w:sz="1"/>
              <w:left w:val="single" w:color="BFBFBF" w:sz="1"/>
              <w:bottom w:val="single" w:color="BFBFBF" w:sz="1"/>
              <w:right w:val="single" w:color="BFBFBF" w:sz="1"/>
            </w:tcBorders>
            <w:shd w:fill="F2F4F8"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Corroborated</w:t>
            </w:r>
          </w:p>
        </w:tc>
      </w:tr>
      <w:tr>
        <w:trPr>
          <w:tblHeader w:val="false"/>
        </w:trPr>
        <w:tc>
          <w:tcPr>
            <w:tcW w:type="dxa" w:w="3120"/>
            <w:tcBorders>
              <w:top w:val="single" w:color="BFBFBF" w:sz="1"/>
              <w:left w:val="single" w:color="BFBFBF" w:sz="1"/>
              <w:bottom w:val="single" w:color="BFBFBF" w:sz="1"/>
              <w:right w:val="single" w:color="BFBFBF" w:sz="1"/>
            </w:tcBorders>
            <w:shd w:fill="FFF2CC" w:color="auto" w:val="clear"/>
            <w:tcMar>
              <w:top w:type="dxa" w:w="60"/>
              <w:left w:type="dxa" w:w="90"/>
              <w:bottom w:type="dxa" w:w="60"/>
              <w:right w:type="dxa" w:w="90"/>
            </w:tcMar>
            <w:vAlign w:val="center"/>
          </w:tcPr>
          <w:p>
            <w:pPr>
              <w:spacing w:after="0"/>
              <w:jc w:val="left"/>
            </w:pPr>
            <w:r>
              <w:rPr>
                <w:rFonts w:ascii="Calibri" w:cs="Calibri" w:eastAsia="Calibri" w:hAnsi="Calibri"/>
                <w:b/>
                <w:bCs/>
                <w:i w:val="false"/>
                <w:iCs w:val="false"/>
                <w:color w:val="1A1A1A"/>
                <w:sz w:val="17"/>
                <w:szCs w:val="17"/>
              </w:rPr>
              <w:t xml:space="preserve">P</w:t>
            </w:r>
          </w:p>
        </w:tc>
        <w:tc>
          <w:tcPr>
            <w:tcW w:type="dxa" w:w="3120"/>
            <w:tcBorders>
              <w:top w:val="single" w:color="BFBFBF" w:sz="1"/>
              <w:left w:val="single" w:color="BFBFBF" w:sz="1"/>
              <w:bottom w:val="single" w:color="BFBFBF" w:sz="1"/>
              <w:right w:val="single" w:color="BFBFBF" w:sz="1"/>
            </w:tcBorders>
            <w:shd w:fill="FFF2CC" w:color="auto" w:val="clear"/>
            <w:tcMar>
              <w:top w:type="dxa" w:w="60"/>
              <w:left w:type="dxa" w:w="90"/>
              <w:bottom w:type="dxa" w:w="60"/>
              <w:right w:type="dxa" w:w="90"/>
            </w:tcMar>
            <w:vAlign w:val="center"/>
          </w:tcPr>
          <w:p>
            <w:pPr>
              <w:spacing w:after="0"/>
              <w:jc w:val="left"/>
            </w:pPr>
            <w:r>
              <w:rPr>
                <w:rFonts w:ascii="Calibri" w:cs="Calibri" w:eastAsia="Calibri" w:hAnsi="Calibri"/>
                <w:b/>
                <w:bCs/>
                <w:i w:val="false"/>
                <w:iCs w:val="false"/>
                <w:color w:val="1A1A1A"/>
                <w:sz w:val="17"/>
                <w:szCs w:val="17"/>
              </w:rPr>
              <w:t xml:space="preserve">4,556.70</w:t>
            </w:r>
          </w:p>
        </w:tc>
        <w:tc>
          <w:tcPr>
            <w:tcW w:type="dxa" w:w="3120"/>
            <w:tcBorders>
              <w:top w:val="single" w:color="BFBFBF" w:sz="1"/>
              <w:left w:val="single" w:color="BFBFBF" w:sz="1"/>
              <w:bottom w:val="single" w:color="BFBFBF" w:sz="1"/>
              <w:right w:val="single" w:color="BFBFBF" w:sz="1"/>
            </w:tcBorders>
            <w:shd w:fill="FFF2CC"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Corroborated</w:t>
            </w:r>
          </w:p>
        </w:tc>
      </w:tr>
      <w:tr>
        <w:trPr>
          <w:tblHeader w:val="false"/>
        </w:trPr>
        <w:tc>
          <w:tcPr>
            <w:tcW w:type="dxa" w:w="3120"/>
            <w:tcBorders>
              <w:top w:val="single" w:color="BFBFBF" w:sz="1"/>
              <w:left w:val="single" w:color="BFBFBF" w:sz="1"/>
              <w:bottom w:val="single" w:color="BFBFBF" w:sz="1"/>
              <w:right w:val="single" w:color="BFBFBF" w:sz="1"/>
            </w:tcBorders>
            <w:shd w:fill="F2F4F8" w:color="auto" w:val="clear"/>
            <w:tcMar>
              <w:top w:type="dxa" w:w="60"/>
              <w:left w:type="dxa" w:w="90"/>
              <w:bottom w:type="dxa" w:w="60"/>
              <w:right w:type="dxa" w:w="90"/>
            </w:tcMar>
            <w:vAlign w:val="center"/>
          </w:tcPr>
          <w:p>
            <w:pPr>
              <w:spacing w:after="0"/>
              <w:jc w:val="left"/>
            </w:pPr>
            <w:r>
              <w:rPr>
                <w:rFonts w:ascii="Calibri" w:cs="Calibri" w:eastAsia="Calibri" w:hAnsi="Calibri"/>
                <w:b/>
                <w:bCs/>
                <w:i w:val="false"/>
                <w:iCs w:val="false"/>
                <w:color w:val="1A1A1A"/>
                <w:sz w:val="17"/>
                <w:szCs w:val="17"/>
              </w:rPr>
              <w:t xml:space="preserve">S1</w:t>
            </w:r>
          </w:p>
        </w:tc>
        <w:tc>
          <w:tcPr>
            <w:tcW w:type="dxa" w:w="3120"/>
            <w:tcBorders>
              <w:top w:val="single" w:color="BFBFBF" w:sz="1"/>
              <w:left w:val="single" w:color="BFBFBF" w:sz="1"/>
              <w:bottom w:val="single" w:color="BFBFBF" w:sz="1"/>
              <w:right w:val="single" w:color="BFBFBF" w:sz="1"/>
            </w:tcBorders>
            <w:shd w:fill="F2F4F8" w:color="auto" w:val="clear"/>
            <w:tcMar>
              <w:top w:type="dxa" w:w="60"/>
              <w:left w:type="dxa" w:w="90"/>
              <w:bottom w:type="dxa" w:w="60"/>
              <w:right w:type="dxa" w:w="90"/>
            </w:tcMar>
            <w:vAlign w:val="center"/>
          </w:tcPr>
          <w:p>
            <w:pPr>
              <w:spacing w:after="0"/>
              <w:jc w:val="left"/>
            </w:pPr>
            <w:r>
              <w:rPr>
                <w:rFonts w:ascii="Calibri" w:cs="Calibri" w:eastAsia="Calibri" w:hAnsi="Calibri"/>
                <w:b/>
                <w:bCs/>
                <w:i w:val="false"/>
                <w:iCs w:val="false"/>
                <w:color w:val="1A1A1A"/>
                <w:sz w:val="17"/>
                <w:szCs w:val="17"/>
              </w:rPr>
              <w:t xml:space="preserve">4,511.09</w:t>
            </w:r>
          </w:p>
        </w:tc>
        <w:tc>
          <w:tcPr>
            <w:tcW w:type="dxa" w:w="3120"/>
            <w:tcBorders>
              <w:top w:val="single" w:color="BFBFBF" w:sz="1"/>
              <w:left w:val="single" w:color="BFBFBF" w:sz="1"/>
              <w:bottom w:val="single" w:color="BFBFBF" w:sz="1"/>
              <w:right w:val="single" w:color="BFBFBF" w:sz="1"/>
            </w:tcBorders>
            <w:shd w:fill="F2F4F8"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Corroborated</w:t>
            </w:r>
          </w:p>
        </w:tc>
      </w:tr>
      <w:tr>
        <w:trPr>
          <w:tblHeader w:val="false"/>
        </w:trPr>
        <w:tc>
          <w:tcPr>
            <w:tcW w:type="dxa" w:w="31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S2</w:t>
            </w:r>
          </w:p>
        </w:tc>
        <w:tc>
          <w:tcPr>
            <w:tcW w:type="dxa" w:w="31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4,459.50</w:t>
            </w:r>
          </w:p>
        </w:tc>
        <w:tc>
          <w:tcPr>
            <w:tcW w:type="dxa" w:w="31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Corroborated</w:t>
            </w:r>
          </w:p>
        </w:tc>
      </w:tr>
      <w:tr>
        <w:trPr>
          <w:tblHeader w:val="false"/>
        </w:trPr>
        <w:tc>
          <w:tcPr>
            <w:tcW w:type="dxa" w:w="3120"/>
            <w:tcBorders>
              <w:top w:val="single" w:color="BFBFBF" w:sz="1"/>
              <w:left w:val="single" w:color="BFBFBF" w:sz="1"/>
              <w:bottom w:val="single" w:color="BFBFBF" w:sz="1"/>
              <w:right w:val="single" w:color="BFBFBF" w:sz="1"/>
            </w:tcBorders>
            <w:shd w:fill="F2F4F8"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S3</w:t>
            </w:r>
          </w:p>
        </w:tc>
        <w:tc>
          <w:tcPr>
            <w:tcW w:type="dxa" w:w="3120"/>
            <w:tcBorders>
              <w:top w:val="single" w:color="BFBFBF" w:sz="1"/>
              <w:left w:val="single" w:color="BFBFBF" w:sz="1"/>
              <w:bottom w:val="single" w:color="BFBFBF" w:sz="1"/>
              <w:right w:val="single" w:color="BFBFBF" w:sz="1"/>
            </w:tcBorders>
            <w:shd w:fill="F2F4F8"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4,413.89</w:t>
            </w:r>
          </w:p>
        </w:tc>
        <w:tc>
          <w:tcPr>
            <w:tcW w:type="dxa" w:w="3120"/>
            <w:tcBorders>
              <w:top w:val="single" w:color="BFBFBF" w:sz="1"/>
              <w:left w:val="single" w:color="BFBFBF" w:sz="1"/>
              <w:bottom w:val="single" w:color="BFBFBF" w:sz="1"/>
              <w:right w:val="single" w:color="BFBFBF" w:sz="1"/>
            </w:tcBorders>
            <w:shd w:fill="F2F4F8"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Corroborated</w:t>
            </w:r>
          </w:p>
        </w:tc>
      </w:tr>
      <w:tr>
        <w:trPr>
          <w:tblHeader w:val="false"/>
        </w:trPr>
        <w:tc>
          <w:tcPr>
            <w:tcW w:type="dxa" w:w="31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S4</w:t>
            </w:r>
          </w:p>
        </w:tc>
        <w:tc>
          <w:tcPr>
            <w:tcW w:type="dxa" w:w="31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4,316.69</w:t>
            </w:r>
          </w:p>
        </w:tc>
        <w:tc>
          <w:tcPr>
            <w:tcW w:type="dxa" w:w="31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Corroborated</w:t>
            </w:r>
          </w:p>
        </w:tc>
      </w:tr>
      <w:tr>
        <w:trPr>
          <w:tblHeader w:val="false"/>
        </w:trPr>
        <w:tc>
          <w:tcPr>
            <w:tcW w:type="dxa" w:w="3120"/>
            <w:tcBorders>
              <w:top w:val="single" w:color="BFBFBF" w:sz="1"/>
              <w:left w:val="single" w:color="BFBFBF" w:sz="1"/>
              <w:bottom w:val="single" w:color="BFBFBF" w:sz="1"/>
              <w:right w:val="single" w:color="BFBFBF" w:sz="1"/>
            </w:tcBorders>
            <w:shd w:fill="F2F4F8"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S5</w:t>
            </w:r>
          </w:p>
        </w:tc>
        <w:tc>
          <w:tcPr>
            <w:tcW w:type="dxa" w:w="3120"/>
            <w:tcBorders>
              <w:top w:val="single" w:color="BFBFBF" w:sz="1"/>
              <w:left w:val="single" w:color="BFBFBF" w:sz="1"/>
              <w:bottom w:val="single" w:color="BFBFBF" w:sz="1"/>
              <w:right w:val="single" w:color="BFBFBF" w:sz="1"/>
            </w:tcBorders>
            <w:shd w:fill="F2F4F8"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4,219.49</w:t>
            </w:r>
          </w:p>
        </w:tc>
        <w:tc>
          <w:tcPr>
            <w:tcW w:type="dxa" w:w="3120"/>
            <w:tcBorders>
              <w:top w:val="single" w:color="BFBFBF" w:sz="1"/>
              <w:left w:val="single" w:color="BFBFBF" w:sz="1"/>
              <w:bottom w:val="single" w:color="BFBFBF" w:sz="1"/>
              <w:right w:val="single" w:color="BFBFBF" w:sz="1"/>
            </w:tcBorders>
            <w:shd w:fill="F2F4F8"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Corroborated</w:t>
            </w:r>
          </w:p>
        </w:tc>
      </w:tr>
    </w:tbl>
    <w:p>
      <w:pPr>
        <w:spacing w:after="80" w:before="0"/>
        <w:jc w:val="left"/>
      </w:pPr>
      <w:r>
        <w:rPr>
          <w:rFonts w:ascii="Calibri" w:cs="Calibri" w:eastAsia="Calibri" w:hAnsi="Calibri"/>
          <w:b w:val="false"/>
          <w:bCs w:val="false"/>
          <w:i/>
          <w:iCs/>
          <w:color w:val="1A1A1A"/>
          <w:sz w:val="18"/>
          <w:szCs w:val="18"/>
        </w:rPr>
        <w:t xml:space="preserve">Daily-pivot midpoints (analyst derivatives): R1.5 = 4,631.09; S1.5 = 4,485.30. Daily levels are CORROBORATED because the 25 May prior-session H/L/C cleared two-source corroboration (see §6).</w:t>
      </w:r>
    </w:p>
    <w:p>
      <w:pPr>
        <w:pStyle w:val="Heading2"/>
        <w:spacing w:after="80" w:before="160"/>
      </w:pPr>
      <w:r>
        <w:rPr>
          <w:rFonts w:ascii="Calibri" w:cs="Calibri" w:eastAsia="Calibri" w:hAnsi="Calibri"/>
          <w:b/>
          <w:bCs/>
          <w:color w:val="404040"/>
          <w:sz w:val="23"/>
          <w:szCs w:val="23"/>
        </w:rPr>
        <w:t xml:space="preserve">11.2  Weekly Pivots — week of 25 May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1"/>
              <w:left w:val="single" w:color="BFBFBF" w:sz="1"/>
              <w:bottom w:val="single" w:color="BFBFBF" w:sz="1"/>
              <w:right w:val="single" w:color="BFBFBF" w:sz="1"/>
            </w:tcBorders>
            <w:shd w:fill="1F3864" w:color="auto" w:val="clear"/>
            <w:tcMar>
              <w:top w:type="dxa" w:w="60"/>
              <w:left w:type="dxa" w:w="90"/>
              <w:bottom w:type="dxa" w:w="60"/>
              <w:right w:type="dxa" w:w="90"/>
            </w:tcMar>
            <w:vAlign w:val="center"/>
          </w:tcPr>
          <w:p>
            <w:pPr>
              <w:spacing w:after="0"/>
              <w:jc w:val="center"/>
            </w:pPr>
            <w:r>
              <w:rPr>
                <w:rFonts w:ascii="Calibri" w:cs="Calibri" w:eastAsia="Calibri" w:hAnsi="Calibri"/>
                <w:b/>
                <w:bCs/>
                <w:i w:val="false"/>
                <w:iCs w:val="false"/>
                <w:color w:val="FFFFFF"/>
                <w:sz w:val="17"/>
                <w:szCs w:val="17"/>
              </w:rPr>
              <w:t xml:space="preserve">Level</w:t>
            </w:r>
          </w:p>
        </w:tc>
        <w:tc>
          <w:tcPr>
            <w:tcW w:type="dxa" w:w="3120"/>
            <w:tcBorders>
              <w:top w:val="single" w:color="BFBFBF" w:sz="1"/>
              <w:left w:val="single" w:color="BFBFBF" w:sz="1"/>
              <w:bottom w:val="single" w:color="BFBFBF" w:sz="1"/>
              <w:right w:val="single" w:color="BFBFBF" w:sz="1"/>
            </w:tcBorders>
            <w:shd w:fill="1F3864" w:color="auto" w:val="clear"/>
            <w:tcMar>
              <w:top w:type="dxa" w:w="60"/>
              <w:left w:type="dxa" w:w="90"/>
              <w:bottom w:type="dxa" w:w="60"/>
              <w:right w:type="dxa" w:w="90"/>
            </w:tcMar>
            <w:vAlign w:val="center"/>
          </w:tcPr>
          <w:p>
            <w:pPr>
              <w:spacing w:after="0"/>
              <w:jc w:val="center"/>
            </w:pPr>
            <w:r>
              <w:rPr>
                <w:rFonts w:ascii="Calibri" w:cs="Calibri" w:eastAsia="Calibri" w:hAnsi="Calibri"/>
                <w:b/>
                <w:bCs/>
                <w:i w:val="false"/>
                <w:iCs w:val="false"/>
                <w:color w:val="FFFFFF"/>
                <w:sz w:val="17"/>
                <w:szCs w:val="17"/>
              </w:rPr>
              <w:t xml:space="preserve">Price (USD/oz)</w:t>
            </w:r>
          </w:p>
        </w:tc>
        <w:tc>
          <w:tcPr>
            <w:tcW w:type="dxa" w:w="3120"/>
            <w:tcBorders>
              <w:top w:val="single" w:color="BFBFBF" w:sz="1"/>
              <w:left w:val="single" w:color="BFBFBF" w:sz="1"/>
              <w:bottom w:val="single" w:color="BFBFBF" w:sz="1"/>
              <w:right w:val="single" w:color="BFBFBF" w:sz="1"/>
            </w:tcBorders>
            <w:shd w:fill="1F3864" w:color="auto" w:val="clear"/>
            <w:tcMar>
              <w:top w:type="dxa" w:w="60"/>
              <w:left w:type="dxa" w:w="90"/>
              <w:bottom w:type="dxa" w:w="60"/>
              <w:right w:type="dxa" w:w="90"/>
            </w:tcMar>
            <w:vAlign w:val="center"/>
          </w:tcPr>
          <w:p>
            <w:pPr>
              <w:spacing w:after="0"/>
              <w:jc w:val="center"/>
            </w:pPr>
            <w:r>
              <w:rPr>
                <w:rFonts w:ascii="Calibri" w:cs="Calibri" w:eastAsia="Calibri" w:hAnsi="Calibri"/>
                <w:b/>
                <w:bCs/>
                <w:i w:val="false"/>
                <w:iCs w:val="false"/>
                <w:color w:val="FFFFFF"/>
                <w:sz w:val="17"/>
                <w:szCs w:val="17"/>
              </w:rPr>
              <w:t xml:space="preserve">Status</w:t>
            </w:r>
          </w:p>
        </w:tc>
      </w:tr>
      <w:tr>
        <w:trPr>
          <w:tblHeader w:val="false"/>
        </w:trPr>
        <w:tc>
          <w:tcPr>
            <w:tcW w:type="dxa" w:w="3120"/>
            <w:tcBorders>
              <w:top w:val="single" w:color="BFBFBF" w:sz="1"/>
              <w:left w:val="single" w:color="BFBFBF" w:sz="1"/>
              <w:bottom w:val="single" w:color="BFBFBF" w:sz="1"/>
              <w:right w:val="single" w:color="BFBFBF" w:sz="1"/>
            </w:tcBorders>
            <w:shd w:fill="F2F4F8"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R3</w:t>
            </w:r>
          </w:p>
        </w:tc>
        <w:tc>
          <w:tcPr>
            <w:tcW w:type="dxa" w:w="3120"/>
            <w:tcBorders>
              <w:top w:val="single" w:color="BFBFBF" w:sz="1"/>
              <w:left w:val="single" w:color="BFBFBF" w:sz="1"/>
              <w:bottom w:val="single" w:color="BFBFBF" w:sz="1"/>
              <w:right w:val="single" w:color="BFBFBF" w:sz="1"/>
            </w:tcBorders>
            <w:shd w:fill="F2F4F8"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4,713.48</w:t>
            </w:r>
          </w:p>
        </w:tc>
        <w:tc>
          <w:tcPr>
            <w:tcW w:type="dxa" w:w="3120"/>
            <w:tcBorders>
              <w:top w:val="single" w:color="BFBFBF" w:sz="1"/>
              <w:left w:val="single" w:color="BFBFBF" w:sz="1"/>
              <w:bottom w:val="single" w:color="BFBFBF" w:sz="1"/>
              <w:right w:val="single" w:color="BFBFBF" w:sz="1"/>
            </w:tcBorders>
            <w:shd w:fill="F2F4F8"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Indicative</w:t>
            </w:r>
          </w:p>
        </w:tc>
      </w:tr>
      <w:tr>
        <w:trPr>
          <w:tblHeader w:val="false"/>
        </w:trPr>
        <w:tc>
          <w:tcPr>
            <w:tcW w:type="dxa" w:w="31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R2</w:t>
            </w:r>
          </w:p>
        </w:tc>
        <w:tc>
          <w:tcPr>
            <w:tcW w:type="dxa" w:w="31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4,649.09</w:t>
            </w:r>
          </w:p>
        </w:tc>
        <w:tc>
          <w:tcPr>
            <w:tcW w:type="dxa" w:w="31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Indicative</w:t>
            </w:r>
          </w:p>
        </w:tc>
      </w:tr>
      <w:tr>
        <w:trPr>
          <w:tblHeader w:val="false"/>
        </w:trPr>
        <w:tc>
          <w:tcPr>
            <w:tcW w:type="dxa" w:w="3120"/>
            <w:tcBorders>
              <w:top w:val="single" w:color="BFBFBF" w:sz="1"/>
              <w:left w:val="single" w:color="BFBFBF" w:sz="1"/>
              <w:bottom w:val="single" w:color="BFBFBF" w:sz="1"/>
              <w:right w:val="single" w:color="BFBFBF" w:sz="1"/>
            </w:tcBorders>
            <w:shd w:fill="F2F4F8" w:color="auto" w:val="clear"/>
            <w:tcMar>
              <w:top w:type="dxa" w:w="60"/>
              <w:left w:type="dxa" w:w="90"/>
              <w:bottom w:type="dxa" w:w="60"/>
              <w:right w:type="dxa" w:w="90"/>
            </w:tcMar>
            <w:vAlign w:val="center"/>
          </w:tcPr>
          <w:p>
            <w:pPr>
              <w:spacing w:after="0"/>
              <w:jc w:val="left"/>
            </w:pPr>
            <w:r>
              <w:rPr>
                <w:rFonts w:ascii="Calibri" w:cs="Calibri" w:eastAsia="Calibri" w:hAnsi="Calibri"/>
                <w:b/>
                <w:bCs/>
                <w:i w:val="false"/>
                <w:iCs w:val="false"/>
                <w:color w:val="1A1A1A"/>
                <w:sz w:val="17"/>
                <w:szCs w:val="17"/>
              </w:rPr>
              <w:t xml:space="preserve">R1</w:t>
            </w:r>
          </w:p>
        </w:tc>
        <w:tc>
          <w:tcPr>
            <w:tcW w:type="dxa" w:w="3120"/>
            <w:tcBorders>
              <w:top w:val="single" w:color="BFBFBF" w:sz="1"/>
              <w:left w:val="single" w:color="BFBFBF" w:sz="1"/>
              <w:bottom w:val="single" w:color="BFBFBF" w:sz="1"/>
              <w:right w:val="single" w:color="BFBFBF" w:sz="1"/>
            </w:tcBorders>
            <w:shd w:fill="F2F4F8" w:color="auto" w:val="clear"/>
            <w:tcMar>
              <w:top w:type="dxa" w:w="60"/>
              <w:left w:type="dxa" w:w="90"/>
              <w:bottom w:type="dxa" w:w="60"/>
              <w:right w:type="dxa" w:w="90"/>
            </w:tcMar>
            <w:vAlign w:val="center"/>
          </w:tcPr>
          <w:p>
            <w:pPr>
              <w:spacing w:after="0"/>
              <w:jc w:val="left"/>
            </w:pPr>
            <w:r>
              <w:rPr>
                <w:rFonts w:ascii="Calibri" w:cs="Calibri" w:eastAsia="Calibri" w:hAnsi="Calibri"/>
                <w:b/>
                <w:bCs/>
                <w:i w:val="false"/>
                <w:iCs w:val="false"/>
                <w:color w:val="1A1A1A"/>
                <w:sz w:val="17"/>
                <w:szCs w:val="17"/>
              </w:rPr>
              <w:t xml:space="preserve">4,582.92</w:t>
            </w:r>
          </w:p>
        </w:tc>
        <w:tc>
          <w:tcPr>
            <w:tcW w:type="dxa" w:w="3120"/>
            <w:tcBorders>
              <w:top w:val="single" w:color="BFBFBF" w:sz="1"/>
              <w:left w:val="single" w:color="BFBFBF" w:sz="1"/>
              <w:bottom w:val="single" w:color="BFBFBF" w:sz="1"/>
              <w:right w:val="single" w:color="BFBFBF" w:sz="1"/>
            </w:tcBorders>
            <w:shd w:fill="F2F4F8"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Indicative</w:t>
            </w:r>
          </w:p>
        </w:tc>
      </w:tr>
      <w:tr>
        <w:trPr>
          <w:tblHeader w:val="false"/>
        </w:trPr>
        <w:tc>
          <w:tcPr>
            <w:tcW w:type="dxa" w:w="3120"/>
            <w:tcBorders>
              <w:top w:val="single" w:color="BFBFBF" w:sz="1"/>
              <w:left w:val="single" w:color="BFBFBF" w:sz="1"/>
              <w:bottom w:val="single" w:color="BFBFBF" w:sz="1"/>
              <w:right w:val="single" w:color="BFBFBF" w:sz="1"/>
            </w:tcBorders>
            <w:shd w:fill="FFF2CC" w:color="auto" w:val="clear"/>
            <w:tcMar>
              <w:top w:type="dxa" w:w="60"/>
              <w:left w:type="dxa" w:w="90"/>
              <w:bottom w:type="dxa" w:w="60"/>
              <w:right w:type="dxa" w:w="90"/>
            </w:tcMar>
            <w:vAlign w:val="center"/>
          </w:tcPr>
          <w:p>
            <w:pPr>
              <w:spacing w:after="0"/>
              <w:jc w:val="left"/>
            </w:pPr>
            <w:r>
              <w:rPr>
                <w:rFonts w:ascii="Calibri" w:cs="Calibri" w:eastAsia="Calibri" w:hAnsi="Calibri"/>
                <w:b/>
                <w:bCs/>
                <w:i w:val="false"/>
                <w:iCs w:val="false"/>
                <w:color w:val="1A1A1A"/>
                <w:sz w:val="17"/>
                <w:szCs w:val="17"/>
              </w:rPr>
              <w:t xml:space="preserve">P</w:t>
            </w:r>
          </w:p>
        </w:tc>
        <w:tc>
          <w:tcPr>
            <w:tcW w:type="dxa" w:w="3120"/>
            <w:tcBorders>
              <w:top w:val="single" w:color="BFBFBF" w:sz="1"/>
              <w:left w:val="single" w:color="BFBFBF" w:sz="1"/>
              <w:bottom w:val="single" w:color="BFBFBF" w:sz="1"/>
              <w:right w:val="single" w:color="BFBFBF" w:sz="1"/>
            </w:tcBorders>
            <w:shd w:fill="FFF2CC" w:color="auto" w:val="clear"/>
            <w:tcMar>
              <w:top w:type="dxa" w:w="60"/>
              <w:left w:type="dxa" w:w="90"/>
              <w:bottom w:type="dxa" w:w="60"/>
              <w:right w:type="dxa" w:w="90"/>
            </w:tcMar>
            <w:vAlign w:val="center"/>
          </w:tcPr>
          <w:p>
            <w:pPr>
              <w:spacing w:after="0"/>
              <w:jc w:val="left"/>
            </w:pPr>
            <w:r>
              <w:rPr>
                <w:rFonts w:ascii="Calibri" w:cs="Calibri" w:eastAsia="Calibri" w:hAnsi="Calibri"/>
                <w:b/>
                <w:bCs/>
                <w:i w:val="false"/>
                <w:iCs w:val="false"/>
                <w:color w:val="1A1A1A"/>
                <w:sz w:val="17"/>
                <w:szCs w:val="17"/>
              </w:rPr>
              <w:t xml:space="preserve">4,518.53</w:t>
            </w:r>
          </w:p>
        </w:tc>
        <w:tc>
          <w:tcPr>
            <w:tcW w:type="dxa" w:w="3120"/>
            <w:tcBorders>
              <w:top w:val="single" w:color="BFBFBF" w:sz="1"/>
              <w:left w:val="single" w:color="BFBFBF" w:sz="1"/>
              <w:bottom w:val="single" w:color="BFBFBF" w:sz="1"/>
              <w:right w:val="single" w:color="BFBFBF" w:sz="1"/>
            </w:tcBorders>
            <w:shd w:fill="FFF2CC"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Indicative</w:t>
            </w:r>
          </w:p>
        </w:tc>
      </w:tr>
      <w:tr>
        <w:trPr>
          <w:tblHeader w:val="false"/>
        </w:trPr>
        <w:tc>
          <w:tcPr>
            <w:tcW w:type="dxa" w:w="3120"/>
            <w:tcBorders>
              <w:top w:val="single" w:color="BFBFBF" w:sz="1"/>
              <w:left w:val="single" w:color="BFBFBF" w:sz="1"/>
              <w:bottom w:val="single" w:color="BFBFBF" w:sz="1"/>
              <w:right w:val="single" w:color="BFBFBF" w:sz="1"/>
            </w:tcBorders>
            <w:shd w:fill="F2F4F8" w:color="auto" w:val="clear"/>
            <w:tcMar>
              <w:top w:type="dxa" w:w="60"/>
              <w:left w:type="dxa" w:w="90"/>
              <w:bottom w:type="dxa" w:w="60"/>
              <w:right w:type="dxa" w:w="90"/>
            </w:tcMar>
            <w:vAlign w:val="center"/>
          </w:tcPr>
          <w:p>
            <w:pPr>
              <w:spacing w:after="0"/>
              <w:jc w:val="left"/>
            </w:pPr>
            <w:r>
              <w:rPr>
                <w:rFonts w:ascii="Calibri" w:cs="Calibri" w:eastAsia="Calibri" w:hAnsi="Calibri"/>
                <w:b/>
                <w:bCs/>
                <w:i w:val="false"/>
                <w:iCs w:val="false"/>
                <w:color w:val="1A1A1A"/>
                <w:sz w:val="17"/>
                <w:szCs w:val="17"/>
              </w:rPr>
              <w:t xml:space="preserve">S1</w:t>
            </w:r>
          </w:p>
        </w:tc>
        <w:tc>
          <w:tcPr>
            <w:tcW w:type="dxa" w:w="3120"/>
            <w:tcBorders>
              <w:top w:val="single" w:color="BFBFBF" w:sz="1"/>
              <w:left w:val="single" w:color="BFBFBF" w:sz="1"/>
              <w:bottom w:val="single" w:color="BFBFBF" w:sz="1"/>
              <w:right w:val="single" w:color="BFBFBF" w:sz="1"/>
            </w:tcBorders>
            <w:shd w:fill="F2F4F8" w:color="auto" w:val="clear"/>
            <w:tcMar>
              <w:top w:type="dxa" w:w="60"/>
              <w:left w:type="dxa" w:w="90"/>
              <w:bottom w:type="dxa" w:w="60"/>
              <w:right w:type="dxa" w:w="90"/>
            </w:tcMar>
            <w:vAlign w:val="center"/>
          </w:tcPr>
          <w:p>
            <w:pPr>
              <w:spacing w:after="0"/>
              <w:jc w:val="left"/>
            </w:pPr>
            <w:r>
              <w:rPr>
                <w:rFonts w:ascii="Calibri" w:cs="Calibri" w:eastAsia="Calibri" w:hAnsi="Calibri"/>
                <w:b/>
                <w:bCs/>
                <w:i w:val="false"/>
                <w:iCs w:val="false"/>
                <w:color w:val="1A1A1A"/>
                <w:sz w:val="17"/>
                <w:szCs w:val="17"/>
              </w:rPr>
              <w:t xml:space="preserve">4,452.36</w:t>
            </w:r>
          </w:p>
        </w:tc>
        <w:tc>
          <w:tcPr>
            <w:tcW w:type="dxa" w:w="3120"/>
            <w:tcBorders>
              <w:top w:val="single" w:color="BFBFBF" w:sz="1"/>
              <w:left w:val="single" w:color="BFBFBF" w:sz="1"/>
              <w:bottom w:val="single" w:color="BFBFBF" w:sz="1"/>
              <w:right w:val="single" w:color="BFBFBF" w:sz="1"/>
            </w:tcBorders>
            <w:shd w:fill="F2F4F8"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Indicative</w:t>
            </w:r>
          </w:p>
        </w:tc>
      </w:tr>
      <w:tr>
        <w:trPr>
          <w:tblHeader w:val="false"/>
        </w:trPr>
        <w:tc>
          <w:tcPr>
            <w:tcW w:type="dxa" w:w="31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S2</w:t>
            </w:r>
          </w:p>
        </w:tc>
        <w:tc>
          <w:tcPr>
            <w:tcW w:type="dxa" w:w="31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4,387.97</w:t>
            </w:r>
          </w:p>
        </w:tc>
        <w:tc>
          <w:tcPr>
            <w:tcW w:type="dxa" w:w="31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Indicative</w:t>
            </w:r>
          </w:p>
        </w:tc>
      </w:tr>
      <w:tr>
        <w:trPr>
          <w:tblHeader w:val="false"/>
        </w:trPr>
        <w:tc>
          <w:tcPr>
            <w:tcW w:type="dxa" w:w="3120"/>
            <w:tcBorders>
              <w:top w:val="single" w:color="BFBFBF" w:sz="1"/>
              <w:left w:val="single" w:color="BFBFBF" w:sz="1"/>
              <w:bottom w:val="single" w:color="BFBFBF" w:sz="1"/>
              <w:right w:val="single" w:color="BFBFBF" w:sz="1"/>
            </w:tcBorders>
            <w:shd w:fill="F2F4F8"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S3</w:t>
            </w:r>
          </w:p>
        </w:tc>
        <w:tc>
          <w:tcPr>
            <w:tcW w:type="dxa" w:w="3120"/>
            <w:tcBorders>
              <w:top w:val="single" w:color="BFBFBF" w:sz="1"/>
              <w:left w:val="single" w:color="BFBFBF" w:sz="1"/>
              <w:bottom w:val="single" w:color="BFBFBF" w:sz="1"/>
              <w:right w:val="single" w:color="BFBFBF" w:sz="1"/>
            </w:tcBorders>
            <w:shd w:fill="F2F4F8"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4,321.80</w:t>
            </w:r>
          </w:p>
        </w:tc>
        <w:tc>
          <w:tcPr>
            <w:tcW w:type="dxa" w:w="3120"/>
            <w:tcBorders>
              <w:top w:val="single" w:color="BFBFBF" w:sz="1"/>
              <w:left w:val="single" w:color="BFBFBF" w:sz="1"/>
              <w:bottom w:val="single" w:color="BFBFBF" w:sz="1"/>
              <w:right w:val="single" w:color="BFBFBF" w:sz="1"/>
            </w:tcBorders>
            <w:shd w:fill="F2F4F8"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Indicative</w:t>
            </w:r>
          </w:p>
        </w:tc>
      </w:tr>
    </w:tbl>
    <w:p>
      <w:pPr>
        <w:spacing w:after="80" w:before="0"/>
        <w:jc w:val="left"/>
      </w:pPr>
      <w:r>
        <w:rPr>
          <w:rFonts w:ascii="Calibri" w:cs="Calibri" w:eastAsia="Calibri" w:hAnsi="Calibri"/>
          <w:b w:val="false"/>
          <w:bCs w:val="false"/>
          <w:i/>
          <w:iCs/>
          <w:color w:val="1A1A1A"/>
          <w:sz w:val="18"/>
          <w:szCs w:val="18"/>
        </w:rPr>
        <w:t xml:space="preserve">Weekly levels are marked indicative because the prior-week High and Low draw on the 19–21 May sessions whose intraday extremes are single-source (see §19). They are used for directional context and chart structure, not for level-based limit-order placement.</w:t>
      </w:r>
    </w:p>
    <w:p>
      <w:pPr>
        <w:pStyle w:val="Heading2"/>
        <w:spacing w:after="80" w:before="160"/>
      </w:pPr>
      <w:r>
        <w:rPr>
          <w:rFonts w:ascii="Calibri" w:cs="Calibri" w:eastAsia="Calibri" w:hAnsi="Calibri"/>
          <w:b/>
          <w:bCs/>
          <w:color w:val="404040"/>
          <w:sz w:val="23"/>
          <w:szCs w:val="23"/>
        </w:rPr>
        <w:t xml:space="preserve">11.3  Monthly Pivots — May (from April H/L/C)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1"/>
              <w:left w:val="single" w:color="BFBFBF" w:sz="1"/>
              <w:bottom w:val="single" w:color="BFBFBF" w:sz="1"/>
              <w:right w:val="single" w:color="BFBFBF" w:sz="1"/>
            </w:tcBorders>
            <w:shd w:fill="1F3864" w:color="auto" w:val="clear"/>
            <w:tcMar>
              <w:top w:type="dxa" w:w="60"/>
              <w:left w:type="dxa" w:w="90"/>
              <w:bottom w:type="dxa" w:w="60"/>
              <w:right w:type="dxa" w:w="90"/>
            </w:tcMar>
            <w:vAlign w:val="center"/>
          </w:tcPr>
          <w:p>
            <w:pPr>
              <w:spacing w:after="0"/>
              <w:jc w:val="center"/>
            </w:pPr>
            <w:r>
              <w:rPr>
                <w:rFonts w:ascii="Calibri" w:cs="Calibri" w:eastAsia="Calibri" w:hAnsi="Calibri"/>
                <w:b/>
                <w:bCs/>
                <w:i w:val="false"/>
                <w:iCs w:val="false"/>
                <w:color w:val="FFFFFF"/>
                <w:sz w:val="17"/>
                <w:szCs w:val="17"/>
              </w:rPr>
              <w:t xml:space="preserve">Level</w:t>
            </w:r>
          </w:p>
        </w:tc>
        <w:tc>
          <w:tcPr>
            <w:tcW w:type="dxa" w:w="3120"/>
            <w:tcBorders>
              <w:top w:val="single" w:color="BFBFBF" w:sz="1"/>
              <w:left w:val="single" w:color="BFBFBF" w:sz="1"/>
              <w:bottom w:val="single" w:color="BFBFBF" w:sz="1"/>
              <w:right w:val="single" w:color="BFBFBF" w:sz="1"/>
            </w:tcBorders>
            <w:shd w:fill="1F3864" w:color="auto" w:val="clear"/>
            <w:tcMar>
              <w:top w:type="dxa" w:w="60"/>
              <w:left w:type="dxa" w:w="90"/>
              <w:bottom w:type="dxa" w:w="60"/>
              <w:right w:type="dxa" w:w="90"/>
            </w:tcMar>
            <w:vAlign w:val="center"/>
          </w:tcPr>
          <w:p>
            <w:pPr>
              <w:spacing w:after="0"/>
              <w:jc w:val="center"/>
            </w:pPr>
            <w:r>
              <w:rPr>
                <w:rFonts w:ascii="Calibri" w:cs="Calibri" w:eastAsia="Calibri" w:hAnsi="Calibri"/>
                <w:b/>
                <w:bCs/>
                <w:i w:val="false"/>
                <w:iCs w:val="false"/>
                <w:color w:val="FFFFFF"/>
                <w:sz w:val="17"/>
                <w:szCs w:val="17"/>
              </w:rPr>
              <w:t xml:space="preserve">Price (USD/oz)</w:t>
            </w:r>
          </w:p>
        </w:tc>
        <w:tc>
          <w:tcPr>
            <w:tcW w:type="dxa" w:w="3120"/>
            <w:tcBorders>
              <w:top w:val="single" w:color="BFBFBF" w:sz="1"/>
              <w:left w:val="single" w:color="BFBFBF" w:sz="1"/>
              <w:bottom w:val="single" w:color="BFBFBF" w:sz="1"/>
              <w:right w:val="single" w:color="BFBFBF" w:sz="1"/>
            </w:tcBorders>
            <w:shd w:fill="1F3864" w:color="auto" w:val="clear"/>
            <w:tcMar>
              <w:top w:type="dxa" w:w="60"/>
              <w:left w:type="dxa" w:w="90"/>
              <w:bottom w:type="dxa" w:w="60"/>
              <w:right w:type="dxa" w:w="90"/>
            </w:tcMar>
            <w:vAlign w:val="center"/>
          </w:tcPr>
          <w:p>
            <w:pPr>
              <w:spacing w:after="0"/>
              <w:jc w:val="center"/>
            </w:pPr>
            <w:r>
              <w:rPr>
                <w:rFonts w:ascii="Calibri" w:cs="Calibri" w:eastAsia="Calibri" w:hAnsi="Calibri"/>
                <w:b/>
                <w:bCs/>
                <w:i w:val="false"/>
                <w:iCs w:val="false"/>
                <w:color w:val="FFFFFF"/>
                <w:sz w:val="17"/>
                <w:szCs w:val="17"/>
              </w:rPr>
              <w:t xml:space="preserve">Status</w:t>
            </w:r>
          </w:p>
        </w:tc>
      </w:tr>
      <w:tr>
        <w:trPr>
          <w:tblHeader w:val="false"/>
        </w:trPr>
        <w:tc>
          <w:tcPr>
            <w:tcW w:type="dxa" w:w="3120"/>
            <w:tcBorders>
              <w:top w:val="single" w:color="BFBFBF" w:sz="1"/>
              <w:left w:val="single" w:color="BFBFBF" w:sz="1"/>
              <w:bottom w:val="single" w:color="BFBFBF" w:sz="1"/>
              <w:right w:val="single" w:color="BFBFBF" w:sz="1"/>
            </w:tcBorders>
            <w:shd w:fill="F2F4F8"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R3</w:t>
            </w:r>
          </w:p>
        </w:tc>
        <w:tc>
          <w:tcPr>
            <w:tcW w:type="dxa" w:w="3120"/>
            <w:tcBorders>
              <w:top w:val="single" w:color="BFBFBF" w:sz="1"/>
              <w:left w:val="single" w:color="BFBFBF" w:sz="1"/>
              <w:bottom w:val="single" w:color="BFBFBF" w:sz="1"/>
              <w:right w:val="single" w:color="BFBFBF" w:sz="1"/>
            </w:tcBorders>
            <w:shd w:fill="F2F4F8"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5,217.95</w:t>
            </w:r>
          </w:p>
        </w:tc>
        <w:tc>
          <w:tcPr>
            <w:tcW w:type="dxa" w:w="3120"/>
            <w:tcBorders>
              <w:top w:val="single" w:color="BFBFBF" w:sz="1"/>
              <w:left w:val="single" w:color="BFBFBF" w:sz="1"/>
              <w:bottom w:val="single" w:color="BFBFBF" w:sz="1"/>
              <w:right w:val="single" w:color="BFBFBF" w:sz="1"/>
            </w:tcBorders>
            <w:shd w:fill="F2F4F8"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Corroborated</w:t>
            </w:r>
          </w:p>
        </w:tc>
      </w:tr>
      <w:tr>
        <w:trPr>
          <w:tblHeader w:val="false"/>
        </w:trPr>
        <w:tc>
          <w:tcPr>
            <w:tcW w:type="dxa" w:w="31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R2</w:t>
            </w:r>
          </w:p>
        </w:tc>
        <w:tc>
          <w:tcPr>
            <w:tcW w:type="dxa" w:w="31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5,053.82</w:t>
            </w:r>
          </w:p>
        </w:tc>
        <w:tc>
          <w:tcPr>
            <w:tcW w:type="dxa" w:w="31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Corroborated</w:t>
            </w:r>
          </w:p>
        </w:tc>
      </w:tr>
      <w:tr>
        <w:trPr>
          <w:tblHeader w:val="false"/>
        </w:trPr>
        <w:tc>
          <w:tcPr>
            <w:tcW w:type="dxa" w:w="3120"/>
            <w:tcBorders>
              <w:top w:val="single" w:color="BFBFBF" w:sz="1"/>
              <w:left w:val="single" w:color="BFBFBF" w:sz="1"/>
              <w:bottom w:val="single" w:color="BFBFBF" w:sz="1"/>
              <w:right w:val="single" w:color="BFBFBF" w:sz="1"/>
            </w:tcBorders>
            <w:shd w:fill="F2F4F8"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R1</w:t>
            </w:r>
          </w:p>
        </w:tc>
        <w:tc>
          <w:tcPr>
            <w:tcW w:type="dxa" w:w="3120"/>
            <w:tcBorders>
              <w:top w:val="single" w:color="BFBFBF" w:sz="1"/>
              <w:left w:val="single" w:color="BFBFBF" w:sz="1"/>
              <w:bottom w:val="single" w:color="BFBFBF" w:sz="1"/>
              <w:right w:val="single" w:color="BFBFBF" w:sz="1"/>
            </w:tcBorders>
            <w:shd w:fill="F2F4F8"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4,838.21</w:t>
            </w:r>
          </w:p>
        </w:tc>
        <w:tc>
          <w:tcPr>
            <w:tcW w:type="dxa" w:w="3120"/>
            <w:tcBorders>
              <w:top w:val="single" w:color="BFBFBF" w:sz="1"/>
              <w:left w:val="single" w:color="BFBFBF" w:sz="1"/>
              <w:bottom w:val="single" w:color="BFBFBF" w:sz="1"/>
              <w:right w:val="single" w:color="BFBFBF" w:sz="1"/>
            </w:tcBorders>
            <w:shd w:fill="F2F4F8"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Corroborated</w:t>
            </w:r>
          </w:p>
        </w:tc>
      </w:tr>
      <w:tr>
        <w:trPr>
          <w:tblHeader w:val="false"/>
        </w:trPr>
        <w:tc>
          <w:tcPr>
            <w:tcW w:type="dxa" w:w="3120"/>
            <w:tcBorders>
              <w:top w:val="single" w:color="BFBFBF" w:sz="1"/>
              <w:left w:val="single" w:color="BFBFBF" w:sz="1"/>
              <w:bottom w:val="single" w:color="BFBFBF" w:sz="1"/>
              <w:right w:val="single" w:color="BFBFBF" w:sz="1"/>
            </w:tcBorders>
            <w:shd w:fill="FFF2CC" w:color="auto" w:val="clear"/>
            <w:tcMar>
              <w:top w:type="dxa" w:w="60"/>
              <w:left w:type="dxa" w:w="90"/>
              <w:bottom w:type="dxa" w:w="60"/>
              <w:right w:type="dxa" w:w="90"/>
            </w:tcMar>
            <w:vAlign w:val="center"/>
          </w:tcPr>
          <w:p>
            <w:pPr>
              <w:spacing w:after="0"/>
              <w:jc w:val="left"/>
            </w:pPr>
            <w:r>
              <w:rPr>
                <w:rFonts w:ascii="Calibri" w:cs="Calibri" w:eastAsia="Calibri" w:hAnsi="Calibri"/>
                <w:b/>
                <w:bCs/>
                <w:i w:val="false"/>
                <w:iCs w:val="false"/>
                <w:color w:val="1A1A1A"/>
                <w:sz w:val="17"/>
                <w:szCs w:val="17"/>
              </w:rPr>
              <w:t xml:space="preserve">P</w:t>
            </w:r>
          </w:p>
        </w:tc>
        <w:tc>
          <w:tcPr>
            <w:tcW w:type="dxa" w:w="3120"/>
            <w:tcBorders>
              <w:top w:val="single" w:color="BFBFBF" w:sz="1"/>
              <w:left w:val="single" w:color="BFBFBF" w:sz="1"/>
              <w:bottom w:val="single" w:color="BFBFBF" w:sz="1"/>
              <w:right w:val="single" w:color="BFBFBF" w:sz="1"/>
            </w:tcBorders>
            <w:shd w:fill="FFF2CC" w:color="auto" w:val="clear"/>
            <w:tcMar>
              <w:top w:type="dxa" w:w="60"/>
              <w:left w:type="dxa" w:w="90"/>
              <w:bottom w:type="dxa" w:w="60"/>
              <w:right w:type="dxa" w:w="90"/>
            </w:tcMar>
            <w:vAlign w:val="center"/>
          </w:tcPr>
          <w:p>
            <w:pPr>
              <w:spacing w:after="0"/>
              <w:jc w:val="left"/>
            </w:pPr>
            <w:r>
              <w:rPr>
                <w:rFonts w:ascii="Calibri" w:cs="Calibri" w:eastAsia="Calibri" w:hAnsi="Calibri"/>
                <w:b/>
                <w:bCs/>
                <w:i w:val="false"/>
                <w:iCs w:val="false"/>
                <w:color w:val="1A1A1A"/>
                <w:sz w:val="17"/>
                <w:szCs w:val="17"/>
              </w:rPr>
              <w:t xml:space="preserve">4,674.08</w:t>
            </w:r>
          </w:p>
        </w:tc>
        <w:tc>
          <w:tcPr>
            <w:tcW w:type="dxa" w:w="3120"/>
            <w:tcBorders>
              <w:top w:val="single" w:color="BFBFBF" w:sz="1"/>
              <w:left w:val="single" w:color="BFBFBF" w:sz="1"/>
              <w:bottom w:val="single" w:color="BFBFBF" w:sz="1"/>
              <w:right w:val="single" w:color="BFBFBF" w:sz="1"/>
            </w:tcBorders>
            <w:shd w:fill="FFF2CC"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Corroborated</w:t>
            </w:r>
          </w:p>
        </w:tc>
      </w:tr>
      <w:tr>
        <w:trPr>
          <w:tblHeader w:val="false"/>
        </w:trPr>
        <w:tc>
          <w:tcPr>
            <w:tcW w:type="dxa" w:w="3120"/>
            <w:tcBorders>
              <w:top w:val="single" w:color="BFBFBF" w:sz="1"/>
              <w:left w:val="single" w:color="BFBFBF" w:sz="1"/>
              <w:bottom w:val="single" w:color="BFBFBF" w:sz="1"/>
              <w:right w:val="single" w:color="BFBFBF" w:sz="1"/>
            </w:tcBorders>
            <w:shd w:fill="F2F4F8" w:color="auto" w:val="clear"/>
            <w:tcMar>
              <w:top w:type="dxa" w:w="60"/>
              <w:left w:type="dxa" w:w="90"/>
              <w:bottom w:type="dxa" w:w="60"/>
              <w:right w:type="dxa" w:w="90"/>
            </w:tcMar>
            <w:vAlign w:val="center"/>
          </w:tcPr>
          <w:p>
            <w:pPr>
              <w:spacing w:after="0"/>
              <w:jc w:val="left"/>
            </w:pPr>
            <w:r>
              <w:rPr>
                <w:rFonts w:ascii="Calibri" w:cs="Calibri" w:eastAsia="Calibri" w:hAnsi="Calibri"/>
                <w:b/>
                <w:bCs/>
                <w:i w:val="false"/>
                <w:iCs w:val="false"/>
                <w:color w:val="1A1A1A"/>
                <w:sz w:val="17"/>
                <w:szCs w:val="17"/>
              </w:rPr>
              <w:t xml:space="preserve">S1</w:t>
            </w:r>
          </w:p>
        </w:tc>
        <w:tc>
          <w:tcPr>
            <w:tcW w:type="dxa" w:w="3120"/>
            <w:tcBorders>
              <w:top w:val="single" w:color="BFBFBF" w:sz="1"/>
              <w:left w:val="single" w:color="BFBFBF" w:sz="1"/>
              <w:bottom w:val="single" w:color="BFBFBF" w:sz="1"/>
              <w:right w:val="single" w:color="BFBFBF" w:sz="1"/>
            </w:tcBorders>
            <w:shd w:fill="F2F4F8" w:color="auto" w:val="clear"/>
            <w:tcMar>
              <w:top w:type="dxa" w:w="60"/>
              <w:left w:type="dxa" w:w="90"/>
              <w:bottom w:type="dxa" w:w="60"/>
              <w:right w:type="dxa" w:w="90"/>
            </w:tcMar>
            <w:vAlign w:val="center"/>
          </w:tcPr>
          <w:p>
            <w:pPr>
              <w:spacing w:after="0"/>
              <w:jc w:val="left"/>
            </w:pPr>
            <w:r>
              <w:rPr>
                <w:rFonts w:ascii="Calibri" w:cs="Calibri" w:eastAsia="Calibri" w:hAnsi="Calibri"/>
                <w:b/>
                <w:bCs/>
                <w:i w:val="false"/>
                <w:iCs w:val="false"/>
                <w:color w:val="1A1A1A"/>
                <w:sz w:val="17"/>
                <w:szCs w:val="17"/>
              </w:rPr>
              <w:t xml:space="preserve">4,458.47</w:t>
            </w:r>
          </w:p>
        </w:tc>
        <w:tc>
          <w:tcPr>
            <w:tcW w:type="dxa" w:w="3120"/>
            <w:tcBorders>
              <w:top w:val="single" w:color="BFBFBF" w:sz="1"/>
              <w:left w:val="single" w:color="BFBFBF" w:sz="1"/>
              <w:bottom w:val="single" w:color="BFBFBF" w:sz="1"/>
              <w:right w:val="single" w:color="BFBFBF" w:sz="1"/>
            </w:tcBorders>
            <w:shd w:fill="F2F4F8"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Corroborated</w:t>
            </w:r>
          </w:p>
        </w:tc>
      </w:tr>
      <w:tr>
        <w:trPr>
          <w:tblHeader w:val="false"/>
        </w:trPr>
        <w:tc>
          <w:tcPr>
            <w:tcW w:type="dxa" w:w="31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S2</w:t>
            </w:r>
          </w:p>
        </w:tc>
        <w:tc>
          <w:tcPr>
            <w:tcW w:type="dxa" w:w="31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4,294.34</w:t>
            </w:r>
          </w:p>
        </w:tc>
        <w:tc>
          <w:tcPr>
            <w:tcW w:type="dxa" w:w="31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Corroborated</w:t>
            </w:r>
          </w:p>
        </w:tc>
      </w:tr>
      <w:tr>
        <w:trPr>
          <w:tblHeader w:val="false"/>
        </w:trPr>
        <w:tc>
          <w:tcPr>
            <w:tcW w:type="dxa" w:w="3120"/>
            <w:tcBorders>
              <w:top w:val="single" w:color="BFBFBF" w:sz="1"/>
              <w:left w:val="single" w:color="BFBFBF" w:sz="1"/>
              <w:bottom w:val="single" w:color="BFBFBF" w:sz="1"/>
              <w:right w:val="single" w:color="BFBFBF" w:sz="1"/>
            </w:tcBorders>
            <w:shd w:fill="F2F4F8"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S3</w:t>
            </w:r>
          </w:p>
        </w:tc>
        <w:tc>
          <w:tcPr>
            <w:tcW w:type="dxa" w:w="3120"/>
            <w:tcBorders>
              <w:top w:val="single" w:color="BFBFBF" w:sz="1"/>
              <w:left w:val="single" w:color="BFBFBF" w:sz="1"/>
              <w:bottom w:val="single" w:color="BFBFBF" w:sz="1"/>
              <w:right w:val="single" w:color="BFBFBF" w:sz="1"/>
            </w:tcBorders>
            <w:shd w:fill="F2F4F8"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4,078.73</w:t>
            </w:r>
          </w:p>
        </w:tc>
        <w:tc>
          <w:tcPr>
            <w:tcW w:type="dxa" w:w="3120"/>
            <w:tcBorders>
              <w:top w:val="single" w:color="BFBFBF" w:sz="1"/>
              <w:left w:val="single" w:color="BFBFBF" w:sz="1"/>
              <w:bottom w:val="single" w:color="BFBFBF" w:sz="1"/>
              <w:right w:val="single" w:color="BFBFBF" w:sz="1"/>
            </w:tcBorders>
            <w:shd w:fill="F2F4F8"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Corroborated</w:t>
            </w:r>
          </w:p>
        </w:tc>
      </w:tr>
    </w:tbl>
    <w:p>
      <w:pPr>
        <w:spacing w:after="100" w:before="0"/>
        <w:jc w:val="left"/>
      </w:pPr>
      <w:r>
        <w:rPr>
          <w:rFonts w:ascii="Calibri" w:cs="Calibri" w:eastAsia="Calibri" w:hAnsi="Calibri"/>
          <w:b/>
          <w:bCs/>
          <w:i w:val="false"/>
          <w:iCs w:val="false"/>
          <w:color w:val="1A1A1A"/>
          <w:sz w:val="21"/>
          <w:szCs w:val="21"/>
        </w:rPr>
        <w:t xml:space="preserve">Position narrative. </w:t>
      </w:r>
      <w:r>
        <w:rPr>
          <w:rFonts w:ascii="Calibri" w:cs="Calibri" w:eastAsia="Calibri" w:hAnsi="Calibri"/>
          <w:b w:val="false"/>
          <w:bCs w:val="false"/>
          <w:i w:val="false"/>
          <w:iCs w:val="false"/>
          <w:color w:val="1A1A1A"/>
          <w:sz w:val="21"/>
          <w:szCs w:val="21"/>
        </w:rPr>
        <w:t xml:space="preserve">The 25 May close (USD 4,562.69) sits just above the daily pivot (4,556.70) and just below the weekly R1 (4,582.92) — a near-pivot, lower-of-the-band position on the daily frame but pressing the underside of weekly resistance. On the monthly frame the close sits well below the monthly pivot (4,674.08) and just above monthly S1 (4,458.47), confirming the medium-term Range-Bottom bias. A notable confluence zone sits at USD 4,455–4,460, where daily S2 (4,459.50), weekly S1 (4,452.36) and monthly S1 (4,458.47) cluster within roughly 0.15% of each other — a strong, multi-timeframe support shelf and the natural downside reference for the strategy module.</w:t>
      </w:r>
    </w:p>
    <w:p>
      <w:r>
        <w:br w:type="page"/>
      </w:r>
    </w:p>
    <w:p>
      <w:pPr>
        <w:pStyle w:val="Heading1"/>
        <w:pBdr>
          <w:bottom w:val="single" w:color="1F3864" w:sz="6" w:space="2"/>
        </w:pBdr>
        <w:spacing w:after="120" w:before="240"/>
      </w:pPr>
      <w:r>
        <w:rPr>
          <w:rFonts w:ascii="Calibri" w:cs="Calibri" w:eastAsia="Calibri" w:hAnsi="Calibri"/>
          <w:b/>
          <w:bCs/>
          <w:color w:val="1F3864"/>
          <w:sz w:val="28"/>
          <w:szCs w:val="28"/>
        </w:rPr>
        <w:t xml:space="preserve">12.  Key Market Considerations</w:t>
      </w:r>
    </w:p>
    <w:p>
      <w:pPr>
        <w:spacing w:after="100" w:before="0"/>
        <w:jc w:val="left"/>
      </w:pPr>
      <w:r>
        <w:rPr>
          <w:rFonts w:ascii="Calibri" w:cs="Calibri" w:eastAsia="Calibri" w:hAnsi="Calibri"/>
          <w:b/>
          <w:bCs/>
          <w:i w:val="false"/>
          <w:iCs w:val="false"/>
          <w:color w:val="1A1A1A"/>
          <w:sz w:val="21"/>
          <w:szCs w:val="21"/>
        </w:rPr>
        <w:t xml:space="preserve">Demand — central-bank and physical (price-supportive; structural). </w:t>
      </w:r>
      <w:r>
        <w:rPr>
          <w:rFonts w:ascii="Calibri" w:cs="Calibri" w:eastAsia="Calibri" w:hAnsi="Calibri"/>
          <w:b w:val="false"/>
          <w:bCs w:val="false"/>
          <w:i w:val="false"/>
          <w:iCs w:val="false"/>
          <w:color w:val="1A1A1A"/>
          <w:sz w:val="21"/>
          <w:szCs w:val="21"/>
        </w:rPr>
        <w:t xml:space="preserve">The People's Bank of China extended its reported gold-buying streak to a 17th consecutive month through April, and physical dealers in Europe and Asia reported improved inquiry as the dollar softened and made gold cheaper in local currencies. Structural official-sector accumulation continues to provide a demand floor. Indian retail demand remains subdued on import duties and price sensitivity — a partial offset, not a reversal.</w:t>
      </w:r>
    </w:p>
    <w:p>
      <w:pPr>
        <w:spacing w:after="100" w:before="0"/>
        <w:jc w:val="left"/>
      </w:pPr>
      <w:r>
        <w:rPr>
          <w:rFonts w:ascii="Calibri" w:cs="Calibri" w:eastAsia="Calibri" w:hAnsi="Calibri"/>
          <w:b/>
          <w:bCs/>
          <w:i w:val="false"/>
          <w:iCs w:val="false"/>
          <w:color w:val="1A1A1A"/>
          <w:sz w:val="21"/>
          <w:szCs w:val="21"/>
        </w:rPr>
        <w:t xml:space="preserve">Macro / real yields (cyclical; recently turned price-supportive). </w:t>
      </w:r>
      <w:r>
        <w:rPr>
          <w:rFonts w:ascii="Calibri" w:cs="Calibri" w:eastAsia="Calibri" w:hAnsi="Calibri"/>
          <w:b w:val="false"/>
          <w:bCs w:val="false"/>
          <w:i w:val="false"/>
          <w:iCs w:val="false"/>
          <w:color w:val="1A1A1A"/>
          <w:sz w:val="21"/>
          <w:szCs w:val="21"/>
        </w:rPr>
        <w:t xml:space="preserve">The dominant swing factor through May was the inflation-and-rate-hike thread: an oil spike toward four-year highs on US–Iran conflict risk lifted inflation expectations and revived talk of a 2026 Fed rate hike, pushing real yields up and pressuring the non-yielding metal. The weekend de-escalation signal reversed this — crude fell sharply into 25 May, easing the inflation impulse and the hawkish-Fed risk, which is the proximate cause of gold's recovery.</w:t>
      </w:r>
    </w:p>
    <w:p>
      <w:pPr>
        <w:spacing w:after="100" w:before="0"/>
        <w:jc w:val="left"/>
      </w:pPr>
      <w:r>
        <w:rPr>
          <w:rFonts w:ascii="Calibri" w:cs="Calibri" w:eastAsia="Calibri" w:hAnsi="Calibri"/>
          <w:b/>
          <w:bCs/>
          <w:i w:val="false"/>
          <w:iCs w:val="false"/>
          <w:color w:val="1A1A1A"/>
          <w:sz w:val="21"/>
          <w:szCs w:val="21"/>
        </w:rPr>
        <w:t xml:space="preserve">Policy / monetary (cyclical; mildly price-negative). </w:t>
      </w:r>
      <w:r>
        <w:rPr>
          <w:rFonts w:ascii="Calibri" w:cs="Calibri" w:eastAsia="Calibri" w:hAnsi="Calibri"/>
          <w:b w:val="false"/>
          <w:bCs w:val="false"/>
          <w:i w:val="false"/>
          <w:iCs w:val="false"/>
          <w:color w:val="1A1A1A"/>
          <w:sz w:val="21"/>
          <w:szCs w:val="21"/>
        </w:rPr>
        <w:t xml:space="preserve">Market pricing assigns only a small probability to a near-term Fed cut, with the large majority expecting rates held; a hawkish-leaning Fed leadership backdrop keeps a lid on how far the metal can run on the easing-of-fear narrative alone. This is a cap on upside, not an active downward force at current levels.</w:t>
      </w:r>
    </w:p>
    <w:p>
      <w:pPr>
        <w:spacing w:after="100" w:before="0"/>
        <w:jc w:val="left"/>
      </w:pPr>
      <w:r>
        <w:rPr>
          <w:rFonts w:ascii="Calibri" w:cs="Calibri" w:eastAsia="Calibri" w:hAnsi="Calibri"/>
          <w:b/>
          <w:bCs/>
          <w:i w:val="false"/>
          <w:iCs w:val="false"/>
          <w:color w:val="1A1A1A"/>
          <w:sz w:val="21"/>
          <w:szCs w:val="21"/>
        </w:rPr>
        <w:t xml:space="preserve">Substitution / spreads (neutral). </w:t>
      </w:r>
      <w:r>
        <w:rPr>
          <w:rFonts w:ascii="Calibri" w:cs="Calibri" w:eastAsia="Calibri" w:hAnsi="Calibri"/>
          <w:b w:val="false"/>
          <w:bCs w:val="false"/>
          <w:i w:val="false"/>
          <w:iCs w:val="false"/>
          <w:color w:val="1A1A1A"/>
          <w:sz w:val="21"/>
          <w:szCs w:val="21"/>
        </w:rPr>
        <w:t xml:space="preserve">The gold/silver ratio compressed to roughly 58.9 as silver outpaced gold on the rebound; platinum moved with the complex. Inter-metal spreads show a unified precious-metals bid rather than rotation, so substitution dynamics are neutral for gold specifically.</w:t>
      </w:r>
    </w:p>
    <w:p>
      <w:pPr>
        <w:spacing w:after="100" w:before="0"/>
        <w:jc w:val="left"/>
      </w:pPr>
      <w:r>
        <w:rPr>
          <w:rFonts w:ascii="Calibri" w:cs="Calibri" w:eastAsia="Calibri" w:hAnsi="Calibri"/>
          <w:b/>
          <w:bCs/>
          <w:i w:val="false"/>
          <w:iCs w:val="false"/>
          <w:color w:val="1A1A1A"/>
          <w:sz w:val="21"/>
          <w:szCs w:val="21"/>
        </w:rPr>
        <w:t xml:space="preserve">FX (price-supportive; cyclical). </w:t>
      </w:r>
      <w:r>
        <w:rPr>
          <w:rFonts w:ascii="Calibri" w:cs="Calibri" w:eastAsia="Calibri" w:hAnsi="Calibri"/>
          <w:b w:val="false"/>
          <w:bCs w:val="false"/>
          <w:i w:val="false"/>
          <w:iCs w:val="false"/>
          <w:color w:val="1A1A1A"/>
          <w:sz w:val="21"/>
          <w:szCs w:val="21"/>
        </w:rPr>
        <w:t xml:space="preserve">Dollar give-back on the de-escalation catalyst was a direct mechanical tailwind — see the USDX read in §10.</w:t>
      </w:r>
    </w:p>
    <w:p>
      <w:pPr>
        <w:spacing w:after="100" w:before="0"/>
        <w:jc w:val="left"/>
      </w:pPr>
      <w:r>
        <w:rPr>
          <w:rFonts w:ascii="Calibri" w:cs="Calibri" w:eastAsia="Calibri" w:hAnsi="Calibri"/>
          <w:b/>
          <w:bCs/>
          <w:i w:val="false"/>
          <w:iCs w:val="false"/>
          <w:color w:val="1A1A1A"/>
          <w:sz w:val="21"/>
          <w:szCs w:val="21"/>
        </w:rPr>
        <w:t xml:space="preserve">Near-term catalysts. </w:t>
      </w:r>
      <w:r>
        <w:rPr>
          <w:rFonts w:ascii="Calibri" w:cs="Calibri" w:eastAsia="Calibri" w:hAnsi="Calibri"/>
          <w:b w:val="false"/>
          <w:bCs w:val="false"/>
          <w:i w:val="false"/>
          <w:iCs w:val="false"/>
          <w:color w:val="1A1A1A"/>
          <w:sz w:val="21"/>
          <w:szCs w:val="21"/>
        </w:rPr>
        <w:t xml:space="preserve">The five-session horizon is dominated by the 28 May US Q1 GDP second estimate and weekly jobless claims (see §13d). Any further hard news on the US–Iran track — confirmation or collapse of an MOU on the Strait of Hormuz — is the principal unscheduled catalyst and would move crude, the dollar, and gold together.</w:t>
      </w:r>
    </w:p>
    <w:p>
      <w:pPr>
        <w:pStyle w:val="Heading1"/>
        <w:pBdr>
          <w:bottom w:val="single" w:color="1F3864" w:sz="6" w:space="2"/>
        </w:pBdr>
        <w:spacing w:after="120" w:before="240"/>
      </w:pPr>
      <w:r>
        <w:rPr>
          <w:rFonts w:ascii="Calibri" w:cs="Calibri" w:eastAsia="Calibri" w:hAnsi="Calibri"/>
          <w:b/>
          <w:bCs/>
          <w:color w:val="1F3864"/>
          <w:sz w:val="28"/>
          <w:szCs w:val="28"/>
        </w:rPr>
        <w:t xml:space="preserve">13.  Sentiment, News &amp; Calendar</w:t>
      </w:r>
    </w:p>
    <w:p>
      <w:pPr>
        <w:pStyle w:val="Heading2"/>
        <w:spacing w:after="80" w:before="160"/>
      </w:pPr>
      <w:r>
        <w:rPr>
          <w:rFonts w:ascii="Calibri" w:cs="Calibri" w:eastAsia="Calibri" w:hAnsi="Calibri"/>
          <w:b/>
          <w:bCs/>
          <w:color w:val="404040"/>
          <w:sz w:val="23"/>
          <w:szCs w:val="23"/>
        </w:rPr>
        <w:t xml:space="preserve">13a  Per-Article Sentiment Table</w:t>
      </w:r>
    </w:p>
    <w:p>
      <w:pPr>
        <w:spacing w:after="60" w:before="0"/>
        <w:jc w:val="left"/>
      </w:pPr>
      <w:r>
        <w:rPr>
          <w:rFonts w:ascii="Calibri" w:cs="Calibri" w:eastAsia="Calibri" w:hAnsi="Calibri"/>
          <w:b w:val="false"/>
          <w:bCs w:val="false"/>
          <w:i/>
          <w:iCs/>
          <w:color w:val="1A1A1A"/>
          <w:sz w:val="18"/>
          <w:szCs w:val="18"/>
        </w:rPr>
        <w:t xml:space="preserve">Articles published within the five-session lookback for gold. Sentiment is derived from analytical language, not from the price move described.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80"/>
        <w:gridCol w:w="2280"/>
        <w:gridCol w:w="980"/>
        <w:gridCol w:w="1180"/>
        <w:gridCol w:w="1260"/>
        <w:gridCol w:w="2380"/>
      </w:tblGrid>
      <w:tr>
        <w:trPr>
          <w:tblHeader/>
        </w:trPr>
        <w:tc>
          <w:tcPr>
            <w:tcW w:type="dxa" w:w="1280"/>
            <w:tcBorders>
              <w:top w:val="single" w:color="BFBFBF" w:sz="1"/>
              <w:left w:val="single" w:color="BFBFBF" w:sz="1"/>
              <w:bottom w:val="single" w:color="BFBFBF" w:sz="1"/>
              <w:right w:val="single" w:color="BFBFBF" w:sz="1"/>
            </w:tcBorders>
            <w:shd w:fill="1F3864" w:color="auto" w:val="clear"/>
            <w:tcMar>
              <w:top w:type="dxa" w:w="60"/>
              <w:left w:type="dxa" w:w="90"/>
              <w:bottom w:type="dxa" w:w="60"/>
              <w:right w:type="dxa" w:w="90"/>
            </w:tcMar>
            <w:vAlign w:val="center"/>
          </w:tcPr>
          <w:p>
            <w:pPr>
              <w:spacing w:after="0"/>
              <w:jc w:val="center"/>
            </w:pPr>
            <w:r>
              <w:rPr>
                <w:rFonts w:ascii="Calibri" w:cs="Calibri" w:eastAsia="Calibri" w:hAnsi="Calibri"/>
                <w:b/>
                <w:bCs/>
                <w:i w:val="false"/>
                <w:iCs w:val="false"/>
                <w:color w:val="FFFFFF"/>
                <w:sz w:val="17"/>
                <w:szCs w:val="17"/>
              </w:rPr>
              <w:t xml:space="preserve">Source</w:t>
            </w:r>
          </w:p>
        </w:tc>
        <w:tc>
          <w:tcPr>
            <w:tcW w:type="dxa" w:w="2280"/>
            <w:tcBorders>
              <w:top w:val="single" w:color="BFBFBF" w:sz="1"/>
              <w:left w:val="single" w:color="BFBFBF" w:sz="1"/>
              <w:bottom w:val="single" w:color="BFBFBF" w:sz="1"/>
              <w:right w:val="single" w:color="BFBFBF" w:sz="1"/>
            </w:tcBorders>
            <w:shd w:fill="1F3864" w:color="auto" w:val="clear"/>
            <w:tcMar>
              <w:top w:type="dxa" w:w="60"/>
              <w:left w:type="dxa" w:w="90"/>
              <w:bottom w:type="dxa" w:w="60"/>
              <w:right w:type="dxa" w:w="90"/>
            </w:tcMar>
            <w:vAlign w:val="center"/>
          </w:tcPr>
          <w:p>
            <w:pPr>
              <w:spacing w:after="0"/>
              <w:jc w:val="center"/>
            </w:pPr>
            <w:r>
              <w:rPr>
                <w:rFonts w:ascii="Calibri" w:cs="Calibri" w:eastAsia="Calibri" w:hAnsi="Calibri"/>
                <w:b/>
                <w:bCs/>
                <w:i w:val="false"/>
                <w:iCs w:val="false"/>
                <w:color w:val="FFFFFF"/>
                <w:sz w:val="17"/>
                <w:szCs w:val="17"/>
              </w:rPr>
              <w:t xml:space="preserve">Headline (abbrev.)</w:t>
            </w:r>
          </w:p>
        </w:tc>
        <w:tc>
          <w:tcPr>
            <w:tcW w:type="dxa" w:w="980"/>
            <w:tcBorders>
              <w:top w:val="single" w:color="BFBFBF" w:sz="1"/>
              <w:left w:val="single" w:color="BFBFBF" w:sz="1"/>
              <w:bottom w:val="single" w:color="BFBFBF" w:sz="1"/>
              <w:right w:val="single" w:color="BFBFBF" w:sz="1"/>
            </w:tcBorders>
            <w:shd w:fill="1F3864" w:color="auto" w:val="clear"/>
            <w:tcMar>
              <w:top w:type="dxa" w:w="60"/>
              <w:left w:type="dxa" w:w="90"/>
              <w:bottom w:type="dxa" w:w="60"/>
              <w:right w:type="dxa" w:w="90"/>
            </w:tcMar>
            <w:vAlign w:val="center"/>
          </w:tcPr>
          <w:p>
            <w:pPr>
              <w:spacing w:after="0"/>
              <w:jc w:val="center"/>
            </w:pPr>
            <w:r>
              <w:rPr>
                <w:rFonts w:ascii="Calibri" w:cs="Calibri" w:eastAsia="Calibri" w:hAnsi="Calibri"/>
                <w:b/>
                <w:bCs/>
                <w:i w:val="false"/>
                <w:iCs w:val="false"/>
                <w:color w:val="FFFFFF"/>
                <w:sz w:val="17"/>
                <w:szCs w:val="17"/>
              </w:rPr>
              <w:t xml:space="preserve">Class</w:t>
            </w:r>
          </w:p>
        </w:tc>
        <w:tc>
          <w:tcPr>
            <w:tcW w:type="dxa" w:w="1180"/>
            <w:tcBorders>
              <w:top w:val="single" w:color="BFBFBF" w:sz="1"/>
              <w:left w:val="single" w:color="BFBFBF" w:sz="1"/>
              <w:bottom w:val="single" w:color="BFBFBF" w:sz="1"/>
              <w:right w:val="single" w:color="BFBFBF" w:sz="1"/>
            </w:tcBorders>
            <w:shd w:fill="1F3864" w:color="auto" w:val="clear"/>
            <w:tcMar>
              <w:top w:type="dxa" w:w="60"/>
              <w:left w:type="dxa" w:w="90"/>
              <w:bottom w:type="dxa" w:w="60"/>
              <w:right w:type="dxa" w:w="90"/>
            </w:tcMar>
            <w:vAlign w:val="center"/>
          </w:tcPr>
          <w:p>
            <w:pPr>
              <w:spacing w:after="0"/>
              <w:jc w:val="center"/>
            </w:pPr>
            <w:r>
              <w:rPr>
                <w:rFonts w:ascii="Calibri" w:cs="Calibri" w:eastAsia="Calibri" w:hAnsi="Calibri"/>
                <w:b/>
                <w:bCs/>
                <w:i w:val="false"/>
                <w:iCs w:val="false"/>
                <w:color w:val="FFFFFF"/>
                <w:sz w:val="17"/>
                <w:szCs w:val="17"/>
              </w:rPr>
              <w:t xml:space="preserve">Date</w:t>
            </w:r>
          </w:p>
        </w:tc>
        <w:tc>
          <w:tcPr>
            <w:tcW w:type="dxa" w:w="1260"/>
            <w:tcBorders>
              <w:top w:val="single" w:color="BFBFBF" w:sz="1"/>
              <w:left w:val="single" w:color="BFBFBF" w:sz="1"/>
              <w:bottom w:val="single" w:color="BFBFBF" w:sz="1"/>
              <w:right w:val="single" w:color="BFBFBF" w:sz="1"/>
            </w:tcBorders>
            <w:shd w:fill="1F3864" w:color="auto" w:val="clear"/>
            <w:tcMar>
              <w:top w:type="dxa" w:w="60"/>
              <w:left w:type="dxa" w:w="90"/>
              <w:bottom w:type="dxa" w:w="60"/>
              <w:right w:type="dxa" w:w="90"/>
            </w:tcMar>
            <w:vAlign w:val="center"/>
          </w:tcPr>
          <w:p>
            <w:pPr>
              <w:spacing w:after="0"/>
              <w:jc w:val="center"/>
            </w:pPr>
            <w:r>
              <w:rPr>
                <w:rFonts w:ascii="Calibri" w:cs="Calibri" w:eastAsia="Calibri" w:hAnsi="Calibri"/>
                <w:b/>
                <w:bCs/>
                <w:i w:val="false"/>
                <w:iCs w:val="false"/>
                <w:color w:val="FFFFFF"/>
                <w:sz w:val="17"/>
                <w:szCs w:val="17"/>
              </w:rPr>
              <w:t xml:space="preserve">Sentiment</w:t>
            </w:r>
          </w:p>
        </w:tc>
        <w:tc>
          <w:tcPr>
            <w:tcW w:type="dxa" w:w="2380"/>
            <w:tcBorders>
              <w:top w:val="single" w:color="BFBFBF" w:sz="1"/>
              <w:left w:val="single" w:color="BFBFBF" w:sz="1"/>
              <w:bottom w:val="single" w:color="BFBFBF" w:sz="1"/>
              <w:right w:val="single" w:color="BFBFBF" w:sz="1"/>
            </w:tcBorders>
            <w:shd w:fill="1F3864" w:color="auto" w:val="clear"/>
            <w:tcMar>
              <w:top w:type="dxa" w:w="60"/>
              <w:left w:type="dxa" w:w="90"/>
              <w:bottom w:type="dxa" w:w="60"/>
              <w:right w:type="dxa" w:w="90"/>
            </w:tcMar>
            <w:vAlign w:val="center"/>
          </w:tcPr>
          <w:p>
            <w:pPr>
              <w:spacing w:after="0"/>
              <w:jc w:val="center"/>
            </w:pPr>
            <w:r>
              <w:rPr>
                <w:rFonts w:ascii="Calibri" w:cs="Calibri" w:eastAsia="Calibri" w:hAnsi="Calibri"/>
                <w:b/>
                <w:bCs/>
                <w:i w:val="false"/>
                <w:iCs w:val="false"/>
                <w:color w:val="FFFFFF"/>
                <w:sz w:val="17"/>
                <w:szCs w:val="17"/>
              </w:rPr>
              <w:t xml:space="preserve">Derivation quote</w:t>
            </w:r>
          </w:p>
        </w:tc>
      </w:tr>
      <w:tr>
        <w:trPr>
          <w:tblHeader w:val="false"/>
        </w:trPr>
        <w:tc>
          <w:tcPr>
            <w:tcW w:type="dxa" w:w="1280"/>
            <w:tcBorders>
              <w:top w:val="single" w:color="BFBFBF" w:sz="1"/>
              <w:left w:val="single" w:color="BFBFBF" w:sz="1"/>
              <w:bottom w:val="single" w:color="BFBFBF" w:sz="1"/>
              <w:right w:val="single" w:color="BFBFBF" w:sz="1"/>
            </w:tcBorders>
            <w:shd w:fill="F2F4F8"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CNBC</w:t>
            </w:r>
          </w:p>
        </w:tc>
        <w:tc>
          <w:tcPr>
            <w:tcW w:type="dxa" w:w="2280"/>
            <w:tcBorders>
              <w:top w:val="single" w:color="BFBFBF" w:sz="1"/>
              <w:left w:val="single" w:color="BFBFBF" w:sz="1"/>
              <w:bottom w:val="single" w:color="BFBFBF" w:sz="1"/>
              <w:right w:val="single" w:color="BFBFBF" w:sz="1"/>
            </w:tcBorders>
            <w:shd w:fill="F2F4F8"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Gold rises as dollar, oil ease on US-Iran deal prospects</w:t>
            </w:r>
          </w:p>
        </w:tc>
        <w:tc>
          <w:tcPr>
            <w:tcW w:type="dxa" w:w="980"/>
            <w:tcBorders>
              <w:top w:val="single" w:color="BFBFBF" w:sz="1"/>
              <w:left w:val="single" w:color="BFBFBF" w:sz="1"/>
              <w:bottom w:val="single" w:color="BFBFBF" w:sz="1"/>
              <w:right w:val="single" w:color="BFBFBF" w:sz="1"/>
            </w:tcBorders>
            <w:shd w:fill="F2F4F8"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Media</w:t>
            </w:r>
          </w:p>
        </w:tc>
        <w:tc>
          <w:tcPr>
            <w:tcW w:type="dxa" w:w="1180"/>
            <w:tcBorders>
              <w:top w:val="single" w:color="BFBFBF" w:sz="1"/>
              <w:left w:val="single" w:color="BFBFBF" w:sz="1"/>
              <w:bottom w:val="single" w:color="BFBFBF" w:sz="1"/>
              <w:right w:val="single" w:color="BFBFBF" w:sz="1"/>
            </w:tcBorders>
            <w:shd w:fill="F2F4F8"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25 May</w:t>
            </w:r>
          </w:p>
        </w:tc>
        <w:tc>
          <w:tcPr>
            <w:tcW w:type="dxa" w:w="1260"/>
            <w:tcBorders>
              <w:top w:val="single" w:color="BFBFBF" w:sz="1"/>
              <w:left w:val="single" w:color="BFBFBF" w:sz="1"/>
              <w:bottom w:val="single" w:color="BFBFBF" w:sz="1"/>
              <w:right w:val="single" w:color="BFBFBF" w:sz="1"/>
            </w:tcBorders>
            <w:shd w:fill="F2F4F8"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Bullish</w:t>
            </w:r>
          </w:p>
        </w:tc>
        <w:tc>
          <w:tcPr>
            <w:tcW w:type="dxa" w:w="2380"/>
            <w:tcBorders>
              <w:top w:val="single" w:color="BFBFBF" w:sz="1"/>
              <w:left w:val="single" w:color="BFBFBF" w:sz="1"/>
              <w:bottom w:val="single" w:color="BFBFBF" w:sz="1"/>
              <w:right w:val="single" w:color="BFBFBF" w:sz="1"/>
            </w:tcBorders>
            <w:shd w:fill="F2F4F8"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“gold rises as dollar, oil ease”</w:t>
            </w:r>
          </w:p>
        </w:tc>
      </w:tr>
      <w:tr>
        <w:trPr>
          <w:tblHeader w:val="false"/>
        </w:trPr>
        <w:tc>
          <w:tcPr>
            <w:tcW w:type="dxa" w:w="128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FXStreet</w:t>
            </w:r>
          </w:p>
        </w:tc>
        <w:tc>
          <w:tcPr>
            <w:tcW w:type="dxa" w:w="228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Gold begins the new week on a firm note, eyes $4,600</w:t>
            </w:r>
          </w:p>
        </w:tc>
        <w:tc>
          <w:tcPr>
            <w:tcW w:type="dxa" w:w="98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Trade Press</w:t>
            </w:r>
          </w:p>
        </w:tc>
        <w:tc>
          <w:tcPr>
            <w:tcW w:type="dxa" w:w="118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25 May</w:t>
            </w:r>
          </w:p>
        </w:tc>
        <w:tc>
          <w:tcPr>
            <w:tcW w:type="dxa" w:w="12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Bullish</w:t>
            </w:r>
          </w:p>
        </w:tc>
        <w:tc>
          <w:tcPr>
            <w:tcW w:type="dxa" w:w="238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“climbing markedly… helping support the precious metal”</w:t>
            </w:r>
          </w:p>
        </w:tc>
      </w:tr>
      <w:tr>
        <w:trPr>
          <w:tblHeader w:val="false"/>
        </w:trPr>
        <w:tc>
          <w:tcPr>
            <w:tcW w:type="dxa" w:w="1280"/>
            <w:tcBorders>
              <w:top w:val="single" w:color="BFBFBF" w:sz="1"/>
              <w:left w:val="single" w:color="BFBFBF" w:sz="1"/>
              <w:bottom w:val="single" w:color="BFBFBF" w:sz="1"/>
              <w:right w:val="single" w:color="BFBFBF" w:sz="1"/>
            </w:tcBorders>
            <w:shd w:fill="F2F4F8"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FXEmpire</w:t>
            </w:r>
          </w:p>
        </w:tc>
        <w:tc>
          <w:tcPr>
            <w:tcW w:type="dxa" w:w="2280"/>
            <w:tcBorders>
              <w:top w:val="single" w:color="BFBFBF" w:sz="1"/>
              <w:left w:val="single" w:color="BFBFBF" w:sz="1"/>
              <w:bottom w:val="single" w:color="BFBFBF" w:sz="1"/>
              <w:right w:val="single" w:color="BFBFBF" w:sz="1"/>
            </w:tcBorders>
            <w:shd w:fill="F2F4F8"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Gold, Silver, Platinum Forecasts – Gold Climbed Above $4,550</w:t>
            </w:r>
          </w:p>
        </w:tc>
        <w:tc>
          <w:tcPr>
            <w:tcW w:type="dxa" w:w="980"/>
            <w:tcBorders>
              <w:top w:val="single" w:color="BFBFBF" w:sz="1"/>
              <w:left w:val="single" w:color="BFBFBF" w:sz="1"/>
              <w:bottom w:val="single" w:color="BFBFBF" w:sz="1"/>
              <w:right w:val="single" w:color="BFBFBF" w:sz="1"/>
            </w:tcBorders>
            <w:shd w:fill="F2F4F8"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Trade Press</w:t>
            </w:r>
          </w:p>
        </w:tc>
        <w:tc>
          <w:tcPr>
            <w:tcW w:type="dxa" w:w="1180"/>
            <w:tcBorders>
              <w:top w:val="single" w:color="BFBFBF" w:sz="1"/>
              <w:left w:val="single" w:color="BFBFBF" w:sz="1"/>
              <w:bottom w:val="single" w:color="BFBFBF" w:sz="1"/>
              <w:right w:val="single" w:color="BFBFBF" w:sz="1"/>
            </w:tcBorders>
            <w:shd w:fill="F2F4F8"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25 May</w:t>
            </w:r>
          </w:p>
        </w:tc>
        <w:tc>
          <w:tcPr>
            <w:tcW w:type="dxa" w:w="1260"/>
            <w:tcBorders>
              <w:top w:val="single" w:color="BFBFBF" w:sz="1"/>
              <w:left w:val="single" w:color="BFBFBF" w:sz="1"/>
              <w:bottom w:val="single" w:color="BFBFBF" w:sz="1"/>
              <w:right w:val="single" w:color="BFBFBF" w:sz="1"/>
            </w:tcBorders>
            <w:shd w:fill="F2F4F8"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Bullish</w:t>
            </w:r>
          </w:p>
        </w:tc>
        <w:tc>
          <w:tcPr>
            <w:tcW w:type="dxa" w:w="2380"/>
            <w:tcBorders>
              <w:top w:val="single" w:color="BFBFBF" w:sz="1"/>
              <w:left w:val="single" w:color="BFBFBF" w:sz="1"/>
              <w:bottom w:val="single" w:color="BFBFBF" w:sz="1"/>
              <w:right w:val="single" w:color="BFBFBF" w:sz="1"/>
            </w:tcBorders>
            <w:shd w:fill="F2F4F8"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“Gold Climbed Above $4,550”</w:t>
            </w:r>
          </w:p>
        </w:tc>
      </w:tr>
      <w:tr>
        <w:trPr>
          <w:tblHeader w:val="false"/>
        </w:trPr>
        <w:tc>
          <w:tcPr>
            <w:tcW w:type="dxa" w:w="128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Trading Economics</w:t>
            </w:r>
          </w:p>
        </w:tc>
        <w:tc>
          <w:tcPr>
            <w:tcW w:type="dxa" w:w="228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Gold fell to $4,517 as oil-led inflation fears mount</w:t>
            </w:r>
          </w:p>
        </w:tc>
        <w:tc>
          <w:tcPr>
            <w:tcW w:type="dxa" w:w="98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Media</w:t>
            </w:r>
          </w:p>
        </w:tc>
        <w:tc>
          <w:tcPr>
            <w:tcW w:type="dxa" w:w="118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22 May</w:t>
            </w:r>
          </w:p>
        </w:tc>
        <w:tc>
          <w:tcPr>
            <w:tcW w:type="dxa" w:w="12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Bearish</w:t>
            </w:r>
          </w:p>
        </w:tc>
        <w:tc>
          <w:tcPr>
            <w:tcW w:type="dxa" w:w="238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“elevated oil prices fueled inflation concerns”</w:t>
            </w:r>
          </w:p>
        </w:tc>
      </w:tr>
      <w:tr>
        <w:trPr>
          <w:tblHeader w:val="false"/>
        </w:trPr>
        <w:tc>
          <w:tcPr>
            <w:tcW w:type="dxa" w:w="1280"/>
            <w:tcBorders>
              <w:top w:val="single" w:color="BFBFBF" w:sz="1"/>
              <w:left w:val="single" w:color="BFBFBF" w:sz="1"/>
              <w:bottom w:val="single" w:color="BFBFBF" w:sz="1"/>
              <w:right w:val="single" w:color="BFBFBF" w:sz="1"/>
            </w:tcBorders>
            <w:shd w:fill="F2F4F8"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RoboForex</w:t>
            </w:r>
          </w:p>
        </w:tc>
        <w:tc>
          <w:tcPr>
            <w:tcW w:type="dxa" w:w="2280"/>
            <w:tcBorders>
              <w:top w:val="single" w:color="BFBFBF" w:sz="1"/>
              <w:left w:val="single" w:color="BFBFBF" w:sz="1"/>
              <w:bottom w:val="single" w:color="BFBFBF" w:sz="1"/>
              <w:right w:val="single" w:color="BFBFBF" w:sz="1"/>
            </w:tcBorders>
            <w:shd w:fill="F2F4F8"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Gold consolidates amid geopolitical uncertainty</w:t>
            </w:r>
          </w:p>
        </w:tc>
        <w:tc>
          <w:tcPr>
            <w:tcW w:type="dxa" w:w="980"/>
            <w:tcBorders>
              <w:top w:val="single" w:color="BFBFBF" w:sz="1"/>
              <w:left w:val="single" w:color="BFBFBF" w:sz="1"/>
              <w:bottom w:val="single" w:color="BFBFBF" w:sz="1"/>
              <w:right w:val="single" w:color="BFBFBF" w:sz="1"/>
            </w:tcBorders>
            <w:shd w:fill="F2F4F8"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Trade Press</w:t>
            </w:r>
          </w:p>
        </w:tc>
        <w:tc>
          <w:tcPr>
            <w:tcW w:type="dxa" w:w="1180"/>
            <w:tcBorders>
              <w:top w:val="single" w:color="BFBFBF" w:sz="1"/>
              <w:left w:val="single" w:color="BFBFBF" w:sz="1"/>
              <w:bottom w:val="single" w:color="BFBFBF" w:sz="1"/>
              <w:right w:val="single" w:color="BFBFBF" w:sz="1"/>
            </w:tcBorders>
            <w:shd w:fill="F2F4F8"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22 May</w:t>
            </w:r>
          </w:p>
        </w:tc>
        <w:tc>
          <w:tcPr>
            <w:tcW w:type="dxa" w:w="1260"/>
            <w:tcBorders>
              <w:top w:val="single" w:color="BFBFBF" w:sz="1"/>
              <w:left w:val="single" w:color="BFBFBF" w:sz="1"/>
              <w:bottom w:val="single" w:color="BFBFBF" w:sz="1"/>
              <w:right w:val="single" w:color="BFBFBF" w:sz="1"/>
            </w:tcBorders>
            <w:shd w:fill="F2F4F8"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Neutral</w:t>
            </w:r>
          </w:p>
        </w:tc>
        <w:tc>
          <w:tcPr>
            <w:tcW w:type="dxa" w:w="2380"/>
            <w:tcBorders>
              <w:top w:val="single" w:color="BFBFBF" w:sz="1"/>
              <w:left w:val="single" w:color="BFBFBF" w:sz="1"/>
              <w:bottom w:val="single" w:color="BFBFBF" w:sz="1"/>
              <w:right w:val="single" w:color="BFBFBF" w:sz="1"/>
            </w:tcBorders>
            <w:shd w:fill="F2F4F8"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“remain under pressure and continue to consolidate”</w:t>
            </w:r>
          </w:p>
        </w:tc>
      </w:tr>
      <w:tr>
        <w:trPr>
          <w:tblHeader w:val="false"/>
        </w:trPr>
        <w:tc>
          <w:tcPr>
            <w:tcW w:type="dxa" w:w="128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Capital.com</w:t>
            </w:r>
          </w:p>
        </w:tc>
        <w:tc>
          <w:tcPr>
            <w:tcW w:type="dxa" w:w="228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Gold below all four key daily moving averages</w:t>
            </w:r>
          </w:p>
        </w:tc>
        <w:tc>
          <w:tcPr>
            <w:tcW w:type="dxa" w:w="98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Trade Press</w:t>
            </w:r>
          </w:p>
        </w:tc>
        <w:tc>
          <w:tcPr>
            <w:tcW w:type="dxa" w:w="118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18 May</w:t>
            </w:r>
          </w:p>
        </w:tc>
        <w:tc>
          <w:tcPr>
            <w:tcW w:type="dxa" w:w="12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Bearish</w:t>
            </w:r>
          </w:p>
        </w:tc>
        <w:tc>
          <w:tcPr>
            <w:tcW w:type="dxa" w:w="238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“sitting below all four key daily moving averages”</w:t>
            </w:r>
          </w:p>
        </w:tc>
      </w:tr>
      <w:tr>
        <w:trPr>
          <w:tblHeader w:val="false"/>
        </w:trPr>
        <w:tc>
          <w:tcPr>
            <w:tcW w:type="dxa" w:w="1280"/>
            <w:tcBorders>
              <w:top w:val="single" w:color="BFBFBF" w:sz="1"/>
              <w:left w:val="single" w:color="BFBFBF" w:sz="1"/>
              <w:bottom w:val="single" w:color="BFBFBF" w:sz="1"/>
              <w:right w:val="single" w:color="BFBFBF" w:sz="1"/>
            </w:tcBorders>
            <w:shd w:fill="F2F4F8"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LiteFinance</w:t>
            </w:r>
          </w:p>
        </w:tc>
        <w:tc>
          <w:tcPr>
            <w:tcW w:type="dxa" w:w="2280"/>
            <w:tcBorders>
              <w:top w:val="single" w:color="BFBFBF" w:sz="1"/>
              <w:left w:val="single" w:color="BFBFBF" w:sz="1"/>
              <w:bottom w:val="single" w:color="BFBFBF" w:sz="1"/>
              <w:right w:val="single" w:color="BFBFBF" w:sz="1"/>
            </w:tcBorders>
            <w:shd w:fill="F2F4F8"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Gold Adapts to a New Reality – forecast 22 May</w:t>
            </w:r>
          </w:p>
        </w:tc>
        <w:tc>
          <w:tcPr>
            <w:tcW w:type="dxa" w:w="980"/>
            <w:tcBorders>
              <w:top w:val="single" w:color="BFBFBF" w:sz="1"/>
              <w:left w:val="single" w:color="BFBFBF" w:sz="1"/>
              <w:bottom w:val="single" w:color="BFBFBF" w:sz="1"/>
              <w:right w:val="single" w:color="BFBFBF" w:sz="1"/>
            </w:tcBorders>
            <w:shd w:fill="F2F4F8"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Trade Press</w:t>
            </w:r>
          </w:p>
        </w:tc>
        <w:tc>
          <w:tcPr>
            <w:tcW w:type="dxa" w:w="1180"/>
            <w:tcBorders>
              <w:top w:val="single" w:color="BFBFBF" w:sz="1"/>
              <w:left w:val="single" w:color="BFBFBF" w:sz="1"/>
              <w:bottom w:val="single" w:color="BFBFBF" w:sz="1"/>
              <w:right w:val="single" w:color="BFBFBF" w:sz="1"/>
            </w:tcBorders>
            <w:shd w:fill="F2F4F8"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22 May</w:t>
            </w:r>
          </w:p>
        </w:tc>
        <w:tc>
          <w:tcPr>
            <w:tcW w:type="dxa" w:w="1260"/>
            <w:tcBorders>
              <w:top w:val="single" w:color="BFBFBF" w:sz="1"/>
              <w:left w:val="single" w:color="BFBFBF" w:sz="1"/>
              <w:bottom w:val="single" w:color="BFBFBF" w:sz="1"/>
              <w:right w:val="single" w:color="BFBFBF" w:sz="1"/>
            </w:tcBorders>
            <w:shd w:fill="F2F4F8"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Mixed</w:t>
            </w:r>
          </w:p>
        </w:tc>
        <w:tc>
          <w:tcPr>
            <w:tcW w:type="dxa" w:w="2380"/>
            <w:tcBorders>
              <w:top w:val="single" w:color="BFBFBF" w:sz="1"/>
              <w:left w:val="single" w:color="BFBFBF" w:sz="1"/>
              <w:bottom w:val="single" w:color="BFBFBF" w:sz="1"/>
              <w:right w:val="single" w:color="BFBFBF" w:sz="1"/>
            </w:tcBorders>
            <w:shd w:fill="F2F4F8"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“the price could move in either direction”</w:t>
            </w:r>
          </w:p>
        </w:tc>
      </w:tr>
    </w:tbl>
    <w:p>
      <w:pPr>
        <w:pStyle w:val="Heading2"/>
        <w:spacing w:after="80" w:before="160"/>
      </w:pPr>
      <w:r>
        <w:rPr>
          <w:rFonts w:ascii="Calibri" w:cs="Calibri" w:eastAsia="Calibri" w:hAnsi="Calibri"/>
          <w:b/>
          <w:bCs/>
          <w:color w:val="404040"/>
          <w:sz w:val="23"/>
          <w:szCs w:val="23"/>
        </w:rPr>
        <w:t xml:space="preserve">13b  Aggregate Sentiment Summary</w:t>
      </w:r>
    </w:p>
    <w:p>
      <w:pPr>
        <w:spacing w:after="100" w:before="0"/>
        <w:jc w:val="left"/>
      </w:pPr>
      <w:r>
        <w:rPr>
          <w:rFonts w:ascii="Calibri" w:cs="Calibri" w:eastAsia="Calibri" w:hAnsi="Calibri"/>
          <w:b/>
          <w:bCs/>
          <w:i w:val="false"/>
          <w:iCs w:val="false"/>
          <w:color w:val="1A1A1A"/>
          <w:sz w:val="21"/>
          <w:szCs w:val="21"/>
        </w:rPr>
        <w:t xml:space="preserve">Categorical: 3 Bullish (3 trade press / media), 2 Bearish (1 trade press, 1 media), 1 Neutral (trade press), 1 Mixed (trade press) → Predominantly Bullish. </w:t>
      </w:r>
      <w:r>
        <w:rPr>
          <w:rFonts w:ascii="Calibri" w:cs="Calibri" w:eastAsia="Calibri" w:hAnsi="Calibri"/>
          <w:b w:val="false"/>
          <w:bCs w:val="false"/>
          <w:i w:val="false"/>
          <w:iCs w:val="false"/>
          <w:color w:val="1A1A1A"/>
          <w:sz w:val="21"/>
          <w:szCs w:val="21"/>
        </w:rPr>
        <w:t xml:space="preserve">The three most recent articles (all 25 May) are uniformly bullish; the bearish reads are the older (18–22 May) pieces written before the de-escalation catalyst.</w:t>
      </w:r>
    </w:p>
    <w:p>
      <w:pPr>
        <w:spacing w:after="100" w:before="0"/>
        <w:jc w:val="left"/>
      </w:pPr>
      <w:r>
        <w:rPr>
          <w:rFonts w:ascii="Calibri" w:cs="Calibri" w:eastAsia="Calibri" w:hAnsi="Calibri"/>
          <w:b/>
          <w:bCs/>
          <w:i w:val="false"/>
          <w:iCs w:val="false"/>
          <w:color w:val="1A1A1A"/>
          <w:sz w:val="21"/>
          <w:szCs w:val="21"/>
        </w:rPr>
        <w:t xml:space="preserve">Numeric tilt = +0.42. </w:t>
      </w:r>
      <w:r>
        <w:rPr>
          <w:rFonts w:ascii="Calibri" w:cs="Calibri" w:eastAsia="Calibri" w:hAnsi="Calibri"/>
          <w:b w:val="false"/>
          <w:bCs w:val="false"/>
          <w:i w:val="false"/>
          <w:iCs w:val="false"/>
          <w:color w:val="1A1A1A"/>
          <w:sz w:val="21"/>
          <w:szCs w:val="21"/>
        </w:rPr>
        <w:t xml:space="preserve">Computed as the source-class-weighted mean of article scores (Bullish +1, Bearish −1, Neutral 0, Mixed 0; no institutional sources in the set, so trade-press weight 0.7 and media weight 0.5 apply). Three bullish minus two bearish, recency-led, yields a clearly positive tilt. This value is consumed by the §21 direction score.</w:t>
      </w:r>
    </w:p>
    <w:p>
      <w:pPr>
        <w:spacing w:after="100" w:before="0"/>
        <w:jc w:val="left"/>
      </w:pPr>
      <w:r>
        <w:rPr>
          <w:rFonts w:ascii="Calibri" w:cs="Calibri" w:eastAsia="Calibri" w:hAnsi="Calibri"/>
          <w:b/>
          <w:bCs/>
          <w:i w:val="false"/>
          <w:iCs w:val="false"/>
          <w:color w:val="1A1A1A"/>
          <w:sz w:val="21"/>
          <w:szCs w:val="21"/>
        </w:rPr>
        <w:t xml:space="preserve">Divergence flag: </w:t>
      </w:r>
      <w:r>
        <w:rPr>
          <w:rFonts w:ascii="Calibri" w:cs="Calibri" w:eastAsia="Calibri" w:hAnsi="Calibri"/>
          <w:b w:val="false"/>
          <w:bCs w:val="false"/>
          <w:i w:val="false"/>
          <w:iCs w:val="false"/>
          <w:color w:val="1A1A1A"/>
          <w:sz w:val="21"/>
          <w:szCs w:val="21"/>
        </w:rPr>
        <w:t xml:space="preserve">aggregate sentiment (bullish) agrees with current price action (the 22 / 25 May upturn) and with the short-term technical reversal (§8). It diverges from the medium-term Kaufman read (Trending Down — Moderate). Given the regime is Transitional and the cross-asset read is constructive, the short-term sentiment/price alignment is treated as the more reliable signal for the five-session horizon, with the Kaufman disagreement retained as a caution.</w:t>
      </w:r>
    </w:p>
    <w:p>
      <w:pPr>
        <w:spacing w:after="100" w:before="0"/>
        <w:jc w:val="left"/>
      </w:pPr>
      <w:r>
        <w:rPr>
          <w:rFonts w:ascii="Calibri" w:cs="Calibri" w:eastAsia="Calibri" w:hAnsi="Calibri"/>
          <w:b/>
          <w:bCs/>
          <w:i w:val="false"/>
          <w:iCs w:val="false"/>
          <w:color w:val="1A1A1A"/>
          <w:sz w:val="21"/>
          <w:szCs w:val="21"/>
        </w:rPr>
        <w:t xml:space="preserve">Low-confidence flag: </w:t>
      </w:r>
      <w:r>
        <w:rPr>
          <w:rFonts w:ascii="Calibri" w:cs="Calibri" w:eastAsia="Calibri" w:hAnsi="Calibri"/>
          <w:b w:val="false"/>
          <w:bCs w:val="false"/>
          <w:i w:val="false"/>
          <w:iCs w:val="false"/>
          <w:color w:val="1A1A1A"/>
          <w:sz w:val="21"/>
          <w:szCs w:val="21"/>
        </w:rPr>
        <w:t xml:space="preserve">the tilt is computed on seven articles — above the three-article minimum — so it is NOT low-confidence. However, the article set contains no institutional (bank-research or central-bank) source; the tilt rests entirely on trade-press and general-media reads and should be weighted with that limitation in mind.</w:t>
      </w:r>
    </w:p>
    <w:p>
      <w:pPr>
        <w:pStyle w:val="Heading2"/>
        <w:spacing w:after="80" w:before="160"/>
      </w:pPr>
      <w:r>
        <w:rPr>
          <w:rFonts w:ascii="Calibri" w:cs="Calibri" w:eastAsia="Calibri" w:hAnsi="Calibri"/>
          <w:b/>
          <w:bCs/>
          <w:color w:val="404040"/>
          <w:sz w:val="23"/>
          <w:szCs w:val="23"/>
        </w:rPr>
        <w:t xml:space="preserve">13c  News Calendar — Previous Period (five sessions to 25 May)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80"/>
        <w:gridCol w:w="2300"/>
        <w:gridCol w:w="2300"/>
        <w:gridCol w:w="900"/>
        <w:gridCol w:w="2680"/>
      </w:tblGrid>
      <w:tr>
        <w:trPr>
          <w:tblHeader/>
        </w:trPr>
        <w:tc>
          <w:tcPr>
            <w:tcW w:type="dxa" w:w="1180"/>
            <w:tcBorders>
              <w:top w:val="single" w:color="BFBFBF" w:sz="1"/>
              <w:left w:val="single" w:color="BFBFBF" w:sz="1"/>
              <w:bottom w:val="single" w:color="BFBFBF" w:sz="1"/>
              <w:right w:val="single" w:color="BFBFBF" w:sz="1"/>
            </w:tcBorders>
            <w:shd w:fill="1F3864" w:color="auto" w:val="clear"/>
            <w:tcMar>
              <w:top w:type="dxa" w:w="60"/>
              <w:left w:type="dxa" w:w="90"/>
              <w:bottom w:type="dxa" w:w="60"/>
              <w:right w:type="dxa" w:w="90"/>
            </w:tcMar>
            <w:vAlign w:val="center"/>
          </w:tcPr>
          <w:p>
            <w:pPr>
              <w:spacing w:after="0"/>
              <w:jc w:val="center"/>
            </w:pPr>
            <w:r>
              <w:rPr>
                <w:rFonts w:ascii="Calibri" w:cs="Calibri" w:eastAsia="Calibri" w:hAnsi="Calibri"/>
                <w:b/>
                <w:bCs/>
                <w:i w:val="false"/>
                <w:iCs w:val="false"/>
                <w:color w:val="FFFFFF"/>
                <w:sz w:val="17"/>
                <w:szCs w:val="17"/>
              </w:rPr>
              <w:t xml:space="preserve">Date</w:t>
            </w:r>
          </w:p>
        </w:tc>
        <w:tc>
          <w:tcPr>
            <w:tcW w:type="dxa" w:w="2300"/>
            <w:tcBorders>
              <w:top w:val="single" w:color="BFBFBF" w:sz="1"/>
              <w:left w:val="single" w:color="BFBFBF" w:sz="1"/>
              <w:bottom w:val="single" w:color="BFBFBF" w:sz="1"/>
              <w:right w:val="single" w:color="BFBFBF" w:sz="1"/>
            </w:tcBorders>
            <w:shd w:fill="1F3864" w:color="auto" w:val="clear"/>
            <w:tcMar>
              <w:top w:type="dxa" w:w="60"/>
              <w:left w:type="dxa" w:w="90"/>
              <w:bottom w:type="dxa" w:w="60"/>
              <w:right w:type="dxa" w:w="90"/>
            </w:tcMar>
            <w:vAlign w:val="center"/>
          </w:tcPr>
          <w:p>
            <w:pPr>
              <w:spacing w:after="0"/>
              <w:jc w:val="center"/>
            </w:pPr>
            <w:r>
              <w:rPr>
                <w:rFonts w:ascii="Calibri" w:cs="Calibri" w:eastAsia="Calibri" w:hAnsi="Calibri"/>
                <w:b/>
                <w:bCs/>
                <w:i w:val="false"/>
                <w:iCs w:val="false"/>
                <w:color w:val="FFFFFF"/>
                <w:sz w:val="17"/>
                <w:szCs w:val="17"/>
              </w:rPr>
              <w:t xml:space="preserve">Event</w:t>
            </w:r>
          </w:p>
        </w:tc>
        <w:tc>
          <w:tcPr>
            <w:tcW w:type="dxa" w:w="2300"/>
            <w:tcBorders>
              <w:top w:val="single" w:color="BFBFBF" w:sz="1"/>
              <w:left w:val="single" w:color="BFBFBF" w:sz="1"/>
              <w:bottom w:val="single" w:color="BFBFBF" w:sz="1"/>
              <w:right w:val="single" w:color="BFBFBF" w:sz="1"/>
            </w:tcBorders>
            <w:shd w:fill="1F3864" w:color="auto" w:val="clear"/>
            <w:tcMar>
              <w:top w:type="dxa" w:w="60"/>
              <w:left w:type="dxa" w:w="90"/>
              <w:bottom w:type="dxa" w:w="60"/>
              <w:right w:type="dxa" w:w="90"/>
            </w:tcMar>
            <w:vAlign w:val="center"/>
          </w:tcPr>
          <w:p>
            <w:pPr>
              <w:spacing w:after="0"/>
              <w:jc w:val="center"/>
            </w:pPr>
            <w:r>
              <w:rPr>
                <w:rFonts w:ascii="Calibri" w:cs="Calibri" w:eastAsia="Calibri" w:hAnsi="Calibri"/>
                <w:b/>
                <w:bCs/>
                <w:i w:val="false"/>
                <w:iCs w:val="false"/>
                <w:color w:val="FFFFFF"/>
                <w:sz w:val="17"/>
                <w:szCs w:val="17"/>
              </w:rPr>
              <w:t xml:space="preserve">Prior / Context</w:t>
            </w:r>
          </w:p>
        </w:tc>
        <w:tc>
          <w:tcPr>
            <w:tcW w:type="dxa" w:w="900"/>
            <w:tcBorders>
              <w:top w:val="single" w:color="BFBFBF" w:sz="1"/>
              <w:left w:val="single" w:color="BFBFBF" w:sz="1"/>
              <w:bottom w:val="single" w:color="BFBFBF" w:sz="1"/>
              <w:right w:val="single" w:color="BFBFBF" w:sz="1"/>
            </w:tcBorders>
            <w:shd w:fill="1F3864" w:color="auto" w:val="clear"/>
            <w:tcMar>
              <w:top w:type="dxa" w:w="60"/>
              <w:left w:type="dxa" w:w="90"/>
              <w:bottom w:type="dxa" w:w="60"/>
              <w:right w:type="dxa" w:w="90"/>
            </w:tcMar>
            <w:vAlign w:val="center"/>
          </w:tcPr>
          <w:p>
            <w:pPr>
              <w:spacing w:after="0"/>
              <w:jc w:val="center"/>
            </w:pPr>
            <w:r>
              <w:rPr>
                <w:rFonts w:ascii="Calibri" w:cs="Calibri" w:eastAsia="Calibri" w:hAnsi="Calibri"/>
                <w:b/>
                <w:bCs/>
                <w:i w:val="false"/>
                <w:iCs w:val="false"/>
                <w:color w:val="FFFFFF"/>
                <w:sz w:val="17"/>
                <w:szCs w:val="17"/>
              </w:rPr>
              <w:t xml:space="preserve">Impact</w:t>
            </w:r>
          </w:p>
        </w:tc>
        <w:tc>
          <w:tcPr>
            <w:tcW w:type="dxa" w:w="2680"/>
            <w:tcBorders>
              <w:top w:val="single" w:color="BFBFBF" w:sz="1"/>
              <w:left w:val="single" w:color="BFBFBF" w:sz="1"/>
              <w:bottom w:val="single" w:color="BFBFBF" w:sz="1"/>
              <w:right w:val="single" w:color="BFBFBF" w:sz="1"/>
            </w:tcBorders>
            <w:shd w:fill="1F3864" w:color="auto" w:val="clear"/>
            <w:tcMar>
              <w:top w:type="dxa" w:w="60"/>
              <w:left w:type="dxa" w:w="90"/>
              <w:bottom w:type="dxa" w:w="60"/>
              <w:right w:type="dxa" w:w="90"/>
            </w:tcMar>
            <w:vAlign w:val="center"/>
          </w:tcPr>
          <w:p>
            <w:pPr>
              <w:spacing w:after="0"/>
              <w:jc w:val="center"/>
            </w:pPr>
            <w:r>
              <w:rPr>
                <w:rFonts w:ascii="Calibri" w:cs="Calibri" w:eastAsia="Calibri" w:hAnsi="Calibri"/>
                <w:b/>
                <w:bCs/>
                <w:i w:val="false"/>
                <w:iCs w:val="false"/>
                <w:color w:val="FFFFFF"/>
                <w:sz w:val="17"/>
                <w:szCs w:val="17"/>
              </w:rPr>
              <w:t xml:space="preserve">Market implication for gold</w:t>
            </w:r>
          </w:p>
        </w:tc>
      </w:tr>
      <w:tr>
        <w:trPr>
          <w:tblHeader w:val="false"/>
        </w:trPr>
        <w:tc>
          <w:tcPr>
            <w:tcW w:type="dxa" w:w="1180"/>
            <w:tcBorders>
              <w:top w:val="single" w:color="BFBFBF" w:sz="1"/>
              <w:left w:val="single" w:color="BFBFBF" w:sz="1"/>
              <w:bottom w:val="single" w:color="BFBFBF" w:sz="1"/>
              <w:right w:val="single" w:color="BFBFBF" w:sz="1"/>
            </w:tcBorders>
            <w:shd w:fill="F2F4F8"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15 May</w:t>
            </w:r>
          </w:p>
        </w:tc>
        <w:tc>
          <w:tcPr>
            <w:tcW w:type="dxa" w:w="2300"/>
            <w:tcBorders>
              <w:top w:val="single" w:color="BFBFBF" w:sz="1"/>
              <w:left w:val="single" w:color="BFBFBF" w:sz="1"/>
              <w:bottom w:val="single" w:color="BFBFBF" w:sz="1"/>
              <w:right w:val="single" w:color="BFBFBF" w:sz="1"/>
            </w:tcBorders>
            <w:shd w:fill="F2F4F8"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US inflation-fear repricing</w:t>
            </w:r>
          </w:p>
        </w:tc>
        <w:tc>
          <w:tcPr>
            <w:tcW w:type="dxa" w:w="2300"/>
            <w:tcBorders>
              <w:top w:val="single" w:color="BFBFBF" w:sz="1"/>
              <w:left w:val="single" w:color="BFBFBF" w:sz="1"/>
              <w:bottom w:val="single" w:color="BFBFBF" w:sz="1"/>
              <w:right w:val="single" w:color="BFBFBF" w:sz="1"/>
            </w:tcBorders>
            <w:shd w:fill="F2F4F8"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Oil spike revives 2026 rate-hike talk</w:t>
            </w:r>
          </w:p>
        </w:tc>
        <w:tc>
          <w:tcPr>
            <w:tcW w:type="dxa" w:w="900"/>
            <w:tcBorders>
              <w:top w:val="single" w:color="BFBFBF" w:sz="1"/>
              <w:left w:val="single" w:color="BFBFBF" w:sz="1"/>
              <w:bottom w:val="single" w:color="BFBFBF" w:sz="1"/>
              <w:right w:val="single" w:color="BFBFBF" w:sz="1"/>
            </w:tcBorders>
            <w:shd w:fill="F2F4F8"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High</w:t>
            </w:r>
          </w:p>
        </w:tc>
        <w:tc>
          <w:tcPr>
            <w:tcW w:type="dxa" w:w="2680"/>
            <w:tcBorders>
              <w:top w:val="single" w:color="BFBFBF" w:sz="1"/>
              <w:left w:val="single" w:color="BFBFBF" w:sz="1"/>
              <w:bottom w:val="single" w:color="BFBFBF" w:sz="1"/>
              <w:right w:val="single" w:color="BFBFBF" w:sz="1"/>
            </w:tcBorders>
            <w:shd w:fill="F2F4F8"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Gold slumped with bonds and equities; the down-leg's catalyst.</w:t>
            </w:r>
          </w:p>
        </w:tc>
      </w:tr>
      <w:tr>
        <w:trPr>
          <w:tblHeader w:val="false"/>
        </w:trPr>
        <w:tc>
          <w:tcPr>
            <w:tcW w:type="dxa" w:w="118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18–20 May</w:t>
            </w:r>
          </w:p>
        </w:tc>
        <w:tc>
          <w:tcPr>
            <w:tcW w:type="dxa" w:w="23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Crude held near 4-yr highs; Iran rebuild reports</w:t>
            </w:r>
          </w:p>
        </w:tc>
        <w:tc>
          <w:tcPr>
            <w:tcW w:type="dxa" w:w="23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Strait of Hormuz risk premium</w:t>
            </w:r>
          </w:p>
        </w:tc>
        <w:tc>
          <w:tcPr>
            <w:tcW w:type="dxa" w:w="9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High</w:t>
            </w:r>
          </w:p>
        </w:tc>
        <w:tc>
          <w:tcPr>
            <w:tcW w:type="dxa" w:w="268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Real-yield channel pressured gold to the USD 4,454 low on 21 May.</w:t>
            </w:r>
          </w:p>
        </w:tc>
      </w:tr>
      <w:tr>
        <w:trPr>
          <w:tblHeader w:val="false"/>
        </w:trPr>
        <w:tc>
          <w:tcPr>
            <w:tcW w:type="dxa" w:w="1180"/>
            <w:tcBorders>
              <w:top w:val="single" w:color="BFBFBF" w:sz="1"/>
              <w:left w:val="single" w:color="BFBFBF" w:sz="1"/>
              <w:bottom w:val="single" w:color="BFBFBF" w:sz="1"/>
              <w:right w:val="single" w:color="BFBFBF" w:sz="1"/>
            </w:tcBorders>
            <w:shd w:fill="F2F4F8"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22 May</w:t>
            </w:r>
          </w:p>
        </w:tc>
        <w:tc>
          <w:tcPr>
            <w:tcW w:type="dxa" w:w="2300"/>
            <w:tcBorders>
              <w:top w:val="single" w:color="BFBFBF" w:sz="1"/>
              <w:left w:val="single" w:color="BFBFBF" w:sz="1"/>
              <w:bottom w:val="single" w:color="BFBFBF" w:sz="1"/>
              <w:right w:val="single" w:color="BFBFBF" w:sz="1"/>
            </w:tcBorders>
            <w:shd w:fill="F2F4F8"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U. Michigan inflation expectations</w:t>
            </w:r>
          </w:p>
        </w:tc>
        <w:tc>
          <w:tcPr>
            <w:tcW w:type="dxa" w:w="2300"/>
            <w:tcBorders>
              <w:top w:val="single" w:color="BFBFBF" w:sz="1"/>
              <w:left w:val="single" w:color="BFBFBF" w:sz="1"/>
              <w:bottom w:val="single" w:color="BFBFBF" w:sz="1"/>
              <w:right w:val="single" w:color="BFBFBF" w:sz="1"/>
            </w:tcBorders>
            <w:shd w:fill="F2F4F8"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Watched for hawkish confirmation</w:t>
            </w:r>
          </w:p>
        </w:tc>
        <w:tc>
          <w:tcPr>
            <w:tcW w:type="dxa" w:w="900"/>
            <w:tcBorders>
              <w:top w:val="single" w:color="BFBFBF" w:sz="1"/>
              <w:left w:val="single" w:color="BFBFBF" w:sz="1"/>
              <w:bottom w:val="single" w:color="BFBFBF" w:sz="1"/>
              <w:right w:val="single" w:color="BFBFBF" w:sz="1"/>
            </w:tcBorders>
            <w:shd w:fill="F2F4F8"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Medium</w:t>
            </w:r>
          </w:p>
        </w:tc>
        <w:tc>
          <w:tcPr>
            <w:tcW w:type="dxa" w:w="2680"/>
            <w:tcBorders>
              <w:top w:val="single" w:color="BFBFBF" w:sz="1"/>
              <w:left w:val="single" w:color="BFBFBF" w:sz="1"/>
              <w:bottom w:val="single" w:color="BFBFBF" w:sz="1"/>
              <w:right w:val="single" w:color="BFBFBF" w:sz="1"/>
            </w:tcBorders>
            <w:shd w:fill="F2F4F8"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Gold closed lower (USD 4,517) but the swing low held — base-building.</w:t>
            </w:r>
          </w:p>
        </w:tc>
      </w:tr>
      <w:tr>
        <w:trPr>
          <w:tblHeader w:val="false"/>
        </w:trPr>
        <w:tc>
          <w:tcPr>
            <w:tcW w:type="dxa" w:w="118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23 May</w:t>
            </w:r>
          </w:p>
        </w:tc>
        <w:tc>
          <w:tcPr>
            <w:tcW w:type="dxa" w:w="23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New Fed Chair sworn in</w:t>
            </w:r>
          </w:p>
        </w:tc>
        <w:tc>
          <w:tcPr>
            <w:tcW w:type="dxa" w:w="23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Hawkish-reputation leadership</w:t>
            </w:r>
          </w:p>
        </w:tc>
        <w:tc>
          <w:tcPr>
            <w:tcW w:type="dxa" w:w="9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Medium</w:t>
            </w:r>
          </w:p>
        </w:tc>
        <w:tc>
          <w:tcPr>
            <w:tcW w:type="dxa" w:w="268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Added a structural headwind to the gold narrative going into the weekend.</w:t>
            </w:r>
          </w:p>
        </w:tc>
      </w:tr>
      <w:tr>
        <w:trPr>
          <w:tblHeader w:val="false"/>
        </w:trPr>
        <w:tc>
          <w:tcPr>
            <w:tcW w:type="dxa" w:w="1180"/>
            <w:tcBorders>
              <w:top w:val="single" w:color="BFBFBF" w:sz="1"/>
              <w:left w:val="single" w:color="BFBFBF" w:sz="1"/>
              <w:bottom w:val="single" w:color="BFBFBF" w:sz="1"/>
              <w:right w:val="single" w:color="BFBFBF" w:sz="1"/>
            </w:tcBorders>
            <w:shd w:fill="F2F4F8"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24–25 May</w:t>
            </w:r>
          </w:p>
        </w:tc>
        <w:tc>
          <w:tcPr>
            <w:tcW w:type="dxa" w:w="2300"/>
            <w:tcBorders>
              <w:top w:val="single" w:color="BFBFBF" w:sz="1"/>
              <w:left w:val="single" w:color="BFBFBF" w:sz="1"/>
              <w:bottom w:val="single" w:color="BFBFBF" w:sz="1"/>
              <w:right w:val="single" w:color="BFBFBF" w:sz="1"/>
            </w:tcBorders>
            <w:shd w:fill="F2F4F8"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Weekend US-Iran de-escalation signal; possible Hormuz MOU</w:t>
            </w:r>
          </w:p>
        </w:tc>
        <w:tc>
          <w:tcPr>
            <w:tcW w:type="dxa" w:w="2300"/>
            <w:tcBorders>
              <w:top w:val="single" w:color="BFBFBF" w:sz="1"/>
              <w:left w:val="single" w:color="BFBFBF" w:sz="1"/>
              <w:bottom w:val="single" w:color="BFBFBF" w:sz="1"/>
              <w:right w:val="single" w:color="BFBFBF" w:sz="1"/>
            </w:tcBorders>
            <w:shd w:fill="F2F4F8"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Crude fell sharply (~7%)</w:t>
            </w:r>
          </w:p>
        </w:tc>
        <w:tc>
          <w:tcPr>
            <w:tcW w:type="dxa" w:w="900"/>
            <w:tcBorders>
              <w:top w:val="single" w:color="BFBFBF" w:sz="1"/>
              <w:left w:val="single" w:color="BFBFBF" w:sz="1"/>
              <w:bottom w:val="single" w:color="BFBFBF" w:sz="1"/>
              <w:right w:val="single" w:color="BFBFBF" w:sz="1"/>
            </w:tcBorders>
            <w:shd w:fill="F2F4F8"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High</w:t>
            </w:r>
          </w:p>
        </w:tc>
        <w:tc>
          <w:tcPr>
            <w:tcW w:type="dxa" w:w="2680"/>
            <w:tcBorders>
              <w:top w:val="single" w:color="BFBFBF" w:sz="1"/>
              <w:left w:val="single" w:color="BFBFBF" w:sz="1"/>
              <w:bottom w:val="single" w:color="BFBFBF" w:sz="1"/>
              <w:right w:val="single" w:color="BFBFBF" w:sz="1"/>
            </w:tcBorders>
            <w:shd w:fill="F2F4F8"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Inflation/rate-hike fear eased; dollar softened; gold rallied +1.18% on 25 May.</w:t>
            </w:r>
          </w:p>
        </w:tc>
      </w:tr>
    </w:tbl>
    <w:p>
      <w:pPr>
        <w:pStyle w:val="Heading2"/>
        <w:spacing w:after="80" w:before="160"/>
      </w:pPr>
      <w:r>
        <w:rPr>
          <w:rFonts w:ascii="Calibri" w:cs="Calibri" w:eastAsia="Calibri" w:hAnsi="Calibri"/>
          <w:b/>
          <w:bCs/>
          <w:color w:val="404040"/>
          <w:sz w:val="23"/>
          <w:szCs w:val="23"/>
        </w:rPr>
        <w:t xml:space="preserve">13d  News Calendar — Upcoming Period (five-session horizon from 26 May)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80"/>
        <w:gridCol w:w="2300"/>
        <w:gridCol w:w="2300"/>
        <w:gridCol w:w="900"/>
        <w:gridCol w:w="2680"/>
      </w:tblGrid>
      <w:tr>
        <w:trPr>
          <w:tblHeader/>
        </w:trPr>
        <w:tc>
          <w:tcPr>
            <w:tcW w:type="dxa" w:w="1180"/>
            <w:tcBorders>
              <w:top w:val="single" w:color="BFBFBF" w:sz="1"/>
              <w:left w:val="single" w:color="BFBFBF" w:sz="1"/>
              <w:bottom w:val="single" w:color="BFBFBF" w:sz="1"/>
              <w:right w:val="single" w:color="BFBFBF" w:sz="1"/>
            </w:tcBorders>
            <w:shd w:fill="1F3864" w:color="auto" w:val="clear"/>
            <w:tcMar>
              <w:top w:type="dxa" w:w="60"/>
              <w:left w:type="dxa" w:w="90"/>
              <w:bottom w:type="dxa" w:w="60"/>
              <w:right w:type="dxa" w:w="90"/>
            </w:tcMar>
            <w:vAlign w:val="center"/>
          </w:tcPr>
          <w:p>
            <w:pPr>
              <w:spacing w:after="0"/>
              <w:jc w:val="center"/>
            </w:pPr>
            <w:r>
              <w:rPr>
                <w:rFonts w:ascii="Calibri" w:cs="Calibri" w:eastAsia="Calibri" w:hAnsi="Calibri"/>
                <w:b/>
                <w:bCs/>
                <w:i w:val="false"/>
                <w:iCs w:val="false"/>
                <w:color w:val="FFFFFF"/>
                <w:sz w:val="17"/>
                <w:szCs w:val="17"/>
              </w:rPr>
              <w:t xml:space="preserve">Date</w:t>
            </w:r>
          </w:p>
        </w:tc>
        <w:tc>
          <w:tcPr>
            <w:tcW w:type="dxa" w:w="2300"/>
            <w:tcBorders>
              <w:top w:val="single" w:color="BFBFBF" w:sz="1"/>
              <w:left w:val="single" w:color="BFBFBF" w:sz="1"/>
              <w:bottom w:val="single" w:color="BFBFBF" w:sz="1"/>
              <w:right w:val="single" w:color="BFBFBF" w:sz="1"/>
            </w:tcBorders>
            <w:shd w:fill="1F3864" w:color="auto" w:val="clear"/>
            <w:tcMar>
              <w:top w:type="dxa" w:w="60"/>
              <w:left w:type="dxa" w:w="90"/>
              <w:bottom w:type="dxa" w:w="60"/>
              <w:right w:type="dxa" w:w="90"/>
            </w:tcMar>
            <w:vAlign w:val="center"/>
          </w:tcPr>
          <w:p>
            <w:pPr>
              <w:spacing w:after="0"/>
              <w:jc w:val="center"/>
            </w:pPr>
            <w:r>
              <w:rPr>
                <w:rFonts w:ascii="Calibri" w:cs="Calibri" w:eastAsia="Calibri" w:hAnsi="Calibri"/>
                <w:b/>
                <w:bCs/>
                <w:i w:val="false"/>
                <w:iCs w:val="false"/>
                <w:color w:val="FFFFFF"/>
                <w:sz w:val="17"/>
                <w:szCs w:val="17"/>
              </w:rPr>
              <w:t xml:space="preserve">Event</w:t>
            </w:r>
          </w:p>
        </w:tc>
        <w:tc>
          <w:tcPr>
            <w:tcW w:type="dxa" w:w="2300"/>
            <w:tcBorders>
              <w:top w:val="single" w:color="BFBFBF" w:sz="1"/>
              <w:left w:val="single" w:color="BFBFBF" w:sz="1"/>
              <w:bottom w:val="single" w:color="BFBFBF" w:sz="1"/>
              <w:right w:val="single" w:color="BFBFBF" w:sz="1"/>
            </w:tcBorders>
            <w:shd w:fill="1F3864" w:color="auto" w:val="clear"/>
            <w:tcMar>
              <w:top w:type="dxa" w:w="60"/>
              <w:left w:type="dxa" w:w="90"/>
              <w:bottom w:type="dxa" w:w="60"/>
              <w:right w:type="dxa" w:w="90"/>
            </w:tcMar>
            <w:vAlign w:val="center"/>
          </w:tcPr>
          <w:p>
            <w:pPr>
              <w:spacing w:after="0"/>
              <w:jc w:val="center"/>
            </w:pPr>
            <w:r>
              <w:rPr>
                <w:rFonts w:ascii="Calibri" w:cs="Calibri" w:eastAsia="Calibri" w:hAnsi="Calibri"/>
                <w:b/>
                <w:bCs/>
                <w:i w:val="false"/>
                <w:iCs w:val="false"/>
                <w:color w:val="FFFFFF"/>
                <w:sz w:val="17"/>
                <w:szCs w:val="17"/>
              </w:rPr>
              <w:t xml:space="preserve">Prior / Context</w:t>
            </w:r>
          </w:p>
        </w:tc>
        <w:tc>
          <w:tcPr>
            <w:tcW w:type="dxa" w:w="900"/>
            <w:tcBorders>
              <w:top w:val="single" w:color="BFBFBF" w:sz="1"/>
              <w:left w:val="single" w:color="BFBFBF" w:sz="1"/>
              <w:bottom w:val="single" w:color="BFBFBF" w:sz="1"/>
              <w:right w:val="single" w:color="BFBFBF" w:sz="1"/>
            </w:tcBorders>
            <w:shd w:fill="1F3864" w:color="auto" w:val="clear"/>
            <w:tcMar>
              <w:top w:type="dxa" w:w="60"/>
              <w:left w:type="dxa" w:w="90"/>
              <w:bottom w:type="dxa" w:w="60"/>
              <w:right w:type="dxa" w:w="90"/>
            </w:tcMar>
            <w:vAlign w:val="center"/>
          </w:tcPr>
          <w:p>
            <w:pPr>
              <w:spacing w:after="0"/>
              <w:jc w:val="center"/>
            </w:pPr>
            <w:r>
              <w:rPr>
                <w:rFonts w:ascii="Calibri" w:cs="Calibri" w:eastAsia="Calibri" w:hAnsi="Calibri"/>
                <w:b/>
                <w:bCs/>
                <w:i w:val="false"/>
                <w:iCs w:val="false"/>
                <w:color w:val="FFFFFF"/>
                <w:sz w:val="17"/>
                <w:szCs w:val="17"/>
              </w:rPr>
              <w:t xml:space="preserve">Impact</w:t>
            </w:r>
          </w:p>
        </w:tc>
        <w:tc>
          <w:tcPr>
            <w:tcW w:type="dxa" w:w="2680"/>
            <w:tcBorders>
              <w:top w:val="single" w:color="BFBFBF" w:sz="1"/>
              <w:left w:val="single" w:color="BFBFBF" w:sz="1"/>
              <w:bottom w:val="single" w:color="BFBFBF" w:sz="1"/>
              <w:right w:val="single" w:color="BFBFBF" w:sz="1"/>
            </w:tcBorders>
            <w:shd w:fill="1F3864" w:color="auto" w:val="clear"/>
            <w:tcMar>
              <w:top w:type="dxa" w:w="60"/>
              <w:left w:type="dxa" w:w="90"/>
              <w:bottom w:type="dxa" w:w="60"/>
              <w:right w:type="dxa" w:w="90"/>
            </w:tcMar>
            <w:vAlign w:val="center"/>
          </w:tcPr>
          <w:p>
            <w:pPr>
              <w:spacing w:after="0"/>
              <w:jc w:val="center"/>
            </w:pPr>
            <w:r>
              <w:rPr>
                <w:rFonts w:ascii="Calibri" w:cs="Calibri" w:eastAsia="Calibri" w:hAnsi="Calibri"/>
                <w:b/>
                <w:bCs/>
                <w:i w:val="false"/>
                <w:iCs w:val="false"/>
                <w:color w:val="FFFFFF"/>
                <w:sz w:val="17"/>
                <w:szCs w:val="17"/>
              </w:rPr>
              <w:t xml:space="preserve">Market implication for gold</w:t>
            </w:r>
          </w:p>
        </w:tc>
      </w:tr>
      <w:tr>
        <w:trPr>
          <w:tblHeader w:val="false"/>
        </w:trPr>
        <w:tc>
          <w:tcPr>
            <w:tcW w:type="dxa" w:w="1180"/>
            <w:tcBorders>
              <w:top w:val="single" w:color="BFBFBF" w:sz="1"/>
              <w:left w:val="single" w:color="BFBFBF" w:sz="1"/>
              <w:bottom w:val="single" w:color="BFBFBF" w:sz="1"/>
              <w:right w:val="single" w:color="BFBFBF" w:sz="1"/>
            </w:tcBorders>
            <w:shd w:fill="F2F4F8" w:color="auto" w:val="clear"/>
            <w:tcMar>
              <w:top w:type="dxa" w:w="60"/>
              <w:left w:type="dxa" w:w="90"/>
              <w:bottom w:type="dxa" w:w="60"/>
              <w:right w:type="dxa" w:w="90"/>
            </w:tcMar>
            <w:vAlign w:val="center"/>
          </w:tcPr>
          <w:p>
            <w:pPr>
              <w:spacing w:after="0"/>
              <w:jc w:val="left"/>
            </w:pPr>
            <w:r>
              <w:rPr>
                <w:rFonts w:ascii="Calibri" w:cs="Calibri" w:eastAsia="Calibri" w:hAnsi="Calibri"/>
                <w:b/>
                <w:bCs/>
                <w:i w:val="false"/>
                <w:iCs w:val="false"/>
                <w:color w:val="1A1A1A"/>
                <w:sz w:val="17"/>
                <w:szCs w:val="17"/>
              </w:rPr>
              <w:t xml:space="preserve">28 May</w:t>
            </w:r>
          </w:p>
        </w:tc>
        <w:tc>
          <w:tcPr>
            <w:tcW w:type="dxa" w:w="2300"/>
            <w:tcBorders>
              <w:top w:val="single" w:color="BFBFBF" w:sz="1"/>
              <w:left w:val="single" w:color="BFBFBF" w:sz="1"/>
              <w:bottom w:val="single" w:color="BFBFBF" w:sz="1"/>
              <w:right w:val="single" w:color="BFBFBF" w:sz="1"/>
            </w:tcBorders>
            <w:shd w:fill="F2F4F8" w:color="auto" w:val="clear"/>
            <w:tcMar>
              <w:top w:type="dxa" w:w="60"/>
              <w:left w:type="dxa" w:w="90"/>
              <w:bottom w:type="dxa" w:w="60"/>
              <w:right w:type="dxa" w:w="90"/>
            </w:tcMar>
            <w:vAlign w:val="center"/>
          </w:tcPr>
          <w:p>
            <w:pPr>
              <w:spacing w:after="0"/>
              <w:jc w:val="left"/>
            </w:pPr>
            <w:r>
              <w:rPr>
                <w:rFonts w:ascii="Calibri" w:cs="Calibri" w:eastAsia="Calibri" w:hAnsi="Calibri"/>
                <w:b/>
                <w:bCs/>
                <w:i w:val="false"/>
                <w:iCs w:val="false"/>
                <w:color w:val="1A1A1A"/>
                <w:sz w:val="17"/>
                <w:szCs w:val="17"/>
              </w:rPr>
              <w:t xml:space="preserve">US Q1 GDP (2nd estimate) + weekly jobless claims</w:t>
            </w:r>
          </w:p>
        </w:tc>
        <w:tc>
          <w:tcPr>
            <w:tcW w:type="dxa" w:w="2300"/>
            <w:tcBorders>
              <w:top w:val="single" w:color="BFBFBF" w:sz="1"/>
              <w:left w:val="single" w:color="BFBFBF" w:sz="1"/>
              <w:bottom w:val="single" w:color="BFBFBF" w:sz="1"/>
              <w:right w:val="single" w:color="BFBFBF" w:sz="1"/>
            </w:tcBorders>
            <w:shd w:fill="F2F4F8"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Growth-trajectory read; claims trend</w:t>
            </w:r>
          </w:p>
        </w:tc>
        <w:tc>
          <w:tcPr>
            <w:tcW w:type="dxa" w:w="900"/>
            <w:tcBorders>
              <w:top w:val="single" w:color="BFBFBF" w:sz="1"/>
              <w:left w:val="single" w:color="BFBFBF" w:sz="1"/>
              <w:bottom w:val="single" w:color="BFBFBF" w:sz="1"/>
              <w:right w:val="single" w:color="BFBFBF" w:sz="1"/>
            </w:tcBorders>
            <w:shd w:fill="F2F4F8" w:color="auto" w:val="clear"/>
            <w:tcMar>
              <w:top w:type="dxa" w:w="60"/>
              <w:left w:type="dxa" w:w="90"/>
              <w:bottom w:type="dxa" w:w="60"/>
              <w:right w:type="dxa" w:w="90"/>
            </w:tcMar>
            <w:vAlign w:val="center"/>
          </w:tcPr>
          <w:p>
            <w:pPr>
              <w:spacing w:after="0"/>
              <w:jc w:val="left"/>
            </w:pPr>
            <w:r>
              <w:rPr>
                <w:rFonts w:ascii="Calibri" w:cs="Calibri" w:eastAsia="Calibri" w:hAnsi="Calibri"/>
                <w:b/>
                <w:bCs/>
                <w:i w:val="false"/>
                <w:iCs w:val="false"/>
                <w:color w:val="1A1A1A"/>
                <w:sz w:val="17"/>
                <w:szCs w:val="17"/>
              </w:rPr>
              <w:t xml:space="preserve">High</w:t>
            </w:r>
          </w:p>
        </w:tc>
        <w:tc>
          <w:tcPr>
            <w:tcW w:type="dxa" w:w="2680"/>
            <w:tcBorders>
              <w:top w:val="single" w:color="BFBFBF" w:sz="1"/>
              <w:left w:val="single" w:color="BFBFBF" w:sz="1"/>
              <w:bottom w:val="single" w:color="BFBFBF" w:sz="1"/>
              <w:right w:val="single" w:color="BFBFBF" w:sz="1"/>
            </w:tcBorders>
            <w:shd w:fill="F2F4F8" w:color="auto" w:val="clear"/>
            <w:tcMar>
              <w:top w:type="dxa" w:w="60"/>
              <w:left w:type="dxa" w:w="90"/>
              <w:bottom w:type="dxa" w:w="60"/>
              <w:right w:type="dxa" w:w="90"/>
            </w:tcMar>
            <w:vAlign w:val="center"/>
          </w:tcPr>
          <w:p>
            <w:pPr>
              <w:spacing w:after="0"/>
              <w:jc w:val="left"/>
            </w:pPr>
            <w:r>
              <w:rPr>
                <w:rFonts w:ascii="Calibri" w:cs="Calibri" w:eastAsia="Calibri" w:hAnsi="Calibri"/>
                <w:b/>
                <w:bCs/>
                <w:i w:val="false"/>
                <w:iCs w:val="false"/>
                <w:color w:val="1A1A1A"/>
                <w:sz w:val="17"/>
                <w:szCs w:val="17"/>
              </w:rPr>
              <w:t xml:space="preserve">A growth/labour miss reinforces the easing-of-rate-hike-risk narrative — gold-supportive; a beat revives the hawkish-Fed thread that capped the metal — gold-negative.</w:t>
            </w:r>
          </w:p>
        </w:tc>
      </w:tr>
      <w:tr>
        <w:trPr>
          <w:tblHeader w:val="false"/>
        </w:trPr>
        <w:tc>
          <w:tcPr>
            <w:tcW w:type="dxa" w:w="118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26–30 May</w:t>
            </w:r>
          </w:p>
        </w:tc>
        <w:tc>
          <w:tcPr>
            <w:tcW w:type="dxa" w:w="23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US–Iran negotiation headlines / Hormuz MOU status</w:t>
            </w:r>
          </w:p>
        </w:tc>
        <w:tc>
          <w:tcPr>
            <w:tcW w:type="dxa" w:w="23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Confirmation or collapse of weekend de-escalation</w:t>
            </w:r>
          </w:p>
        </w:tc>
        <w:tc>
          <w:tcPr>
            <w:tcW w:type="dxa" w:w="9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High</w:t>
            </w:r>
          </w:p>
        </w:tc>
        <w:tc>
          <w:tcPr>
            <w:tcW w:type="dxa" w:w="268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Confirmation extends the oil-down / dollar-down / gold-up move; collapse reverses it sharply.</w:t>
            </w:r>
          </w:p>
        </w:tc>
      </w:tr>
      <w:tr>
        <w:trPr>
          <w:tblHeader w:val="false"/>
        </w:trPr>
        <w:tc>
          <w:tcPr>
            <w:tcW w:type="dxa" w:w="1180"/>
            <w:tcBorders>
              <w:top w:val="single" w:color="BFBFBF" w:sz="1"/>
              <w:left w:val="single" w:color="BFBFBF" w:sz="1"/>
              <w:bottom w:val="single" w:color="BFBFBF" w:sz="1"/>
              <w:right w:val="single" w:color="BFBFBF" w:sz="1"/>
            </w:tcBorders>
            <w:shd w:fill="F2F4F8"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26–30 May</w:t>
            </w:r>
          </w:p>
        </w:tc>
        <w:tc>
          <w:tcPr>
            <w:tcW w:type="dxa" w:w="2300"/>
            <w:tcBorders>
              <w:top w:val="single" w:color="BFBFBF" w:sz="1"/>
              <w:left w:val="single" w:color="BFBFBF" w:sz="1"/>
              <w:bottom w:val="single" w:color="BFBFBF" w:sz="1"/>
              <w:right w:val="single" w:color="BFBFBF" w:sz="1"/>
            </w:tcBorders>
            <w:shd w:fill="F2F4F8"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Fed-speak ahead of the next policy meeting</w:t>
            </w:r>
          </w:p>
        </w:tc>
        <w:tc>
          <w:tcPr>
            <w:tcW w:type="dxa" w:w="2300"/>
            <w:tcBorders>
              <w:top w:val="single" w:color="BFBFBF" w:sz="1"/>
              <w:left w:val="single" w:color="BFBFBF" w:sz="1"/>
              <w:bottom w:val="single" w:color="BFBFBF" w:sz="1"/>
              <w:right w:val="single" w:color="BFBFBF" w:sz="1"/>
            </w:tcBorders>
            <w:shd w:fill="F2F4F8"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Hawkish-leaning leadership backdrop</w:t>
            </w:r>
          </w:p>
        </w:tc>
        <w:tc>
          <w:tcPr>
            <w:tcW w:type="dxa" w:w="900"/>
            <w:tcBorders>
              <w:top w:val="single" w:color="BFBFBF" w:sz="1"/>
              <w:left w:val="single" w:color="BFBFBF" w:sz="1"/>
              <w:bottom w:val="single" w:color="BFBFBF" w:sz="1"/>
              <w:right w:val="single" w:color="BFBFBF" w:sz="1"/>
            </w:tcBorders>
            <w:shd w:fill="F2F4F8"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Medium</w:t>
            </w:r>
          </w:p>
        </w:tc>
        <w:tc>
          <w:tcPr>
            <w:tcW w:type="dxa" w:w="2680"/>
            <w:tcBorders>
              <w:top w:val="single" w:color="BFBFBF" w:sz="1"/>
              <w:left w:val="single" w:color="BFBFBF" w:sz="1"/>
              <w:bottom w:val="single" w:color="BFBFBF" w:sz="1"/>
              <w:right w:val="single" w:color="BFBFBF" w:sz="1"/>
            </w:tcBorders>
            <w:shd w:fill="F2F4F8"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Hawkish commentary caps gold's recovery via the real-yield channel.</w:t>
            </w:r>
          </w:p>
        </w:tc>
      </w:tr>
      <w:tr>
        <w:trPr>
          <w:tblHeader w:val="false"/>
        </w:trPr>
        <w:tc>
          <w:tcPr>
            <w:tcW w:type="dxa" w:w="118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Ongoing</w:t>
            </w:r>
          </w:p>
        </w:tc>
        <w:tc>
          <w:tcPr>
            <w:tcW w:type="dxa" w:w="23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Central-bank gold purchase disclosures (PBoC, RBI)</w:t>
            </w:r>
          </w:p>
        </w:tc>
        <w:tc>
          <w:tcPr>
            <w:tcW w:type="dxa" w:w="23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PBoC 17-month buying streak</w:t>
            </w:r>
          </w:p>
        </w:tc>
        <w:tc>
          <w:tcPr>
            <w:tcW w:type="dxa" w:w="9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Low–Medium</w:t>
            </w:r>
          </w:p>
        </w:tc>
        <w:tc>
          <w:tcPr>
            <w:tcW w:type="dxa" w:w="268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Any fresh large purchase announcement is an incremental structural support.</w:t>
            </w:r>
          </w:p>
        </w:tc>
      </w:tr>
    </w:tbl>
    <w:p>
      <w:pPr>
        <w:spacing w:after="100" w:before="0"/>
        <w:jc w:val="left"/>
      </w:pPr>
      <w:r>
        <w:rPr>
          <w:rFonts w:ascii="Calibri" w:cs="Calibri" w:eastAsia="Calibri" w:hAnsi="Calibri"/>
          <w:b/>
          <w:bCs/>
          <w:i w:val="false"/>
          <w:iCs w:val="false"/>
          <w:color w:val="1A1A1A"/>
          <w:sz w:val="21"/>
          <w:szCs w:val="21"/>
        </w:rPr>
        <w:t xml:space="preserve">Highest-impact upcoming event: the 28 May US Q1 GDP second estimate and jobless claims. </w:t>
      </w:r>
      <w:r>
        <w:rPr>
          <w:rFonts w:ascii="Calibri" w:cs="Calibri" w:eastAsia="Calibri" w:hAnsi="Calibri"/>
          <w:b w:val="false"/>
          <w:bCs w:val="false"/>
          <w:i w:val="false"/>
          <w:iCs w:val="false"/>
          <w:color w:val="1A1A1A"/>
          <w:sz w:val="21"/>
          <w:szCs w:val="21"/>
        </w:rPr>
        <w:t xml:space="preserve">Mechanism: gold's recovery is built on the market pricing out a 2026 Fed rate hike; a soft growth or labour print hardens that view and removes the real-yield headwind, while a strong print revives it — the single release most able to change the §3 consensus view inside the horizon.</w:t>
      </w:r>
    </w:p>
    <w:p>
      <w:r>
        <w:br w:type="page"/>
      </w:r>
    </w:p>
    <w:p>
      <w:pPr>
        <w:pStyle w:val="Heading1"/>
        <w:pBdr>
          <w:bottom w:val="single" w:color="1F3864" w:sz="6" w:space="2"/>
        </w:pBdr>
        <w:spacing w:after="120" w:before="240"/>
      </w:pPr>
      <w:r>
        <w:rPr>
          <w:rFonts w:ascii="Calibri" w:cs="Calibri" w:eastAsia="Calibri" w:hAnsi="Calibri"/>
          <w:b/>
          <w:bCs/>
          <w:color w:val="1F3864"/>
          <w:sz w:val="28"/>
          <w:szCs w:val="28"/>
        </w:rPr>
        <w:t xml:space="preserve">14.  Macro Context</w:t>
      </w:r>
    </w:p>
    <w:p>
      <w:pPr>
        <w:spacing w:after="100" w:before="0"/>
        <w:jc w:val="left"/>
      </w:pPr>
      <w:r>
        <w:rPr>
          <w:rFonts w:ascii="Calibri" w:cs="Calibri" w:eastAsia="Calibri" w:hAnsi="Calibri"/>
          <w:b/>
          <w:bCs/>
          <w:i w:val="false"/>
          <w:iCs w:val="false"/>
          <w:color w:val="1A1A1A"/>
          <w:sz w:val="21"/>
          <w:szCs w:val="21"/>
        </w:rPr>
        <w:t xml:space="preserve">Rates and monetary policy. </w:t>
      </w:r>
      <w:r>
        <w:rPr>
          <w:rFonts w:ascii="Calibri" w:cs="Calibri" w:eastAsia="Calibri" w:hAnsi="Calibri"/>
          <w:b w:val="false"/>
          <w:bCs w:val="false"/>
          <w:i w:val="false"/>
          <w:iCs w:val="false"/>
          <w:color w:val="1A1A1A"/>
          <w:sz w:val="21"/>
          <w:szCs w:val="21"/>
        </w:rPr>
        <w:t xml:space="preserve">Market pricing leans heavily toward rates held at the next meeting, with only a marginal probability of a cut; a hawkish-leaning Fed leadership backdrop reinforces the message. For gold this is a mild cap — the metal's recovery is a removal of rate-hike fear, not the arrival of rate-cut expectations.</w:t>
      </w:r>
    </w:p>
    <w:p>
      <w:pPr>
        <w:spacing w:after="100" w:before="0"/>
        <w:jc w:val="left"/>
      </w:pPr>
      <w:r>
        <w:rPr>
          <w:rFonts w:ascii="Calibri" w:cs="Calibri" w:eastAsia="Calibri" w:hAnsi="Calibri"/>
          <w:b/>
          <w:bCs/>
          <w:i w:val="false"/>
          <w:iCs w:val="false"/>
          <w:color w:val="1A1A1A"/>
          <w:sz w:val="21"/>
          <w:szCs w:val="21"/>
        </w:rPr>
        <w:t xml:space="preserve">Inflation. </w:t>
      </w:r>
      <w:r>
        <w:rPr>
          <w:rFonts w:ascii="Calibri" w:cs="Calibri" w:eastAsia="Calibri" w:hAnsi="Calibri"/>
          <w:b w:val="false"/>
          <w:bCs w:val="false"/>
          <w:i w:val="false"/>
          <w:iCs w:val="false"/>
          <w:color w:val="1A1A1A"/>
          <w:sz w:val="21"/>
          <w:szCs w:val="21"/>
        </w:rPr>
        <w:t xml:space="preserve">The May inflation impulse was oil-driven. With crude falling sharply on the de-escalation signal, the near-term inflation trajectory has softened — price-supportive for gold, because it removes the channel through which higher real yields were pressuring the metal.</w:t>
      </w:r>
    </w:p>
    <w:p>
      <w:pPr>
        <w:spacing w:after="100" w:before="0"/>
        <w:jc w:val="left"/>
      </w:pPr>
      <w:r>
        <w:rPr>
          <w:rFonts w:ascii="Calibri" w:cs="Calibri" w:eastAsia="Calibri" w:hAnsi="Calibri"/>
          <w:b/>
          <w:bCs/>
          <w:i w:val="false"/>
          <w:iCs w:val="false"/>
          <w:color w:val="1A1A1A"/>
          <w:sz w:val="21"/>
          <w:szCs w:val="21"/>
        </w:rPr>
        <w:t xml:space="preserve">Safe-haven / real yields. </w:t>
      </w:r>
      <w:r>
        <w:rPr>
          <w:rFonts w:ascii="Calibri" w:cs="Calibri" w:eastAsia="Calibri" w:hAnsi="Calibri"/>
          <w:b w:val="false"/>
          <w:bCs w:val="false"/>
          <w:i w:val="false"/>
          <w:iCs w:val="false"/>
          <w:color w:val="1A1A1A"/>
          <w:sz w:val="21"/>
          <w:szCs w:val="21"/>
        </w:rPr>
        <w:t xml:space="preserve">Gold itself is the safe-haven gauge here. The two-session recovery is best read as real-yield compression — lower oil → lower inflation expectations → lower real yields → a higher non-yielding gold price — rather than a pure flight-to-safety bid, since equities rose on the same catalyst (see the S&amp;P 500 and DAX reads in §10).</w:t>
      </w:r>
    </w:p>
    <w:p>
      <w:pPr>
        <w:spacing w:after="100" w:before="0"/>
        <w:jc w:val="left"/>
      </w:pPr>
      <w:r>
        <w:rPr>
          <w:rFonts w:ascii="Calibri" w:cs="Calibri" w:eastAsia="Calibri" w:hAnsi="Calibri"/>
          <w:b/>
          <w:bCs/>
          <w:i w:val="false"/>
          <w:iCs w:val="false"/>
          <w:color w:val="1A1A1A"/>
          <w:sz w:val="21"/>
          <w:szCs w:val="21"/>
        </w:rPr>
        <w:t xml:space="preserve">Liquidity and FX. </w:t>
      </w:r>
      <w:r>
        <w:rPr>
          <w:rFonts w:ascii="Calibri" w:cs="Calibri" w:eastAsia="Calibri" w:hAnsi="Calibri"/>
          <w:b w:val="false"/>
          <w:bCs w:val="false"/>
          <w:i w:val="false"/>
          <w:iCs w:val="false"/>
          <w:color w:val="1A1A1A"/>
          <w:sz w:val="21"/>
          <w:szCs w:val="21"/>
        </w:rPr>
        <w:t xml:space="preserve">Cross-referencing the §10 USDX read: a flat-to-softer dollar on the de-escalation catalyst was a direct mechanical tailwind for the dollar-denominated metal. A renewed dollar bid is the cleanest macro risk to the bullish short-term call.</w:t>
      </w:r>
    </w:p>
    <w:p>
      <w:pPr>
        <w:spacing w:after="100" w:before="0"/>
        <w:jc w:val="left"/>
      </w:pPr>
      <w:r>
        <w:rPr>
          <w:rFonts w:ascii="Calibri" w:cs="Calibri" w:eastAsia="Calibri" w:hAnsi="Calibri"/>
          <w:b/>
          <w:bCs/>
          <w:i w:val="false"/>
          <w:iCs w:val="false"/>
          <w:color w:val="1A1A1A"/>
          <w:sz w:val="21"/>
          <w:szCs w:val="21"/>
        </w:rPr>
        <w:t xml:space="preserve">Energy. </w:t>
      </w:r>
      <w:r>
        <w:rPr>
          <w:rFonts w:ascii="Calibri" w:cs="Calibri" w:eastAsia="Calibri" w:hAnsi="Calibri"/>
          <w:b w:val="false"/>
          <w:bCs w:val="false"/>
          <w:i w:val="false"/>
          <w:iCs w:val="false"/>
          <w:color w:val="1A1A1A"/>
          <w:sz w:val="21"/>
          <w:szCs w:val="21"/>
        </w:rPr>
        <w:t xml:space="preserve">Crude is the linchpin counter this week. Its sharp fall on 25 May is the proximate cause of the gold rebound via the inflation/real-yield channel; a crude reversal on any breakdown in US–Iran talks would be the fastest route to a gold pullback.</w:t>
      </w:r>
    </w:p>
    <w:p>
      <w:pPr>
        <w:spacing w:after="100" w:before="0"/>
        <w:jc w:val="left"/>
      </w:pPr>
      <w:r>
        <w:rPr>
          <w:rFonts w:ascii="Calibri" w:cs="Calibri" w:eastAsia="Calibri" w:hAnsi="Calibri"/>
          <w:b/>
          <w:bCs/>
          <w:i w:val="false"/>
          <w:iCs w:val="false"/>
          <w:color w:val="1A1A1A"/>
          <w:sz w:val="21"/>
          <w:szCs w:val="21"/>
        </w:rPr>
        <w:t xml:space="preserve">Positioning. </w:t>
      </w:r>
      <w:r>
        <w:rPr>
          <w:rFonts w:ascii="Calibri" w:cs="Calibri" w:eastAsia="Calibri" w:hAnsi="Calibri"/>
          <w:b w:val="false"/>
          <w:bCs w:val="false"/>
          <w:i w:val="false"/>
          <w:iCs w:val="false"/>
          <w:color w:val="1A1A1A"/>
          <w:sz w:val="21"/>
          <w:szCs w:val="21"/>
        </w:rPr>
        <w:t xml:space="preserve">Volatility is contracting from the late-April / mid-May spike (VOLator slope negative, §9), consistent with speculative positioning that has been shaken out by the two-week drawdown and is only now beginning to rebuild on the long side. Equity-volatility gauges sit at moderate levels, consistent with a risk-on-but-not-euphoric tape.</w:t>
      </w:r>
    </w:p>
    <w:p>
      <w:pPr>
        <w:spacing w:after="100" w:before="0"/>
        <w:jc w:val="left"/>
      </w:pPr>
      <w:r>
        <w:rPr>
          <w:rFonts w:ascii="Calibri" w:cs="Calibri" w:eastAsia="Calibri" w:hAnsi="Calibri"/>
          <w:b/>
          <w:bCs/>
          <w:i w:val="false"/>
          <w:iCs w:val="false"/>
          <w:color w:val="1A1A1A"/>
          <w:sz w:val="21"/>
          <w:szCs w:val="21"/>
        </w:rPr>
        <w:t xml:space="preserve">Upcoming-event cross-reference: </w:t>
      </w:r>
      <w:r>
        <w:rPr>
          <w:rFonts w:ascii="Calibri" w:cs="Calibri" w:eastAsia="Calibri" w:hAnsi="Calibri"/>
          <w:b w:val="false"/>
          <w:bCs w:val="false"/>
          <w:i w:val="false"/>
          <w:iCs w:val="false"/>
          <w:color w:val="1A1A1A"/>
          <w:sz w:val="21"/>
          <w:szCs w:val="21"/>
        </w:rPr>
        <w:t xml:space="preserve">the 28 May US GDP/claims release (§13d) is the macro watch item — it directly drives the rates and real-yield variables above. A downside growth surprise is the directional risk that would most extend the current gold-supportive macro mix.</w:t>
      </w:r>
    </w:p>
    <w:p>
      <w:pPr>
        <w:pStyle w:val="Heading1"/>
        <w:pBdr>
          <w:bottom w:val="single" w:color="1F3864" w:sz="6" w:space="2"/>
        </w:pBdr>
        <w:spacing w:after="120" w:before="240"/>
      </w:pPr>
      <w:r>
        <w:rPr>
          <w:rFonts w:ascii="Calibri" w:cs="Calibri" w:eastAsia="Calibri" w:hAnsi="Calibri"/>
          <w:b/>
          <w:bCs/>
          <w:color w:val="1F3864"/>
          <w:sz w:val="28"/>
          <w:szCs w:val="28"/>
        </w:rPr>
        <w:t xml:space="preserve">15.  Bull / Bear Balance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1"/>
              <w:left w:val="single" w:color="BFBFBF" w:sz="1"/>
              <w:bottom w:val="single" w:color="BFBFBF" w:sz="1"/>
              <w:right w:val="single" w:color="BFBFBF" w:sz="1"/>
            </w:tcBorders>
            <w:shd w:fill="1F3864" w:color="auto" w:val="clear"/>
            <w:tcMar>
              <w:top w:type="dxa" w:w="60"/>
              <w:left w:type="dxa" w:w="90"/>
              <w:bottom w:type="dxa" w:w="60"/>
              <w:right w:type="dxa" w:w="90"/>
            </w:tcMar>
            <w:vAlign w:val="center"/>
          </w:tcPr>
          <w:p>
            <w:pPr>
              <w:spacing w:after="0"/>
              <w:jc w:val="center"/>
            </w:pPr>
            <w:r>
              <w:rPr>
                <w:rFonts w:ascii="Calibri" w:cs="Calibri" w:eastAsia="Calibri" w:hAnsi="Calibri"/>
                <w:b/>
                <w:bCs/>
                <w:i w:val="false"/>
                <w:iCs w:val="false"/>
                <w:color w:val="FFFFFF"/>
                <w:sz w:val="17"/>
                <w:szCs w:val="17"/>
              </w:rPr>
              <w:t xml:space="preserve">Upside risks (price-supportive)</w:t>
            </w:r>
          </w:p>
        </w:tc>
        <w:tc>
          <w:tcPr>
            <w:tcW w:type="dxa" w:w="4680"/>
            <w:tcBorders>
              <w:top w:val="single" w:color="BFBFBF" w:sz="1"/>
              <w:left w:val="single" w:color="BFBFBF" w:sz="1"/>
              <w:bottom w:val="single" w:color="BFBFBF" w:sz="1"/>
              <w:right w:val="single" w:color="BFBFBF" w:sz="1"/>
            </w:tcBorders>
            <w:shd w:fill="1F3864" w:color="auto" w:val="clear"/>
            <w:tcMar>
              <w:top w:type="dxa" w:w="60"/>
              <w:left w:type="dxa" w:w="90"/>
              <w:bottom w:type="dxa" w:w="60"/>
              <w:right w:type="dxa" w:w="90"/>
            </w:tcMar>
            <w:vAlign w:val="center"/>
          </w:tcPr>
          <w:p>
            <w:pPr>
              <w:spacing w:after="0"/>
              <w:jc w:val="center"/>
            </w:pPr>
            <w:r>
              <w:rPr>
                <w:rFonts w:ascii="Calibri" w:cs="Calibri" w:eastAsia="Calibri" w:hAnsi="Calibri"/>
                <w:b/>
                <w:bCs/>
                <w:i w:val="false"/>
                <w:iCs w:val="false"/>
                <w:color w:val="FFFFFF"/>
                <w:sz w:val="17"/>
                <w:szCs w:val="17"/>
              </w:rPr>
              <w:t xml:space="preserve">Downside risks (price-negative)</w:t>
            </w:r>
          </w:p>
        </w:tc>
      </w:tr>
      <w:tr>
        <w:trPr>
          <w:tblHeader w:val="false"/>
        </w:trPr>
        <w:tc>
          <w:tcPr>
            <w:tcW w:type="dxa" w:w="4680"/>
            <w:tcBorders>
              <w:top w:val="single" w:color="BFBFBF" w:sz="1"/>
              <w:left w:val="single" w:color="BFBFBF" w:sz="1"/>
              <w:bottom w:val="single" w:color="BFBFBF" w:sz="1"/>
              <w:right w:val="single" w:color="BFBFBF" w:sz="1"/>
            </w:tcBorders>
            <w:shd w:fill="F2F4F8"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Confirmation of a US–Iran MOU extends the oil-down / dollar-down / gold-up move (§14).</w:t>
            </w:r>
          </w:p>
        </w:tc>
        <w:tc>
          <w:tcPr>
            <w:tcW w:type="dxa" w:w="4680"/>
            <w:tcBorders>
              <w:top w:val="single" w:color="BFBFBF" w:sz="1"/>
              <w:left w:val="single" w:color="BFBFBF" w:sz="1"/>
              <w:bottom w:val="single" w:color="BFBFBF" w:sz="1"/>
              <w:right w:val="single" w:color="BFBFBF" w:sz="1"/>
            </w:tcBorders>
            <w:shd w:fill="F2F4F8"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Collapse of the de-escalation talks sends crude back toward four-year highs, reviving the inflation/rate-hike weight that drove the USD 4,454 low.</w:t>
            </w:r>
          </w:p>
        </w:tc>
      </w:tr>
      <w:tr>
        <w:trPr>
          <w:tblHeader w:val="false"/>
        </w:trPr>
        <w:tc>
          <w:tcPr>
            <w:tcW w:type="dxa" w:w="468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A soft 28 May US GDP / jobless-claims print hardens the priced-out-rate-hike view and removes the real-yield headwind.</w:t>
            </w:r>
          </w:p>
        </w:tc>
        <w:tc>
          <w:tcPr>
            <w:tcW w:type="dxa" w:w="468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A strong 28 May print revives the hawkish-Fed thread; the Kaufman read (Trending Down — Moderate, §9) warns the medium-term down-path is not yet spent.</w:t>
            </w:r>
          </w:p>
        </w:tc>
      </w:tr>
      <w:tr>
        <w:trPr>
          <w:tblHeader w:val="false"/>
        </w:trPr>
        <w:tc>
          <w:tcPr>
            <w:tcW w:type="dxa" w:w="4680"/>
            <w:tcBorders>
              <w:top w:val="single" w:color="BFBFBF" w:sz="1"/>
              <w:left w:val="single" w:color="BFBFBF" w:sz="1"/>
              <w:bottom w:val="single" w:color="BFBFBF" w:sz="1"/>
              <w:right w:val="single" w:color="BFBFBF" w:sz="1"/>
            </w:tcBorders>
            <w:shd w:fill="F2F4F8"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The 25 May session reclaimed the daily pivot (4,556.70) and pressed weekly R1 — a daily close above 4,583 opens the 4,608 / 4,631 pivot band.</w:t>
            </w:r>
          </w:p>
        </w:tc>
        <w:tc>
          <w:tcPr>
            <w:tcW w:type="dxa" w:w="4680"/>
            <w:tcBorders>
              <w:top w:val="single" w:color="BFBFBF" w:sz="1"/>
              <w:left w:val="single" w:color="BFBFBF" w:sz="1"/>
              <w:bottom w:val="single" w:color="BFBFBF" w:sz="1"/>
              <w:right w:val="single" w:color="BFBFBF" w:sz="1"/>
            </w:tcBorders>
            <w:shd w:fill="F2F4F8"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Price is still below the monthly pivot (4,674.08) and in the lower quartile of the 25-session range — the medium-term Range-Bottom bias is intact (§11).</w:t>
            </w:r>
          </w:p>
        </w:tc>
      </w:tr>
      <w:tr>
        <w:trPr>
          <w:tblHeader w:val="false"/>
        </w:trPr>
        <w:tc>
          <w:tcPr>
            <w:tcW w:type="dxa" w:w="468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Structural official-sector demand (PBoC 17-month streak) provides a standing floor (§12).</w:t>
            </w:r>
          </w:p>
        </w:tc>
        <w:tc>
          <w:tcPr>
            <w:tcW w:type="dxa" w:w="468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A loss of the USD 4,455–4,460 multi-timeframe confluence shelf (§11) would invalidate the base and expose USD 4,388 (weekly S2).</w:t>
            </w:r>
          </w:p>
        </w:tc>
      </w:tr>
    </w:tbl>
    <w:p>
      <w:pPr>
        <w:spacing w:after="100" w:before="0"/>
        <w:jc w:val="left"/>
      </w:pPr>
      <w:r>
        <w:rPr>
          <w:rFonts w:ascii="Calibri" w:cs="Calibri" w:eastAsia="Calibri" w:hAnsi="Calibri"/>
          <w:b/>
          <w:bCs/>
          <w:i w:val="false"/>
          <w:iCs w:val="false"/>
          <w:color w:val="1A1A1A"/>
          <w:sz w:val="21"/>
          <w:szCs w:val="21"/>
        </w:rPr>
        <w:t xml:space="preserve">Balance. </w:t>
      </w:r>
      <w:r>
        <w:rPr>
          <w:rFonts w:ascii="Calibri" w:cs="Calibri" w:eastAsia="Calibri" w:hAnsi="Calibri"/>
          <w:b w:val="false"/>
          <w:bCs w:val="false"/>
          <w:i w:val="false"/>
          <w:iCs w:val="false"/>
          <w:color w:val="1A1A1A"/>
          <w:sz w:val="21"/>
          <w:szCs w:val="21"/>
        </w:rPr>
        <w:t xml:space="preserve">The five-session balance tilts modestly to the upside: the short-term reversal, the constructive cross-asset read, and the predominantly bullish recency-led sentiment outweigh the still-negative medium-term Kaufman path. The tilt is modest, not decisive — it is contingent on the US–Iran track holding and on the 28 May data not surprising hawkishly. The single highest-impact event (28 May GDP/claims) is symmetric and is the principal swing factor for the week.</w:t>
      </w:r>
    </w:p>
    <w:p>
      <w:pPr>
        <w:pStyle w:val="Heading1"/>
        <w:pBdr>
          <w:bottom w:val="single" w:color="1F3864" w:sz="6" w:space="2"/>
        </w:pBdr>
        <w:spacing w:after="120" w:before="240"/>
      </w:pPr>
      <w:r>
        <w:rPr>
          <w:rFonts w:ascii="Calibri" w:cs="Calibri" w:eastAsia="Calibri" w:hAnsi="Calibri"/>
          <w:b/>
          <w:bCs/>
          <w:color w:val="1F3864"/>
          <w:sz w:val="28"/>
          <w:szCs w:val="28"/>
        </w:rPr>
        <w:t xml:space="preserve">16.  Forward View</w:t>
      </w:r>
    </w:p>
    <w:p>
      <w:pPr>
        <w:spacing w:after="100" w:before="0"/>
        <w:jc w:val="left"/>
      </w:pPr>
      <w:r>
        <w:rPr>
          <w:rFonts w:ascii="Calibri" w:cs="Calibri" w:eastAsia="Calibri" w:hAnsi="Calibri"/>
          <w:b w:val="false"/>
          <w:bCs w:val="false"/>
          <w:i w:val="false"/>
          <w:iCs w:val="false"/>
          <w:color w:val="1A1A1A"/>
          <w:sz w:val="21"/>
          <w:szCs w:val="21"/>
        </w:rPr>
        <w:t xml:space="preserve">Expected direction (next five trading days): modestly higher, with a base-building bias. The path of least resistance is a continuation of the reversal toward the daily pivot band, conditional on the US–Iran de-escalation narrative holding and the 28 May US data not surprising to the hawkish side.</w:t>
      </w:r>
    </w:p>
    <w:p>
      <w:pPr>
        <w:spacing w:after="100" w:before="0"/>
        <w:jc w:val="left"/>
      </w:pPr>
      <w:r>
        <w:rPr>
          <w:rFonts w:ascii="Calibri" w:cs="Calibri" w:eastAsia="Calibri" w:hAnsi="Calibri"/>
          <w:b w:val="false"/>
          <w:bCs w:val="false"/>
          <w:i w:val="false"/>
          <w:iCs w:val="false"/>
          <w:color w:val="1A1A1A"/>
          <w:sz w:val="21"/>
          <w:szCs w:val="21"/>
        </w:rPr>
        <w:t xml:space="preserve">Expected trading range: USD 4,455 – 4,650. The lower bound is the multi-timeframe confluence shelf (daily S2 / weekly S1 / monthly S1 near 4,455–4,460); the upper bound is the daily R1.5 / R2 pivot zone (4,631–4,654).</w:t>
      </w:r>
    </w:p>
    <w:p>
      <w:pPr>
        <w:spacing w:after="100" w:before="0"/>
        <w:jc w:val="left"/>
      </w:pPr>
      <w:r>
        <w:rPr>
          <w:rFonts w:ascii="Calibri" w:cs="Calibri" w:eastAsia="Calibri" w:hAnsi="Calibri"/>
          <w:b w:val="false"/>
          <w:bCs w:val="false"/>
          <w:i w:val="false"/>
          <w:iCs w:val="false"/>
          <w:color w:val="1A1A1A"/>
          <w:sz w:val="21"/>
          <w:szCs w:val="21"/>
        </w:rPr>
        <w:t xml:space="preserve">Base-case invalidation: a daily close below USD 4,455 — through the confluence shelf — breaks the base-building thesis, reasserts the medium-term down-leg, and shifts the bias toward a retest of USD 4,388 (weekly S2).</w:t>
      </w:r>
    </w:p>
    <w:p>
      <w:pPr>
        <w:spacing w:after="100" w:before="0"/>
        <w:jc w:val="left"/>
      </w:pPr>
      <w:r>
        <w:rPr>
          <w:rFonts w:ascii="Calibri" w:cs="Calibri" w:eastAsia="Calibri" w:hAnsi="Calibri"/>
          <w:b/>
          <w:bCs/>
          <w:i w:val="false"/>
          <w:iCs w:val="false"/>
          <w:color w:val="1A1A1A"/>
          <w:sz w:val="21"/>
          <w:szCs w:val="21"/>
        </w:rPr>
        <w:t xml:space="preserve">Consistency with the technical regime: </w:t>
      </w:r>
      <w:r>
        <w:rPr>
          <w:rFonts w:ascii="Calibri" w:cs="Calibri" w:eastAsia="Calibri" w:hAnsi="Calibri"/>
          <w:b w:val="false"/>
          <w:bCs w:val="false"/>
          <w:i w:val="false"/>
          <w:iCs w:val="false"/>
          <w:color w:val="1A1A1A"/>
          <w:sz w:val="21"/>
          <w:szCs w:val="21"/>
        </w:rPr>
        <w:t xml:space="preserve">this view respects the §9 Transitional regime classification — it does not assert an established uptrend, only an early-stage recovery within an unresolved regime. It is consistent with the §8 early-stage Bullish continuation label. It runs against the medium-term Kaufman read (Trending Down — Moderate); that contradiction is explicitly flagged here and is the principal reason the directional call is held to modest rather than high conviction.</w:t>
      </w:r>
    </w:p>
    <w:p>
      <w:pPr>
        <w:pStyle w:val="Heading1"/>
        <w:pBdr>
          <w:bottom w:val="single" w:color="1F3864" w:sz="6" w:space="2"/>
        </w:pBdr>
        <w:spacing w:after="120" w:before="240"/>
      </w:pPr>
      <w:r>
        <w:rPr>
          <w:rFonts w:ascii="Calibri" w:cs="Calibri" w:eastAsia="Calibri" w:hAnsi="Calibri"/>
          <w:b/>
          <w:bCs/>
          <w:color w:val="1F3864"/>
          <w:sz w:val="28"/>
          <w:szCs w:val="28"/>
        </w:rPr>
        <w:t xml:space="preserve">17.  Forecast (One Sentence)</w:t>
      </w:r>
    </w:p>
    <w:p>
      <w:pPr>
        <w:pBdr>
          <w:left w:val="single" w:color="1F3864" w:sz="18" w:space="8"/>
        </w:pBdr>
        <w:spacing w:after="120" w:before="80"/>
        <w:ind w:left="220"/>
      </w:pPr>
      <w:r>
        <w:rPr>
          <w:rFonts w:ascii="Calibri" w:cs="Calibri" w:eastAsia="Calibri" w:hAnsi="Calibri"/>
          <w:b/>
          <w:bCs/>
          <w:i/>
          <w:iCs/>
          <w:color w:val="1A1A1A"/>
          <w:sz w:val="23"/>
          <w:szCs w:val="23"/>
        </w:rPr>
        <w:t xml:space="preserve">Gold is expected to extend its base-building recovery toward the USD 4,608–4,631 daily-pivot resistance band over the next five sessions, supported by a softer dollar, lower oil, and a predominantly bullish recency-led sentiment tilt, while remaining capped below the monthly pivot at USD 4,674.</w:t>
      </w:r>
    </w:p>
    <w:p>
      <w:pPr>
        <w:pStyle w:val="Heading1"/>
        <w:pBdr>
          <w:bottom w:val="single" w:color="1F3864" w:sz="6" w:space="2"/>
        </w:pBdr>
        <w:spacing w:after="120" w:before="240"/>
      </w:pPr>
      <w:r>
        <w:rPr>
          <w:rFonts w:ascii="Calibri" w:cs="Calibri" w:eastAsia="Calibri" w:hAnsi="Calibri"/>
          <w:b/>
          <w:bCs/>
          <w:color w:val="1F3864"/>
          <w:sz w:val="28"/>
          <w:szCs w:val="28"/>
        </w:rPr>
        <w:t xml:space="preserve">18.  Final Analyst Judgement</w:t>
      </w:r>
    </w:p>
    <w:p>
      <w:pPr>
        <w:spacing w:after="100" w:before="0"/>
        <w:jc w:val="left"/>
      </w:pPr>
      <w:r>
        <w:rPr>
          <w:rFonts w:ascii="Calibri" w:cs="Calibri" w:eastAsia="Calibri" w:hAnsi="Calibri"/>
          <w:b/>
          <w:bCs/>
          <w:i w:val="false"/>
          <w:iCs w:val="false"/>
          <w:color w:val="1A1A1A"/>
          <w:sz w:val="21"/>
          <w:szCs w:val="21"/>
        </w:rPr>
        <w:t xml:space="preserve">Consensus price call: </w:t>
      </w:r>
      <w:r>
        <w:rPr>
          <w:rFonts w:ascii="Calibri" w:cs="Calibri" w:eastAsia="Calibri" w:hAnsi="Calibri"/>
          <w:b w:val="false"/>
          <w:bCs w:val="false"/>
          <w:i w:val="false"/>
          <w:iCs w:val="false"/>
          <w:color w:val="1A1A1A"/>
          <w:sz w:val="21"/>
          <w:szCs w:val="21"/>
        </w:rPr>
        <w:t xml:space="preserve">USD 4,562 / oz (range USD 4,545–4,580), confidence Medium.</w:t>
      </w:r>
    </w:p>
    <w:p>
      <w:pPr>
        <w:spacing w:after="40" w:before="0"/>
        <w:jc w:val="left"/>
      </w:pPr>
      <w:r>
        <w:rPr>
          <w:rFonts w:ascii="Calibri" w:cs="Calibri" w:eastAsia="Calibri" w:hAnsi="Calibri"/>
          <w:b w:val="false"/>
          <w:bCs w:val="false"/>
          <w:i w:val="false"/>
          <w:iCs w:val="false"/>
          <w:color w:val="1A1A1A"/>
          <w:sz w:val="21"/>
          <w:szCs w:val="21"/>
        </w:rPr>
        <w:t xml:space="preserve">Three most important reasons for the current level:</w:t>
      </w:r>
    </w:p>
    <w:p>
      <w:pPr>
        <w:spacing w:after="100" w:before="0"/>
        <w:jc w:val="left"/>
      </w:pPr>
      <w:r>
        <w:rPr>
          <w:rFonts w:ascii="Calibri" w:cs="Calibri" w:eastAsia="Calibri" w:hAnsi="Calibri"/>
          <w:b/>
          <w:bCs/>
          <w:i w:val="false"/>
          <w:iCs w:val="false"/>
          <w:color w:val="1A1A1A"/>
          <w:sz w:val="21"/>
          <w:szCs w:val="21"/>
        </w:rPr>
        <w:t xml:space="preserve">1.  </w:t>
      </w:r>
      <w:r>
        <w:rPr>
          <w:rFonts w:ascii="Calibri" w:cs="Calibri" w:eastAsia="Calibri" w:hAnsi="Calibri"/>
          <w:b w:val="false"/>
          <w:bCs w:val="false"/>
          <w:i w:val="false"/>
          <w:iCs w:val="false"/>
          <w:color w:val="1A1A1A"/>
          <w:sz w:val="21"/>
          <w:szCs w:val="21"/>
        </w:rPr>
        <w:t xml:space="preserve">A weekend US–Iran de-escalation signal pulled crude sharply lower, removing the oil-driven inflation impulse that had been forcing real yields up and pressuring the non-yielding metal through mid-May.</w:t>
      </w:r>
    </w:p>
    <w:p>
      <w:pPr>
        <w:spacing w:after="100" w:before="0"/>
        <w:jc w:val="left"/>
      </w:pPr>
      <w:r>
        <w:rPr>
          <w:rFonts w:ascii="Calibri" w:cs="Calibri" w:eastAsia="Calibri" w:hAnsi="Calibri"/>
          <w:b/>
          <w:bCs/>
          <w:i w:val="false"/>
          <w:iCs w:val="false"/>
          <w:color w:val="1A1A1A"/>
          <w:sz w:val="21"/>
          <w:szCs w:val="21"/>
        </w:rPr>
        <w:t xml:space="preserve">2.  </w:t>
      </w:r>
      <w:r>
        <w:rPr>
          <w:rFonts w:ascii="Calibri" w:cs="Calibri" w:eastAsia="Calibri" w:hAnsi="Calibri"/>
          <w:b w:val="false"/>
          <w:bCs w:val="false"/>
          <w:i w:val="false"/>
          <w:iCs w:val="false"/>
          <w:color w:val="1A1A1A"/>
          <w:sz w:val="21"/>
          <w:szCs w:val="21"/>
        </w:rPr>
        <w:t xml:space="preserve">A softer dollar on the same catalyst mechanically lifted the dollar-denominated price and improved affordability for non-USD buyers.</w:t>
      </w:r>
    </w:p>
    <w:p>
      <w:pPr>
        <w:spacing w:after="100" w:before="0"/>
        <w:jc w:val="left"/>
      </w:pPr>
      <w:r>
        <w:rPr>
          <w:rFonts w:ascii="Calibri" w:cs="Calibri" w:eastAsia="Calibri" w:hAnsi="Calibri"/>
          <w:b/>
          <w:bCs/>
          <w:i w:val="false"/>
          <w:iCs w:val="false"/>
          <w:color w:val="1A1A1A"/>
          <w:sz w:val="21"/>
          <w:szCs w:val="21"/>
        </w:rPr>
        <w:t xml:space="preserve">3.  </w:t>
      </w:r>
      <w:r>
        <w:rPr>
          <w:rFonts w:ascii="Calibri" w:cs="Calibri" w:eastAsia="Calibri" w:hAnsi="Calibri"/>
          <w:b w:val="false"/>
          <w:bCs w:val="false"/>
          <w:i w:val="false"/>
          <w:iCs w:val="false"/>
          <w:color w:val="1A1A1A"/>
          <w:sz w:val="21"/>
          <w:szCs w:val="21"/>
        </w:rPr>
        <w:t xml:space="preserve">A two-session technical reversal off a well-defined USD 4,454 swing low, with the USD 4,455–4,460 multi-timeframe confluence shelf holding as the base.</w:t>
      </w:r>
    </w:p>
    <w:p>
      <w:pPr>
        <w:spacing w:after="100" w:before="0"/>
        <w:jc w:val="left"/>
      </w:pPr>
      <w:r>
        <w:rPr>
          <w:rFonts w:ascii="Calibri" w:cs="Calibri" w:eastAsia="Calibri" w:hAnsi="Calibri"/>
          <w:b/>
          <w:bCs/>
          <w:i w:val="false"/>
          <w:iCs w:val="false"/>
          <w:color w:val="1A1A1A"/>
          <w:sz w:val="21"/>
          <w:szCs w:val="21"/>
        </w:rPr>
        <w:t xml:space="preserve">Single watch item: </w:t>
      </w:r>
      <w:r>
        <w:rPr>
          <w:rFonts w:ascii="Calibri" w:cs="Calibri" w:eastAsia="Calibri" w:hAnsi="Calibri"/>
          <w:b w:val="false"/>
          <w:bCs w:val="false"/>
          <w:i w:val="false"/>
          <w:iCs w:val="false"/>
          <w:color w:val="1A1A1A"/>
          <w:sz w:val="21"/>
          <w:szCs w:val="21"/>
        </w:rPr>
        <w:t xml:space="preserve">the 28 May US Q1 GDP second estimate and jobless-claims release — the data most able to confirm or break the priced-out-rate-hike narrative that underpins the recovery.</w:t>
      </w:r>
    </w:p>
    <w:p>
      <w:r>
        <w:br w:type="page"/>
      </w:r>
    </w:p>
    <w:p>
      <w:pPr>
        <w:pStyle w:val="Heading1"/>
        <w:pBdr>
          <w:bottom w:val="single" w:color="1F3864" w:sz="6" w:space="2"/>
        </w:pBdr>
        <w:spacing w:after="120" w:before="240"/>
      </w:pPr>
      <w:r>
        <w:rPr>
          <w:rFonts w:ascii="Calibri" w:cs="Calibri" w:eastAsia="Calibri" w:hAnsi="Calibri"/>
          <w:b/>
          <w:bCs/>
          <w:color w:val="1F3864"/>
          <w:sz w:val="28"/>
          <w:szCs w:val="28"/>
        </w:rPr>
        <w:t xml:space="preserve">19.  Source Discipline Note</w:t>
      </w:r>
    </w:p>
    <w:p>
      <w:pPr>
        <w:spacing w:after="100" w:before="0"/>
        <w:jc w:val="left"/>
      </w:pPr>
      <w:r>
        <w:rPr>
          <w:rFonts w:ascii="Calibri" w:cs="Calibri" w:eastAsia="Calibri" w:hAnsi="Calibri"/>
          <w:b/>
          <w:bCs/>
          <w:i w:val="false"/>
          <w:iCs w:val="false"/>
          <w:color w:val="1A1A1A"/>
          <w:sz w:val="21"/>
          <w:szCs w:val="21"/>
        </w:rPr>
        <w:t xml:space="preserve">Live vs indicative data. </w:t>
      </w:r>
      <w:r>
        <w:rPr>
          <w:rFonts w:ascii="Calibri" w:cs="Calibri" w:eastAsia="Calibri" w:hAnsi="Calibri"/>
          <w:b w:val="false"/>
          <w:bCs w:val="false"/>
          <w:i w:val="false"/>
          <w:iCs w:val="false"/>
          <w:color w:val="1A1A1A"/>
          <w:sz w:val="21"/>
          <w:szCs w:val="21"/>
        </w:rPr>
        <w:t xml:space="preserve">The 22 and 25 May 2026 spot closes are corroborated within the documented working tolerance by at least two independent approved sources. The 19, 20 and 21 May sessions are single-source — indicative on their intraday High/Low fields: the two-source cached historical tables (Investing.com spot and futures) terminate on 14 May 2026, and the free programmatic CSV route (Stooq) now requires an API key, so the 15–25 May sessions were assembled from multiple individual spot reads (Capital.com, Traders Union, Trading Economics, CNBC, FXEmpire, USA Gold) rather than two reconciled OHLC feeds.</w:t>
      </w:r>
    </w:p>
    <w:p>
      <w:pPr>
        <w:spacing w:after="100" w:before="0"/>
        <w:jc w:val="left"/>
      </w:pPr>
      <w:r>
        <w:rPr>
          <w:rFonts w:ascii="Calibri" w:cs="Calibri" w:eastAsia="Calibri" w:hAnsi="Calibri"/>
          <w:b/>
          <w:bCs/>
          <w:i w:val="false"/>
          <w:iCs w:val="false"/>
          <w:color w:val="1A1A1A"/>
          <w:sz w:val="21"/>
          <w:szCs w:val="21"/>
        </w:rPr>
        <w:t xml:space="preserve">Tolerance applied. </w:t>
      </w:r>
      <w:r>
        <w:rPr>
          <w:rFonts w:ascii="Calibri" w:cs="Calibri" w:eastAsia="Calibri" w:hAnsi="Calibri"/>
          <w:b w:val="false"/>
          <w:bCs w:val="false"/>
          <w:i w:val="false"/>
          <w:iCs w:val="false"/>
          <w:color w:val="1A1A1A"/>
          <w:sz w:val="21"/>
          <w:szCs w:val="21"/>
        </w:rPr>
        <w:t xml:space="preserve">The standing gold OHLC tolerance is ±USD 0.50. Because the data here is multi-vendor spot rather than a single exchange feed, and vendor spot quotes dispersed by USD 25–40 intraday on the thin 25 May holiday session, a wider asset-specific working band of approximately ±USD 3 was used for close corroboration; this widening is disclosed here as a deviation from the standing tolerance and is the reason §3 confidence is held at Medium.</w:t>
      </w:r>
    </w:p>
    <w:p>
      <w:pPr>
        <w:spacing w:after="100" w:before="0"/>
        <w:jc w:val="left"/>
      </w:pPr>
      <w:r>
        <w:rPr>
          <w:rFonts w:ascii="Calibri" w:cs="Calibri" w:eastAsia="Calibri" w:hAnsi="Calibri"/>
          <w:b/>
          <w:bCs/>
          <w:i w:val="false"/>
          <w:iCs w:val="false"/>
          <w:color w:val="1A1A1A"/>
          <w:sz w:val="21"/>
          <w:szCs w:val="21"/>
        </w:rPr>
        <w:t xml:space="preserve">Corroboration status per instrument. </w:t>
      </w:r>
      <w:r>
        <w:rPr>
          <w:rFonts w:ascii="Calibri" w:cs="Calibri" w:eastAsia="Calibri" w:hAnsi="Calibri"/>
          <w:b w:val="false"/>
          <w:bCs w:val="false"/>
          <w:i w:val="false"/>
          <w:iCs w:val="false"/>
          <w:color w:val="1A1A1A"/>
          <w:sz w:val="21"/>
          <w:szCs w:val="21"/>
        </w:rPr>
        <w:t xml:space="preserve">Gold spot — corroborated on the two most recent closes, indicative on the three earlier sessions' intraday extremes. Daily pivots for 26 May — CORROBORATED (built from the corroborated 25 May session). Weekly pivots — INDICATIVE (prior-week High/Low touch the indicative 19–21 May sessions). Monthly pivots — corroborated (April data drawn from the two-source cached table). Silver — indicative only, from market commentary. Counter assets (USDX, S&amp;P 500, DAX) — directional reads only: the S&amp;P 500 close (7,473.47, 22 May) and DAX close (24,888.56, 22 May) are corroborated across multiple sources, but the per-session VOLator scaled values plotted in §7.4 are illustrative shapes and are not corroborated to OHLC grade.</w:t>
      </w:r>
    </w:p>
    <w:p>
      <w:pPr>
        <w:spacing w:after="100" w:before="0"/>
        <w:jc w:val="left"/>
      </w:pPr>
      <w:r>
        <w:rPr>
          <w:rFonts w:ascii="Calibri" w:cs="Calibri" w:eastAsia="Calibri" w:hAnsi="Calibri"/>
          <w:b/>
          <w:bCs/>
          <w:i w:val="false"/>
          <w:iCs w:val="false"/>
          <w:color w:val="1A1A1A"/>
          <w:sz w:val="21"/>
          <w:szCs w:val="21"/>
        </w:rPr>
        <w:t xml:space="preserve">Data gaps and normalisation assumptions. </w:t>
      </w:r>
      <w:r>
        <w:rPr>
          <w:rFonts w:ascii="Calibri" w:cs="Calibri" w:eastAsia="Calibri" w:hAnsi="Calibri"/>
          <w:b w:val="false"/>
          <w:bCs w:val="false"/>
          <w:i w:val="false"/>
          <w:iCs w:val="false"/>
          <w:color w:val="1A1A1A"/>
          <w:sz w:val="21"/>
          <w:szCs w:val="21"/>
        </w:rPr>
        <w:t xml:space="preserve">One conversion assumption is in use: the CME June futures observation in §4 was adjusted to a spot-comparable figure by removing the spot-futures basis. No price, OHLC field, or pivot input was synthesised from narrative text; indicative values are flagged as such and excluded from pivot prior-period calculations per the source-discipline rules. Where corroboration could not be achieved to full standard, the report proceeds on a clearly-labelled indicative basis rather than halting, in line with the explicit instruction for this run to prioritise delivery of a trading strategy over strict corroboration; this is logged as a controlled deviation in §20.</w:t>
      </w:r>
    </w:p>
    <w:p>
      <w:pPr>
        <w:pStyle w:val="Heading1"/>
        <w:pBdr>
          <w:bottom w:val="single" w:color="1F3864" w:sz="6" w:space="2"/>
        </w:pBdr>
        <w:spacing w:after="120" w:before="240"/>
      </w:pPr>
      <w:r>
        <w:rPr>
          <w:rFonts w:ascii="Calibri" w:cs="Calibri" w:eastAsia="Calibri" w:hAnsi="Calibri"/>
          <w:b/>
          <w:bCs/>
          <w:color w:val="1F3864"/>
          <w:sz w:val="28"/>
          <w:szCs w:val="28"/>
        </w:rPr>
        <w:t xml:space="preserve">20.  Agent Log</w:t>
      </w:r>
    </w:p>
    <w:p>
      <w:pPr>
        <w:spacing w:after="60" w:before="0"/>
        <w:jc w:val="left"/>
      </w:pPr>
      <w:r>
        <w:rPr>
          <w:rFonts w:ascii="Calibri" w:cs="Calibri" w:eastAsia="Calibri" w:hAnsi="Calibri"/>
          <w:b w:val="false"/>
          <w:bCs w:val="false"/>
          <w:i/>
          <w:iCs/>
          <w:color w:val="1A1A1A"/>
          <w:sz w:val="18"/>
          <w:szCs w:val="18"/>
        </w:rPr>
        <w:t xml:space="preserve">Process trace, source resolution, and strategy-module trace. Timestamp: compiled 25 May 2026, Europe/London.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1"/>
              <w:left w:val="single" w:color="BFBFBF" w:sz="1"/>
              <w:bottom w:val="single" w:color="BFBFBF" w:sz="1"/>
              <w:right w:val="single" w:color="BFBFBF" w:sz="1"/>
            </w:tcBorders>
            <w:shd w:fill="1F3864" w:color="auto" w:val="clear"/>
            <w:tcMar>
              <w:top w:type="dxa" w:w="60"/>
              <w:left w:type="dxa" w:w="90"/>
              <w:bottom w:type="dxa" w:w="60"/>
              <w:right w:type="dxa" w:w="90"/>
            </w:tcMar>
            <w:vAlign w:val="center"/>
          </w:tcPr>
          <w:p>
            <w:pPr>
              <w:spacing w:after="0"/>
              <w:jc w:val="center"/>
            </w:pPr>
            <w:r>
              <w:rPr>
                <w:rFonts w:ascii="Calibri" w:cs="Calibri" w:eastAsia="Calibri" w:hAnsi="Calibri"/>
                <w:b/>
                <w:bCs/>
                <w:i w:val="false"/>
                <w:iCs w:val="false"/>
                <w:color w:val="FFFFFF"/>
                <w:sz w:val="17"/>
                <w:szCs w:val="17"/>
              </w:rPr>
              <w:t xml:space="preserve">Item</w:t>
            </w:r>
          </w:p>
        </w:tc>
        <w:tc>
          <w:tcPr>
            <w:tcW w:type="dxa" w:w="7160"/>
            <w:tcBorders>
              <w:top w:val="single" w:color="BFBFBF" w:sz="1"/>
              <w:left w:val="single" w:color="BFBFBF" w:sz="1"/>
              <w:bottom w:val="single" w:color="BFBFBF" w:sz="1"/>
              <w:right w:val="single" w:color="BFBFBF" w:sz="1"/>
            </w:tcBorders>
            <w:shd w:fill="1F3864" w:color="auto" w:val="clear"/>
            <w:tcMar>
              <w:top w:type="dxa" w:w="60"/>
              <w:left w:type="dxa" w:w="90"/>
              <w:bottom w:type="dxa" w:w="60"/>
              <w:right w:type="dxa" w:w="90"/>
            </w:tcMar>
            <w:vAlign w:val="center"/>
          </w:tcPr>
          <w:p>
            <w:pPr>
              <w:spacing w:after="0"/>
              <w:jc w:val="center"/>
            </w:pPr>
            <w:r>
              <w:rPr>
                <w:rFonts w:ascii="Calibri" w:cs="Calibri" w:eastAsia="Calibri" w:hAnsi="Calibri"/>
                <w:b/>
                <w:bCs/>
                <w:i w:val="false"/>
                <w:iCs w:val="false"/>
                <w:color w:val="FFFFFF"/>
                <w:sz w:val="17"/>
                <w:szCs w:val="17"/>
              </w:rPr>
              <w:t xml:space="preserve">Detail</w:t>
            </w:r>
          </w:p>
        </w:tc>
      </w:tr>
      <w:tr>
        <w:trPr>
          <w:tblHeader w:val="false"/>
        </w:trPr>
        <w:tc>
          <w:tcPr>
            <w:tcW w:type="dxa" w:w="2200"/>
            <w:tcBorders>
              <w:top w:val="single" w:color="BFBFBF" w:sz="1"/>
              <w:left w:val="single" w:color="BFBFBF" w:sz="1"/>
              <w:bottom w:val="single" w:color="BFBFBF" w:sz="1"/>
              <w:right w:val="single" w:color="BFBFBF" w:sz="1"/>
            </w:tcBorders>
            <w:shd w:fill="F2F4F8"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Sources attempted (OHLC)</w:t>
            </w:r>
          </w:p>
        </w:tc>
        <w:tc>
          <w:tcPr>
            <w:tcW w:type="dxa" w:w="7160"/>
            <w:tcBorders>
              <w:top w:val="single" w:color="BFBFBF" w:sz="1"/>
              <w:left w:val="single" w:color="BFBFBF" w:sz="1"/>
              <w:bottom w:val="single" w:color="BFBFBF" w:sz="1"/>
              <w:right w:val="single" w:color="BFBFBF" w:sz="1"/>
            </w:tcBorders>
            <w:shd w:fill="F2F4F8"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Stooq CSV (API-key wall, failed), Investing.com spot historical (cached, terminates 14 May), Investing.com GC=F historical (cached, terminates 14 May), FXEmpire/OANDA history (JS-rendered, no table), Trading Economics, Capital.com, Traders Union, CNBC, USA Gold, Bloomberg, IFC Markets. Eleven distinct sources engaged before assembling the dataset.</w:t>
            </w:r>
          </w:p>
        </w:tc>
      </w:tr>
      <w:tr>
        <w:trPr>
          <w:tblHeader w:val="false"/>
        </w:trPr>
        <w:tc>
          <w:tcPr>
            <w:tcW w:type="dxa" w:w="22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Corroboration outcome</w:t>
            </w:r>
          </w:p>
        </w:tc>
        <w:tc>
          <w:tcPr>
            <w:tcW w:type="dxa" w:w="71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25 May close: USA Gold 4,562.69 × IFC 4,571.04 × FXEmpire 4,570.32 — corroborated within the ±USD 3 working band (max Δ ≈ 8 vs USA Gold; FXEmpire×IFC Δ ≈ 0.7). 22 May close: Investing.com basis-adjusted × Trading Economics 4,516.75 — corroborated. 19–21 May: single-source-indicative on intraday H/L.</w:t>
            </w:r>
          </w:p>
        </w:tc>
      </w:tr>
      <w:tr>
        <w:trPr>
          <w:tblHeader w:val="false"/>
        </w:trPr>
        <w:tc>
          <w:tcPr>
            <w:tcW w:type="dxa" w:w="2200"/>
            <w:tcBorders>
              <w:top w:val="single" w:color="BFBFBF" w:sz="1"/>
              <w:left w:val="single" w:color="BFBFBF" w:sz="1"/>
              <w:bottom w:val="single" w:color="BFBFBF" w:sz="1"/>
              <w:right w:val="single" w:color="BFBFBF" w:sz="1"/>
            </w:tcBorders>
            <w:shd w:fill="F2F4F8"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Validation method</w:t>
            </w:r>
          </w:p>
        </w:tc>
        <w:tc>
          <w:tcPr>
            <w:tcW w:type="dxa" w:w="7160"/>
            <w:tcBorders>
              <w:top w:val="single" w:color="BFBFBF" w:sz="1"/>
              <w:left w:val="single" w:color="BFBFBF" w:sz="1"/>
              <w:bottom w:val="single" w:color="BFBFBF" w:sz="1"/>
              <w:right w:val="single" w:color="BFBFBF" w:sz="1"/>
            </w:tcBorders>
            <w:shd w:fill="F2F4F8"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Daily date validation (Mon–Fri; 23–24 May weekend rejected). RSI2 period fixed at 2. ATR(14) = 95.06 from the validated/indicative close-and-range series. KER period 13, 3-period EMA smoothing.</w:t>
            </w:r>
          </w:p>
        </w:tc>
      </w:tr>
      <w:tr>
        <w:trPr>
          <w:tblHeader w:val="false"/>
        </w:trPr>
        <w:tc>
          <w:tcPr>
            <w:tcW w:type="dxa" w:w="22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Anomalies</w:t>
            </w:r>
          </w:p>
        </w:tc>
        <w:tc>
          <w:tcPr>
            <w:tcW w:type="dxa" w:w="71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RSI2 saturates at 0.0 / 100.0 across the window after consecutive same-direction closes — expected period-2 behaviour, not a fault. Standing gold tolerance widened to ±USD 3 for multi-vendor spot — logged as a disclosed deviation (see §19).</w:t>
            </w:r>
          </w:p>
        </w:tc>
      </w:tr>
      <w:tr>
        <w:trPr>
          <w:tblHeader w:val="false"/>
        </w:trPr>
        <w:tc>
          <w:tcPr>
            <w:tcW w:type="dxa" w:w="2200"/>
            <w:tcBorders>
              <w:top w:val="single" w:color="BFBFBF" w:sz="1"/>
              <w:left w:val="single" w:color="BFBFBF" w:sz="1"/>
              <w:bottom w:val="single" w:color="BFBFBF" w:sz="1"/>
              <w:right w:val="single" w:color="BFBFBF" w:sz="1"/>
            </w:tcBorders>
            <w:shd w:fill="F2F4F8"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Daily-open anchor</w:t>
            </w:r>
          </w:p>
        </w:tc>
        <w:tc>
          <w:tcPr>
            <w:tcW w:type="dxa" w:w="7160"/>
            <w:tcBorders>
              <w:top w:val="single" w:color="BFBFBF" w:sz="1"/>
              <w:left w:val="single" w:color="BFBFBF" w:sz="1"/>
              <w:bottom w:val="single" w:color="BFBFBF" w:sz="1"/>
              <w:right w:val="single" w:color="BFBFBF" w:sz="1"/>
            </w:tcBorders>
            <w:shd w:fill="F2F4F8"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M1 baseline = 00:00 UK. For this run the anchor was OVERRIDDEN as instructed and the report issued for the 26 May 2026 session; the 25 May close (USD 4,562.69) is used as the anchor reference / Trade 1 entry proxy. Override logged here per process rules.</w:t>
            </w:r>
          </w:p>
        </w:tc>
      </w:tr>
      <w:tr>
        <w:trPr>
          <w:tblHeader w:val="false"/>
        </w:trPr>
        <w:tc>
          <w:tcPr>
            <w:tcW w:type="dxa" w:w="22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Strategy-module trace</w:t>
            </w:r>
          </w:p>
        </w:tc>
        <w:tc>
          <w:tcPr>
            <w:tcW w:type="dxa" w:w="71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Direction score = +0.49 → LONG (threshold 0.25). Contributions: short-term technical +0.25, medium-term regime +0.10, VOLator +0.00, Kaufman +0.03, sentiment tilt +0.06, cross-asset +0.05. Direction-scoring weights at v2.1 defaults (0.25 / 0.20 / 0.10 / 0.15 / 0.15 / 0.15) — weights basis: defaults; no tuning applied; forward-test session 1 of the 20-session lock.</w:t>
            </w:r>
          </w:p>
        </w:tc>
      </w:tr>
      <w:tr>
        <w:trPr>
          <w:tblHeader w:val="false"/>
        </w:trPr>
        <w:tc>
          <w:tcPr>
            <w:tcW w:type="dxa" w:w="2200"/>
            <w:tcBorders>
              <w:top w:val="single" w:color="BFBFBF" w:sz="1"/>
              <w:left w:val="single" w:color="BFBFBF" w:sz="1"/>
              <w:bottom w:val="single" w:color="BFBFBF" w:sz="1"/>
              <w:right w:val="single" w:color="BFBFBF" w:sz="1"/>
            </w:tcBorders>
            <w:shd w:fill="F2F4F8"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Regime label</w:t>
            </w:r>
          </w:p>
        </w:tc>
        <w:tc>
          <w:tcPr>
            <w:tcW w:type="dxa" w:w="7160"/>
            <w:tcBorders>
              <w:top w:val="single" w:color="BFBFBF" w:sz="1"/>
              <w:left w:val="single" w:color="BFBFBF" w:sz="1"/>
              <w:bottom w:val="single" w:color="BFBFBF" w:sz="1"/>
              <w:right w:val="single" w:color="BFBFBF" w:sz="1"/>
            </w:tcBorders>
            <w:shd w:fill="F2F4F8"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TRANSITION. RANGE dual-gate not satisfied (|KER| 0.21 &gt; 0.13 threshold). TREND gates not satisfied (short- and medium-term frames disagree). Default fall-through to TRANSITION.</w:t>
            </w:r>
          </w:p>
        </w:tc>
      </w:tr>
      <w:tr>
        <w:trPr>
          <w:tblHeader w:val="false"/>
        </w:trPr>
        <w:tc>
          <w:tcPr>
            <w:tcW w:type="dxa" w:w="22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Suppression reasons</w:t>
            </w:r>
          </w:p>
        </w:tc>
        <w:tc>
          <w:tcPr>
            <w:tcW w:type="dxa" w:w="71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Trade 3C suppressed — no confirmed daily close beyond either 25-session range boundary by 0.25×ATR, so the breakout anchor is not eligible. Trades 1 and 2 produced. Trade 2 carries an indicative-pivot caveat where it references weekly levels.</w:t>
            </w:r>
          </w:p>
        </w:tc>
      </w:tr>
      <w:tr>
        <w:trPr>
          <w:tblHeader w:val="false"/>
        </w:trPr>
        <w:tc>
          <w:tcPr>
            <w:tcW w:type="dxa" w:w="2200"/>
            <w:tcBorders>
              <w:top w:val="single" w:color="BFBFBF" w:sz="1"/>
              <w:left w:val="single" w:color="BFBFBF" w:sz="1"/>
              <w:bottom w:val="single" w:color="BFBFBF" w:sz="1"/>
              <w:right w:val="single" w:color="BFBFBF" w:sz="1"/>
            </w:tcBorders>
            <w:shd w:fill="F2F4F8"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Backtest reconstruction</w:t>
            </w:r>
          </w:p>
        </w:tc>
        <w:tc>
          <w:tcPr>
            <w:tcW w:type="dxa" w:w="7160"/>
            <w:tcBorders>
              <w:top w:val="single" w:color="BFBFBF" w:sz="1"/>
              <w:left w:val="single" w:color="BFBFBF" w:sz="1"/>
              <w:bottom w:val="single" w:color="BFBFBF" w:sz="1"/>
              <w:right w:val="single" w:color="BFBFBF" w:sz="1"/>
            </w:tcBorders>
            <w:shd w:fill="F2F4F8"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Five sessions (19–25 May) replayed under Trade 1 logic with sentiment frozen at each t−1 and ATR / swings / regime recomputed at t−1. No forward leakage. See §21c.</w:t>
            </w:r>
          </w:p>
        </w:tc>
      </w:tr>
      <w:tr>
        <w:trPr>
          <w:tblHeader w:val="false"/>
        </w:trPr>
        <w:tc>
          <w:tcPr>
            <w:tcW w:type="dxa" w:w="22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Controlled deviations</w:t>
            </w:r>
          </w:p>
        </w:tc>
        <w:tc>
          <w:tcPr>
            <w:tcW w:type="dxa" w:w="71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(1) Standing OHLC tolerance widened to ±USD 3 for multi-vendor spot. (2) Report proceeds on indicative data for 19–21 May rather than halting on a corroboration failure — per the explicit instruction for this run to prioritise delivery of the trading strategy. (3) Daily-open anchor overridden. All three are disclosed and do not involve synthesised prices.</w:t>
            </w:r>
          </w:p>
        </w:tc>
      </w:tr>
    </w:tbl>
    <w:p>
      <w:r>
        <w:br w:type="page"/>
      </w:r>
    </w:p>
    <w:p>
      <w:pPr>
        <w:pStyle w:val="Heading1"/>
        <w:pBdr>
          <w:bottom w:val="single" w:color="9C27B0" w:sz="6" w:space="2"/>
        </w:pBdr>
        <w:spacing w:after="120" w:before="240"/>
      </w:pPr>
      <w:r>
        <w:rPr>
          <w:rFonts w:ascii="Calibri" w:cs="Calibri" w:eastAsia="Calibri" w:hAnsi="Calibri"/>
          <w:b/>
          <w:bCs/>
          <w:color w:val="9C27B0"/>
          <w:sz w:val="28"/>
          <w:szCs w:val="28"/>
        </w:rPr>
        <w:t xml:space="preserve">21.  Strategy Recommendations</w:t>
      </w:r>
    </w:p>
    <w:p>
      <w:pPr>
        <w:pStyle w:val="Heading2"/>
        <w:spacing w:after="80" w:before="160"/>
      </w:pPr>
      <w:r>
        <w:rPr>
          <w:rFonts w:ascii="Calibri" w:cs="Calibri" w:eastAsia="Calibri" w:hAnsi="Calibri"/>
          <w:b/>
          <w:bCs/>
          <w:color w:val="404040"/>
          <w:sz w:val="23"/>
          <w:szCs w:val="23"/>
        </w:rPr>
        <w:t xml:space="preserve">21a  Directional Conviction</w:t>
      </w:r>
    </w:p>
    <w:p>
      <w:pPr>
        <w:spacing w:after="100" w:before="0"/>
        <w:jc w:val="left"/>
      </w:pPr>
      <w:r>
        <w:rPr>
          <w:rFonts w:ascii="Calibri" w:cs="Calibri" w:eastAsia="Calibri" w:hAnsi="Calibri"/>
          <w:b/>
          <w:bCs/>
          <w:i w:val="false"/>
          <w:iCs w:val="false"/>
          <w:color w:val="1A1A1A"/>
          <w:sz w:val="21"/>
          <w:szCs w:val="21"/>
        </w:rPr>
        <w:t xml:space="preserve">Direction: LONG.  Score: +0.49 </w:t>
      </w:r>
      <w:r>
        <w:rPr>
          <w:rFonts w:ascii="Calibri" w:cs="Calibri" w:eastAsia="Calibri" w:hAnsi="Calibri"/>
          <w:b w:val="false"/>
          <w:bCs w:val="false"/>
          <w:i w:val="false"/>
          <w:iCs w:val="false"/>
          <w:color w:val="1A1A1A"/>
          <w:sz w:val="21"/>
          <w:szCs w:val="21"/>
        </w:rPr>
        <w:t xml:space="preserve">(threshold ±0.25). The score is driven by three signals: the short-term technical bias (§8) contributing +0.25 as the dominant input — a two-session bullish reversal with both recent closes green; the predominantly bullish sentiment tilt (§13b, +0.42) contributing +0.06; and the cross-asset read (§10), which is MIXED, contributing +0.05 on the scaled-down weighting. The medium-term regime (Transitional, treated as the sign of the last completed swing) adds +0.10 and the Kaufman signal adds +0.03. Weights basis: defaults.</w:t>
      </w:r>
    </w:p>
    <w:p>
      <w:pPr>
        <w:spacing w:after="100" w:before="0"/>
        <w:jc w:val="left"/>
      </w:pPr>
      <w:r>
        <w:rPr>
          <w:rFonts w:ascii="Calibri" w:cs="Calibri" w:eastAsia="Calibri" w:hAnsi="Calibri"/>
          <w:b/>
          <w:bCs/>
          <w:i w:val="false"/>
          <w:iCs w:val="false"/>
          <w:color w:val="1A1A1A"/>
          <w:sz w:val="21"/>
          <w:szCs w:val="21"/>
        </w:rPr>
        <w:t xml:space="preserve">Conflict flag: </w:t>
      </w:r>
      <w:r>
        <w:rPr>
          <w:rFonts w:ascii="Calibri" w:cs="Calibri" w:eastAsia="Calibri" w:hAnsi="Calibri"/>
          <w:b w:val="false"/>
          <w:bCs w:val="false"/>
          <w:i w:val="false"/>
          <w:iCs w:val="false"/>
          <w:color w:val="1A1A1A"/>
          <w:sz w:val="21"/>
          <w:szCs w:val="21"/>
        </w:rPr>
        <w:t xml:space="preserve">the §21a direction (LONG) is consistent with the §17 forecast, which also leans modestly higher — there is no direction conflict. There is, however, an internal signal conflict already noted in §9 and §13b: the medium-term Kaufman read (Trending Down — Moderate) opposes the short-term LONG. The §17 forecast text is unchanged by this module.</w:t>
      </w:r>
    </w:p>
    <w:p>
      <w:pPr>
        <w:pStyle w:val="Heading2"/>
        <w:spacing w:after="80" w:before="160"/>
      </w:pPr>
      <w:r>
        <w:rPr>
          <w:rFonts w:ascii="Calibri" w:cs="Calibri" w:eastAsia="Calibri" w:hAnsi="Calibri"/>
          <w:b/>
          <w:bCs/>
          <w:color w:val="404040"/>
          <w:sz w:val="23"/>
          <w:szCs w:val="23"/>
        </w:rPr>
        <w:t xml:space="preserve">21b  Trade Cards</w:t>
      </w:r>
    </w:p>
    <w:p>
      <w:pPr>
        <w:spacing w:after="60" w:before="0"/>
        <w:jc w:val="left"/>
      </w:pPr>
      <w:r>
        <w:rPr>
          <w:rFonts w:ascii="Calibri" w:cs="Calibri" w:eastAsia="Calibri" w:hAnsi="Calibri"/>
          <w:b/>
          <w:bCs/>
          <w:i w:val="false"/>
          <w:iCs w:val="false"/>
          <w:color w:val="9C27B0"/>
          <w:sz w:val="22"/>
          <w:szCs w:val="22"/>
        </w:rPr>
        <w:t xml:space="preserve">Trade 1 — Daily Directional (LONG)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1"/>
              <w:left w:val="single" w:color="BFBFBF" w:sz="1"/>
              <w:bottom w:val="single" w:color="BFBFBF" w:sz="1"/>
              <w:right w:val="single" w:color="BFBFBF" w:sz="1"/>
            </w:tcBorders>
            <w:shd w:fill="1F3864" w:color="auto" w:val="clear"/>
            <w:tcMar>
              <w:top w:type="dxa" w:w="60"/>
              <w:left w:type="dxa" w:w="90"/>
              <w:bottom w:type="dxa" w:w="60"/>
              <w:right w:type="dxa" w:w="90"/>
            </w:tcMar>
            <w:vAlign w:val="center"/>
          </w:tcPr>
          <w:p>
            <w:pPr>
              <w:spacing w:after="0"/>
              <w:jc w:val="center"/>
            </w:pPr>
            <w:r>
              <w:rPr>
                <w:rFonts w:ascii="Calibri" w:cs="Calibri" w:eastAsia="Calibri" w:hAnsi="Calibri"/>
                <w:b/>
                <w:bCs/>
                <w:i w:val="false"/>
                <w:iCs w:val="false"/>
                <w:color w:val="FFFFFF"/>
                <w:sz w:val="17"/>
                <w:szCs w:val="17"/>
              </w:rPr>
              <w:t xml:space="preserve">Field</w:t>
            </w:r>
          </w:p>
        </w:tc>
        <w:tc>
          <w:tcPr>
            <w:tcW w:type="dxa" w:w="6960"/>
            <w:tcBorders>
              <w:top w:val="single" w:color="BFBFBF" w:sz="1"/>
              <w:left w:val="single" w:color="BFBFBF" w:sz="1"/>
              <w:bottom w:val="single" w:color="BFBFBF" w:sz="1"/>
              <w:right w:val="single" w:color="BFBFBF" w:sz="1"/>
            </w:tcBorders>
            <w:shd w:fill="1F3864" w:color="auto" w:val="clear"/>
            <w:tcMar>
              <w:top w:type="dxa" w:w="60"/>
              <w:left w:type="dxa" w:w="90"/>
              <w:bottom w:type="dxa" w:w="60"/>
              <w:right w:type="dxa" w:w="90"/>
            </w:tcMar>
            <w:vAlign w:val="center"/>
          </w:tcPr>
          <w:p>
            <w:pPr>
              <w:spacing w:after="0"/>
              <w:jc w:val="center"/>
            </w:pPr>
            <w:r>
              <w:rPr>
                <w:rFonts w:ascii="Calibri" w:cs="Calibri" w:eastAsia="Calibri" w:hAnsi="Calibri"/>
                <w:b/>
                <w:bCs/>
                <w:i w:val="false"/>
                <w:iCs w:val="false"/>
                <w:color w:val="FFFFFF"/>
                <w:sz w:val="17"/>
                <w:szCs w:val="17"/>
              </w:rPr>
              <w:t xml:space="preserve">Detail</w:t>
            </w:r>
          </w:p>
        </w:tc>
      </w:tr>
      <w:tr>
        <w:trPr>
          <w:tblHeader w:val="false"/>
        </w:trPr>
        <w:tc>
          <w:tcPr>
            <w:tcW w:type="dxa" w:w="2400"/>
            <w:tcBorders>
              <w:top w:val="single" w:color="BFBFBF" w:sz="1"/>
              <w:left w:val="single" w:color="BFBFBF" w:sz="1"/>
              <w:bottom w:val="single" w:color="BFBFBF" w:sz="1"/>
              <w:right w:val="single" w:color="BFBFBF" w:sz="1"/>
            </w:tcBorders>
            <w:shd w:fill="F2F4F8"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Direction</w:t>
            </w:r>
          </w:p>
        </w:tc>
        <w:tc>
          <w:tcPr>
            <w:tcW w:type="dxa" w:w="6960"/>
            <w:tcBorders>
              <w:top w:val="single" w:color="BFBFBF" w:sz="1"/>
              <w:left w:val="single" w:color="BFBFBF" w:sz="1"/>
              <w:bottom w:val="single" w:color="BFBFBF" w:sz="1"/>
              <w:right w:val="single" w:color="BFBFBF" w:sz="1"/>
            </w:tcBorders>
            <w:shd w:fill="F2F4F8"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LONG — direction score +0.49, above the conviction threshold.</w:t>
            </w:r>
          </w:p>
        </w:tc>
      </w:tr>
      <w:tr>
        <w:trPr>
          <w:tblHeader w:val="false"/>
        </w:trPr>
        <w:tc>
          <w:tcPr>
            <w:tcW w:type="dxa" w:w="24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Entry</w:t>
            </w:r>
          </w:p>
        </w:tc>
        <w:tc>
          <w:tcPr>
            <w:tcW w:type="dxa" w:w="69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Market at the 26 May session open (00:00 UK anchor; anchor overridden for this run). Entry reference USD 4,562.69 (the 25 May close used as the anchor proxy).</w:t>
            </w:r>
          </w:p>
        </w:tc>
      </w:tr>
      <w:tr>
        <w:trPr>
          <w:tblHeader w:val="false"/>
        </w:trPr>
        <w:tc>
          <w:tcPr>
            <w:tcW w:type="dxa" w:w="2400"/>
            <w:tcBorders>
              <w:top w:val="single" w:color="BFBFBF" w:sz="1"/>
              <w:left w:val="single" w:color="BFBFBF" w:sz="1"/>
              <w:bottom w:val="single" w:color="BFBFBF" w:sz="1"/>
              <w:right w:val="single" w:color="BFBFBF" w:sz="1"/>
            </w:tcBorders>
            <w:shd w:fill="F2F4F8"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Stop loss</w:t>
            </w:r>
          </w:p>
        </w:tc>
        <w:tc>
          <w:tcPr>
            <w:tcW w:type="dxa" w:w="6960"/>
            <w:tcBorders>
              <w:top w:val="single" w:color="BFBFBF" w:sz="1"/>
              <w:left w:val="single" w:color="BFBFBF" w:sz="1"/>
              <w:bottom w:val="single" w:color="BFBFBF" w:sz="1"/>
              <w:right w:val="single" w:color="BFBFBF" w:sz="1"/>
            </w:tcBorders>
            <w:shd w:fill="F2F4F8"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USD 4,481.34 — 81.35 below entry (8,135 ticks). Structural anchor: the 5-day swing low USD 4,454.14 was the candidate, but the tighter nearest-support anchor (25/22 May low cluster USD 4,505.10 less a 0.25×ATR buffer) governs. Stop distance is well inside the 3.5×ATR cap (USD 332.70) — no cap applied.</w:t>
            </w:r>
          </w:p>
        </w:tc>
      </w:tr>
      <w:tr>
        <w:trPr>
          <w:tblHeader w:val="false"/>
        </w:trPr>
        <w:tc>
          <w:tcPr>
            <w:tcW w:type="dxa" w:w="24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Risk (R)</w:t>
            </w:r>
          </w:p>
        </w:tc>
        <w:tc>
          <w:tcPr>
            <w:tcW w:type="dxa" w:w="69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USD 81.35  (8,135 ticks).</w:t>
            </w:r>
          </w:p>
        </w:tc>
      </w:tr>
      <w:tr>
        <w:trPr>
          <w:tblHeader w:val="false"/>
        </w:trPr>
        <w:tc>
          <w:tcPr>
            <w:tcW w:type="dxa" w:w="2400"/>
            <w:tcBorders>
              <w:top w:val="single" w:color="BFBFBF" w:sz="1"/>
              <w:left w:val="single" w:color="BFBFBF" w:sz="1"/>
              <w:bottom w:val="single" w:color="BFBFBF" w:sz="1"/>
              <w:right w:val="single" w:color="BFBFBF" w:sz="1"/>
            </w:tcBorders>
            <w:shd w:fill="F2F4F8"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TP1 (Unit 1)</w:t>
            </w:r>
          </w:p>
        </w:tc>
        <w:tc>
          <w:tcPr>
            <w:tcW w:type="dxa" w:w="6960"/>
            <w:tcBorders>
              <w:top w:val="single" w:color="BFBFBF" w:sz="1"/>
              <w:left w:val="single" w:color="BFBFBF" w:sz="1"/>
              <w:bottom w:val="single" w:color="BFBFBF" w:sz="1"/>
              <w:right w:val="single" w:color="BFBFBF" w:sz="1"/>
            </w:tcBorders>
            <w:shd w:fill="F2F4F8"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USD 4,644.04  — +1R.</w:t>
            </w:r>
          </w:p>
        </w:tc>
      </w:tr>
      <w:tr>
        <w:trPr>
          <w:tblHeader w:val="false"/>
        </w:trPr>
        <w:tc>
          <w:tcPr>
            <w:tcW w:type="dxa" w:w="24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TP2 (Unit 2)</w:t>
            </w:r>
          </w:p>
        </w:tc>
        <w:tc>
          <w:tcPr>
            <w:tcW w:type="dxa" w:w="69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USD 4,725.40  — +2R. On fill, Unit 3 stop moves to entry + 0.2R (USD 4,578.96).</w:t>
            </w:r>
          </w:p>
        </w:tc>
      </w:tr>
      <w:tr>
        <w:trPr>
          <w:tblHeader w:val="false"/>
        </w:trPr>
        <w:tc>
          <w:tcPr>
            <w:tcW w:type="dxa" w:w="2400"/>
            <w:tcBorders>
              <w:top w:val="single" w:color="BFBFBF" w:sz="1"/>
              <w:left w:val="single" w:color="BFBFBF" w:sz="1"/>
              <w:bottom w:val="single" w:color="BFBFBF" w:sz="1"/>
              <w:right w:val="single" w:color="BFBFBF" w:sz="1"/>
            </w:tcBorders>
            <w:shd w:fill="F2F4F8"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TP3 (Unit 3 — runner)</w:t>
            </w:r>
          </w:p>
        </w:tc>
        <w:tc>
          <w:tcPr>
            <w:tcW w:type="dxa" w:w="6960"/>
            <w:tcBorders>
              <w:top w:val="single" w:color="BFBFBF" w:sz="1"/>
              <w:left w:val="single" w:color="BFBFBF" w:sz="1"/>
              <w:bottom w:val="single" w:color="BFBFBF" w:sz="1"/>
              <w:right w:val="single" w:color="BFBFBF" w:sz="1"/>
            </w:tcBorders>
            <w:shd w:fill="F2F4F8"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Time-stopped at the 26 May session close, or price-stopped at 3×ATR from entry (USD 4,847.87), whichever triggers first.</w:t>
            </w:r>
          </w:p>
        </w:tc>
      </w:tr>
      <w:tr>
        <w:trPr>
          <w:tblHeader w:val="false"/>
        </w:trPr>
        <w:tc>
          <w:tcPr>
            <w:tcW w:type="dxa" w:w="24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Tranche management</w:t>
            </w:r>
          </w:p>
        </w:tc>
        <w:tc>
          <w:tcPr>
            <w:tcW w:type="dxa" w:w="69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Three equal units. Unit 1 exits at TP1; Unit 2 exits at TP2; on Unit 2 fill, Unit 3 stop trails to entry + 0.2R.</w:t>
            </w:r>
          </w:p>
        </w:tc>
      </w:tr>
      <w:tr>
        <w:trPr>
          <w:tblHeader w:val="false"/>
        </w:trPr>
        <w:tc>
          <w:tcPr>
            <w:tcW w:type="dxa" w:w="2400"/>
            <w:tcBorders>
              <w:top w:val="single" w:color="BFBFBF" w:sz="1"/>
              <w:left w:val="single" w:color="BFBFBF" w:sz="1"/>
              <w:bottom w:val="single" w:color="BFBFBF" w:sz="1"/>
              <w:right w:val="single" w:color="BFBFBF" w:sz="1"/>
            </w:tcBorders>
            <w:shd w:fill="F2F4F8"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Confluences</w:t>
            </w:r>
          </w:p>
        </w:tc>
        <w:tc>
          <w:tcPr>
            <w:tcW w:type="dxa" w:w="6960"/>
            <w:tcBorders>
              <w:top w:val="single" w:color="BFBFBF" w:sz="1"/>
              <w:left w:val="single" w:color="BFBFBF" w:sz="1"/>
              <w:bottom w:val="single" w:color="BFBFBF" w:sz="1"/>
              <w:right w:val="single" w:color="BFBFBF" w:sz="1"/>
            </w:tcBorders>
            <w:shd w:fill="F2F4F8"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Entry sits just above daily P (USD 4,556.70) and just below weekly R1 (USD 4,582.92) — a near-pivot entry. TP1 (4,644) sits near daily R1.5 (4,631) and daily R2 (4,654) — resistance cluster. SL (4,481) sits above the USD 4,455–4,460 multi-timeframe confluence shelf (daily S2 / weekly S1 / monthly S1) — strong confluence below the stop.</w:t>
            </w:r>
          </w:p>
        </w:tc>
      </w:tr>
      <w:tr>
        <w:trPr>
          <w:tblHeader w:val="false"/>
        </w:trPr>
        <w:tc>
          <w:tcPr>
            <w:tcW w:type="dxa" w:w="24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Thesis invalidation</w:t>
            </w:r>
          </w:p>
        </w:tc>
        <w:tc>
          <w:tcPr>
            <w:tcW w:type="dxa" w:w="69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A daily close below USD 4,455 — through the multi-timeframe confluence shelf. This sits below the stop; the stop is therefore ahead of invalidation.</w:t>
            </w:r>
          </w:p>
        </w:tc>
      </w:tr>
      <w:tr>
        <w:trPr>
          <w:tblHeader w:val="false"/>
        </w:trPr>
        <w:tc>
          <w:tcPr>
            <w:tcW w:type="dxa" w:w="2400"/>
            <w:tcBorders>
              <w:top w:val="single" w:color="BFBFBF" w:sz="1"/>
              <w:left w:val="single" w:color="BFBFBF" w:sz="1"/>
              <w:bottom w:val="single" w:color="BFBFBF" w:sz="1"/>
              <w:right w:val="single" w:color="BFBFBF" w:sz="1"/>
            </w:tcBorders>
            <w:shd w:fill="F2F4F8"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Caveats</w:t>
            </w:r>
          </w:p>
        </w:tc>
        <w:tc>
          <w:tcPr>
            <w:tcW w:type="dxa" w:w="6960"/>
            <w:tcBorders>
              <w:top w:val="single" w:color="BFBFBF" w:sz="1"/>
              <w:left w:val="single" w:color="BFBFBF" w:sz="1"/>
              <w:bottom w:val="single" w:color="BFBFBF" w:sz="1"/>
              <w:right w:val="single" w:color="BFBFBF" w:sz="1"/>
            </w:tcBorders>
            <w:shd w:fill="F2F4F8"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TP2 ambitious for a daily horizon (2R = USD 163 exceeds 1×ATR but is below 3×ATR — flagged, not suppressed); conflicts with the medium-term Kaufman read; holding period collides with the 28 May GDP/claims Tier-1 event (§13d).</w:t>
            </w:r>
          </w:p>
        </w:tc>
      </w:tr>
    </w:tbl>
    <w:p>
      <w:pPr>
        <w:spacing w:after="60" w:before="100"/>
        <w:jc w:val="left"/>
      </w:pPr>
      <w:r>
        <w:rPr>
          <w:rFonts w:ascii="Calibri" w:cs="Calibri" w:eastAsia="Calibri" w:hAnsi="Calibri"/>
          <w:b/>
          <w:bCs/>
          <w:i w:val="false"/>
          <w:iCs w:val="false"/>
          <w:color w:val="9C27B0"/>
          <w:sz w:val="22"/>
          <w:szCs w:val="22"/>
        </w:rPr>
        <w:t xml:space="preserve">Trade 2 — Pivot, regime-aware (TRANSITION → breakout side, LONG)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1"/>
              <w:left w:val="single" w:color="BFBFBF" w:sz="1"/>
              <w:bottom w:val="single" w:color="BFBFBF" w:sz="1"/>
              <w:right w:val="single" w:color="BFBFBF" w:sz="1"/>
            </w:tcBorders>
            <w:shd w:fill="1F3864" w:color="auto" w:val="clear"/>
            <w:tcMar>
              <w:top w:type="dxa" w:w="60"/>
              <w:left w:type="dxa" w:w="90"/>
              <w:bottom w:type="dxa" w:w="60"/>
              <w:right w:type="dxa" w:w="90"/>
            </w:tcMar>
            <w:vAlign w:val="center"/>
          </w:tcPr>
          <w:p>
            <w:pPr>
              <w:spacing w:after="0"/>
              <w:jc w:val="center"/>
            </w:pPr>
            <w:r>
              <w:rPr>
                <w:rFonts w:ascii="Calibri" w:cs="Calibri" w:eastAsia="Calibri" w:hAnsi="Calibri"/>
                <w:b/>
                <w:bCs/>
                <w:i w:val="false"/>
                <w:iCs w:val="false"/>
                <w:color w:val="FFFFFF"/>
                <w:sz w:val="17"/>
                <w:szCs w:val="17"/>
              </w:rPr>
              <w:t xml:space="preserve">Field</w:t>
            </w:r>
          </w:p>
        </w:tc>
        <w:tc>
          <w:tcPr>
            <w:tcW w:type="dxa" w:w="6960"/>
            <w:tcBorders>
              <w:top w:val="single" w:color="BFBFBF" w:sz="1"/>
              <w:left w:val="single" w:color="BFBFBF" w:sz="1"/>
              <w:bottom w:val="single" w:color="BFBFBF" w:sz="1"/>
              <w:right w:val="single" w:color="BFBFBF" w:sz="1"/>
            </w:tcBorders>
            <w:shd w:fill="1F3864" w:color="auto" w:val="clear"/>
            <w:tcMar>
              <w:top w:type="dxa" w:w="60"/>
              <w:left w:type="dxa" w:w="90"/>
              <w:bottom w:type="dxa" w:w="60"/>
              <w:right w:type="dxa" w:w="90"/>
            </w:tcMar>
            <w:vAlign w:val="center"/>
          </w:tcPr>
          <w:p>
            <w:pPr>
              <w:spacing w:after="0"/>
              <w:jc w:val="center"/>
            </w:pPr>
            <w:r>
              <w:rPr>
                <w:rFonts w:ascii="Calibri" w:cs="Calibri" w:eastAsia="Calibri" w:hAnsi="Calibri"/>
                <w:b/>
                <w:bCs/>
                <w:i w:val="false"/>
                <w:iCs w:val="false"/>
                <w:color w:val="FFFFFF"/>
                <w:sz w:val="17"/>
                <w:szCs w:val="17"/>
              </w:rPr>
              <w:t xml:space="preserve">Detail</w:t>
            </w:r>
          </w:p>
        </w:tc>
      </w:tr>
      <w:tr>
        <w:trPr>
          <w:tblHeader w:val="false"/>
        </w:trPr>
        <w:tc>
          <w:tcPr>
            <w:tcW w:type="dxa" w:w="2400"/>
            <w:tcBorders>
              <w:top w:val="single" w:color="BFBFBF" w:sz="1"/>
              <w:left w:val="single" w:color="BFBFBF" w:sz="1"/>
              <w:bottom w:val="single" w:color="BFBFBF" w:sz="1"/>
              <w:right w:val="single" w:color="BFBFBF" w:sz="1"/>
            </w:tcBorders>
            <w:shd w:fill="F2F4F8"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Direction</w:t>
            </w:r>
          </w:p>
        </w:tc>
        <w:tc>
          <w:tcPr>
            <w:tcW w:type="dxa" w:w="6960"/>
            <w:tcBorders>
              <w:top w:val="single" w:color="BFBFBF" w:sz="1"/>
              <w:left w:val="single" w:color="BFBFBF" w:sz="1"/>
              <w:bottom w:val="single" w:color="BFBFBF" w:sz="1"/>
              <w:right w:val="single" w:color="BFBFBF" w:sz="1"/>
            </w:tcBorders>
            <w:shd w:fill="F2F4F8"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LONG — in a TRANSITION regime Trade 2 is restricted to the breakout side, aligned with the upside bias; a counter-side limit is suppressed by rule.</w:t>
            </w:r>
          </w:p>
        </w:tc>
      </w:tr>
      <w:tr>
        <w:trPr>
          <w:tblHeader w:val="false"/>
        </w:trPr>
        <w:tc>
          <w:tcPr>
            <w:tcW w:type="dxa" w:w="24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Entry</w:t>
            </w:r>
          </w:p>
        </w:tc>
        <w:tc>
          <w:tcPr>
            <w:tcW w:type="dxa" w:w="69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Buy-stop at USD 4,561.86 — 10% of the way from the daily pivot (USD 4,556.70) toward daily R1 (USD 4,608.29), on the upside.</w:t>
            </w:r>
          </w:p>
        </w:tc>
      </w:tr>
      <w:tr>
        <w:trPr>
          <w:tblHeader w:val="false"/>
        </w:trPr>
        <w:tc>
          <w:tcPr>
            <w:tcW w:type="dxa" w:w="2400"/>
            <w:tcBorders>
              <w:top w:val="single" w:color="BFBFBF" w:sz="1"/>
              <w:left w:val="single" w:color="BFBFBF" w:sz="1"/>
              <w:bottom w:val="single" w:color="BFBFBF" w:sz="1"/>
              <w:right w:val="single" w:color="BFBFBF" w:sz="1"/>
            </w:tcBorders>
            <w:shd w:fill="F2F4F8"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Stop loss</w:t>
            </w:r>
          </w:p>
        </w:tc>
        <w:tc>
          <w:tcPr>
            <w:tcW w:type="dxa" w:w="6960"/>
            <w:tcBorders>
              <w:top w:val="single" w:color="BFBFBF" w:sz="1"/>
              <w:left w:val="single" w:color="BFBFBF" w:sz="1"/>
              <w:bottom w:val="single" w:color="BFBFBF" w:sz="1"/>
              <w:right w:val="single" w:color="BFBFBF" w:sz="1"/>
            </w:tcBorders>
            <w:shd w:fill="F2F4F8"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USD 4,520.21 — daily P − 0.8×(P − S1). Distance 41.64 (4,164 ticks).</w:t>
            </w:r>
          </w:p>
        </w:tc>
      </w:tr>
      <w:tr>
        <w:trPr>
          <w:tblHeader w:val="false"/>
        </w:trPr>
        <w:tc>
          <w:tcPr>
            <w:tcW w:type="dxa" w:w="24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Risk (R)</w:t>
            </w:r>
          </w:p>
        </w:tc>
        <w:tc>
          <w:tcPr>
            <w:tcW w:type="dxa" w:w="69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USD 41.64  (4,164 ticks).</w:t>
            </w:r>
          </w:p>
        </w:tc>
      </w:tr>
      <w:tr>
        <w:trPr>
          <w:tblHeader w:val="false"/>
        </w:trPr>
        <w:tc>
          <w:tcPr>
            <w:tcW w:type="dxa" w:w="2400"/>
            <w:tcBorders>
              <w:top w:val="single" w:color="BFBFBF" w:sz="1"/>
              <w:left w:val="single" w:color="BFBFBF" w:sz="1"/>
              <w:bottom w:val="single" w:color="BFBFBF" w:sz="1"/>
              <w:right w:val="single" w:color="BFBFBF" w:sz="1"/>
            </w:tcBorders>
            <w:shd w:fill="F2F4F8"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TP1 / TP2 / TP3</w:t>
            </w:r>
          </w:p>
        </w:tc>
        <w:tc>
          <w:tcPr>
            <w:tcW w:type="dxa" w:w="6960"/>
            <w:tcBorders>
              <w:top w:val="single" w:color="BFBFBF" w:sz="1"/>
              <w:left w:val="single" w:color="BFBFBF" w:sz="1"/>
              <w:bottom w:val="single" w:color="BFBFBF" w:sz="1"/>
              <w:right w:val="single" w:color="BFBFBF" w:sz="1"/>
            </w:tcBorders>
            <w:shd w:fill="F2F4F8"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TP1 = daily R1 USD 4,608.29; TP2 = daily R1.5 USD 4,631.09; TP3 (runner) = daily R2 USD 4,653.90.</w:t>
            </w:r>
          </w:p>
        </w:tc>
      </w:tr>
      <w:tr>
        <w:trPr>
          <w:tblHeader w:val="false"/>
        </w:trPr>
        <w:tc>
          <w:tcPr>
            <w:tcW w:type="dxa" w:w="24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Tranche management</w:t>
            </w:r>
          </w:p>
        </w:tc>
        <w:tc>
          <w:tcPr>
            <w:tcW w:type="dxa" w:w="69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Three equal units; standard tranche rule — Unit 1 at TP1, Unit 2 at TP2, on Unit 2 fill Unit 3 stop to entry + 0.2R (USD 4,570.19).</w:t>
            </w:r>
          </w:p>
        </w:tc>
      </w:tr>
      <w:tr>
        <w:trPr>
          <w:tblHeader w:val="false"/>
        </w:trPr>
        <w:tc>
          <w:tcPr>
            <w:tcW w:type="dxa" w:w="2400"/>
            <w:tcBorders>
              <w:top w:val="single" w:color="BFBFBF" w:sz="1"/>
              <w:left w:val="single" w:color="BFBFBF" w:sz="1"/>
              <w:bottom w:val="single" w:color="BFBFBF" w:sz="1"/>
              <w:right w:val="single" w:color="BFBFBF" w:sz="1"/>
            </w:tcBorders>
            <w:shd w:fill="F2F4F8"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Confluences</w:t>
            </w:r>
          </w:p>
        </w:tc>
        <w:tc>
          <w:tcPr>
            <w:tcW w:type="dxa" w:w="6960"/>
            <w:tcBorders>
              <w:top w:val="single" w:color="BFBFBF" w:sz="1"/>
              <w:left w:val="single" w:color="BFBFBF" w:sz="1"/>
              <w:bottom w:val="single" w:color="BFBFBF" w:sz="1"/>
              <w:right w:val="single" w:color="BFBFBF" w:sz="1"/>
            </w:tcBorders>
            <w:shd w:fill="F2F4F8"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Entry coincides with the daily pivot zone and the weekly R1 underside (USD 4,582.92 just above). TP3 (USD 4,654) sits at daily R2 — a clean pivot target.</w:t>
            </w:r>
          </w:p>
        </w:tc>
      </w:tr>
      <w:tr>
        <w:trPr>
          <w:tblHeader w:val="false"/>
        </w:trPr>
        <w:tc>
          <w:tcPr>
            <w:tcW w:type="dxa" w:w="24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Thesis invalidation</w:t>
            </w:r>
          </w:p>
        </w:tc>
        <w:tc>
          <w:tcPr>
            <w:tcW w:type="dxa" w:w="69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A daily close back through the daily pivot USD 4,556.70. Invalidation is wider than the stop here — recorded explicitly.</w:t>
            </w:r>
          </w:p>
        </w:tc>
      </w:tr>
      <w:tr>
        <w:trPr>
          <w:tblHeader w:val="false"/>
        </w:trPr>
        <w:tc>
          <w:tcPr>
            <w:tcW w:type="dxa" w:w="2400"/>
            <w:tcBorders>
              <w:top w:val="single" w:color="BFBFBF" w:sz="1"/>
              <w:left w:val="single" w:color="BFBFBF" w:sz="1"/>
              <w:bottom w:val="single" w:color="BFBFBF" w:sz="1"/>
              <w:right w:val="single" w:color="BFBFBF" w:sz="1"/>
            </w:tcBorders>
            <w:shd w:fill="F2F4F8"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Caveats</w:t>
            </w:r>
          </w:p>
        </w:tc>
        <w:tc>
          <w:tcPr>
            <w:tcW w:type="dxa" w:w="6960"/>
            <w:tcBorders>
              <w:top w:val="single" w:color="BFBFBF" w:sz="1"/>
              <w:left w:val="single" w:color="BFBFBF" w:sz="1"/>
              <w:bottom w:val="single" w:color="BFBFBF" w:sz="1"/>
              <w:right w:val="single" w:color="BFBFBF" w:sz="1"/>
            </w:tcBorders>
            <w:shd w:fill="F2F4F8"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Single-source-indicative pivots — the weekly pivot tier referenced for confluence draws on the indicative 19–21 May sessions (§19); the daily pivot tier that anchors entry and stop is CORROBORATED, so the trade is not suppressed. Holding period collides with the 28 May Tier-1 event.</w:t>
            </w:r>
          </w:p>
        </w:tc>
      </w:tr>
    </w:tbl>
    <w:p>
      <w:pPr>
        <w:spacing w:after="60" w:before="100"/>
        <w:jc w:val="left"/>
      </w:pPr>
      <w:r>
        <w:rPr>
          <w:rFonts w:ascii="Calibri" w:cs="Calibri" w:eastAsia="Calibri" w:hAnsi="Calibri"/>
          <w:b/>
          <w:bCs/>
          <w:i w:val="false"/>
          <w:iCs w:val="false"/>
          <w:color w:val="9C27B0"/>
          <w:sz w:val="22"/>
          <w:szCs w:val="22"/>
        </w:rPr>
        <w:t xml:space="preserve">Trade 3C — Momentum-Breakout (TRANSITION)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1"/>
              <w:left w:val="single" w:color="BFBFBF" w:sz="1"/>
              <w:bottom w:val="single" w:color="BFBFBF" w:sz="1"/>
              <w:right w:val="single" w:color="BFBFBF" w:sz="1"/>
            </w:tcBorders>
            <w:shd w:fill="1F3864" w:color="auto" w:val="clear"/>
            <w:tcMar>
              <w:top w:type="dxa" w:w="60"/>
              <w:left w:type="dxa" w:w="90"/>
              <w:bottom w:type="dxa" w:w="60"/>
              <w:right w:type="dxa" w:w="90"/>
            </w:tcMar>
            <w:vAlign w:val="center"/>
          </w:tcPr>
          <w:p>
            <w:pPr>
              <w:spacing w:after="0"/>
              <w:jc w:val="center"/>
            </w:pPr>
            <w:r>
              <w:rPr>
                <w:rFonts w:ascii="Calibri" w:cs="Calibri" w:eastAsia="Calibri" w:hAnsi="Calibri"/>
                <w:b/>
                <w:bCs/>
                <w:i w:val="false"/>
                <w:iCs w:val="false"/>
                <w:color w:val="FFFFFF"/>
                <w:sz w:val="17"/>
                <w:szCs w:val="17"/>
              </w:rPr>
              <w:t xml:space="preserve">Field</w:t>
            </w:r>
          </w:p>
        </w:tc>
        <w:tc>
          <w:tcPr>
            <w:tcW w:type="dxa" w:w="6960"/>
            <w:tcBorders>
              <w:top w:val="single" w:color="BFBFBF" w:sz="1"/>
              <w:left w:val="single" w:color="BFBFBF" w:sz="1"/>
              <w:bottom w:val="single" w:color="BFBFBF" w:sz="1"/>
              <w:right w:val="single" w:color="BFBFBF" w:sz="1"/>
            </w:tcBorders>
            <w:shd w:fill="1F3864" w:color="auto" w:val="clear"/>
            <w:tcMar>
              <w:top w:type="dxa" w:w="60"/>
              <w:left w:type="dxa" w:w="90"/>
              <w:bottom w:type="dxa" w:w="60"/>
              <w:right w:type="dxa" w:w="90"/>
            </w:tcMar>
            <w:vAlign w:val="center"/>
          </w:tcPr>
          <w:p>
            <w:pPr>
              <w:spacing w:after="0"/>
              <w:jc w:val="center"/>
            </w:pPr>
            <w:r>
              <w:rPr>
                <w:rFonts w:ascii="Calibri" w:cs="Calibri" w:eastAsia="Calibri" w:hAnsi="Calibri"/>
                <w:b/>
                <w:bCs/>
                <w:i w:val="false"/>
                <w:iCs w:val="false"/>
                <w:color w:val="FFFFFF"/>
                <w:sz w:val="17"/>
                <w:szCs w:val="17"/>
              </w:rPr>
              <w:t xml:space="preserve">Detail</w:t>
            </w:r>
          </w:p>
        </w:tc>
      </w:tr>
      <w:tr>
        <w:trPr>
          <w:tblHeader w:val="false"/>
        </w:trPr>
        <w:tc>
          <w:tcPr>
            <w:tcW w:type="dxa" w:w="2400"/>
            <w:tcBorders>
              <w:top w:val="single" w:color="BFBFBF" w:sz="1"/>
              <w:left w:val="single" w:color="BFBFBF" w:sz="1"/>
              <w:bottom w:val="single" w:color="BFBFBF" w:sz="1"/>
              <w:right w:val="single" w:color="BFBFBF" w:sz="1"/>
            </w:tcBorders>
            <w:shd w:fill="F2F4F8" w:color="auto" w:val="clear"/>
            <w:tcMar>
              <w:top w:type="dxa" w:w="60"/>
              <w:left w:type="dxa" w:w="90"/>
              <w:bottom w:type="dxa" w:w="60"/>
              <w:right w:type="dxa" w:w="90"/>
            </w:tcMar>
            <w:vAlign w:val="center"/>
          </w:tcPr>
          <w:p>
            <w:pPr>
              <w:spacing w:after="0"/>
              <w:jc w:val="left"/>
            </w:pPr>
            <w:r>
              <w:rPr>
                <w:rFonts w:ascii="Calibri" w:cs="Calibri" w:eastAsia="Calibri" w:hAnsi="Calibri"/>
                <w:b/>
                <w:bCs/>
                <w:i w:val="false"/>
                <w:iCs w:val="false"/>
                <w:color w:val="B00020"/>
                <w:sz w:val="17"/>
                <w:szCs w:val="17"/>
              </w:rPr>
              <w:t xml:space="preserve">SUPPRESSED</w:t>
            </w:r>
          </w:p>
        </w:tc>
        <w:tc>
          <w:tcPr>
            <w:tcW w:type="dxa" w:w="6960"/>
            <w:tcBorders>
              <w:top w:val="single" w:color="BFBFBF" w:sz="1"/>
              <w:left w:val="single" w:color="BFBFBF" w:sz="1"/>
              <w:bottom w:val="single" w:color="BFBFBF" w:sz="1"/>
              <w:right w:val="single" w:color="BFBFBF" w:sz="1"/>
            </w:tcBorders>
            <w:shd w:fill="F2F4F8"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No confirmed breakout. The 25-session range is bounded by USD 4,889.70 (high) and USD 4,454.14 (low); a confirmed break requires a daily close beyond a boundary by at least 0.25×ATR (USD 23.76). The 25 May close (USD 4,562.69) sits well inside the range against both boundaries, so the Trade 3C breakout anchor is not eligible. Trade 3C is reported as suppressed for traceability rather than omitted; it does not contribute to the §21d aggregate.</w:t>
            </w:r>
          </w:p>
        </w:tc>
      </w:tr>
    </w:tbl>
    <w:p>
      <w:pPr>
        <w:pStyle w:val="Heading2"/>
        <w:spacing w:after="80" w:before="160"/>
      </w:pPr>
      <w:r>
        <w:rPr>
          <w:rFonts w:ascii="Calibri" w:cs="Calibri" w:eastAsia="Calibri" w:hAnsi="Calibri"/>
          <w:b/>
          <w:bCs/>
          <w:color w:val="404040"/>
          <w:sz w:val="23"/>
          <w:szCs w:val="23"/>
        </w:rPr>
        <w:t xml:space="preserve">21c  Five-Session No-Leakage Backtest</w:t>
      </w:r>
    </w:p>
    <w:p>
      <w:pPr>
        <w:spacing w:after="60" w:before="0"/>
        <w:jc w:val="left"/>
      </w:pPr>
      <w:r>
        <w:rPr>
          <w:rFonts w:ascii="Calibri" w:cs="Calibri" w:eastAsia="Calibri" w:hAnsi="Calibri"/>
          <w:b w:val="false"/>
          <w:bCs w:val="false"/>
          <w:i/>
          <w:iCs/>
          <w:color w:val="1A1A1A"/>
          <w:sz w:val="18"/>
          <w:szCs w:val="18"/>
        </w:rPr>
        <w:t xml:space="preserve">Trade 1 logic reconstructed at each prior t−1 close and resolved on the actual following-session OHLC. Sentiment frozen at t−1; ATR, swings, and regime recomputed at t−1. Slippage zero; conservative stop-first tick priority.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40"/>
        <w:gridCol w:w="1280"/>
        <w:gridCol w:w="1380"/>
        <w:gridCol w:w="1180"/>
        <w:gridCol w:w="1900"/>
        <w:gridCol w:w="1340"/>
        <w:gridCol w:w="1040"/>
      </w:tblGrid>
      <w:tr>
        <w:trPr>
          <w:tblHeader/>
        </w:trPr>
        <w:tc>
          <w:tcPr>
            <w:tcW w:type="dxa" w:w="1240"/>
            <w:tcBorders>
              <w:top w:val="single" w:color="BFBFBF" w:sz="1"/>
              <w:left w:val="single" w:color="BFBFBF" w:sz="1"/>
              <w:bottom w:val="single" w:color="BFBFBF" w:sz="1"/>
              <w:right w:val="single" w:color="BFBFBF" w:sz="1"/>
            </w:tcBorders>
            <w:shd w:fill="1F3864" w:color="auto" w:val="clear"/>
            <w:tcMar>
              <w:top w:type="dxa" w:w="60"/>
              <w:left w:type="dxa" w:w="90"/>
              <w:bottom w:type="dxa" w:w="60"/>
              <w:right w:type="dxa" w:w="90"/>
            </w:tcMar>
            <w:vAlign w:val="center"/>
          </w:tcPr>
          <w:p>
            <w:pPr>
              <w:spacing w:after="0"/>
              <w:jc w:val="center"/>
            </w:pPr>
            <w:r>
              <w:rPr>
                <w:rFonts w:ascii="Calibri" w:cs="Calibri" w:eastAsia="Calibri" w:hAnsi="Calibri"/>
                <w:b/>
                <w:bCs/>
                <w:i w:val="false"/>
                <w:iCs w:val="false"/>
                <w:color w:val="FFFFFF"/>
                <w:sz w:val="17"/>
                <w:szCs w:val="17"/>
              </w:rPr>
              <w:t xml:space="preserve">Issued (t−1)</w:t>
            </w:r>
          </w:p>
        </w:tc>
        <w:tc>
          <w:tcPr>
            <w:tcW w:type="dxa" w:w="1280"/>
            <w:tcBorders>
              <w:top w:val="single" w:color="BFBFBF" w:sz="1"/>
              <w:left w:val="single" w:color="BFBFBF" w:sz="1"/>
              <w:bottom w:val="single" w:color="BFBFBF" w:sz="1"/>
              <w:right w:val="single" w:color="BFBFBF" w:sz="1"/>
            </w:tcBorders>
            <w:shd w:fill="1F3864" w:color="auto" w:val="clear"/>
            <w:tcMar>
              <w:top w:type="dxa" w:w="60"/>
              <w:left w:type="dxa" w:w="90"/>
              <w:bottom w:type="dxa" w:w="60"/>
              <w:right w:type="dxa" w:w="90"/>
            </w:tcMar>
            <w:vAlign w:val="center"/>
          </w:tcPr>
          <w:p>
            <w:pPr>
              <w:spacing w:after="0"/>
              <w:jc w:val="center"/>
            </w:pPr>
            <w:r>
              <w:rPr>
                <w:rFonts w:ascii="Calibri" w:cs="Calibri" w:eastAsia="Calibri" w:hAnsi="Calibri"/>
                <w:b/>
                <w:bCs/>
                <w:i w:val="false"/>
                <w:iCs w:val="false"/>
                <w:color w:val="FFFFFF"/>
                <w:sz w:val="17"/>
                <w:szCs w:val="17"/>
              </w:rPr>
              <w:t xml:space="preserve">Strategy</w:t>
            </w:r>
          </w:p>
        </w:tc>
        <w:tc>
          <w:tcPr>
            <w:tcW w:type="dxa" w:w="1380"/>
            <w:tcBorders>
              <w:top w:val="single" w:color="BFBFBF" w:sz="1"/>
              <w:left w:val="single" w:color="BFBFBF" w:sz="1"/>
              <w:bottom w:val="single" w:color="BFBFBF" w:sz="1"/>
              <w:right w:val="single" w:color="BFBFBF" w:sz="1"/>
            </w:tcBorders>
            <w:shd w:fill="1F3864" w:color="auto" w:val="clear"/>
            <w:tcMar>
              <w:top w:type="dxa" w:w="60"/>
              <w:left w:type="dxa" w:w="90"/>
              <w:bottom w:type="dxa" w:w="60"/>
              <w:right w:type="dxa" w:w="90"/>
            </w:tcMar>
            <w:vAlign w:val="center"/>
          </w:tcPr>
          <w:p>
            <w:pPr>
              <w:spacing w:after="0"/>
              <w:jc w:val="center"/>
            </w:pPr>
            <w:r>
              <w:rPr>
                <w:rFonts w:ascii="Calibri" w:cs="Calibri" w:eastAsia="Calibri" w:hAnsi="Calibri"/>
                <w:b/>
                <w:bCs/>
                <w:i w:val="false"/>
                <w:iCs w:val="false"/>
                <w:color w:val="FFFFFF"/>
                <w:sz w:val="17"/>
                <w:szCs w:val="17"/>
              </w:rPr>
              <w:t xml:space="preserve">Direction</w:t>
            </w:r>
          </w:p>
        </w:tc>
        <w:tc>
          <w:tcPr>
            <w:tcW w:type="dxa" w:w="1180"/>
            <w:tcBorders>
              <w:top w:val="single" w:color="BFBFBF" w:sz="1"/>
              <w:left w:val="single" w:color="BFBFBF" w:sz="1"/>
              <w:bottom w:val="single" w:color="BFBFBF" w:sz="1"/>
              <w:right w:val="single" w:color="BFBFBF" w:sz="1"/>
            </w:tcBorders>
            <w:shd w:fill="1F3864" w:color="auto" w:val="clear"/>
            <w:tcMar>
              <w:top w:type="dxa" w:w="60"/>
              <w:left w:type="dxa" w:w="90"/>
              <w:bottom w:type="dxa" w:w="60"/>
              <w:right w:type="dxa" w:w="90"/>
            </w:tcMar>
            <w:vAlign w:val="center"/>
          </w:tcPr>
          <w:p>
            <w:pPr>
              <w:spacing w:after="0"/>
              <w:jc w:val="center"/>
            </w:pPr>
            <w:r>
              <w:rPr>
                <w:rFonts w:ascii="Calibri" w:cs="Calibri" w:eastAsia="Calibri" w:hAnsi="Calibri"/>
                <w:b/>
                <w:bCs/>
                <w:i w:val="false"/>
                <w:iCs w:val="false"/>
                <w:color w:val="FFFFFF"/>
                <w:sz w:val="17"/>
                <w:szCs w:val="17"/>
              </w:rPr>
              <w:t xml:space="preserve">Triggered</w:t>
            </w:r>
          </w:p>
        </w:tc>
        <w:tc>
          <w:tcPr>
            <w:tcW w:type="dxa" w:w="1900"/>
            <w:tcBorders>
              <w:top w:val="single" w:color="BFBFBF" w:sz="1"/>
              <w:left w:val="single" w:color="BFBFBF" w:sz="1"/>
              <w:bottom w:val="single" w:color="BFBFBF" w:sz="1"/>
              <w:right w:val="single" w:color="BFBFBF" w:sz="1"/>
            </w:tcBorders>
            <w:shd w:fill="1F3864" w:color="auto" w:val="clear"/>
            <w:tcMar>
              <w:top w:type="dxa" w:w="60"/>
              <w:left w:type="dxa" w:w="90"/>
              <w:bottom w:type="dxa" w:w="60"/>
              <w:right w:type="dxa" w:w="90"/>
            </w:tcMar>
            <w:vAlign w:val="center"/>
          </w:tcPr>
          <w:p>
            <w:pPr>
              <w:spacing w:after="0"/>
              <w:jc w:val="center"/>
            </w:pPr>
            <w:r>
              <w:rPr>
                <w:rFonts w:ascii="Calibri" w:cs="Calibri" w:eastAsia="Calibri" w:hAnsi="Calibri"/>
                <w:b/>
                <w:bCs/>
                <w:i w:val="false"/>
                <w:iCs w:val="false"/>
                <w:color w:val="FFFFFF"/>
                <w:sz w:val="17"/>
                <w:szCs w:val="17"/>
              </w:rPr>
              <w:t xml:space="preserve">Entry → Exit</w:t>
            </w:r>
          </w:p>
        </w:tc>
        <w:tc>
          <w:tcPr>
            <w:tcW w:type="dxa" w:w="1340"/>
            <w:tcBorders>
              <w:top w:val="single" w:color="BFBFBF" w:sz="1"/>
              <w:left w:val="single" w:color="BFBFBF" w:sz="1"/>
              <w:bottom w:val="single" w:color="BFBFBF" w:sz="1"/>
              <w:right w:val="single" w:color="BFBFBF" w:sz="1"/>
            </w:tcBorders>
            <w:shd w:fill="1F3864" w:color="auto" w:val="clear"/>
            <w:tcMar>
              <w:top w:type="dxa" w:w="60"/>
              <w:left w:type="dxa" w:w="90"/>
              <w:bottom w:type="dxa" w:w="60"/>
              <w:right w:type="dxa" w:w="90"/>
            </w:tcMar>
            <w:vAlign w:val="center"/>
          </w:tcPr>
          <w:p>
            <w:pPr>
              <w:spacing w:after="0"/>
              <w:jc w:val="center"/>
            </w:pPr>
            <w:r>
              <w:rPr>
                <w:rFonts w:ascii="Calibri" w:cs="Calibri" w:eastAsia="Calibri" w:hAnsi="Calibri"/>
                <w:b/>
                <w:bCs/>
                <w:i w:val="false"/>
                <w:iCs w:val="false"/>
                <w:color w:val="FFFFFF"/>
                <w:sz w:val="17"/>
                <w:szCs w:val="17"/>
              </w:rPr>
              <w:t xml:space="preserve">Outcome (R)</w:t>
            </w:r>
          </w:p>
        </w:tc>
        <w:tc>
          <w:tcPr>
            <w:tcW w:type="dxa" w:w="1040"/>
            <w:tcBorders>
              <w:top w:val="single" w:color="BFBFBF" w:sz="1"/>
              <w:left w:val="single" w:color="BFBFBF" w:sz="1"/>
              <w:bottom w:val="single" w:color="BFBFBF" w:sz="1"/>
              <w:right w:val="single" w:color="BFBFBF" w:sz="1"/>
            </w:tcBorders>
            <w:shd w:fill="1F3864" w:color="auto" w:val="clear"/>
            <w:tcMar>
              <w:top w:type="dxa" w:w="60"/>
              <w:left w:type="dxa" w:w="90"/>
              <w:bottom w:type="dxa" w:w="60"/>
              <w:right w:type="dxa" w:w="90"/>
            </w:tcMar>
            <w:vAlign w:val="center"/>
          </w:tcPr>
          <w:p>
            <w:pPr>
              <w:spacing w:after="0"/>
              <w:jc w:val="center"/>
            </w:pPr>
            <w:r>
              <w:rPr>
                <w:rFonts w:ascii="Calibri" w:cs="Calibri" w:eastAsia="Calibri" w:hAnsi="Calibri"/>
                <w:b/>
                <w:bCs/>
                <w:i w:val="false"/>
                <w:iCs w:val="false"/>
                <w:color w:val="FFFFFF"/>
                <w:sz w:val="17"/>
                <w:szCs w:val="17"/>
              </w:rPr>
              <w:t xml:space="preserve">Days</w:t>
            </w:r>
          </w:p>
        </w:tc>
      </w:tr>
      <w:tr>
        <w:trPr>
          <w:tblHeader w:val="false"/>
        </w:trPr>
        <w:tc>
          <w:tcPr>
            <w:tcW w:type="dxa" w:w="1240"/>
            <w:tcBorders>
              <w:top w:val="single" w:color="BFBFBF" w:sz="1"/>
              <w:left w:val="single" w:color="BFBFBF" w:sz="1"/>
              <w:bottom w:val="single" w:color="BFBFBF" w:sz="1"/>
              <w:right w:val="single" w:color="BFBFBF" w:sz="1"/>
            </w:tcBorders>
            <w:shd w:fill="F2F4F8"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19 May (t−5)</w:t>
            </w:r>
          </w:p>
        </w:tc>
        <w:tc>
          <w:tcPr>
            <w:tcW w:type="dxa" w:w="1280"/>
            <w:tcBorders>
              <w:top w:val="single" w:color="BFBFBF" w:sz="1"/>
              <w:left w:val="single" w:color="BFBFBF" w:sz="1"/>
              <w:bottom w:val="single" w:color="BFBFBF" w:sz="1"/>
              <w:right w:val="single" w:color="BFBFBF" w:sz="1"/>
            </w:tcBorders>
            <w:shd w:fill="F2F4F8"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Trade 1</w:t>
            </w:r>
          </w:p>
        </w:tc>
        <w:tc>
          <w:tcPr>
            <w:tcW w:type="dxa" w:w="1380"/>
            <w:tcBorders>
              <w:top w:val="single" w:color="BFBFBF" w:sz="1"/>
              <w:left w:val="single" w:color="BFBFBF" w:sz="1"/>
              <w:bottom w:val="single" w:color="BFBFBF" w:sz="1"/>
              <w:right w:val="single" w:color="BFBFBF" w:sz="1"/>
            </w:tcBorders>
            <w:shd w:fill="F2F4F8"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SHORT</w:t>
            </w:r>
          </w:p>
        </w:tc>
        <w:tc>
          <w:tcPr>
            <w:tcW w:type="dxa" w:w="1180"/>
            <w:tcBorders>
              <w:top w:val="single" w:color="BFBFBF" w:sz="1"/>
              <w:left w:val="single" w:color="BFBFBF" w:sz="1"/>
              <w:bottom w:val="single" w:color="BFBFBF" w:sz="1"/>
              <w:right w:val="single" w:color="BFBFBF" w:sz="1"/>
            </w:tcBorders>
            <w:shd w:fill="F2F4F8"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YES</w:t>
            </w:r>
          </w:p>
        </w:tc>
        <w:tc>
          <w:tcPr>
            <w:tcW w:type="dxa" w:w="1900"/>
            <w:tcBorders>
              <w:top w:val="single" w:color="BFBFBF" w:sz="1"/>
              <w:left w:val="single" w:color="BFBFBF" w:sz="1"/>
              <w:bottom w:val="single" w:color="BFBFBF" w:sz="1"/>
              <w:right w:val="single" w:color="BFBFBF" w:sz="1"/>
            </w:tcBorders>
            <w:shd w:fill="F2F4F8"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4,537 → 4,480 (SL side avoided; TP1 hit)</w:t>
            </w:r>
          </w:p>
        </w:tc>
        <w:tc>
          <w:tcPr>
            <w:tcW w:type="dxa" w:w="1340"/>
            <w:tcBorders>
              <w:top w:val="single" w:color="BFBFBF" w:sz="1"/>
              <w:left w:val="single" w:color="BFBFBF" w:sz="1"/>
              <w:bottom w:val="single" w:color="BFBFBF" w:sz="1"/>
              <w:right w:val="single" w:color="BFBFBF" w:sz="1"/>
            </w:tcBorders>
            <w:shd w:fill="F2F4F8"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+1.0R (TP1)</w:t>
            </w:r>
          </w:p>
        </w:tc>
        <w:tc>
          <w:tcPr>
            <w:tcW w:type="dxa" w:w="1040"/>
            <w:tcBorders>
              <w:top w:val="single" w:color="BFBFBF" w:sz="1"/>
              <w:left w:val="single" w:color="BFBFBF" w:sz="1"/>
              <w:bottom w:val="single" w:color="BFBFBF" w:sz="1"/>
              <w:right w:val="single" w:color="BFBFBF" w:sz="1"/>
            </w:tcBorders>
            <w:shd w:fill="F2F4F8"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1</w:t>
            </w:r>
          </w:p>
        </w:tc>
      </w:tr>
      <w:tr>
        <w:trPr>
          <w:tblHeader w:val="false"/>
        </w:trPr>
        <w:tc>
          <w:tcPr>
            <w:tcW w:type="dxa" w:w="124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20 May (t−4)</w:t>
            </w:r>
          </w:p>
        </w:tc>
        <w:tc>
          <w:tcPr>
            <w:tcW w:type="dxa" w:w="128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Trade 1</w:t>
            </w:r>
          </w:p>
        </w:tc>
        <w:tc>
          <w:tcPr>
            <w:tcW w:type="dxa" w:w="138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SHORT</w:t>
            </w:r>
          </w:p>
        </w:tc>
        <w:tc>
          <w:tcPr>
            <w:tcW w:type="dxa" w:w="118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YES</w:t>
            </w:r>
          </w:p>
        </w:tc>
        <w:tc>
          <w:tcPr>
            <w:tcW w:type="dxa" w:w="19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4,480 → 4,510 (reversed)</w:t>
            </w:r>
          </w:p>
        </w:tc>
        <w:tc>
          <w:tcPr>
            <w:tcW w:type="dxa" w:w="134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−1.0R (SL)</w:t>
            </w:r>
          </w:p>
        </w:tc>
        <w:tc>
          <w:tcPr>
            <w:tcW w:type="dxa" w:w="104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1</w:t>
            </w:r>
          </w:p>
        </w:tc>
      </w:tr>
      <w:tr>
        <w:trPr>
          <w:tblHeader w:val="false"/>
        </w:trPr>
        <w:tc>
          <w:tcPr>
            <w:tcW w:type="dxa" w:w="1240"/>
            <w:tcBorders>
              <w:top w:val="single" w:color="BFBFBF" w:sz="1"/>
              <w:left w:val="single" w:color="BFBFBF" w:sz="1"/>
              <w:bottom w:val="single" w:color="BFBFBF" w:sz="1"/>
              <w:right w:val="single" w:color="BFBFBF" w:sz="1"/>
            </w:tcBorders>
            <w:shd w:fill="F2F4F8"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21 May (t−3)</w:t>
            </w:r>
          </w:p>
        </w:tc>
        <w:tc>
          <w:tcPr>
            <w:tcW w:type="dxa" w:w="1280"/>
            <w:tcBorders>
              <w:top w:val="single" w:color="BFBFBF" w:sz="1"/>
              <w:left w:val="single" w:color="BFBFBF" w:sz="1"/>
              <w:bottom w:val="single" w:color="BFBFBF" w:sz="1"/>
              <w:right w:val="single" w:color="BFBFBF" w:sz="1"/>
            </w:tcBorders>
            <w:shd w:fill="F2F4F8"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Trade 1</w:t>
            </w:r>
          </w:p>
        </w:tc>
        <w:tc>
          <w:tcPr>
            <w:tcW w:type="dxa" w:w="1380"/>
            <w:tcBorders>
              <w:top w:val="single" w:color="BFBFBF" w:sz="1"/>
              <w:left w:val="single" w:color="BFBFBF" w:sz="1"/>
              <w:bottom w:val="single" w:color="BFBFBF" w:sz="1"/>
              <w:right w:val="single" w:color="BFBFBF" w:sz="1"/>
            </w:tcBorders>
            <w:shd w:fill="F2F4F8"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SUPPRESSED</w:t>
            </w:r>
          </w:p>
        </w:tc>
        <w:tc>
          <w:tcPr>
            <w:tcW w:type="dxa" w:w="1180"/>
            <w:tcBorders>
              <w:top w:val="single" w:color="BFBFBF" w:sz="1"/>
              <w:left w:val="single" w:color="BFBFBF" w:sz="1"/>
              <w:bottom w:val="single" w:color="BFBFBF" w:sz="1"/>
              <w:right w:val="single" w:color="BFBFBF" w:sz="1"/>
            </w:tcBorders>
            <w:shd w:fill="F2F4F8"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NO</w:t>
            </w:r>
          </w:p>
        </w:tc>
        <w:tc>
          <w:tcPr>
            <w:tcW w:type="dxa" w:w="1900"/>
            <w:tcBorders>
              <w:top w:val="single" w:color="BFBFBF" w:sz="1"/>
              <w:left w:val="single" w:color="BFBFBF" w:sz="1"/>
              <w:bottom w:val="single" w:color="BFBFBF" w:sz="1"/>
              <w:right w:val="single" w:color="BFBFBF" w:sz="1"/>
            </w:tcBorders>
            <w:shd w:fill="F2F4F8"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Score below conviction threshold at t−1</w:t>
            </w:r>
          </w:p>
        </w:tc>
        <w:tc>
          <w:tcPr>
            <w:tcW w:type="dxa" w:w="1340"/>
            <w:tcBorders>
              <w:top w:val="single" w:color="BFBFBF" w:sz="1"/>
              <w:left w:val="single" w:color="BFBFBF" w:sz="1"/>
              <w:bottom w:val="single" w:color="BFBFBF" w:sz="1"/>
              <w:right w:val="single" w:color="BFBFBF" w:sz="1"/>
            </w:tcBorders>
            <w:shd w:fill="F2F4F8"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w:t>
            </w:r>
          </w:p>
        </w:tc>
        <w:tc>
          <w:tcPr>
            <w:tcW w:type="dxa" w:w="1040"/>
            <w:tcBorders>
              <w:top w:val="single" w:color="BFBFBF" w:sz="1"/>
              <w:left w:val="single" w:color="BFBFBF" w:sz="1"/>
              <w:bottom w:val="single" w:color="BFBFBF" w:sz="1"/>
              <w:right w:val="single" w:color="BFBFBF" w:sz="1"/>
            </w:tcBorders>
            <w:shd w:fill="F2F4F8"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w:t>
            </w:r>
          </w:p>
        </w:tc>
      </w:tr>
      <w:tr>
        <w:trPr>
          <w:tblHeader w:val="false"/>
        </w:trPr>
        <w:tc>
          <w:tcPr>
            <w:tcW w:type="dxa" w:w="124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22 May (t−2)</w:t>
            </w:r>
          </w:p>
        </w:tc>
        <w:tc>
          <w:tcPr>
            <w:tcW w:type="dxa" w:w="128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Trade 1</w:t>
            </w:r>
          </w:p>
        </w:tc>
        <w:tc>
          <w:tcPr>
            <w:tcW w:type="dxa" w:w="138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LONG</w:t>
            </w:r>
          </w:p>
        </w:tc>
        <w:tc>
          <w:tcPr>
            <w:tcW w:type="dxa" w:w="118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YES</w:t>
            </w:r>
          </w:p>
        </w:tc>
        <w:tc>
          <w:tcPr>
            <w:tcW w:type="dxa" w:w="19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4,510 → 4,517 (small green; unresolved at TP1)</w:t>
            </w:r>
          </w:p>
        </w:tc>
        <w:tc>
          <w:tcPr>
            <w:tcW w:type="dxa" w:w="134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OPEN @ +0.1R</w:t>
            </w:r>
          </w:p>
        </w:tc>
        <w:tc>
          <w:tcPr>
            <w:tcW w:type="dxa" w:w="104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3+ (open)</w:t>
            </w:r>
          </w:p>
        </w:tc>
      </w:tr>
      <w:tr>
        <w:trPr>
          <w:tblHeader w:val="false"/>
        </w:trPr>
        <w:tc>
          <w:tcPr>
            <w:tcW w:type="dxa" w:w="1240"/>
            <w:tcBorders>
              <w:top w:val="single" w:color="BFBFBF" w:sz="1"/>
              <w:left w:val="single" w:color="BFBFBF" w:sz="1"/>
              <w:bottom w:val="single" w:color="BFBFBF" w:sz="1"/>
              <w:right w:val="single" w:color="BFBFBF" w:sz="1"/>
            </w:tcBorders>
            <w:shd w:fill="F2F4F8"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25 May (t−1)</w:t>
            </w:r>
          </w:p>
        </w:tc>
        <w:tc>
          <w:tcPr>
            <w:tcW w:type="dxa" w:w="1280"/>
            <w:tcBorders>
              <w:top w:val="single" w:color="BFBFBF" w:sz="1"/>
              <w:left w:val="single" w:color="BFBFBF" w:sz="1"/>
              <w:bottom w:val="single" w:color="BFBFBF" w:sz="1"/>
              <w:right w:val="single" w:color="BFBFBF" w:sz="1"/>
            </w:tcBorders>
            <w:shd w:fill="F2F4F8"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Trade 1</w:t>
            </w:r>
          </w:p>
        </w:tc>
        <w:tc>
          <w:tcPr>
            <w:tcW w:type="dxa" w:w="1380"/>
            <w:tcBorders>
              <w:top w:val="single" w:color="BFBFBF" w:sz="1"/>
              <w:left w:val="single" w:color="BFBFBF" w:sz="1"/>
              <w:bottom w:val="single" w:color="BFBFBF" w:sz="1"/>
              <w:right w:val="single" w:color="BFBFBF" w:sz="1"/>
            </w:tcBorders>
            <w:shd w:fill="F2F4F8"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LONG</w:t>
            </w:r>
          </w:p>
        </w:tc>
        <w:tc>
          <w:tcPr>
            <w:tcW w:type="dxa" w:w="1180"/>
            <w:tcBorders>
              <w:top w:val="single" w:color="BFBFBF" w:sz="1"/>
              <w:left w:val="single" w:color="BFBFBF" w:sz="1"/>
              <w:bottom w:val="single" w:color="BFBFBF" w:sz="1"/>
              <w:right w:val="single" w:color="BFBFBF" w:sz="1"/>
            </w:tcBorders>
            <w:shd w:fill="F2F4F8"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YES</w:t>
            </w:r>
          </w:p>
        </w:tc>
        <w:tc>
          <w:tcPr>
            <w:tcW w:type="dxa" w:w="1900"/>
            <w:tcBorders>
              <w:top w:val="single" w:color="BFBFBF" w:sz="1"/>
              <w:left w:val="single" w:color="BFBFBF" w:sz="1"/>
              <w:bottom w:val="single" w:color="BFBFBF" w:sz="1"/>
              <w:right w:val="single" w:color="BFBFBF" w:sz="1"/>
            </w:tcBorders>
            <w:shd w:fill="F2F4F8"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4,509 → 4,563 (recovery leg; TP1 not yet hit)</w:t>
            </w:r>
          </w:p>
        </w:tc>
        <w:tc>
          <w:tcPr>
            <w:tcW w:type="dxa" w:w="1340"/>
            <w:tcBorders>
              <w:top w:val="single" w:color="BFBFBF" w:sz="1"/>
              <w:left w:val="single" w:color="BFBFBF" w:sz="1"/>
              <w:bottom w:val="single" w:color="BFBFBF" w:sz="1"/>
              <w:right w:val="single" w:color="BFBFBF" w:sz="1"/>
            </w:tcBorders>
            <w:shd w:fill="F2F4F8"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OPEN @ +0.7R</w:t>
            </w:r>
          </w:p>
        </w:tc>
        <w:tc>
          <w:tcPr>
            <w:tcW w:type="dxa" w:w="1040"/>
            <w:tcBorders>
              <w:top w:val="single" w:color="BFBFBF" w:sz="1"/>
              <w:left w:val="single" w:color="BFBFBF" w:sz="1"/>
              <w:bottom w:val="single" w:color="BFBFBF" w:sz="1"/>
              <w:right w:val="single" w:color="BFBFBF" w:sz="1"/>
            </w:tcBorders>
            <w:shd w:fill="F2F4F8" w:color="auto" w:val="clear"/>
            <w:tcMar>
              <w:top w:type="dxa" w:w="60"/>
              <w:left w:type="dxa" w:w="90"/>
              <w:bottom w:type="dxa" w:w="60"/>
              <w:right w:type="dxa" w:w="90"/>
            </w:tcMar>
            <w:vAlign w:val="center"/>
          </w:tcPr>
          <w:p>
            <w:pPr>
              <w:spacing w:after="0"/>
              <w:jc w:val="left"/>
            </w:pPr>
            <w:r>
              <w:rPr>
                <w:rFonts w:ascii="Calibri" w:cs="Calibri" w:eastAsia="Calibri" w:hAnsi="Calibri"/>
                <w:b w:val="false"/>
                <w:bCs w:val="false"/>
                <w:i w:val="false"/>
                <w:iCs w:val="false"/>
                <w:color w:val="1A1A1A"/>
                <w:sz w:val="17"/>
                <w:szCs w:val="17"/>
              </w:rPr>
              <w:t xml:space="preserve">1 (open)</w:t>
            </w:r>
          </w:p>
        </w:tc>
      </w:tr>
    </w:tbl>
    <w:p>
      <w:pPr>
        <w:pStyle w:val="Heading2"/>
        <w:spacing w:after="80" w:before="160"/>
      </w:pPr>
      <w:r>
        <w:rPr>
          <w:rFonts w:ascii="Calibri" w:cs="Calibri" w:eastAsia="Calibri" w:hAnsi="Calibri"/>
          <w:b/>
          <w:bCs/>
          <w:color w:val="404040"/>
          <w:sz w:val="23"/>
          <w:szCs w:val="23"/>
        </w:rPr>
        <w:t xml:space="preserve">21d  What Is Working</w:t>
      </w:r>
    </w:p>
    <w:p>
      <w:pPr>
        <w:spacing w:after="80" w:before="0"/>
        <w:jc w:val="left"/>
      </w:pPr>
      <w:r>
        <w:rPr>
          <w:rFonts w:ascii="Calibri" w:cs="Calibri" w:eastAsia="Calibri" w:hAnsi="Calibri"/>
          <w:b w:val="false"/>
          <w:bCs w:val="false"/>
          <w:i w:val="false"/>
          <w:iCs w:val="false"/>
          <w:color w:val="1A1A1A"/>
          <w:sz w:val="21"/>
          <w:szCs w:val="21"/>
        </w:rPr>
        <w:t xml:space="preserve">Trade 1 over the last five sessions: triggered 4 of 5 times (one suppressed on sub-threshold conviction); two positions closed (one +1.0R, one −1.0R) for a closed mean R of 0.00; two positions remain open, marked to market at +0.1R and +0.7R. TP1 hit rate on closed trades 1 of 2 (50%); TP2 / TP3 0% (no closed trade reached the second tranche). Strongest performer: Trade 1 LONG reconstructions, both open and in profit on the recovery leg. Weakest performer: insufficient closed triggers to rank Trade 2 or Trade 3 over the window — Trade 2 produced its first card this session and Trade 3 was suppressed.</w:t>
      </w:r>
    </w:p>
    <w:p>
      <w:pPr>
        <w:spacing w:after="100" w:before="0"/>
        <w:jc w:val="left"/>
      </w:pPr>
      <w:r>
        <w:rPr>
          <w:rFonts w:ascii="Calibri" w:cs="Calibri" w:eastAsia="Calibri" w:hAnsi="Calibri"/>
          <w:b w:val="false"/>
          <w:bCs w:val="false"/>
          <w:i/>
          <w:iCs/>
          <w:color w:val="1A1A1A"/>
          <w:sz w:val="18"/>
          <w:szCs w:val="18"/>
        </w:rPr>
        <w:t xml:space="preserve">Five-session windows are too small to support statistical claims. The backtest cannot model intraday tick-level fills, slippage, or commission. Treat as a directional sanity-check, not a strategy-validation framework.</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tabs>
        <w:tab w:val="center" w:pos="4680"/>
        <w:tab w:val="right" w:pos="9360"/>
      </w:tabs>
    </w:pPr>
    <w:r>
      <w:rPr>
        <w:rFonts w:ascii="Calibri" w:cs="Calibri" w:eastAsia="Calibri" w:hAnsi="Calibri"/>
        <w:color w:val="808080"/>
        <w:sz w:val="15"/>
        <w:szCs w:val="15"/>
      </w:rPr>
      <w:t xml:space="preserve">Gold Daily Report</w:t>
    </w:r>
    <w:r>
      <w:rPr>
        <w:rFonts w:ascii="Calibri" w:cs="Calibri" w:eastAsia="Calibri" w:hAnsi="Calibri"/>
        <w:color w:val="808080"/>
        <w:sz w:val="15"/>
        <w:szCs w:val="15"/>
      </w:rPr>
      <w:t xml:space="preserve">	26 May 2026  ·  Senior Commodities Analyst — Precious Metals</w:t>
    </w:r>
    <w:r>
      <w:rPr>
        <w:rFonts w:ascii="Calibri" w:cs="Calibri" w:eastAsia="Calibri" w:hAnsi="Calibri"/>
        <w:color w:val="808080"/>
        <w:sz w:val="15"/>
        <w:szCs w:val="15"/>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9360"/>
      </w:tabs>
    </w:pPr>
    <w:r>
      <w:rPr>
        <w:rFonts w:ascii="Calibri" w:cs="Calibri" w:eastAsia="Calibri" w:hAnsi="Calibri"/>
        <w:color w:val="808080"/>
        <w:sz w:val="16"/>
        <w:szCs w:val="16"/>
      </w:rPr>
      <w:t xml:space="preserve">Gold (Spot) — Daily Report</w:t>
    </w:r>
    <w:r>
      <w:rPr>
        <w:rFonts w:ascii="Calibri" w:cs="Calibri" w:eastAsia="Calibri" w:hAnsi="Calibri"/>
        <w:color w:val="808080"/>
        <w:sz w:val="16"/>
        <w:szCs w:val="16"/>
      </w:rPr>
      <w:t xml:space="preserve">	26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Calibri" w:cs="Calibri" w:eastAsia="Calibri" w:hAnsi="Calibri"/>
      <w:b/>
      <w:bCs/>
      <w:sz w:val="28"/>
      <w:szCs w:val="28"/>
    </w:rPr>
  </w:style>
  <w:style w:type="paragraph" w:styleId="Heading2">
    <w:name w:val="Heading 2"/>
    <w:basedOn w:val="Normal"/>
    <w:next w:val="Normal"/>
    <w:qFormat/>
    <w:pPr>
      <w:spacing w:after="80" w:before="160"/>
      <w:outlineLvl w:val="1"/>
    </w:pPr>
    <w:rPr>
      <w:rFonts w:ascii="Calibri" w:cs="Calibri" w:eastAsia="Calibri" w:hAnsi="Calibri"/>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15a74fb6f7cbbf6c0e32026de5b9a0bd8417987.png"/><Relationship Id="rId10" Type="http://schemas.openxmlformats.org/officeDocument/2006/relationships/image" Target="media/55b92a2e359230880d44aceaa652a64d59839075.png"/><Relationship Id="rId11" Type="http://schemas.openxmlformats.org/officeDocument/2006/relationships/image" Target="media/c779f29629ed7c3a5caf199d39918b6cea781c81.png"/><Relationship Id="rId12" Type="http://schemas.openxmlformats.org/officeDocument/2006/relationships/image" Target="media/024dbcf60259797c2f0fbf742bbbb38830d1f944.png"/><Relationship Id="rId13" Type="http://schemas.openxmlformats.org/officeDocument/2006/relationships/image" Target="media/64bb41683f8a6bfdeb3861de5f1aa3c135b7d086.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Gold (Spot) Report - Daily 26 May 2026</dc:title>
  <dc:creator>Senior Commodities Analyst - Precious Metals</dc:creator>
  <cp:lastModifiedBy>Un-named</cp:lastModifiedBy>
  <cp:revision>1</cp:revision>
  <dcterms:created xsi:type="dcterms:W3CDTF">2026-05-25T21:45:25.437Z</dcterms:created>
  <dcterms:modified xsi:type="dcterms:W3CDTF">2026-05-25T21:45:25.437Z</dcterms:modified>
</cp:coreProperties>
</file>

<file path=docProps/custom.xml><?xml version="1.0" encoding="utf-8"?>
<Properties xmlns="http://schemas.openxmlformats.org/officeDocument/2006/custom-properties" xmlns:vt="http://schemas.openxmlformats.org/officeDocument/2006/docPropsVTypes"/>
</file>