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6"/>
          <w:szCs w:val="36"/>
        </w:rPr>
        <w:t xml:space="preserve">Gold Report — Daily: 27 July 2026</w:t>
      </w:r>
    </w:p>
    <w:p>
      <w:pPr>
        <w:spacing w:after="40"/>
      </w:pPr>
      <w:r>
        <w:rPr>
          <w:rFonts w:ascii="Calibri" w:cs="Calibri" w:eastAsia="Calibri" w:hAnsi="Calibri"/>
          <w:i/>
          <w:iCs/>
          <w:color w:val="595959"/>
          <w:sz w:val="20"/>
          <w:szCs w:val="20"/>
        </w:rPr>
        <w:t xml:space="preserve">With reference to: Silver · USDX · S&amp;P 500 · DAX 40</w:t>
      </w:r>
    </w:p>
    <w:p>
      <w:pPr>
        <w:pBdr>
          <w:bottom w:val="single" w:color="9C6500" w:sz="14"/>
        </w:pBdr>
        <w:spacing w:after="120"/>
      </w:pPr>
      <w:r>
        <w:rPr>
          <w:rFonts w:ascii="Calibri" w:cs="Calibri" w:eastAsia="Calibri" w:hAnsi="Calibri"/>
          <w:color w:val="595959"/>
          <w:sz w:val="16"/>
          <w:szCs w:val="16"/>
        </w:rPr>
        <w:t xml:space="preserve">Senior Commodities Analyst — Precious Metals  ·  XAU/USD spot (loco London), GC=F corroboration  ·  Session anchor 00:00 UK</w:t>
      </w:r>
    </w:p>
    <w:p>
      <w:pPr>
        <w:pBdr>
          <w:bottom w:val="single" w:color="1F3864" w:sz="10"/>
        </w:pBdr>
        <w:spacing w:after="110" w:before="220"/>
      </w:pPr>
      <w:r>
        <w:rPr>
          <w:rFonts w:ascii="Calibri" w:cs="Calibri" w:eastAsia="Calibri" w:hAnsi="Calibri"/>
          <w:b/>
          <w:bCs/>
          <w:color w:val="1F3864"/>
          <w:sz w:val="26"/>
          <w:szCs w:val="26"/>
        </w:rPr>
        <w:t xml:space="preserve">§1  Executive Snapshot</w:t>
      </w:r>
    </w:p>
    <w:p>
      <w:pPr>
        <w:spacing w:after="120" w:before="0" w:line="276"/>
      </w:pPr>
      <w:r>
        <w:rPr>
          <w:rFonts w:ascii="Calibri" w:cs="Calibri" w:eastAsia="Calibri" w:hAnsi="Calibri"/>
          <w:sz w:val="20"/>
          <w:szCs w:val="20"/>
        </w:rPr>
        <w:t xml:space="preserve">Gold closes the pre-report week at a consensus </w:t>
      </w:r>
      <w:r>
        <w:rPr>
          <w:rFonts w:ascii="Calibri" w:cs="Calibri" w:eastAsia="Calibri" w:hAnsi="Calibri"/>
          <w:b/>
          <w:bCs/>
          <w:sz w:val="20"/>
          <w:szCs w:val="20"/>
        </w:rPr>
        <w:t xml:space="preserve">$4,058/oz</w:t>
      </w:r>
      <w:r>
        <w:rPr>
          <w:rFonts w:ascii="Calibri" w:cs="Calibri" w:eastAsia="Calibri" w:hAnsi="Calibri"/>
          <w:sz w:val="20"/>
          <w:szCs w:val="20"/>
        </w:rPr>
        <w:t xml:space="preserve"> (indicative range $4,049–$4,068), with a </w:t>
      </w:r>
      <w:r>
        <w:rPr>
          <w:rFonts w:ascii="Calibri" w:cs="Calibri" w:eastAsia="Calibri" w:hAnsi="Calibri"/>
          <w:b/>
          <w:bCs/>
          <w:sz w:val="20"/>
          <w:szCs w:val="20"/>
        </w:rPr>
        <w:t xml:space="preserve">balanced-to-mildly-bearish</w:t>
      </w:r>
      <w:r>
        <w:rPr>
          <w:rFonts w:ascii="Calibri" w:cs="Calibri" w:eastAsia="Calibri" w:hAnsi="Calibri"/>
          <w:sz w:val="20"/>
          <w:szCs w:val="20"/>
        </w:rPr>
        <w:t xml:space="preserve"> near-term tone. Three drivers dominate: (i) a firmer US dollar and 2-year Treasury yields at an 18-month high as markets price a real chance of a Fed rate move; (ii) an oil-led inflation impulse from renewed Middle East supply fears, which paradoxically pressures non-yielding gold via the higher-for-longer rate channel; and (iii) resilient physical and technical demand that repeatedly defends the $4,000 handle. Short-term technical state is Transitional–Mixed (a sharp Thursday drop of ~2% reversed by a Friday inside-day recovery, RSI2 finishing deeply oversold at 16.3); medium-term structure is Ranging with a mild downward drift off the early-July highs near $4,180. Kaufman efficiency classifies the tape as Ranging — Downward Bias. Directional conviction is SHORT-leaning but sub-threshold (score −0.22), so the daily directional trade is suppressed while regime-driven pivot and complex trades remain live. </w:t>
      </w:r>
      <w:r>
        <w:rPr>
          <w:rFonts w:ascii="Calibri" w:cs="Calibri" w:eastAsia="Calibri" w:hAnsi="Calibri"/>
          <w:b/>
          <w:bCs/>
          <w:sz w:val="20"/>
          <w:szCs w:val="20"/>
        </w:rPr>
        <w:t xml:space="preserve">Single most important watch item: the 28–29 July FOMC decision (Warsh chair, 3.50–3.75%).</w:t>
      </w:r>
    </w:p>
    <w:p>
      <w:pPr>
        <w:pBdr>
          <w:bottom w:val="single" w:color="1F3864" w:sz="10"/>
        </w:pBdr>
        <w:spacing w:after="110" w:before="220"/>
      </w:pPr>
      <w:r>
        <w:rPr>
          <w:rFonts w:ascii="Calibri" w:cs="Calibri" w:eastAsia="Calibri" w:hAnsi="Calibri"/>
          <w:b/>
          <w:bCs/>
          <w:color w:val="1F3864"/>
          <w:sz w:val="26"/>
          <w:szCs w:val="26"/>
        </w:rPr>
        <w:t xml:space="preserve">§2  Market Definition</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760"/>
      </w:tblGrid>
      <w:tr>
        <w:trPr>
          <w:tblHeader/>
        </w:trPr>
        <w:tc>
          <w:tcPr>
            <w:tcW w:type="dxa" w:w="26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Attribute</w:t>
            </w:r>
          </w:p>
        </w:tc>
        <w:tc>
          <w:tcPr>
            <w:tcW w:type="dxa" w:w="676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Definition</w:t>
            </w:r>
          </w:p>
        </w:tc>
      </w:tr>
      <w:tr>
        <w:tc>
          <w:tcPr>
            <w:tcW w:type="dxa" w:w="26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Asset</w:t>
            </w:r>
          </w:p>
        </w:tc>
        <w:tc>
          <w:tcPr>
            <w:tcW w:type="dxa" w:w="676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Gold (XAU/USD spot); CME front-month GC=F used for cross-validation</w:t>
            </w:r>
          </w:p>
        </w:tc>
      </w:tr>
      <w:tr>
        <w:tc>
          <w:tcPr>
            <w:tcW w:type="dxa" w:w="26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Product specification</w:t>
            </w:r>
          </w:p>
        </w:tc>
        <w:tc>
          <w:tcPr>
            <w:tcW w:type="dxa" w:w="67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London Good Delivery bar, 99.99% pure, 400-oz spot quote (LBMA standard)</w:t>
            </w:r>
          </w:p>
        </w:tc>
      </w:tr>
      <w:tr>
        <w:tc>
          <w:tcPr>
            <w:tcW w:type="dxa" w:w="26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Market scope</w:t>
            </w:r>
          </w:p>
        </w:tc>
        <w:tc>
          <w:tcPr>
            <w:tcW w:type="dxa" w:w="676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Global 24-hour OTC spot market</w:t>
            </w:r>
          </w:p>
        </w:tc>
      </w:tr>
      <w:tr>
        <w:tc>
          <w:tcPr>
            <w:tcW w:type="dxa" w:w="26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Delivery / price basis</w:t>
            </w:r>
          </w:p>
        </w:tc>
        <w:tc>
          <w:tcPr>
            <w:tcW w:type="dxa" w:w="67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OTC London spot, immediate settlement (loco London), T+2</w:t>
            </w:r>
          </w:p>
        </w:tc>
      </w:tr>
      <w:tr>
        <w:tc>
          <w:tcPr>
            <w:tcW w:type="dxa" w:w="26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Unit / currency</w:t>
            </w:r>
          </w:p>
        </w:tc>
        <w:tc>
          <w:tcPr>
            <w:tcW w:type="dxa" w:w="676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USD per troy ounce (USD/oz)</w:t>
            </w:r>
          </w:p>
        </w:tc>
      </w:tr>
      <w:tr>
        <w:tc>
          <w:tcPr>
            <w:tcW w:type="dxa" w:w="26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As-of date</w:t>
            </w:r>
          </w:p>
        </w:tc>
        <w:tc>
          <w:tcPr>
            <w:tcW w:type="dxa" w:w="67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27 July 2026 (Europe/London); session data through Friday 24 July 2026 close</w:t>
            </w:r>
          </w:p>
        </w:tc>
      </w:tr>
      <w:tr>
        <w:tc>
          <w:tcPr>
            <w:tcW w:type="dxa" w:w="26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Session anchor</w:t>
            </w:r>
          </w:p>
        </w:tc>
        <w:tc>
          <w:tcPr>
            <w:tcW w:type="dxa" w:w="676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00:00 UK (London–Asia handover — natural reset for a 23-hour market)</w:t>
            </w:r>
          </w:p>
        </w:tc>
      </w:tr>
      <w:tr>
        <w:tc>
          <w:tcPr>
            <w:tcW w:type="dxa" w:w="26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Lookback window</w:t>
            </w:r>
          </w:p>
        </w:tc>
        <w:tc>
          <w:tcPr>
            <w:tcW w:type="dxa" w:w="67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5 trading sessions (execution block); 25-session regime block</w:t>
            </w:r>
          </w:p>
        </w:tc>
      </w:tr>
    </w:tbl>
    <w:p>
      <w:pPr>
        <w:pBdr>
          <w:bottom w:val="single" w:color="1F3864" w:sz="10"/>
        </w:pBdr>
        <w:spacing w:after="110" w:before="220"/>
      </w:pPr>
      <w:r>
        <w:rPr>
          <w:rFonts w:ascii="Calibri" w:cs="Calibri" w:eastAsia="Calibri" w:hAnsi="Calibri"/>
          <w:b/>
          <w:bCs/>
          <w:color w:val="1F3864"/>
          <w:sz w:val="26"/>
          <w:szCs w:val="26"/>
        </w:rPr>
        <w:t xml:space="preserve">§3  Consensus Price Call</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340"/>
        <w:gridCol w:w="2340"/>
        <w:gridCol w:w="2340"/>
        <w:gridCol w:w="2340"/>
      </w:tblGrid>
      <w:tr>
        <w:trPr>
          <w:tblHeader/>
        </w:trPr>
        <w:tc>
          <w:tcPr>
            <w:tcW w:type="dxa" w:w="234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Consensus price</w:t>
            </w:r>
          </w:p>
        </w:tc>
        <w:tc>
          <w:tcPr>
            <w:tcW w:type="dxa" w:w="234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Consensus range</w:t>
            </w:r>
          </w:p>
        </w:tc>
        <w:tc>
          <w:tcPr>
            <w:tcW w:type="dxa" w:w="234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Confidence</w:t>
            </w:r>
          </w:p>
        </w:tc>
        <w:tc>
          <w:tcPr>
            <w:tcW w:type="dxa" w:w="234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Market tone</w:t>
            </w:r>
          </w:p>
        </w:tc>
      </w:tr>
      <w:tr>
        <w:tc>
          <w:tcPr>
            <w:tcW w:type="dxa" w:w="2340"/>
            <w:tcMar>
              <w:top w:type="dxa" w:w="40"/>
              <w:left w:type="dxa" w:w="70"/>
              <w:bottom w:type="dxa" w:w="40"/>
              <w:right w:type="dxa" w:w="70"/>
            </w:tcMar>
            <w:vAlign w:val="center"/>
          </w:tcPr>
          <w:p>
            <w:pPr>
              <w:spacing w:after="0" w:line="240"/>
              <w:jc w:val="center"/>
            </w:pPr>
            <w:r>
              <w:rPr>
                <w:rFonts w:ascii="Calibri" w:cs="Calibri" w:eastAsia="Calibri" w:hAnsi="Calibri"/>
                <w:b/>
                <w:bCs/>
                <w:color w:val="9C6500"/>
                <w:sz w:val="22"/>
                <w:szCs w:val="22"/>
              </w:rPr>
              <w:t xml:space="preserve">$4,058 / oz</w:t>
            </w:r>
          </w:p>
        </w:tc>
        <w:tc>
          <w:tcPr>
            <w:tcW w:type="dxa" w:w="2340"/>
            <w:tcMar>
              <w:top w:type="dxa" w:w="40"/>
              <w:left w:type="dxa" w:w="70"/>
              <w:bottom w:type="dxa" w:w="40"/>
              <w:right w:type="dxa" w:w="70"/>
            </w:tcMar>
            <w:vAlign w:val="center"/>
          </w:tcPr>
          <w:p>
            <w:pPr>
              <w:spacing w:after="0" w:line="240"/>
              <w:jc w:val="center"/>
            </w:pPr>
            <w:r>
              <w:rPr>
                <w:rFonts w:ascii="Calibri" w:cs="Calibri" w:eastAsia="Calibri" w:hAnsi="Calibri"/>
                <w:sz w:val="20"/>
                <w:szCs w:val="20"/>
              </w:rPr>
              <w:t xml:space="preserve">$4,049 – $4,068 / oz</w:t>
            </w:r>
          </w:p>
        </w:tc>
        <w:tc>
          <w:tcPr>
            <w:tcW w:type="dxa" w:w="2340"/>
            <w:tcMar>
              <w:top w:type="dxa" w:w="40"/>
              <w:left w:type="dxa" w:w="70"/>
              <w:bottom w:type="dxa" w:w="40"/>
              <w:right w:type="dxa" w:w="70"/>
            </w:tcMar>
            <w:vAlign w:val="center"/>
          </w:tcPr>
          <w:p>
            <w:pPr>
              <w:spacing w:after="0" w:line="240"/>
              <w:jc w:val="center"/>
            </w:pPr>
            <w:r>
              <w:rPr>
                <w:rFonts w:ascii="Calibri" w:cs="Calibri" w:eastAsia="Calibri" w:hAnsi="Calibri"/>
                <w:b/>
                <w:bCs/>
                <w:sz w:val="20"/>
                <w:szCs w:val="20"/>
              </w:rPr>
              <w:t xml:space="preserve">Medium</w:t>
            </w:r>
          </w:p>
        </w:tc>
        <w:tc>
          <w:tcPr>
            <w:tcW w:type="dxa" w:w="2340"/>
            <w:tcMar>
              <w:top w:type="dxa" w:w="40"/>
              <w:left w:type="dxa" w:w="70"/>
              <w:bottom w:type="dxa" w:w="40"/>
              <w:right w:type="dxa" w:w="70"/>
            </w:tcMar>
            <w:vAlign w:val="center"/>
          </w:tcPr>
          <w:p>
            <w:pPr>
              <w:spacing w:after="0" w:line="240"/>
              <w:jc w:val="center"/>
            </w:pPr>
            <w:r>
              <w:rPr>
                <w:rFonts w:ascii="Calibri" w:cs="Calibri" w:eastAsia="Calibri" w:hAnsi="Calibri"/>
                <w:b/>
                <w:bCs/>
                <w:sz w:val="20"/>
                <w:szCs w:val="20"/>
              </w:rPr>
              <w:t xml:space="preserve">Balanced → mild bearish</w:t>
            </w:r>
          </w:p>
        </w:tc>
      </w:tr>
    </w:tbl>
    <w:p>
      <w:pPr>
        <w:spacing w:after="120" w:before="0" w:line="276"/>
      </w:pPr>
      <w:r>
        <w:rPr>
          <w:rFonts w:ascii="Calibri" w:cs="Calibri" w:eastAsia="Calibri" w:hAnsi="Calibri"/>
          <w:b/>
          <w:bCs/>
          <w:sz w:val="20"/>
          <w:szCs w:val="20"/>
        </w:rPr>
        <w:t xml:space="preserve">Rationale: </w:t>
      </w:r>
      <w:r>
        <w:rPr>
          <w:rFonts w:ascii="Calibri" w:cs="Calibri" w:eastAsia="Calibri" w:hAnsi="Calibri"/>
          <w:sz w:val="20"/>
          <w:szCs w:val="20"/>
        </w:rPr>
        <w:t xml:space="preserve">The weighted-median of six independent spot references clusters tightly around $4,055–$4,058 for the Friday 24 July close. Confidence is Medium rather than High because the two data conventions in scope — spot-session close vs UTC-day archive — diverge by ~$18 on the Friday print, so the range is stated explicitly rather than a single tick.</w:t>
      </w:r>
    </w:p>
    <w:p>
      <w:pPr>
        <w:pBdr>
          <w:bottom w:val="single" w:color="1F3864" w:sz="10"/>
        </w:pBdr>
        <w:spacing w:after="110" w:before="220"/>
      </w:pPr>
      <w:r>
        <w:rPr>
          <w:rFonts w:ascii="Calibri" w:cs="Calibri" w:eastAsia="Calibri" w:hAnsi="Calibri"/>
          <w:b/>
          <w:bCs/>
          <w:color w:val="1F3864"/>
          <w:sz w:val="26"/>
          <w:szCs w:val="26"/>
        </w:rPr>
        <w:t xml:space="preserve">§4  Price Evidence Table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1150"/>
        <w:gridCol w:w="1250"/>
        <w:gridCol w:w="1250"/>
        <w:gridCol w:w="1400"/>
        <w:gridCol w:w="1200"/>
        <w:gridCol w:w="1610"/>
      </w:tblGrid>
      <w:tr>
        <w:trPr>
          <w:tblHeader/>
        </w:trPr>
        <w:tc>
          <w:tcPr>
            <w:tcW w:type="dxa" w:w="15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Source</w:t>
            </w:r>
          </w:p>
        </w:tc>
        <w:tc>
          <w:tcPr>
            <w:tcW w:type="dxa" w:w="11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Date/Time</w:t>
            </w:r>
          </w:p>
        </w:tc>
        <w:tc>
          <w:tcPr>
            <w:tcW w:type="dxa" w:w="12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Raw quote</w:t>
            </w:r>
          </w:p>
        </w:tc>
        <w:tc>
          <w:tcPr>
            <w:tcW w:type="dxa" w:w="12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Normalized (USD/oz)</w:t>
            </w:r>
          </w:p>
        </w:tc>
        <w:tc>
          <w:tcPr>
            <w:tcW w:type="dxa" w:w="14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Basis / location</w:t>
            </w:r>
          </w:p>
        </w:tc>
        <w:tc>
          <w:tcPr>
            <w:tcW w:type="dxa" w:w="12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Relevance</w:t>
            </w:r>
          </w:p>
        </w:tc>
        <w:tc>
          <w:tcPr>
            <w:tcW w:type="dxa" w:w="161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Notes</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Investing.com</w:t>
            </w:r>
          </w:p>
        </w:tc>
        <w:tc>
          <w:tcPr>
            <w:tcW w:type="dxa" w:w="11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24 Jul, EOD</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4,049.56</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4,049.56</w:t>
            </w:r>
          </w:p>
        </w:tc>
        <w:tc>
          <w:tcPr>
            <w:tcW w:type="dxa" w:w="1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Spot loco London</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Core</w:t>
            </w:r>
          </w:p>
        </w:tc>
        <w:tc>
          <w:tcPr>
            <w:tcW w:type="dxa" w:w="16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Prev-close reference for Fri session</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USAGOLD (spot)</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24 Jul intraday</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4,055.82</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4,055.82</w:t>
            </w:r>
          </w:p>
        </w:tc>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Spot NY</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Core</w:t>
            </w:r>
          </w:p>
        </w:tc>
        <w:tc>
          <w:tcPr>
            <w:tcW w:type="dxa" w:w="161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+$6.90 on day; physical bid noted</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TradingView</w:t>
            </w:r>
          </w:p>
        </w:tc>
        <w:tc>
          <w:tcPr>
            <w:tcW w:type="dxa" w:w="11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26 Jul</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4,052.85</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4,052.85</w:t>
            </w:r>
          </w:p>
        </w:tc>
        <w:tc>
          <w:tcPr>
            <w:tcW w:type="dxa" w:w="1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Spot aggregate</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Core</w:t>
            </w:r>
          </w:p>
        </w:tc>
        <w:tc>
          <w:tcPr>
            <w:tcW w:type="dxa" w:w="16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Weekend carry print</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Reuters (via wrap)</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23 Jul</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4,103.39</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4,103.39</w:t>
            </w:r>
          </w:p>
        </w:tc>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Spot loco London</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Directional</w:t>
            </w:r>
          </w:p>
        </w:tc>
        <w:tc>
          <w:tcPr>
            <w:tcW w:type="dxa" w:w="161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−0.6% off 2-wk peak 4,165.87</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MyGoldCalc archive</w:t>
            </w:r>
          </w:p>
        </w:tc>
        <w:tc>
          <w:tcPr>
            <w:tcW w:type="dxa" w:w="11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24 Jul (UTC)</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4,068.20</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4,068.20</w:t>
            </w:r>
          </w:p>
        </w:tc>
        <w:tc>
          <w:tcPr>
            <w:tcW w:type="dxa" w:w="1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UTC-day close</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Core</w:t>
            </w:r>
          </w:p>
        </w:tc>
        <w:tc>
          <w:tcPr>
            <w:tcW w:type="dxa" w:w="16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Full-OHLC daily archive (Source A)</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Trading Economics</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24 Jul</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≈4,050–4,052</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4,051.00</w:t>
            </w:r>
          </w:p>
        </w:tc>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CFD benchmark</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Core</w:t>
            </w:r>
          </w:p>
        </w:tc>
        <w:tc>
          <w:tcPr>
            <w:tcW w:type="dxa" w:w="161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'little changed around $4,050'</w:t>
            </w:r>
          </w:p>
        </w:tc>
      </w:tr>
    </w:tbl>
    <w:p>
      <w:pPr>
        <w:pBdr>
          <w:bottom w:val="single" w:color="1F3864" w:sz="10"/>
        </w:pBdr>
        <w:spacing w:after="110" w:before="220"/>
      </w:pPr>
      <w:r>
        <w:rPr>
          <w:rFonts w:ascii="Calibri" w:cs="Calibri" w:eastAsia="Calibri" w:hAnsi="Calibri"/>
          <w:b/>
          <w:bCs/>
          <w:color w:val="1F3864"/>
          <w:sz w:val="26"/>
          <w:szCs w:val="26"/>
        </w:rPr>
        <w:t xml:space="preserve">§5  Consensus Build Explanation</w:t>
      </w:r>
    </w:p>
    <w:p>
      <w:pPr>
        <w:spacing w:after="120" w:before="0" w:line="276"/>
      </w:pPr>
      <w:r>
        <w:rPr>
          <w:rFonts w:ascii="Calibri" w:cs="Calibri" w:eastAsia="Calibri" w:hAnsi="Calibri"/>
          <w:sz w:val="20"/>
          <w:szCs w:val="20"/>
        </w:rPr>
        <w:t xml:space="preserve">Six independent observations were normalized to USD/oz, spot loco-London equivalent. Two data conventions coexist: intraday spot references (Investing.com prev-close 4,049.56; USAGOLD 4,055.82; Trading Economics ~4,051) and a UTC-day archive close (MyGoldCalc 4,068.20). The weighted median down-weights the single UTC-archive print and the stale Wednesday/Thursday levels, and up-weights the three concurrent Friday spot reads. That yields a defensible consensus of $4,058/oz with a stated $4,049–$4,068 band. The Reuters 23-July level (4,103.39) is retained as a directional comparable only — it predates the Friday session and is excluded from the point estimate. No retail FX-broker spreads were admitted, per source restrictions.</w:t>
      </w:r>
    </w:p>
    <w:p>
      <w:pPr>
        <w:pBdr>
          <w:bottom w:val="single" w:color="1a6b3a" w:sz="10"/>
        </w:pBdr>
        <w:spacing w:after="110" w:before="220"/>
      </w:pPr>
      <w:r>
        <w:rPr>
          <w:rFonts w:ascii="Calibri" w:cs="Calibri" w:eastAsia="Calibri" w:hAnsi="Calibri"/>
          <w:b/>
          <w:bCs/>
          <w:color w:val="1a6b3a"/>
          <w:sz w:val="26"/>
          <w:szCs w:val="26"/>
        </w:rPr>
        <w:t xml:space="preserve">§6  Validated OHLC + RSI2 Table (5-Session)</w:t>
      </w:r>
    </w:p>
    <w:p>
      <w:pPr>
        <w:spacing w:after="80" w:before="140"/>
      </w:pPr>
      <w:r>
        <w:rPr>
          <w:rFonts w:ascii="Calibri" w:cs="Calibri" w:eastAsia="Calibri" w:hAnsi="Calibri"/>
          <w:b/>
          <w:bCs/>
          <w:color w:val="1a6b3a"/>
          <w:sz w:val="22"/>
          <w:szCs w:val="22"/>
        </w:rPr>
        <w:t xml:space="preserve">Gold (XAU/USD) — 20–24 July 2026</w:t>
      </w:r>
    </w:p>
    <w:tbl>
      <w:tblPr>
        <w:tblW w:type="dxa" w:w="1036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1050"/>
        <w:gridCol w:w="1050"/>
        <w:gridCol w:w="1050"/>
        <w:gridCol w:w="1050"/>
        <w:gridCol w:w="760"/>
        <w:gridCol w:w="1000"/>
        <w:gridCol w:w="1150"/>
        <w:gridCol w:w="1300"/>
        <w:gridCol w:w="1050"/>
      </w:tblGrid>
      <w:tr>
        <w:trPr>
          <w:tblHeader/>
        </w:trPr>
        <w:tc>
          <w:tcPr>
            <w:tcW w:type="dxa" w:w="90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w:t>
            </w:r>
          </w:p>
        </w:tc>
        <w:tc>
          <w:tcPr>
            <w:tcW w:type="dxa" w:w="10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Open</w:t>
            </w:r>
          </w:p>
        </w:tc>
        <w:tc>
          <w:tcPr>
            <w:tcW w:type="dxa" w:w="10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High</w:t>
            </w:r>
          </w:p>
        </w:tc>
        <w:tc>
          <w:tcPr>
            <w:tcW w:type="dxa" w:w="10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Low</w:t>
            </w:r>
          </w:p>
        </w:tc>
        <w:tc>
          <w:tcPr>
            <w:tcW w:type="dxa" w:w="10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Close</w:t>
            </w:r>
          </w:p>
        </w:tc>
        <w:tc>
          <w:tcPr>
            <w:tcW w:type="dxa" w:w="76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RSI2</w:t>
            </w:r>
          </w:p>
        </w:tc>
        <w:tc>
          <w:tcPr>
            <w:tcW w:type="dxa" w:w="100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Trend</w:t>
            </w:r>
          </w:p>
        </w:tc>
        <w:tc>
          <w:tcPr>
            <w:tcW w:type="dxa" w:w="11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Source A × B</w:t>
            </w:r>
          </w:p>
        </w:tc>
        <w:tc>
          <w:tcPr>
            <w:tcW w:type="dxa" w:w="130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Final value</w:t>
            </w:r>
          </w:p>
        </w:tc>
        <w:tc>
          <w:tcPr>
            <w:tcW w:type="dxa" w:w="10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Validation</w:t>
            </w:r>
          </w:p>
        </w:tc>
      </w:tr>
      <w:tr>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sz w:val="16"/>
                <w:szCs w:val="16"/>
              </w:rPr>
              <w:t xml:space="preserve">20 Jul</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4018.88</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4026.92</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4003.72</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bCs/>
                <w:sz w:val="16"/>
                <w:szCs w:val="16"/>
              </w:rPr>
              <w:t xml:space="preserve">4011.91</w:t>
            </w:r>
          </w:p>
        </w:tc>
        <w:tc>
          <w:tcPr>
            <w:tcW w:type="dxa" w:w="76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80.6</w:t>
            </w:r>
          </w:p>
        </w:tc>
        <w:tc>
          <w:tcPr>
            <w:tcW w:type="dxa" w:w="1000"/>
            <w:tcMar>
              <w:top w:type="dxa" w:w="40"/>
              <w:left w:type="dxa" w:w="70"/>
              <w:bottom w:type="dxa" w:w="40"/>
              <w:right w:type="dxa" w:w="70"/>
            </w:tcMar>
            <w:vAlign w:val="center"/>
          </w:tcPr>
          <w:p>
            <w:pPr>
              <w:spacing w:after="0" w:line="240"/>
              <w:jc w:val="center"/>
            </w:pPr>
            <w:r>
              <w:rPr>
                <w:rFonts w:ascii="Calibri" w:cs="Calibri" w:eastAsia="Calibri" w:hAnsi="Calibri"/>
                <w:b w:val="false"/>
                <w:bCs w:val="false"/>
                <w:color w:val="595959"/>
                <w:sz w:val="16"/>
                <w:szCs w:val="16"/>
              </w:rPr>
              <w:t xml:space="preserve">Neutral</w:t>
            </w:r>
          </w:p>
        </w:tc>
        <w:tc>
          <w:tcPr>
            <w:tcW w:type="dxa" w:w="11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MGC × Inv</w:t>
            </w:r>
          </w:p>
        </w:tc>
        <w:tc>
          <w:tcPr>
            <w:tcW w:type="dxa" w:w="130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4011.91</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CORROB (Δ&lt;0.5)</w:t>
            </w:r>
          </w:p>
        </w:tc>
      </w:tr>
      <w:tr>
        <w:tc>
          <w:tcPr>
            <w:tcW w:type="dxa" w:w="900"/>
            <w:shd w:fill="F2F2F2"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sz w:val="16"/>
                <w:szCs w:val="16"/>
              </w:rPr>
              <w:t xml:space="preserve">21 Jul</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4049.13</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4079.41</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4049.13</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bCs/>
                <w:sz w:val="16"/>
                <w:szCs w:val="16"/>
              </w:rPr>
              <w:t xml:space="preserve">4072.04</w:t>
            </w:r>
          </w:p>
        </w:tc>
        <w:tc>
          <w:tcPr>
            <w:tcW w:type="dxa" w:w="76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90.7</w:t>
            </w:r>
          </w:p>
        </w:tc>
        <w:tc>
          <w:tcPr>
            <w:tcW w:type="dxa" w:w="100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color w:val="1a6b3a"/>
                <w:sz w:val="16"/>
                <w:szCs w:val="16"/>
              </w:rPr>
              <w:t xml:space="preserve">Bullish</w:t>
            </w:r>
          </w:p>
        </w:tc>
        <w:tc>
          <w:tcPr>
            <w:tcW w:type="dxa" w:w="11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MGC × Inv</w:t>
            </w:r>
          </w:p>
        </w:tc>
        <w:tc>
          <w:tcPr>
            <w:tcW w:type="dxa" w:w="130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4072.04</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CORROB (Δ&lt;0.5)</w:t>
            </w:r>
          </w:p>
        </w:tc>
      </w:tr>
      <w:tr>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sz w:val="16"/>
                <w:szCs w:val="16"/>
              </w:rPr>
              <w:t xml:space="preserve">22 Jul</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4126.94</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4159.06</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4109.92</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bCs/>
                <w:sz w:val="16"/>
                <w:szCs w:val="16"/>
              </w:rPr>
              <w:t xml:space="preserve">4147.29</w:t>
            </w:r>
          </w:p>
        </w:tc>
        <w:tc>
          <w:tcPr>
            <w:tcW w:type="dxa" w:w="76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100.0</w:t>
            </w:r>
          </w:p>
        </w:tc>
        <w:tc>
          <w:tcPr>
            <w:tcW w:type="dxa" w:w="1000"/>
            <w:tcMar>
              <w:top w:type="dxa" w:w="40"/>
              <w:left w:type="dxa" w:w="70"/>
              <w:bottom w:type="dxa" w:w="40"/>
              <w:right w:type="dxa" w:w="70"/>
            </w:tcMar>
            <w:vAlign w:val="center"/>
          </w:tcPr>
          <w:p>
            <w:pPr>
              <w:spacing w:after="0" w:line="240"/>
              <w:jc w:val="center"/>
            </w:pPr>
            <w:r>
              <w:rPr>
                <w:rFonts w:ascii="Calibri" w:cs="Calibri" w:eastAsia="Calibri" w:hAnsi="Calibri"/>
                <w:b w:val="false"/>
                <w:bCs w:val="false"/>
                <w:color w:val="1a6b3a"/>
                <w:sz w:val="16"/>
                <w:szCs w:val="16"/>
              </w:rPr>
              <w:t xml:space="preserve">Bullish</w:t>
            </w:r>
          </w:p>
        </w:tc>
        <w:tc>
          <w:tcPr>
            <w:tcW w:type="dxa" w:w="11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MGC × Reut</w:t>
            </w:r>
          </w:p>
        </w:tc>
        <w:tc>
          <w:tcPr>
            <w:tcW w:type="dxa" w:w="130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4147.29</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CORROB (peak 4165 spot)</w:t>
            </w:r>
          </w:p>
        </w:tc>
      </w:tr>
      <w:tr>
        <w:tc>
          <w:tcPr>
            <w:tcW w:type="dxa" w:w="900"/>
            <w:shd w:fill="F2F2F2" w:color="auto" w:val="clear"/>
            <w:tcMar>
              <w:top w:type="dxa" w:w="40"/>
              <w:left w:type="dxa" w:w="70"/>
              <w:bottom w:type="dxa" w:w="40"/>
              <w:right w:type="dxa" w:w="70"/>
            </w:tcMar>
            <w:vAlign w:val="center"/>
          </w:tcPr>
          <w:p>
            <w:pPr>
              <w:spacing w:after="0" w:line="240"/>
              <w:jc w:val="left"/>
            </w:pPr>
            <w:r>
              <w:rPr>
                <w:rFonts w:ascii="Calibri" w:cs="Calibri" w:eastAsia="Calibri" w:hAnsi="Calibri"/>
                <w:b w:val="false"/>
                <w:bCs w:val="false"/>
                <w:sz w:val="16"/>
                <w:szCs w:val="16"/>
              </w:rPr>
              <w:t xml:space="preserve">23 Jul</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4121.39</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4122.73</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4045.83</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bCs/>
                <w:sz w:val="16"/>
                <w:szCs w:val="16"/>
              </w:rPr>
              <w:t xml:space="preserve">4049.13</w:t>
            </w:r>
          </w:p>
        </w:tc>
        <w:tc>
          <w:tcPr>
            <w:tcW w:type="dxa" w:w="76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43.4</w:t>
            </w:r>
          </w:p>
        </w:tc>
        <w:tc>
          <w:tcPr>
            <w:tcW w:type="dxa" w:w="100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color w:val="C00000"/>
                <w:sz w:val="16"/>
                <w:szCs w:val="16"/>
              </w:rPr>
              <w:t xml:space="preserve">Bearish</w:t>
            </w:r>
          </w:p>
        </w:tc>
        <w:tc>
          <w:tcPr>
            <w:tcW w:type="dxa" w:w="11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MGC × Reut</w:t>
            </w:r>
          </w:p>
        </w:tc>
        <w:tc>
          <w:tcPr>
            <w:tcW w:type="dxa" w:w="130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4049.13</w:t>
            </w:r>
          </w:p>
        </w:tc>
        <w:tc>
          <w:tcPr>
            <w:tcW w:type="dxa" w:w="1050"/>
            <w:shd w:fill="F2F2F2" w:color="auto" w:val="clear"/>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CORROB (−2% day)</w:t>
            </w:r>
          </w:p>
        </w:tc>
      </w:tr>
      <w:tr>
        <w:tc>
          <w:tcPr>
            <w:tcW w:type="dxa" w:w="900"/>
            <w:tcMar>
              <w:top w:type="dxa" w:w="40"/>
              <w:left w:type="dxa" w:w="70"/>
              <w:bottom w:type="dxa" w:w="40"/>
              <w:right w:type="dxa" w:w="70"/>
            </w:tcMar>
            <w:vAlign w:val="center"/>
          </w:tcPr>
          <w:p>
            <w:pPr>
              <w:spacing w:after="0" w:line="240"/>
              <w:jc w:val="left"/>
            </w:pPr>
            <w:r>
              <w:rPr>
                <w:rFonts w:ascii="Calibri" w:cs="Calibri" w:eastAsia="Calibri" w:hAnsi="Calibri"/>
                <w:b w:val="false"/>
                <w:bCs w:val="false"/>
                <w:sz w:val="16"/>
                <w:szCs w:val="16"/>
              </w:rPr>
              <w:t xml:space="preserve">24 Jul</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4027.58</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4076.90</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4022.53</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bCs/>
                <w:sz w:val="16"/>
                <w:szCs w:val="16"/>
              </w:rPr>
              <w:t xml:space="preserve">4068.20</w:t>
            </w:r>
          </w:p>
        </w:tc>
        <w:tc>
          <w:tcPr>
            <w:tcW w:type="dxa" w:w="76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16.3</w:t>
            </w:r>
          </w:p>
        </w:tc>
        <w:tc>
          <w:tcPr>
            <w:tcW w:type="dxa" w:w="1000"/>
            <w:tcMar>
              <w:top w:type="dxa" w:w="40"/>
              <w:left w:type="dxa" w:w="70"/>
              <w:bottom w:type="dxa" w:w="40"/>
              <w:right w:type="dxa" w:w="70"/>
            </w:tcMar>
            <w:vAlign w:val="center"/>
          </w:tcPr>
          <w:p>
            <w:pPr>
              <w:spacing w:after="0" w:line="240"/>
              <w:jc w:val="center"/>
            </w:pPr>
            <w:r>
              <w:rPr>
                <w:rFonts w:ascii="Calibri" w:cs="Calibri" w:eastAsia="Calibri" w:hAnsi="Calibri"/>
                <w:b w:val="false"/>
                <w:bCs w:val="false"/>
                <w:color w:val="595959"/>
                <w:sz w:val="16"/>
                <w:szCs w:val="16"/>
              </w:rPr>
              <w:t xml:space="preserve">Neutral</w:t>
            </w:r>
          </w:p>
        </w:tc>
        <w:tc>
          <w:tcPr>
            <w:tcW w:type="dxa" w:w="11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MGC × Inv/UAG</w:t>
            </w:r>
          </w:p>
        </w:tc>
        <w:tc>
          <w:tcPr>
            <w:tcW w:type="dxa" w:w="130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4068.20</w:t>
            </w:r>
          </w:p>
        </w:tc>
        <w:tc>
          <w:tcPr>
            <w:tcW w:type="dxa" w:w="1050"/>
            <w:tcMar>
              <w:top w:type="dxa" w:w="40"/>
              <w:left w:type="dxa" w:w="70"/>
              <w:bottom w:type="dxa" w:w="40"/>
              <w:right w:type="dxa" w:w="70"/>
            </w:tcMar>
            <w:vAlign w:val="center"/>
          </w:tcPr>
          <w:p>
            <w:pPr>
              <w:spacing w:after="0" w:line="240"/>
              <w:jc w:val="center"/>
            </w:pPr>
            <w:r>
              <w:rPr>
                <w:rFonts w:ascii="Calibri" w:cs="Calibri" w:eastAsia="Calibri" w:hAnsi="Calibri"/>
                <w:b w:val="false"/>
                <w:bCs w:val="false"/>
                <w:sz w:val="16"/>
                <w:szCs w:val="16"/>
              </w:rPr>
              <w:t xml:space="preserve">SPOT Δ≈$18 — see note</w:t>
            </w:r>
          </w:p>
        </w:tc>
      </w:tr>
    </w:tbl>
    <w:p>
      <w:pPr>
        <w:spacing w:after="120" w:before="0" w:line="276"/>
      </w:pPr>
      <w:r>
        <w:rPr>
          <w:rFonts w:ascii="Calibri" w:cs="Calibri" w:eastAsia="Calibri" w:hAnsi="Calibri"/>
          <w:b/>
          <w:bCs/>
          <w:i/>
          <w:iCs/>
          <w:color w:val="595959"/>
          <w:sz w:val="16"/>
          <w:szCs w:val="16"/>
        </w:rPr>
        <w:t xml:space="preserve">Corroboration note: </w:t>
      </w:r>
      <w:r>
        <w:rPr>
          <w:rFonts w:ascii="Calibri" w:cs="Calibri" w:eastAsia="Calibri" w:hAnsi="Calibri"/>
          <w:i/>
          <w:iCs/>
          <w:color w:val="595959"/>
          <w:sz w:val="16"/>
          <w:szCs w:val="16"/>
        </w:rPr>
        <w:t xml:space="preserve">Close prices for 20–23 Jul corroborated within the ±$0.50 gold tolerance across the MyGoldCalc archive (Source A) and Investing.com / Reuters spot references (Source B). The 24 Jul close carries a ~$18 basis gap between the UTC-day archive ($4,068.20) and concurrent spot reads (~$4,050–4,056); both are reported, the spot cluster anchors the consensus, and the archive OHLC is used for the technical block for internal series consistency. RSI2 computed from the validated close sequence (period fixed at 2).</w:t>
      </w:r>
    </w:p>
    <w:p>
      <w:pPr>
        <w:pBdr>
          <w:bottom w:val="single" w:color="1a6b3a" w:sz="10"/>
        </w:pBdr>
        <w:spacing w:after="110" w:before="220"/>
      </w:pPr>
      <w:r>
        <w:rPr>
          <w:rFonts w:ascii="Calibri" w:cs="Calibri" w:eastAsia="Calibri" w:hAnsi="Calibri"/>
          <w:b/>
          <w:bCs/>
          <w:color w:val="1a6b3a"/>
          <w:sz w:val="26"/>
          <w:szCs w:val="26"/>
        </w:rPr>
        <w:t xml:space="preserve">§7  Charts</w:t>
      </w:r>
    </w:p>
    <w:p>
      <w:pPr>
        <w:spacing w:after="80" w:before="140"/>
      </w:pPr>
      <w:r>
        <w:rPr>
          <w:rFonts w:ascii="Calibri" w:cs="Calibri" w:eastAsia="Calibri" w:hAnsi="Calibri"/>
          <w:b/>
          <w:bCs/>
          <w:color w:val="1a6b3a"/>
          <w:sz w:val="22"/>
          <w:szCs w:val="22"/>
        </w:rPr>
        <w:t xml:space="preserve">Chart 1 — 5-Session Candlestick</w:t>
      </w:r>
    </w:p>
    <w:p>
      <w:pPr>
        <w:spacing w:after="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80" w:before="140"/>
      </w:pPr>
      <w:r>
        <w:rPr>
          <w:rFonts w:ascii="Calibri" w:cs="Calibri" w:eastAsia="Calibri" w:hAnsi="Calibri"/>
          <w:b/>
          <w:bCs/>
          <w:color w:val="1a6b3a"/>
          <w:sz w:val="22"/>
          <w:szCs w:val="22"/>
        </w:rPr>
        <w:t xml:space="preserve">Chart 2 — Distance from Open</w:t>
      </w:r>
    </w:p>
    <w:p>
      <w:pPr>
        <w:spacing w:after="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80" w:before="140"/>
      </w:pPr>
      <w:r>
        <w:rPr>
          <w:rFonts w:ascii="Calibri" w:cs="Calibri" w:eastAsia="Calibri" w:hAnsi="Calibri"/>
          <w:b/>
          <w:bCs/>
          <w:color w:val="1a6b3a"/>
          <w:sz w:val="22"/>
          <w:szCs w:val="22"/>
        </w:rPr>
        <w:t xml:space="preserve">Chart 3 — Medium-Term Structure (3–24 Jul)</w:t>
      </w:r>
    </w:p>
    <w:p>
      <w:pPr>
        <w:spacing w:after="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80" w:before="140"/>
      </w:pPr>
      <w:r>
        <w:rPr>
          <w:rFonts w:ascii="Calibri" w:cs="Calibri" w:eastAsia="Calibri" w:hAnsi="Calibri"/>
          <w:b/>
          <w:bCs/>
          <w:color w:val="1a6b3a"/>
          <w:sz w:val="22"/>
          <w:szCs w:val="22"/>
        </w:rPr>
        <w:t xml:space="preserve">Chart 4 — Comparative Volatility (VOLator)</w:t>
      </w:r>
    </w:p>
    <w:p>
      <w:pPr>
        <w:spacing w:after="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71825"/>
                    </a:xfrm>
                    <a:prstGeom prst="rect">
                      <a:avLst/>
                    </a:prstGeom>
                  </pic:spPr>
                </pic:pic>
              </a:graphicData>
            </a:graphic>
          </wp:inline>
        </w:drawing>
      </w:r>
    </w:p>
    <w:p>
      <w:pPr>
        <w:spacing w:after="80" w:before="140"/>
      </w:pPr>
      <w:r>
        <w:rPr>
          <w:rFonts w:ascii="Calibri" w:cs="Calibri" w:eastAsia="Calibri" w:hAnsi="Calibri"/>
          <w:b/>
          <w:bCs/>
          <w:color w:val="1a6b3a"/>
          <w:sz w:val="22"/>
          <w:szCs w:val="22"/>
        </w:rPr>
        <w:t xml:space="preserve">Chart 5 — Pivot Structure</w:t>
      </w:r>
    </w:p>
    <w:p>
      <w:pPr>
        <w:spacing w:after="8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48100"/>
                    </a:xfrm>
                    <a:prstGeom prst="rect">
                      <a:avLst/>
                    </a:prstGeom>
                  </pic:spPr>
                </pic:pic>
              </a:graphicData>
            </a:graphic>
          </wp:inline>
        </w:drawing>
      </w:r>
    </w:p>
    <w:p>
      <w:pPr>
        <w:pBdr>
          <w:bottom w:val="single" w:color="1a6b3a" w:sz="10"/>
        </w:pBdr>
        <w:spacing w:after="110" w:before="220"/>
      </w:pPr>
      <w:r>
        <w:rPr>
          <w:rFonts w:ascii="Calibri" w:cs="Calibri" w:eastAsia="Calibri" w:hAnsi="Calibri"/>
          <w:b/>
          <w:bCs/>
          <w:color w:val="1a6b3a"/>
          <w:sz w:val="26"/>
          <w:szCs w:val="26"/>
        </w:rPr>
        <w:t xml:space="preserve">§8  Short-Term Technical Analysis</w:t>
      </w:r>
    </w:p>
    <w:p>
      <w:pPr>
        <w:pStyle w:val="ListParagraph"/>
        <w:numPr>
          <w:ilvl w:val="0"/>
          <w:numId w:val="1"/>
        </w:numPr>
        <w:spacing w:after="80" w:line="264"/>
      </w:pPr>
      <w:r>
        <w:rPr>
          <w:rFonts w:ascii="Calibri" w:cs="Calibri" w:eastAsia="Calibri" w:hAnsi="Calibri"/>
          <w:b/>
          <w:bCs/>
          <w:sz w:val="20"/>
          <w:szCs w:val="20"/>
        </w:rPr>
        <w:t xml:space="preserve">20 Jul (see §6): </w:t>
      </w:r>
      <w:r>
        <w:rPr>
          <w:rFonts w:ascii="Calibri" w:cs="Calibri" w:eastAsia="Calibri" w:hAnsi="Calibri"/>
          <w:sz w:val="20"/>
          <w:szCs w:val="20"/>
        </w:rPr>
        <w:t xml:space="preserve">Small-bodied neutral candle closing mid-range (~35% of range); RSI2 elevated at 80.6 into the open. Quiet Monday consolidation just above $4,000.</w:t>
      </w:r>
    </w:p>
    <w:p>
      <w:pPr>
        <w:pStyle w:val="ListParagraph"/>
        <w:numPr>
          <w:ilvl w:val="0"/>
          <w:numId w:val="1"/>
        </w:numPr>
        <w:spacing w:after="80" w:line="264"/>
      </w:pPr>
      <w:r>
        <w:rPr>
          <w:rFonts w:ascii="Calibri" w:cs="Calibri" w:eastAsia="Calibri" w:hAnsi="Calibri"/>
          <w:b/>
          <w:bCs/>
          <w:sz w:val="20"/>
          <w:szCs w:val="20"/>
        </w:rPr>
        <w:t xml:space="preserve">21 Jul: </w:t>
      </w:r>
      <w:r>
        <w:rPr>
          <w:rFonts w:ascii="Calibri" w:cs="Calibri" w:eastAsia="Calibri" w:hAnsi="Calibri"/>
          <w:sz w:val="20"/>
          <w:szCs w:val="20"/>
        </w:rPr>
        <w:t xml:space="preserve">Bullish marubozu-like candle, close at the high, RSI2 90.7 — momentum ignition off the $4,000 shelf.</w:t>
      </w:r>
    </w:p>
    <w:p>
      <w:pPr>
        <w:pStyle w:val="ListParagraph"/>
        <w:numPr>
          <w:ilvl w:val="0"/>
          <w:numId w:val="1"/>
        </w:numPr>
        <w:spacing w:after="80" w:line="264"/>
      </w:pPr>
      <w:r>
        <w:rPr>
          <w:rFonts w:ascii="Calibri" w:cs="Calibri" w:eastAsia="Calibri" w:hAnsi="Calibri"/>
          <w:b/>
          <w:bCs/>
          <w:sz w:val="20"/>
          <w:szCs w:val="20"/>
        </w:rPr>
        <w:t xml:space="preserve">22 Jul: </w:t>
      </w:r>
      <w:r>
        <w:rPr>
          <w:rFonts w:ascii="Calibri" w:cs="Calibri" w:eastAsia="Calibri" w:hAnsi="Calibri"/>
          <w:sz w:val="20"/>
          <w:szCs w:val="20"/>
        </w:rPr>
        <w:t xml:space="preserve">Strong bullish extension to the two-week peak ($4,159 archive / $4,165.87 spot), close near high, RSI2 pinned at 100 — overbought thrust.</w:t>
      </w:r>
    </w:p>
    <w:p>
      <w:pPr>
        <w:pStyle w:val="ListParagraph"/>
        <w:numPr>
          <w:ilvl w:val="0"/>
          <w:numId w:val="1"/>
        </w:numPr>
        <w:spacing w:after="80" w:line="264"/>
      </w:pPr>
      <w:r>
        <w:rPr>
          <w:rFonts w:ascii="Calibri" w:cs="Calibri" w:eastAsia="Calibri" w:hAnsi="Calibri"/>
          <w:b/>
          <w:bCs/>
          <w:sz w:val="20"/>
          <w:szCs w:val="20"/>
        </w:rPr>
        <w:t xml:space="preserve">23 Jul: </w:t>
      </w:r>
      <w:r>
        <w:rPr>
          <w:rFonts w:ascii="Calibri" w:cs="Calibri" w:eastAsia="Calibri" w:hAnsi="Calibri"/>
          <w:sz w:val="20"/>
          <w:szCs w:val="20"/>
        </w:rPr>
        <w:t xml:space="preserve">Large bearish reversal (~−2%), close in the lower third of range, RSI2 collapses to 43.4 — oil-led risk repricing and yield spike drive the fade.</w:t>
      </w:r>
    </w:p>
    <w:p>
      <w:pPr>
        <w:pStyle w:val="ListParagraph"/>
        <w:numPr>
          <w:ilvl w:val="0"/>
          <w:numId w:val="1"/>
        </w:numPr>
        <w:spacing w:after="80" w:line="264"/>
      </w:pPr>
      <w:r>
        <w:rPr>
          <w:rFonts w:ascii="Calibri" w:cs="Calibri" w:eastAsia="Calibri" w:hAnsi="Calibri"/>
          <w:b/>
          <w:bCs/>
          <w:sz w:val="20"/>
          <w:szCs w:val="20"/>
        </w:rPr>
        <w:t xml:space="preserve">24 Jul: </w:t>
      </w:r>
      <w:r>
        <w:rPr>
          <w:rFonts w:ascii="Calibri" w:cs="Calibri" w:eastAsia="Calibri" w:hAnsi="Calibri"/>
          <w:sz w:val="20"/>
          <w:szCs w:val="20"/>
        </w:rPr>
        <w:t xml:space="preserve">Inside-day recovery candle with a long lower wick; close ~84% up the range, RSI2 deeply oversold at 16.3 — physical buyers defend $4,020–4,000 ahead of the Fed.</w:t>
      </w:r>
    </w:p>
    <w:p>
      <w:pPr>
        <w:spacing w:after="120" w:before="0" w:line="276"/>
      </w:pPr>
      <w:r>
        <w:rPr>
          <w:rFonts w:ascii="Calibri" w:cs="Calibri" w:eastAsia="Calibri" w:hAnsi="Calibri"/>
          <w:b/>
          <w:bCs/>
          <w:sz w:val="20"/>
          <w:szCs w:val="20"/>
        </w:rPr>
        <w:t xml:space="preserve">Sequence assessment: </w:t>
      </w:r>
      <w:r>
        <w:rPr>
          <w:rFonts w:ascii="Calibri" w:cs="Calibri" w:eastAsia="Calibri" w:hAnsi="Calibri"/>
          <w:sz w:val="20"/>
          <w:szCs w:val="20"/>
        </w:rPr>
        <w:t xml:space="preserve">Indecision / early Exhaustion — a two-day momentum thrust to a peak was fully retraced, then partially recovered, leaving high overlap and a mean-reverting RSI2. Evidence: the 22→23 Jul outside-bar reversal and the 24 Jul inside day.</w:t>
      </w:r>
    </w:p>
    <w:p>
      <w:pPr>
        <w:spacing w:after="120" w:before="0" w:line="276"/>
      </w:pPr>
      <w:r>
        <w:rPr>
          <w:rFonts w:ascii="Calibri" w:cs="Calibri" w:eastAsia="Calibri" w:hAnsi="Calibri"/>
          <w:b/>
          <w:bCs/>
          <w:sz w:val="20"/>
          <w:szCs w:val="20"/>
        </w:rPr>
        <w:t xml:space="preserve">Nearest support / resistance (from the block): </w:t>
      </w:r>
      <w:r>
        <w:rPr>
          <w:rFonts w:ascii="Calibri" w:cs="Calibri" w:eastAsia="Calibri" w:hAnsi="Calibri"/>
          <w:sz w:val="20"/>
          <w:szCs w:val="20"/>
        </w:rPr>
        <w:t xml:space="preserve">support $4,003.72 (20 Jul low) then the $4,000 psychological shelf; resistance $4,159.06 (22 Jul high), with intraday supply at $4,076–4,080.</w:t>
      </w:r>
    </w:p>
    <w:p>
      <w:pPr>
        <w:spacing w:after="120" w:before="0" w:line="276"/>
      </w:pPr>
      <w:r>
        <w:rPr>
          <w:rFonts w:ascii="Calibri" w:cs="Calibri" w:eastAsia="Calibri" w:hAnsi="Calibri"/>
          <w:b/>
          <w:bCs/>
          <w:color w:val="1a6b3a"/>
          <w:sz w:val="20"/>
          <w:szCs w:val="20"/>
        </w:rPr>
        <w:t xml:space="preserve">Judgement label: </w:t>
      </w:r>
      <w:r>
        <w:rPr>
          <w:rFonts w:ascii="Calibri" w:cs="Calibri" w:eastAsia="Calibri" w:hAnsi="Calibri"/>
          <w:b/>
          <w:bCs/>
          <w:sz w:val="20"/>
          <w:szCs w:val="20"/>
        </w:rPr>
        <w:t xml:space="preserve">Indecision — reversal risk.</w:t>
      </w:r>
      <w:r>
        <w:rPr>
          <w:rFonts w:ascii="Calibri" w:cs="Calibri" w:eastAsia="Calibri" w:hAnsi="Calibri"/>
          <w:sz w:val="20"/>
          <w:szCs w:val="20"/>
        </w:rPr>
        <w:t xml:space="preserve"> Consistent with the §9 Ranging regime.</w:t>
      </w:r>
    </w:p>
    <w:p>
      <w:pPr>
        <w:pBdr>
          <w:bottom w:val="single" w:color="1a6b3a" w:sz="10"/>
        </w:pBdr>
        <w:spacing w:after="110" w:before="220"/>
      </w:pPr>
      <w:r>
        <w:rPr>
          <w:rFonts w:ascii="Calibri" w:cs="Calibri" w:eastAsia="Calibri" w:hAnsi="Calibri"/>
          <w:b/>
          <w:bCs/>
          <w:color w:val="1a6b3a"/>
          <w:sz w:val="26"/>
          <w:szCs w:val="26"/>
        </w:rPr>
        <w:t xml:space="preserve">§9  Medium-Term Regime &amp; VOLator</w:t>
      </w:r>
    </w:p>
    <w:p>
      <w:pPr>
        <w:spacing w:after="120" w:before="0" w:line="276"/>
      </w:pPr>
      <w:r>
        <w:rPr>
          <w:rFonts w:ascii="Calibri" w:cs="Calibri" w:eastAsia="Calibri" w:hAnsi="Calibri"/>
          <w:b/>
          <w:bCs/>
          <w:sz w:val="20"/>
          <w:szCs w:val="20"/>
        </w:rPr>
        <w:t xml:space="preserve">Regime classification: </w:t>
      </w:r>
      <w:r>
        <w:rPr>
          <w:rFonts w:ascii="Calibri" w:cs="Calibri" w:eastAsia="Calibri" w:hAnsi="Calibri"/>
          <w:sz w:val="20"/>
          <w:szCs w:val="20"/>
        </w:rPr>
        <w:t xml:space="preserve">Ranging (with a mild bearish drift). Supporting metrics — overlap ratio 0.44 (borderline, just under the 0.45 directional line), directional persistence 0.27 (well below the 0.55 trend line → choppy), VOLator slope marginally positive (+0.01, effectively flat), median RSI2 near mid-range, and range-position bias ~47.5% (Mid-Range).</w:t>
      </w:r>
    </w:p>
    <w:p>
      <w:pPr>
        <w:spacing w:after="120" w:before="0" w:line="276"/>
      </w:pPr>
      <w:r>
        <w:rPr>
          <w:rFonts w:ascii="Calibri" w:cs="Calibri" w:eastAsia="Calibri" w:hAnsi="Calibri"/>
          <w:b/>
          <w:bCs/>
          <w:sz w:val="20"/>
          <w:szCs w:val="20"/>
        </w:rPr>
        <w:t xml:space="preserve">Bias: </w:t>
      </w:r>
      <w:r>
        <w:rPr>
          <w:rFonts w:ascii="Calibri" w:cs="Calibri" w:eastAsia="Calibri" w:hAnsi="Calibri"/>
          <w:sz w:val="20"/>
          <w:szCs w:val="20"/>
        </w:rPr>
        <w:t xml:space="preserve">Neutral-to-mildly-bearish — price sits mid the 25-session $3,965–$4,181 band, below the early-July highs.</w:t>
      </w:r>
    </w:p>
    <w:p>
      <w:pPr>
        <w:spacing w:after="120" w:before="0" w:line="276"/>
      </w:pPr>
      <w:r>
        <w:rPr>
          <w:rFonts w:ascii="Calibri" w:cs="Calibri" w:eastAsia="Calibri" w:hAnsi="Calibri"/>
          <w:b/>
          <w:bCs/>
          <w:sz w:val="20"/>
          <w:szCs w:val="20"/>
        </w:rPr>
        <w:t xml:space="preserve">VOLator readings: </w:t>
      </w:r>
      <w:r>
        <w:rPr>
          <w:rFonts w:ascii="Calibri" w:cs="Calibri" w:eastAsia="Calibri" w:hAnsi="Calibri"/>
          <w:sz w:val="20"/>
          <w:szCs w:val="20"/>
        </w:rPr>
        <w:t xml:space="preserve">Gold scaled volatility −0.37 (below its 0 midpoint, i.e. below-average and roughly flat/contracting after the mid-week spike). USDX low and rising off a low base; S&amp;P 500 mid; DAX mid-rising. Gold's contraction after the 22–23 Jul range expansion is consistent with a pause, not a new trend.</w:t>
      </w:r>
    </w:p>
    <w:p>
      <w:pPr>
        <w:spacing w:after="120" w:before="0" w:line="276"/>
      </w:pPr>
      <w:r>
        <w:rPr>
          <w:rFonts w:ascii="Calibri" w:cs="Calibri" w:eastAsia="Calibri" w:hAnsi="Calibri"/>
          <w:b/>
          <w:bCs/>
          <w:sz w:val="20"/>
          <w:szCs w:val="20"/>
        </w:rPr>
        <w:t xml:space="preserve">Preferred trade protocol: </w:t>
      </w:r>
      <w:r>
        <w:rPr>
          <w:rFonts w:ascii="Calibri" w:cs="Calibri" w:eastAsia="Calibri" w:hAnsi="Calibri"/>
          <w:sz w:val="20"/>
          <w:szCs w:val="20"/>
        </w:rPr>
        <w:t xml:space="preserve">Ranging (5-week) against a Transitional 5-day read → range-bound tactics: fade validated extremes, reduced conviction on directional breakouts until confirmed. Short-term Indecision and medium-term Ranging agree — no conflict to flag.</w:t>
      </w:r>
    </w:p>
    <w:p>
      <w:pPr>
        <w:spacing w:after="120" w:before="0" w:line="276"/>
      </w:pPr>
      <w:r>
        <w:rPr>
          <w:rFonts w:ascii="Calibri" w:cs="Calibri" w:eastAsia="Calibri" w:hAnsi="Calibri"/>
          <w:b/>
          <w:bCs/>
          <w:sz w:val="20"/>
          <w:szCs w:val="20"/>
        </w:rPr>
        <w:t xml:space="preserve">Kaufman confirmation: </w:t>
      </w:r>
      <w:r>
        <w:rPr>
          <w:rFonts w:ascii="Calibri" w:cs="Calibri" w:eastAsia="Calibri" w:hAnsi="Calibri"/>
          <w:sz w:val="20"/>
          <w:szCs w:val="20"/>
        </w:rPr>
        <w:t xml:space="preserve">Smoothed KER −0.10, classified Ranging — Downward Bias. This agrees with the Ranging regime and adds a mild bearish tilt; it does not contradict the synthesis.</w:t>
      </w:r>
    </w:p>
    <w:p>
      <w:pPr>
        <w:pBdr>
          <w:bottom w:val="single" w:color="1a6b3a" w:sz="10"/>
        </w:pBdr>
        <w:spacing w:after="110" w:before="220"/>
      </w:pPr>
      <w:r>
        <w:rPr>
          <w:rFonts w:ascii="Calibri" w:cs="Calibri" w:eastAsia="Calibri" w:hAnsi="Calibri"/>
          <w:b/>
          <w:bCs/>
          <w:color w:val="1a6b3a"/>
          <w:sz w:val="26"/>
          <w:szCs w:val="26"/>
        </w:rPr>
        <w:t xml:space="preserve">§10  Cross-Asset Analysis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50"/>
        <w:gridCol w:w="1250"/>
        <w:gridCol w:w="3060"/>
        <w:gridCol w:w="1150"/>
        <w:gridCol w:w="2350"/>
      </w:tblGrid>
      <w:tr>
        <w:trPr>
          <w:tblHeader/>
        </w:trPr>
        <w:tc>
          <w:tcPr>
            <w:tcW w:type="dxa" w:w="15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Counter</w:t>
            </w:r>
          </w:p>
        </w:tc>
        <w:tc>
          <w:tcPr>
            <w:tcW w:type="dxa" w:w="12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5-day dir.</w:t>
            </w:r>
          </w:p>
        </w:tc>
        <w:tc>
          <w:tcPr>
            <w:tcW w:type="dxa" w:w="306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Mechanism to gold</w:t>
            </w:r>
          </w:p>
        </w:tc>
        <w:tc>
          <w:tcPr>
            <w:tcW w:type="dxa" w:w="11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Status</w:t>
            </w:r>
          </w:p>
        </w:tc>
        <w:tc>
          <w:tcPr>
            <w:tcW w:type="dxa" w:w="23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Implication</w:t>
            </w:r>
          </w:p>
        </w:tc>
      </w:tr>
      <w:tr>
        <w:tc>
          <w:tcPr>
            <w:tcW w:type="dxa" w:w="15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USDX (Dollar Index)</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Rising</w:t>
            </w:r>
          </w:p>
        </w:tc>
        <w:tc>
          <w:tcPr>
            <w:tcW w:type="dxa" w:w="306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Firmer dollar (biggest weekly gain since mid-June, ~101.3–101.5) raises the opportunity cost of holding non-yielding gold and cheapens it in USD terms.</w:t>
            </w:r>
          </w:p>
        </w:tc>
        <w:tc>
          <w:tcPr>
            <w:tcW w:type="dxa" w:w="11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Contradicts (bullish-gold)</w:t>
            </w:r>
          </w:p>
        </w:tc>
        <w:tc>
          <w:tcPr>
            <w:tcW w:type="dxa" w:w="23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Headwind — dollar strength caps upside</w:t>
            </w:r>
          </w:p>
        </w:tc>
      </w:tr>
      <w:tr>
        <w:tc>
          <w:tcPr>
            <w:tcW w:type="dxa" w:w="15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S&amp;P 500</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Flat / mixed</w:t>
            </w:r>
          </w:p>
        </w:tc>
        <w:tc>
          <w:tcPr>
            <w:tcW w:type="dxa" w:w="30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Risk-on equity tone diverts safe-haven flows; but a tech-led wobble keeps a residual hedging bid under gold.</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Neutral</w:t>
            </w:r>
          </w:p>
        </w:tc>
        <w:tc>
          <w:tcPr>
            <w:tcW w:type="dxa" w:w="23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Little net directional pull</w:t>
            </w:r>
          </w:p>
        </w:tc>
      </w:tr>
      <w:tr>
        <w:tc>
          <w:tcPr>
            <w:tcW w:type="dxa" w:w="15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DAX 40</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Rising</w:t>
            </w:r>
          </w:p>
        </w:tc>
        <w:tc>
          <w:tcPr>
            <w:tcW w:type="dxa" w:w="306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European risk appetite (DAX +1.36% Fri, ~25,099) signals reduced defensive demand, a mild negative for the safe-haven premium.</w:t>
            </w:r>
          </w:p>
        </w:tc>
        <w:tc>
          <w:tcPr>
            <w:tcW w:type="dxa" w:w="11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Contradicts (bullish-gold)</w:t>
            </w:r>
          </w:p>
        </w:tc>
        <w:tc>
          <w:tcPr>
            <w:tcW w:type="dxa" w:w="23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Mild headwind</w:t>
            </w:r>
          </w:p>
        </w:tc>
      </w:tr>
      <w:tr>
        <w:tc>
          <w:tcPr>
            <w:tcW w:type="dxa" w:w="15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Silver (XAG/USD)</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Rising</w:t>
            </w:r>
          </w:p>
        </w:tc>
        <w:tc>
          <w:tcPr>
            <w:tcW w:type="dxa" w:w="30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Silver outperformance (~$58.2, GSR compressing to ~69.5) reflects the same precious-metals bid; partial confirmation of a floor under gold.</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Confirms</w:t>
            </w:r>
          </w:p>
        </w:tc>
        <w:tc>
          <w:tcPr>
            <w:tcW w:type="dxa" w:w="23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Supportive — floor intact</w:t>
            </w:r>
          </w:p>
        </w:tc>
      </w:tr>
    </w:tbl>
    <w:p>
      <w:pPr>
        <w:spacing w:after="120" w:before="0" w:line="276"/>
      </w:pPr>
      <w:r>
        <w:rPr>
          <w:rFonts w:ascii="Calibri" w:cs="Calibri" w:eastAsia="Calibri" w:hAnsi="Calibri"/>
          <w:b/>
          <w:bCs/>
          <w:color w:val="C00000"/>
          <w:sz w:val="18"/>
          <w:szCs w:val="18"/>
        </w:rPr>
        <w:t xml:space="preserve">Contradiction flag: </w:t>
      </w:r>
      <w:r>
        <w:rPr>
          <w:rFonts w:ascii="Calibri" w:cs="Calibri" w:eastAsia="Calibri" w:hAnsi="Calibri"/>
          <w:i/>
          <w:iCs/>
          <w:sz w:val="18"/>
          <w:szCs w:val="18"/>
        </w:rPr>
        <w:t xml:space="preserve">USDX and DAX both point against a bullish-gold read while silver confirms the metals floor — a MIXED cross-asset aggregate. This tension feeds §15 and §16 and is not resolved silently.</w:t>
      </w:r>
    </w:p>
    <w:p>
      <w:pPr>
        <w:pBdr>
          <w:bottom w:val="single" w:color="1a6b3a" w:sz="10"/>
        </w:pBdr>
        <w:spacing w:after="110" w:before="220"/>
      </w:pPr>
      <w:r>
        <w:rPr>
          <w:rFonts w:ascii="Calibri" w:cs="Calibri" w:eastAsia="Calibri" w:hAnsi="Calibri"/>
          <w:b/>
          <w:bCs/>
          <w:color w:val="1a6b3a"/>
          <w:sz w:val="26"/>
          <w:szCs w:val="26"/>
        </w:rPr>
        <w:t xml:space="preserve">§11  Floor Pivot Analysis</w:t>
      </w:r>
    </w:p>
    <w:p>
      <w:pPr>
        <w:spacing w:after="80" w:before="140"/>
      </w:pPr>
      <w:r>
        <w:rPr>
          <w:rFonts w:ascii="Calibri" w:cs="Calibri" w:eastAsia="Calibri" w:hAnsi="Calibri"/>
          <w:b/>
          <w:bCs/>
          <w:color w:val="1a6b3a"/>
          <w:sz w:val="22"/>
          <w:szCs w:val="22"/>
        </w:rPr>
        <w:t xml:space="preserve">Daily pivots (from 24 Jul H/L/C)</w:t>
      </w:r>
    </w:p>
    <w:tbl>
      <w:tblPr>
        <w:tblW w:type="dxa" w:w="3050"/>
        <w:tblBorders>
          <w:top w:val="single" w:color="BFBFBF" w:sz="4"/>
          <w:left w:val="single" w:color="BFBFBF" w:sz="4"/>
          <w:bottom w:val="single" w:color="BFBFBF" w:sz="4"/>
          <w:right w:val="single" w:color="BFBFBF" w:sz="4"/>
          <w:insideH w:val="single" w:color="D9D9D9" w:sz="2"/>
          <w:insideV w:val="single" w:color="D9D9D9" w:sz="2"/>
        </w:tblBorders>
      </w:tblPr>
      <w:tblGrid>
        <w:gridCol w:w="1400"/>
        <w:gridCol w:w="1650"/>
      </w:tblGrid>
      <w:tr>
        <w:trPr>
          <w:tblHeader/>
        </w:trPr>
        <w:tc>
          <w:tcPr>
            <w:tcW w:type="dxa" w:w="140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Level</w:t>
            </w:r>
          </w:p>
        </w:tc>
        <w:tc>
          <w:tcPr>
            <w:tcW w:type="dxa" w:w="16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USD/oz</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R5</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4252.3</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R4</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4198.0</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R3</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4143.6</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R2</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4110.2</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R1</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4089.2</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8"/>
                <w:szCs w:val="18"/>
              </w:rPr>
              <w:t xml:space="preserve">P</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4055.9</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S1</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4034.9</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S2</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4001.5</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S3</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3980.5</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S4</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3926.1</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S5</w:t>
            </w:r>
          </w:p>
        </w:tc>
        <w:tc>
          <w:tcPr>
            <w:tcW w:type="dxa" w:w="1650"/>
            <w:tcMar>
              <w:top w:type="dxa" w:w="40"/>
              <w:left w:type="dxa" w:w="70"/>
              <w:bottom w:type="dxa" w:w="40"/>
              <w:right w:type="dxa" w:w="70"/>
            </w:tcMar>
            <w:vAlign w:val="center"/>
          </w:tcPr>
          <w:p>
            <w:pPr>
              <w:spacing w:after="0" w:line="240"/>
            </w:pPr>
            <w:r>
              <w:rPr>
                <w:rFonts w:ascii="Calibri" w:cs="Calibri" w:eastAsia="Calibri" w:hAnsi="Calibri"/>
                <w:b w:val="false"/>
                <w:bCs w:val="false"/>
                <w:sz w:val="18"/>
                <w:szCs w:val="18"/>
              </w:rPr>
              <w:t xml:space="preserve">3871.7</w:t>
            </w:r>
          </w:p>
        </w:tc>
      </w:tr>
    </w:tbl>
    <w:p>
      <w:pPr>
        <w:spacing w:after="80" w:before="140"/>
      </w:pPr>
      <w:r>
        <w:rPr>
          <w:rFonts w:ascii="Calibri" w:cs="Calibri" w:eastAsia="Calibri" w:hAnsi="Calibri"/>
          <w:b/>
          <w:bCs/>
          <w:color w:val="1a6b3a"/>
          <w:sz w:val="22"/>
          <w:szCs w:val="22"/>
        </w:rPr>
        <w:t xml:space="preserve">Weekly pivots (from W/E 17 Jul H/L/C)</w:t>
      </w:r>
    </w:p>
    <w:tbl>
      <w:tblPr>
        <w:tblW w:type="dxa" w:w="3050"/>
        <w:tblBorders>
          <w:top w:val="single" w:color="BFBFBF" w:sz="4"/>
          <w:left w:val="single" w:color="BFBFBF" w:sz="4"/>
          <w:bottom w:val="single" w:color="BFBFBF" w:sz="4"/>
          <w:right w:val="single" w:color="BFBFBF" w:sz="4"/>
          <w:insideH w:val="single" w:color="D9D9D9" w:sz="2"/>
          <w:insideV w:val="single" w:color="D9D9D9" w:sz="2"/>
        </w:tblBorders>
      </w:tblPr>
      <w:tblGrid>
        <w:gridCol w:w="1400"/>
        <w:gridCol w:w="1650"/>
      </w:tblGrid>
      <w:tr>
        <w:trPr>
          <w:tblHeader/>
        </w:trPr>
        <w:tc>
          <w:tcPr>
            <w:tcW w:type="dxa" w:w="140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Level</w:t>
            </w:r>
          </w:p>
        </w:tc>
        <w:tc>
          <w:tcPr>
            <w:tcW w:type="dxa" w:w="1650"/>
            <w:shd w:fill="1a6b3a"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USD/oz</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R5</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4438.4</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R4</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4319.0</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R3</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4199.6</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R2</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4142.3</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R1</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4080.2</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P</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4022.9</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S1</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3960.8</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S2</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3903.5</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S3</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3841.4</w:t>
            </w:r>
          </w:p>
        </w:tc>
      </w:tr>
      <w:tr>
        <w:tc>
          <w:tcPr>
            <w:tcW w:type="dxa" w:w="1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S4</w:t>
            </w:r>
          </w:p>
        </w:tc>
        <w:tc>
          <w:tcPr>
            <w:tcW w:type="dxa" w:w="16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3722.0</w:t>
            </w:r>
          </w:p>
        </w:tc>
      </w:tr>
      <w:tr>
        <w:tc>
          <w:tcPr>
            <w:tcW w:type="dxa" w:w="140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S5</w:t>
            </w:r>
          </w:p>
        </w:tc>
        <w:tc>
          <w:tcPr>
            <w:tcW w:type="dxa" w:w="1650"/>
            <w:tcMar>
              <w:top w:type="dxa" w:w="40"/>
              <w:left w:type="dxa" w:w="70"/>
              <w:bottom w:type="dxa" w:w="40"/>
              <w:right w:type="dxa" w:w="70"/>
            </w:tcMar>
            <w:vAlign w:val="center"/>
          </w:tcPr>
          <w:p>
            <w:pPr>
              <w:spacing w:after="0" w:line="240"/>
            </w:pPr>
            <w:r>
              <w:rPr>
                <w:rFonts w:ascii="Calibri" w:cs="Calibri" w:eastAsia="Calibri" w:hAnsi="Calibri"/>
                <w:sz w:val="18"/>
                <w:szCs w:val="18"/>
              </w:rPr>
              <w:t xml:space="preserve">3602.6</w:t>
            </w:r>
          </w:p>
        </w:tc>
      </w:tr>
    </w:tbl>
    <w:p>
      <w:pPr>
        <w:spacing w:after="120" w:before="0" w:line="276"/>
      </w:pPr>
      <w:r>
        <w:rPr>
          <w:rFonts w:ascii="Calibri" w:cs="Calibri" w:eastAsia="Calibri" w:hAnsi="Calibri"/>
          <w:b/>
          <w:bCs/>
          <w:color w:val="595959"/>
          <w:sz w:val="16"/>
          <w:szCs w:val="16"/>
        </w:rPr>
        <w:t xml:space="preserve">Source status: </w:t>
      </w:r>
      <w:r>
        <w:rPr>
          <w:rFonts w:ascii="Calibri" w:cs="Calibri" w:eastAsia="Calibri" w:hAnsi="Calibri"/>
          <w:i/>
          <w:iCs/>
          <w:color w:val="595959"/>
          <w:sz w:val="16"/>
          <w:szCs w:val="16"/>
        </w:rPr>
        <w:t xml:space="preserve">Daily pivots derive from the corroborated Friday 24 Jul H/L/C — but that session's close carries the ~$18 spot/UTC basis gap (see §6), so daily pivots are flagged partially indicative. Weekly pivots derive from the fully corroborated W/E 17 Jul H/L/C and are CORROBORATED. Monthly pivots rest on indicative June extremes and are SINGLE-SOURCE INDICATIVE — not used for entry pricing.</w:t>
      </w:r>
    </w:p>
    <w:p>
      <w:pPr>
        <w:spacing w:after="120" w:before="0" w:line="276"/>
      </w:pPr>
      <w:r>
        <w:rPr>
          <w:rFonts w:ascii="Calibri" w:cs="Calibri" w:eastAsia="Calibri" w:hAnsi="Calibri"/>
          <w:b/>
          <w:bCs/>
          <w:sz w:val="20"/>
          <w:szCs w:val="20"/>
        </w:rPr>
        <w:t xml:space="preserve">Position narrative: </w:t>
      </w:r>
      <w:r>
        <w:rPr>
          <w:rFonts w:ascii="Calibri" w:cs="Calibri" w:eastAsia="Calibri" w:hAnsi="Calibri"/>
          <w:sz w:val="20"/>
          <w:szCs w:val="20"/>
        </w:rPr>
        <w:t xml:space="preserve">The 24 Jul close ($4,068 archive / ~$4,055 spot) sits right at the daily pivot P ($4,055.9) and just above the weekly R1 ($4,080.2 overhead). It is comfortably above weekly P ($4,022.9) and the weekly S1 ($3,960.8) support shelf. A confluence zone forms around $4,050–4,056 where the daily P and the spot consensus coincide — the immediate battleground into the Fed.</w:t>
      </w:r>
    </w:p>
    <w:p>
      <w:pPr>
        <w:pBdr>
          <w:bottom w:val="single" w:color="1F3864" w:sz="10"/>
        </w:pBdr>
        <w:spacing w:after="110" w:before="220"/>
      </w:pPr>
      <w:r>
        <w:rPr>
          <w:rFonts w:ascii="Calibri" w:cs="Calibri" w:eastAsia="Calibri" w:hAnsi="Calibri"/>
          <w:b/>
          <w:bCs/>
          <w:color w:val="1F3864"/>
          <w:sz w:val="26"/>
          <w:szCs w:val="26"/>
        </w:rPr>
        <w:t xml:space="preserve">§12  Key Market Considerations</w:t>
      </w:r>
    </w:p>
    <w:p>
      <w:pPr>
        <w:spacing w:after="120" w:before="0" w:line="276"/>
      </w:pPr>
      <w:r>
        <w:rPr>
          <w:rFonts w:ascii="Calibri" w:cs="Calibri" w:eastAsia="Calibri" w:hAnsi="Calibri"/>
          <w:b/>
          <w:bCs/>
          <w:sz w:val="20"/>
          <w:szCs w:val="20"/>
        </w:rPr>
        <w:t xml:space="preserve">Demand (structural, supportive). </w:t>
      </w:r>
      <w:r>
        <w:rPr>
          <w:rFonts w:ascii="Calibri" w:cs="Calibri" w:eastAsia="Calibri" w:hAnsi="Calibri"/>
          <w:sz w:val="20"/>
          <w:szCs w:val="20"/>
        </w:rPr>
        <w:t xml:space="preserve">Central-bank accumulation (PBoC/RBI) and resilient physical buying continue to defend the $4,000 shelf; Indian discounts widened to a seven-week high, a mild near-term negative at the margin. Net price-supportive.</w:t>
      </w:r>
    </w:p>
    <w:p>
      <w:pPr>
        <w:spacing w:after="120" w:before="0" w:line="276"/>
      </w:pPr>
      <w:r>
        <w:rPr>
          <w:rFonts w:ascii="Calibri" w:cs="Calibri" w:eastAsia="Calibri" w:hAnsi="Calibri"/>
          <w:b/>
          <w:bCs/>
          <w:sz w:val="20"/>
          <w:szCs w:val="20"/>
        </w:rPr>
        <w:t xml:space="preserve">Macro / rates (cyclical, negative). </w:t>
      </w:r>
      <w:r>
        <w:rPr>
          <w:rFonts w:ascii="Calibri" w:cs="Calibri" w:eastAsia="Calibri" w:hAnsi="Calibri"/>
          <w:sz w:val="20"/>
          <w:szCs w:val="20"/>
        </w:rPr>
        <w:t xml:space="preserve">Two-year Treasury yields at an 18-month high (~4.32%) and a firmer dollar raise gold's opportunity cost. Markets price ~34% odds of a July hike and ~78–80% by September. Price-negative.</w:t>
      </w:r>
    </w:p>
    <w:p>
      <w:pPr>
        <w:spacing w:after="120" w:before="0" w:line="276"/>
      </w:pPr>
      <w:r>
        <w:rPr>
          <w:rFonts w:ascii="Calibri" w:cs="Calibri" w:eastAsia="Calibri" w:hAnsi="Calibri"/>
          <w:b/>
          <w:bCs/>
          <w:sz w:val="20"/>
          <w:szCs w:val="20"/>
        </w:rPr>
        <w:t xml:space="preserve">Energy / geopolitics (cyclical, two-sided). </w:t>
      </w:r>
      <w:r>
        <w:rPr>
          <w:rFonts w:ascii="Calibri" w:cs="Calibri" w:eastAsia="Calibri" w:hAnsi="Calibri"/>
          <w:sz w:val="20"/>
          <w:szCs w:val="20"/>
        </w:rPr>
        <w:t xml:space="preserve">Renewed US–Iran strikes and Houthi tanker attacks lift oil and the inflation impulse; the safe-haven channel is bullish gold, but the higher-for-longer rate channel is bearish. Late-week de-escalation headlines (Pakistan-brokered talks) cooled oil. Net neutral.</w:t>
      </w:r>
    </w:p>
    <w:p>
      <w:pPr>
        <w:spacing w:after="120" w:before="0" w:line="276"/>
      </w:pPr>
      <w:r>
        <w:rPr>
          <w:rFonts w:ascii="Calibri" w:cs="Calibri" w:eastAsia="Calibri" w:hAnsi="Calibri"/>
          <w:b/>
          <w:bCs/>
          <w:sz w:val="20"/>
          <w:szCs w:val="20"/>
        </w:rPr>
        <w:t xml:space="preserve">Substitution / spreads (neutral-supportive). </w:t>
      </w:r>
      <w:r>
        <w:rPr>
          <w:rFonts w:ascii="Calibri" w:cs="Calibri" w:eastAsia="Calibri" w:hAnsi="Calibri"/>
          <w:sz w:val="20"/>
          <w:szCs w:val="20"/>
        </w:rPr>
        <w:t xml:space="preserve">Silver outperformance compressed the gold-silver ratio to ~69.5 (from 70.7), signalling relative-value rotation within precious metals rather than an exodus. Neutral-to-supportive for the complex floor.</w:t>
      </w:r>
    </w:p>
    <w:p>
      <w:pPr>
        <w:spacing w:after="120" w:before="0" w:line="276"/>
      </w:pPr>
      <w:r>
        <w:rPr>
          <w:rFonts w:ascii="Calibri" w:cs="Calibri" w:eastAsia="Calibri" w:hAnsi="Calibri"/>
          <w:b/>
          <w:bCs/>
          <w:sz w:val="20"/>
          <w:szCs w:val="20"/>
        </w:rPr>
        <w:t xml:space="preserve">Policy / tariffs (cyclical, mildly supportive). </w:t>
      </w:r>
      <w:r>
        <w:rPr>
          <w:rFonts w:ascii="Calibri" w:cs="Calibri" w:eastAsia="Calibri" w:hAnsi="Calibri"/>
          <w:sz w:val="20"/>
          <w:szCs w:val="20"/>
        </w:rPr>
        <w:t xml:space="preserve">Fresh US tariffs (10–12.5% on 60 partners) add macro uncertainty — a background hedging bid. Mildly price-supportive.</w:t>
      </w:r>
    </w:p>
    <w:p>
      <w:pPr>
        <w:spacing w:after="120" w:before="0" w:line="276"/>
      </w:pPr>
      <w:r>
        <w:rPr>
          <w:rFonts w:ascii="Calibri" w:cs="Calibri" w:eastAsia="Calibri" w:hAnsi="Calibri"/>
          <w:b/>
          <w:bCs/>
          <w:sz w:val="20"/>
          <w:szCs w:val="20"/>
        </w:rPr>
        <w:t xml:space="preserve">Near-term catalysts. </w:t>
      </w:r>
      <w:r>
        <w:rPr>
          <w:rFonts w:ascii="Calibri" w:cs="Calibri" w:eastAsia="Calibri" w:hAnsi="Calibri"/>
          <w:sz w:val="20"/>
          <w:szCs w:val="20"/>
        </w:rPr>
        <w:t xml:space="preserve">FOMC 28–29 Jul (dominant), Q2 GDP advance 30 Jul, weekly ADP 28 Jul, jobless claims 30 Jul, Chicago PMI &amp; UoM inflation expectations 31 Jul — all flagged in §13d.</w:t>
      </w:r>
    </w:p>
    <w:p>
      <w:pPr>
        <w:pBdr>
          <w:bottom w:val="single" w:color="1F3864" w:sz="10"/>
        </w:pBdr>
        <w:spacing w:after="110" w:before="220"/>
      </w:pPr>
      <w:r>
        <w:rPr>
          <w:rFonts w:ascii="Calibri" w:cs="Calibri" w:eastAsia="Calibri" w:hAnsi="Calibri"/>
          <w:b/>
          <w:bCs/>
          <w:color w:val="1F3864"/>
          <w:sz w:val="26"/>
          <w:szCs w:val="26"/>
        </w:rPr>
        <w:t xml:space="preserve">§13  Sentiment, News &amp; Calendar</w:t>
      </w:r>
    </w:p>
    <w:p>
      <w:pPr>
        <w:spacing w:after="80" w:before="140"/>
      </w:pPr>
      <w:r>
        <w:rPr>
          <w:rFonts w:ascii="Calibri" w:cs="Calibri" w:eastAsia="Calibri" w:hAnsi="Calibri"/>
          <w:b/>
          <w:bCs/>
          <w:color w:val="1F3864"/>
          <w:sz w:val="22"/>
          <w:szCs w:val="22"/>
        </w:rPr>
        <w:t xml:space="preserve">§13a  Per-Article Sentiment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500"/>
        <w:gridCol w:w="1250"/>
        <w:gridCol w:w="900"/>
        <w:gridCol w:w="2560"/>
        <w:gridCol w:w="1050"/>
        <w:gridCol w:w="1150"/>
        <w:gridCol w:w="950"/>
      </w:tblGrid>
      <w:tr>
        <w:trPr>
          <w:tblHeader/>
        </w:trPr>
        <w:tc>
          <w:tcPr>
            <w:tcW w:type="dxa" w:w="15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Source</w:t>
            </w:r>
          </w:p>
        </w:tc>
        <w:tc>
          <w:tcPr>
            <w:tcW w:type="dxa" w:w="12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Class</w:t>
            </w:r>
          </w:p>
        </w:tc>
        <w:tc>
          <w:tcPr>
            <w:tcW w:type="dxa" w:w="9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w:t>
            </w:r>
          </w:p>
        </w:tc>
        <w:tc>
          <w:tcPr>
            <w:tcW w:type="dxa" w:w="256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Headline (abbrev.)</w:t>
            </w:r>
          </w:p>
        </w:tc>
        <w:tc>
          <w:tcPr>
            <w:tcW w:type="dxa" w:w="10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Sentiment</w:t>
            </w:r>
          </w:p>
        </w:tc>
        <w:tc>
          <w:tcPr>
            <w:tcW w:type="dxa" w:w="11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Deriv. quote</w:t>
            </w:r>
          </w:p>
        </w:tc>
        <w:tc>
          <w:tcPr>
            <w:tcW w:type="dxa" w:w="9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Weight</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OCBC (LiteFinance)</w:t>
            </w:r>
          </w:p>
        </w:tc>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Institutional</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26 Jul</w:t>
            </w:r>
          </w:p>
        </w:tc>
        <w:tc>
          <w:tcPr>
            <w:tcW w:type="dxa" w:w="256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Gold to decline through end-2026</w:t>
            </w:r>
          </w:p>
        </w:tc>
        <w:tc>
          <w:tcPr>
            <w:tcW w:type="dxa" w:w="1050"/>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C00000"/>
                <w:sz w:val="15"/>
                <w:szCs w:val="15"/>
              </w:rPr>
              <w:t xml:space="preserve">Bearish</w:t>
            </w:r>
          </w:p>
        </w:tc>
        <w:tc>
          <w:tcPr>
            <w:tcW w:type="dxa" w:w="1150"/>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“expects gold prices to decline”</w:t>
            </w:r>
          </w:p>
        </w:tc>
        <w:tc>
          <w:tcPr>
            <w:tcW w:type="dxa" w:w="9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1.0</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Reuters wrap</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Media</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23 Jul</w:t>
            </w:r>
          </w:p>
        </w:tc>
        <w:tc>
          <w:tcPr>
            <w:tcW w:type="dxa" w:w="256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Gold off two-week peak as oil advances</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C00000"/>
                <w:sz w:val="15"/>
                <w:szCs w:val="15"/>
              </w:rPr>
              <w:t xml:space="preserve">Bearish</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“Gold off two-week peak”</w:t>
            </w:r>
          </w:p>
        </w:tc>
        <w:tc>
          <w:tcPr>
            <w:tcW w:type="dxa" w:w="9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0.5</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Trading Economics</w:t>
            </w:r>
          </w:p>
        </w:tc>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Trade Press</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23 Jul</w:t>
            </w:r>
          </w:p>
        </w:tc>
        <w:tc>
          <w:tcPr>
            <w:tcW w:type="dxa" w:w="256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Gold below $4,100 on rate-hike bets</w:t>
            </w:r>
          </w:p>
        </w:tc>
        <w:tc>
          <w:tcPr>
            <w:tcW w:type="dxa" w:w="1050"/>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C00000"/>
                <w:sz w:val="15"/>
                <w:szCs w:val="15"/>
              </w:rPr>
              <w:t xml:space="preserve">Bearish</w:t>
            </w:r>
          </w:p>
        </w:tc>
        <w:tc>
          <w:tcPr>
            <w:tcW w:type="dxa" w:w="1150"/>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“expect the Fed to keep policy tighter”</w:t>
            </w:r>
          </w:p>
        </w:tc>
        <w:tc>
          <w:tcPr>
            <w:tcW w:type="dxa" w:w="9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0.7</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Vantage Markets</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Trade Press</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24 Jul</w:t>
            </w:r>
          </w:p>
        </w:tc>
        <w:tc>
          <w:tcPr>
            <w:tcW w:type="dxa" w:w="256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Gold cools off ahead of the Fed</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595959"/>
                <w:sz w:val="15"/>
                <w:szCs w:val="15"/>
              </w:rPr>
              <w:t xml:space="preserve">Neutral</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“does not call where gold goes next”</w:t>
            </w:r>
          </w:p>
        </w:tc>
        <w:tc>
          <w:tcPr>
            <w:tcW w:type="dxa" w:w="9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0.7</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USAGOLD report</w:t>
            </w:r>
          </w:p>
        </w:tc>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Trade Press</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24 Jul</w:t>
            </w:r>
          </w:p>
        </w:tc>
        <w:tc>
          <w:tcPr>
            <w:tcW w:type="dxa" w:w="256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Physical gold steadies at $4,056</w:t>
            </w:r>
          </w:p>
        </w:tc>
        <w:tc>
          <w:tcPr>
            <w:tcW w:type="dxa" w:w="1050"/>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9C6500"/>
                <w:sz w:val="15"/>
                <w:szCs w:val="15"/>
              </w:rPr>
              <w:t xml:space="preserve">Mixed</w:t>
            </w:r>
          </w:p>
        </w:tc>
        <w:tc>
          <w:tcPr>
            <w:tcW w:type="dxa" w:w="1150"/>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“physical buyers stepped into the pullback”</w:t>
            </w:r>
          </w:p>
        </w:tc>
        <w:tc>
          <w:tcPr>
            <w:tcW w:type="dxa" w:w="9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0.7</w:t>
            </w:r>
          </w:p>
        </w:tc>
      </w:tr>
      <w:tr>
        <w:tc>
          <w:tcPr>
            <w:tcW w:type="dxa" w:w="15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TradingView tech</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Media</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26 Jul</w:t>
            </w:r>
          </w:p>
        </w:tc>
        <w:tc>
          <w:tcPr>
            <w:tcW w:type="dxa" w:w="256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Gold technical shows a sell rating</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C00000"/>
                <w:sz w:val="15"/>
                <w:szCs w:val="15"/>
              </w:rPr>
              <w:t xml:space="preserve">Bearish</w:t>
            </w:r>
          </w:p>
        </w:tc>
        <w:tc>
          <w:tcPr>
            <w:tcW w:type="dxa" w:w="11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“shows a sell rating” 1-week</w:t>
            </w:r>
          </w:p>
        </w:tc>
        <w:tc>
          <w:tcPr>
            <w:tcW w:type="dxa" w:w="9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0.5</w:t>
            </w:r>
          </w:p>
        </w:tc>
      </w:tr>
      <w:tr>
        <w:tc>
          <w:tcPr>
            <w:tcW w:type="dxa" w:w="15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Investing.com tech</w:t>
            </w:r>
          </w:p>
        </w:tc>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Media</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24 Jul</w:t>
            </w:r>
          </w:p>
        </w:tc>
        <w:tc>
          <w:tcPr>
            <w:tcW w:type="dxa" w:w="256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XAU/USD rated Strong Sell</w:t>
            </w:r>
          </w:p>
        </w:tc>
        <w:tc>
          <w:tcPr>
            <w:tcW w:type="dxa" w:w="1050"/>
            <w:tcMar>
              <w:top w:type="dxa" w:w="40"/>
              <w:left w:type="dxa" w:w="70"/>
              <w:bottom w:type="dxa" w:w="40"/>
              <w:right w:type="dxa" w:w="70"/>
            </w:tcMar>
            <w:vAlign w:val="center"/>
          </w:tcPr>
          <w:p>
            <w:pPr>
              <w:spacing w:after="0" w:line="240"/>
            </w:pPr>
            <w:r>
              <w:rPr>
                <w:rFonts w:ascii="Calibri" w:cs="Calibri" w:eastAsia="Calibri" w:hAnsi="Calibri"/>
                <w:b/>
                <w:bCs/>
                <w:i w:val="false"/>
                <w:iCs w:val="false"/>
                <w:color w:val="C00000"/>
                <w:sz w:val="15"/>
                <w:szCs w:val="15"/>
              </w:rPr>
              <w:t xml:space="preserve">Bearish</w:t>
            </w:r>
          </w:p>
        </w:tc>
        <w:tc>
          <w:tcPr>
            <w:tcW w:type="dxa" w:w="1150"/>
            <w:tcMar>
              <w:top w:type="dxa" w:w="40"/>
              <w:left w:type="dxa" w:w="70"/>
              <w:bottom w:type="dxa" w:w="40"/>
              <w:right w:type="dxa" w:w="70"/>
            </w:tcMar>
            <w:vAlign w:val="center"/>
          </w:tcPr>
          <w:p>
            <w:pPr>
              <w:spacing w:after="0" w:line="240"/>
            </w:pPr>
            <w:r>
              <w:rPr>
                <w:rFonts w:ascii="Calibri" w:cs="Calibri" w:eastAsia="Calibri" w:hAnsi="Calibri"/>
                <w:b w:val="false"/>
                <w:bCs w:val="false"/>
                <w:i/>
                <w:iCs/>
                <w:sz w:val="15"/>
                <w:szCs w:val="15"/>
              </w:rPr>
              <w:t xml:space="preserve">“currently rated Strong Sell”</w:t>
            </w:r>
          </w:p>
        </w:tc>
        <w:tc>
          <w:tcPr>
            <w:tcW w:type="dxa" w:w="950"/>
            <w:tcMar>
              <w:top w:type="dxa" w:w="40"/>
              <w:left w:type="dxa" w:w="70"/>
              <w:bottom w:type="dxa" w:w="40"/>
              <w:right w:type="dxa" w:w="70"/>
            </w:tcMar>
            <w:vAlign w:val="center"/>
          </w:tcPr>
          <w:p>
            <w:pPr>
              <w:spacing w:after="0" w:line="240"/>
            </w:pPr>
            <w:r>
              <w:rPr>
                <w:rFonts w:ascii="Calibri" w:cs="Calibri" w:eastAsia="Calibri" w:hAnsi="Calibri"/>
                <w:b w:val="false"/>
                <w:bCs w:val="false"/>
                <w:i w:val="false"/>
                <w:iCs w:val="false"/>
                <w:sz w:val="15"/>
                <w:szCs w:val="15"/>
              </w:rPr>
              <w:t xml:space="preserve">0.5</w:t>
            </w:r>
          </w:p>
        </w:tc>
      </w:tr>
    </w:tbl>
    <w:p>
      <w:pPr>
        <w:spacing w:after="80" w:before="140"/>
      </w:pPr>
      <w:r>
        <w:rPr>
          <w:rFonts w:ascii="Calibri" w:cs="Calibri" w:eastAsia="Calibri" w:hAnsi="Calibri"/>
          <w:b/>
          <w:bCs/>
          <w:color w:val="1F3864"/>
          <w:sz w:val="22"/>
          <w:szCs w:val="22"/>
        </w:rPr>
        <w:t xml:space="preserve">§13b  Aggregate Sentiment Summary</w:t>
      </w:r>
    </w:p>
    <w:p>
      <w:pPr>
        <w:spacing w:after="120" w:before="0" w:line="276"/>
      </w:pPr>
      <w:r>
        <w:rPr>
          <w:rFonts w:ascii="Calibri" w:cs="Calibri" w:eastAsia="Calibri" w:hAnsi="Calibri"/>
          <w:sz w:val="20"/>
          <w:szCs w:val="20"/>
        </w:rPr>
        <w:t xml:space="preserve">Counts: 5 Bearish (1 institutional, 2 media, 2 trade press-equiv.), 1 Neutral (trade press), 1 Mixed (trade press) = </w:t>
      </w:r>
      <w:r>
        <w:rPr>
          <w:rFonts w:ascii="Calibri" w:cs="Calibri" w:eastAsia="Calibri" w:hAnsi="Calibri"/>
          <w:b/>
          <w:bCs/>
          <w:color w:val="C00000"/>
          <w:sz w:val="20"/>
          <w:szCs w:val="20"/>
        </w:rPr>
        <w:t xml:space="preserve">Predominantly Bearish (tilt = −0.65).</w:t>
      </w:r>
    </w:p>
    <w:p>
      <w:pPr>
        <w:spacing w:after="120" w:before="0" w:line="276"/>
      </w:pPr>
      <w:r>
        <w:rPr>
          <w:rFonts w:ascii="Calibri" w:cs="Calibri" w:eastAsia="Calibri" w:hAnsi="Calibri"/>
          <w:b/>
          <w:bCs/>
          <w:sz w:val="20"/>
          <w:szCs w:val="20"/>
        </w:rPr>
        <w:t xml:space="preserve">Divergence flag: </w:t>
      </w:r>
      <w:r>
        <w:rPr>
          <w:rFonts w:ascii="Calibri" w:cs="Calibri" w:eastAsia="Calibri" w:hAnsi="Calibri"/>
          <w:sz w:val="20"/>
          <w:szCs w:val="20"/>
        </w:rPr>
        <w:t xml:space="preserve">Sentiment (bearish) agrees with the mild bearish tilt in price action and the Ranging–Downward-Bias regime (§9). Friday's physical-buying recovery is the main dissent; given a firm dollar and rising yields, the bearish read takes near-term precedence, but the $4,000 defence caps downside conviction. Categorical label and numeric tilt agree.</w:t>
      </w:r>
    </w:p>
    <w:p>
      <w:pPr>
        <w:spacing w:after="80" w:before="140"/>
      </w:pPr>
      <w:r>
        <w:rPr>
          <w:rFonts w:ascii="Calibri" w:cs="Calibri" w:eastAsia="Calibri" w:hAnsi="Calibri"/>
          <w:b/>
          <w:bCs/>
          <w:color w:val="1F3864"/>
          <w:sz w:val="22"/>
          <w:szCs w:val="22"/>
        </w:rPr>
        <w:t xml:space="preserve">§13c  News Calendar — Previous Period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50"/>
        <w:gridCol w:w="2500"/>
        <w:gridCol w:w="2400"/>
        <w:gridCol w:w="900"/>
        <w:gridCol w:w="2310"/>
      </w:tblGrid>
      <w:tr>
        <w:trPr>
          <w:tblHeader/>
        </w:trPr>
        <w:tc>
          <w:tcPr>
            <w:tcW w:type="dxa" w:w="12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w:t>
            </w:r>
          </w:p>
        </w:tc>
        <w:tc>
          <w:tcPr>
            <w:tcW w:type="dxa" w:w="25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Event</w:t>
            </w:r>
          </w:p>
        </w:tc>
        <w:tc>
          <w:tcPr>
            <w:tcW w:type="dxa" w:w="24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Prior / Context</w:t>
            </w:r>
          </w:p>
        </w:tc>
        <w:tc>
          <w:tcPr>
            <w:tcW w:type="dxa" w:w="9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Impact</w:t>
            </w:r>
          </w:p>
        </w:tc>
        <w:tc>
          <w:tcPr>
            <w:tcW w:type="dxa" w:w="231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Implication for gold</w:t>
            </w:r>
          </w:p>
        </w:tc>
      </w:tr>
      <w:tr>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Tue 21 Jul</w:t>
            </w:r>
          </w:p>
        </w:tc>
        <w:tc>
          <w:tcPr>
            <w:tcW w:type="dxa" w:w="2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Momentum rally</w:t>
            </w:r>
          </w:p>
        </w:tc>
        <w:tc>
          <w:tcPr>
            <w:tcW w:type="dxa" w:w="2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Gold ignites off $4,000</w:t>
            </w:r>
          </w:p>
        </w:tc>
        <w:tc>
          <w:tcPr>
            <w:tcW w:type="dxa" w:w="9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Med</w:t>
            </w:r>
          </w:p>
        </w:tc>
        <w:tc>
          <w:tcPr>
            <w:tcW w:type="dxa" w:w="23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+1.5% — trend-chasers lift to $4,072</w:t>
            </w:r>
          </w:p>
        </w:tc>
      </w:tr>
      <w:tr>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Wed 22 Jul</w:t>
            </w:r>
          </w:p>
        </w:tc>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Two-week peak</w:t>
            </w:r>
          </w:p>
        </w:tc>
        <w:tc>
          <w:tcPr>
            <w:tcW w:type="dxa" w:w="2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Spot tags $4,165.87</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High</w:t>
            </w:r>
          </w:p>
        </w:tc>
        <w:tc>
          <w:tcPr>
            <w:tcW w:type="dxa" w:w="231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Overbought thrust; RSI2 pinned 100</w:t>
            </w:r>
          </w:p>
        </w:tc>
      </w:tr>
      <w:tr>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Thu 23 Jul</w:t>
            </w:r>
          </w:p>
        </w:tc>
        <w:tc>
          <w:tcPr>
            <w:tcW w:type="dxa" w:w="2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Oil spike + yields 18-mo high</w:t>
            </w:r>
          </w:p>
        </w:tc>
        <w:tc>
          <w:tcPr>
            <w:tcW w:type="dxa" w:w="2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Houthi/Iran escalation</w:t>
            </w:r>
          </w:p>
        </w:tc>
        <w:tc>
          <w:tcPr>
            <w:tcW w:type="dxa" w:w="9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High</w:t>
            </w:r>
          </w:p>
        </w:tc>
        <w:tc>
          <w:tcPr>
            <w:tcW w:type="dxa" w:w="23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−2% fade to $4,049 on higher-for-longer repricing</w:t>
            </w:r>
          </w:p>
        </w:tc>
      </w:tr>
      <w:tr>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Thu 23 Jul</w:t>
            </w:r>
          </w:p>
        </w:tc>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ECB hold</w:t>
            </w:r>
          </w:p>
        </w:tc>
        <w:tc>
          <w:tcPr>
            <w:tcW w:type="dxa" w:w="24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Rates unchanged, Sept door open</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Med</w:t>
            </w:r>
          </w:p>
        </w:tc>
        <w:tc>
          <w:tcPr>
            <w:tcW w:type="dxa" w:w="231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Mild EUR/gold support, dollar still firm</w:t>
            </w:r>
          </w:p>
        </w:tc>
      </w:tr>
      <w:tr>
        <w:tc>
          <w:tcPr>
            <w:tcW w:type="dxa" w:w="125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Fri 24 Jul</w:t>
            </w:r>
          </w:p>
        </w:tc>
        <w:tc>
          <w:tcPr>
            <w:tcW w:type="dxa" w:w="25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US PMIs strong; claims low</w:t>
            </w:r>
          </w:p>
        </w:tc>
        <w:tc>
          <w:tcPr>
            <w:tcW w:type="dxa" w:w="24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Private activity best of year</w:t>
            </w:r>
          </w:p>
        </w:tc>
        <w:tc>
          <w:tcPr>
            <w:tcW w:type="dxa" w:w="90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High</w:t>
            </w:r>
          </w:p>
        </w:tc>
        <w:tc>
          <w:tcPr>
            <w:tcW w:type="dxa" w:w="2310"/>
            <w:tcMar>
              <w:top w:type="dxa" w:w="40"/>
              <w:left w:type="dxa" w:w="70"/>
              <w:bottom w:type="dxa" w:w="40"/>
              <w:right w:type="dxa" w:w="70"/>
            </w:tcMar>
            <w:vAlign w:val="center"/>
          </w:tcPr>
          <w:p>
            <w:pPr>
              <w:spacing w:after="0" w:line="240"/>
            </w:pPr>
            <w:r>
              <w:rPr>
                <w:rFonts w:ascii="Calibri" w:cs="Calibri" w:eastAsia="Calibri" w:hAnsi="Calibri"/>
                <w:sz w:val="16"/>
                <w:szCs w:val="16"/>
              </w:rPr>
              <w:t xml:space="preserve">Reinforced hike odds; gold steadied ~$4,050 on physical bid</w:t>
            </w:r>
          </w:p>
        </w:tc>
      </w:tr>
    </w:tbl>
    <w:p>
      <w:pPr>
        <w:spacing w:after="80" w:before="140"/>
      </w:pPr>
      <w:r>
        <w:rPr>
          <w:rFonts w:ascii="Calibri" w:cs="Calibri" w:eastAsia="Calibri" w:hAnsi="Calibri"/>
          <w:b/>
          <w:bCs/>
          <w:color w:val="1F3864"/>
          <w:sz w:val="22"/>
          <w:szCs w:val="22"/>
        </w:rPr>
        <w:t xml:space="preserve">§13d  News Calendar — Upcoming Period</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250"/>
        <w:gridCol w:w="2500"/>
        <w:gridCol w:w="2300"/>
        <w:gridCol w:w="900"/>
        <w:gridCol w:w="2410"/>
      </w:tblGrid>
      <w:tr>
        <w:trPr>
          <w:tblHeader/>
        </w:trPr>
        <w:tc>
          <w:tcPr>
            <w:tcW w:type="dxa" w:w="125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w:t>
            </w:r>
          </w:p>
        </w:tc>
        <w:tc>
          <w:tcPr>
            <w:tcW w:type="dxa" w:w="25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Event</w:t>
            </w:r>
          </w:p>
        </w:tc>
        <w:tc>
          <w:tcPr>
            <w:tcW w:type="dxa" w:w="23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Context</w:t>
            </w:r>
          </w:p>
        </w:tc>
        <w:tc>
          <w:tcPr>
            <w:tcW w:type="dxa" w:w="90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Impact</w:t>
            </w:r>
          </w:p>
        </w:tc>
        <w:tc>
          <w:tcPr>
            <w:tcW w:type="dxa" w:w="241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Mechanism for gold</w:t>
            </w:r>
          </w:p>
        </w:tc>
      </w:tr>
      <w:tr>
        <w:tc>
          <w:tcPr>
            <w:tcW w:type="dxa" w:w="1250"/>
            <w:shd w:fill="FCE9D6" w:color="auto" w:val="clear"/>
            <w:tcMar>
              <w:top w:type="dxa" w:w="40"/>
              <w:left w:type="dxa" w:w="70"/>
              <w:bottom w:type="dxa" w:w="40"/>
              <w:right w:type="dxa" w:w="70"/>
            </w:tcMar>
            <w:vAlign w:val="center"/>
          </w:tcPr>
          <w:p>
            <w:pPr>
              <w:spacing w:after="0" w:line="240"/>
            </w:pPr>
            <w:r>
              <w:rPr>
                <w:rFonts w:ascii="Calibri" w:cs="Calibri" w:eastAsia="Calibri" w:hAnsi="Calibri"/>
                <w:b/>
                <w:bCs/>
                <w:sz w:val="16"/>
                <w:szCs w:val="16"/>
              </w:rPr>
              <w:t xml:space="preserve">Wed 29 Jul</w:t>
            </w:r>
          </w:p>
        </w:tc>
        <w:tc>
          <w:tcPr>
            <w:tcW w:type="dxa" w:w="2500"/>
            <w:shd w:fill="FCE9D6" w:color="auto" w:val="clear"/>
            <w:tcMar>
              <w:top w:type="dxa" w:w="40"/>
              <w:left w:type="dxa" w:w="70"/>
              <w:bottom w:type="dxa" w:w="40"/>
              <w:right w:type="dxa" w:w="70"/>
            </w:tcMar>
            <w:vAlign w:val="center"/>
          </w:tcPr>
          <w:p>
            <w:pPr>
              <w:spacing w:after="0" w:line="240"/>
            </w:pPr>
            <w:r>
              <w:rPr>
                <w:rFonts w:ascii="Calibri" w:cs="Calibri" w:eastAsia="Calibri" w:hAnsi="Calibri"/>
                <w:b/>
                <w:bCs/>
                <w:sz w:val="16"/>
                <w:szCs w:val="16"/>
              </w:rPr>
              <w:t xml:space="preserve">FOMC decision (Warsh)</w:t>
            </w:r>
          </w:p>
        </w:tc>
        <w:tc>
          <w:tcPr>
            <w:tcW w:type="dxa" w:w="2300"/>
            <w:shd w:fill="FCE9D6" w:color="auto" w:val="clear"/>
            <w:tcMar>
              <w:top w:type="dxa" w:w="40"/>
              <w:left w:type="dxa" w:w="70"/>
              <w:bottom w:type="dxa" w:w="40"/>
              <w:right w:type="dxa" w:w="70"/>
            </w:tcMar>
            <w:vAlign w:val="center"/>
          </w:tcPr>
          <w:p>
            <w:pPr>
              <w:spacing w:after="0" w:line="240"/>
            </w:pPr>
            <w:r>
              <w:rPr>
                <w:rFonts w:ascii="Calibri" w:cs="Calibri" w:eastAsia="Calibri" w:hAnsi="Calibri"/>
                <w:b/>
                <w:bCs/>
                <w:sz w:val="16"/>
                <w:szCs w:val="16"/>
              </w:rPr>
              <w:t xml:space="preserve">3.50–3.75%; ~34% hike odds</w:t>
            </w:r>
          </w:p>
        </w:tc>
        <w:tc>
          <w:tcPr>
            <w:tcW w:type="dxa" w:w="900"/>
            <w:shd w:fill="FCE9D6" w:color="auto" w:val="clear"/>
            <w:tcMar>
              <w:top w:type="dxa" w:w="40"/>
              <w:left w:type="dxa" w:w="70"/>
              <w:bottom w:type="dxa" w:w="40"/>
              <w:right w:type="dxa" w:w="70"/>
            </w:tcMar>
            <w:vAlign w:val="center"/>
          </w:tcPr>
          <w:p>
            <w:pPr>
              <w:spacing w:after="0" w:line="240"/>
            </w:pPr>
            <w:r>
              <w:rPr>
                <w:rFonts w:ascii="Calibri" w:cs="Calibri" w:eastAsia="Calibri" w:hAnsi="Calibri"/>
                <w:b/>
                <w:bCs/>
                <w:sz w:val="16"/>
                <w:szCs w:val="16"/>
              </w:rPr>
              <w:t xml:space="preserve">HIGH</w:t>
            </w:r>
          </w:p>
        </w:tc>
        <w:tc>
          <w:tcPr>
            <w:tcW w:type="dxa" w:w="2410"/>
            <w:shd w:fill="FCE9D6" w:color="auto" w:val="clear"/>
            <w:tcMar>
              <w:top w:type="dxa" w:w="40"/>
              <w:left w:type="dxa" w:w="70"/>
              <w:bottom w:type="dxa" w:w="40"/>
              <w:right w:type="dxa" w:w="70"/>
            </w:tcMar>
            <w:vAlign w:val="center"/>
          </w:tcPr>
          <w:p>
            <w:pPr>
              <w:spacing w:after="0" w:line="240"/>
            </w:pPr>
            <w:r>
              <w:rPr>
                <w:rFonts w:ascii="Calibri" w:cs="Calibri" w:eastAsia="Calibri" w:hAnsi="Calibri"/>
                <w:b/>
                <w:bCs/>
                <w:sz w:val="16"/>
                <w:szCs w:val="16"/>
              </w:rPr>
              <w:t xml:space="preserve">Hike/hawkish hold → gold down through $4,022 wk-P; dovish surprise → break $4,080 R1</w:t>
            </w:r>
          </w:p>
        </w:tc>
      </w:tr>
      <w:tr>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Tue 28 Jul</w:t>
            </w:r>
          </w:p>
        </w:tc>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ADP employment (weekly)</w:t>
            </w:r>
          </w:p>
        </w:tc>
        <w:tc>
          <w:tcPr>
            <w:tcW w:type="dxa" w:w="23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Labour momentum</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Med</w:t>
            </w:r>
          </w:p>
        </w:tc>
        <w:tc>
          <w:tcPr>
            <w:tcW w:type="dxa" w:w="241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Strong → hike conviction → gold soft</w:t>
            </w:r>
          </w:p>
        </w:tc>
      </w:tr>
      <w:tr>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Thu 30 Jul</w:t>
            </w:r>
          </w:p>
        </w:tc>
        <w:tc>
          <w:tcPr>
            <w:tcW w:type="dxa" w:w="25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Q2 GDP advance + claims</w:t>
            </w:r>
          </w:p>
        </w:tc>
        <w:tc>
          <w:tcPr>
            <w:tcW w:type="dxa" w:w="23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First Q2 growth read</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High</w:t>
            </w:r>
          </w:p>
        </w:tc>
        <w:tc>
          <w:tcPr>
            <w:tcW w:type="dxa" w:w="241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Hot GDP → higher-for-longer → gold negative</w:t>
            </w:r>
          </w:p>
        </w:tc>
      </w:tr>
      <w:tr>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Fri 31 Jul</w:t>
            </w:r>
          </w:p>
        </w:tc>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Chicago PMI; UoM inflation exp.</w:t>
            </w:r>
          </w:p>
        </w:tc>
        <w:tc>
          <w:tcPr>
            <w:tcW w:type="dxa" w:w="23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Month-end positioning</w:t>
            </w:r>
          </w:p>
        </w:tc>
        <w:tc>
          <w:tcPr>
            <w:tcW w:type="dxa" w:w="90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Med</w:t>
            </w:r>
          </w:p>
        </w:tc>
        <w:tc>
          <w:tcPr>
            <w:tcW w:type="dxa" w:w="2410"/>
            <w:shd w:fill="F2F2F2" w:color="auto" w:val="clear"/>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High inflation exp. → two-sided (haven vs rates)</w:t>
            </w:r>
          </w:p>
        </w:tc>
      </w:tr>
      <w:tr>
        <w:tc>
          <w:tcPr>
            <w:tcW w:type="dxa" w:w="125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Ongoing</w:t>
            </w:r>
          </w:p>
        </w:tc>
        <w:tc>
          <w:tcPr>
            <w:tcW w:type="dxa" w:w="25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Middle East / Strait of Hormuz</w:t>
            </w:r>
          </w:p>
        </w:tc>
        <w:tc>
          <w:tcPr>
            <w:tcW w:type="dxa" w:w="23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Oil-driven inflation risk</w:t>
            </w:r>
          </w:p>
        </w:tc>
        <w:tc>
          <w:tcPr>
            <w:tcW w:type="dxa" w:w="90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Med</w:t>
            </w:r>
          </w:p>
        </w:tc>
        <w:tc>
          <w:tcPr>
            <w:tcW w:type="dxa" w:w="2410"/>
            <w:tcMar>
              <w:top w:type="dxa" w:w="40"/>
              <w:left w:type="dxa" w:w="70"/>
              <w:bottom w:type="dxa" w:w="40"/>
              <w:right w:type="dxa" w:w="70"/>
            </w:tcMar>
            <w:vAlign w:val="center"/>
          </w:tcPr>
          <w:p>
            <w:pPr>
              <w:spacing w:after="0" w:line="240"/>
            </w:pPr>
            <w:r>
              <w:rPr>
                <w:rFonts w:ascii="Calibri" w:cs="Calibri" w:eastAsia="Calibri" w:hAnsi="Calibri"/>
                <w:b w:val="false"/>
                <w:bCs w:val="false"/>
                <w:sz w:val="16"/>
                <w:szCs w:val="16"/>
              </w:rPr>
              <w:t xml:space="preserve">Escalation → haven bid; de-escalation → gold softer</w:t>
            </w:r>
          </w:p>
        </w:tc>
      </w:tr>
    </w:tbl>
    <w:p>
      <w:pPr>
        <w:spacing w:after="120" w:before="0" w:line="276"/>
      </w:pPr>
      <w:r>
        <w:rPr>
          <w:rFonts w:ascii="Calibri" w:cs="Calibri" w:eastAsia="Calibri" w:hAnsi="Calibri"/>
          <w:b/>
          <w:bCs/>
          <w:sz w:val="18"/>
          <w:szCs w:val="18"/>
        </w:rPr>
        <w:t xml:space="preserve">Highest-impact event: FOMC, 29 July. </w:t>
      </w:r>
      <w:r>
        <w:rPr>
          <w:rFonts w:ascii="Calibri" w:cs="Calibri" w:eastAsia="Calibri" w:hAnsi="Calibri"/>
          <w:i/>
          <w:iCs/>
          <w:sz w:val="18"/>
          <w:szCs w:val="18"/>
        </w:rPr>
        <w:t xml:space="preserve">A hawkish surprise (hike or hawkish hold) would push real yields up and likely break gold through weekly P ($4,022.9) toward S1 ($3,960.8); a dovish surprise would clear daily R1 ($4,089) and reopen $4,140+.</w:t>
      </w:r>
    </w:p>
    <w:p>
      <w:pPr>
        <w:pBdr>
          <w:bottom w:val="single" w:color="1F3864" w:sz="10"/>
        </w:pBdr>
        <w:spacing w:after="110" w:before="220"/>
      </w:pPr>
      <w:r>
        <w:rPr>
          <w:rFonts w:ascii="Calibri" w:cs="Calibri" w:eastAsia="Calibri" w:hAnsi="Calibri"/>
          <w:b/>
          <w:bCs/>
          <w:color w:val="1F3864"/>
          <w:sz w:val="26"/>
          <w:szCs w:val="26"/>
        </w:rPr>
        <w:t xml:space="preserve">§14  Macro Context</w:t>
      </w:r>
    </w:p>
    <w:p>
      <w:pPr>
        <w:pStyle w:val="ListParagraph"/>
        <w:numPr>
          <w:ilvl w:val="0"/>
          <w:numId w:val="1"/>
        </w:numPr>
        <w:spacing w:after="80" w:line="264"/>
      </w:pPr>
      <w:r>
        <w:rPr>
          <w:rFonts w:ascii="Calibri" w:cs="Calibri" w:eastAsia="Calibri" w:hAnsi="Calibri"/>
          <w:b/>
          <w:bCs/>
          <w:sz w:val="20"/>
          <w:szCs w:val="20"/>
        </w:rPr>
        <w:t xml:space="preserve">Rates &amp; policy: </w:t>
      </w:r>
      <w:r>
        <w:rPr>
          <w:rFonts w:ascii="Calibri" w:cs="Calibri" w:eastAsia="Calibri" w:hAnsi="Calibri"/>
          <w:sz w:val="20"/>
          <w:szCs w:val="20"/>
        </w:rPr>
        <w:t xml:space="preserve">Fed at 3.50–3.75% with a live hike debate; 2-year yields at an 18-month high. Cross-referencing §10, a rising USDX confirms tighter conditions — a gold headwind.</w:t>
      </w:r>
    </w:p>
    <w:p>
      <w:pPr>
        <w:pStyle w:val="ListParagraph"/>
        <w:numPr>
          <w:ilvl w:val="0"/>
          <w:numId w:val="1"/>
        </w:numPr>
        <w:spacing w:after="80" w:line="264"/>
      </w:pPr>
      <w:r>
        <w:rPr>
          <w:rFonts w:ascii="Calibri" w:cs="Calibri" w:eastAsia="Calibri" w:hAnsi="Calibri"/>
          <w:b/>
          <w:bCs/>
          <w:sz w:val="20"/>
          <w:szCs w:val="20"/>
        </w:rPr>
        <w:t xml:space="preserve">Inflation: </w:t>
      </w:r>
      <w:r>
        <w:rPr>
          <w:rFonts w:ascii="Calibri" w:cs="Calibri" w:eastAsia="Calibri" w:hAnsi="Calibri"/>
          <w:sz w:val="20"/>
          <w:szCs w:val="20"/>
        </w:rPr>
        <w:t xml:space="preserve">Oil-led impulse and fresh tariffs keep inflation risk elevated — two-sided for gold (haven vs. rate response), net neutral near-term.</w:t>
      </w:r>
    </w:p>
    <w:p>
      <w:pPr>
        <w:pStyle w:val="ListParagraph"/>
        <w:numPr>
          <w:ilvl w:val="0"/>
          <w:numId w:val="1"/>
        </w:numPr>
        <w:spacing w:after="80" w:line="264"/>
      </w:pPr>
      <w:r>
        <w:rPr>
          <w:rFonts w:ascii="Calibri" w:cs="Calibri" w:eastAsia="Calibri" w:hAnsi="Calibri"/>
          <w:b/>
          <w:bCs/>
          <w:sz w:val="20"/>
          <w:szCs w:val="20"/>
        </w:rPr>
        <w:t xml:space="preserve">Liquidity &amp; FX (USDX from §10): </w:t>
      </w:r>
      <w:r>
        <w:rPr>
          <w:rFonts w:ascii="Calibri" w:cs="Calibri" w:eastAsia="Calibri" w:hAnsi="Calibri"/>
          <w:sz w:val="20"/>
          <w:szCs w:val="20"/>
        </w:rPr>
        <w:t xml:space="preserve">Dollar's best week in over a month on safe-haven and oil bid — the dominant near-term price-negative channel for gold.</w:t>
      </w:r>
    </w:p>
    <w:p>
      <w:pPr>
        <w:pStyle w:val="ListParagraph"/>
        <w:numPr>
          <w:ilvl w:val="0"/>
          <w:numId w:val="1"/>
        </w:numPr>
        <w:spacing w:after="80" w:line="264"/>
      </w:pPr>
      <w:r>
        <w:rPr>
          <w:rFonts w:ascii="Calibri" w:cs="Calibri" w:eastAsia="Calibri" w:hAnsi="Calibri"/>
          <w:b/>
          <w:bCs/>
          <w:sz w:val="20"/>
          <w:szCs w:val="20"/>
        </w:rPr>
        <w:t xml:space="preserve">Safe-haven / real yields: </w:t>
      </w:r>
      <w:r>
        <w:rPr>
          <w:rFonts w:ascii="Calibri" w:cs="Calibri" w:eastAsia="Calibri" w:hAnsi="Calibri"/>
          <w:sz w:val="20"/>
          <w:szCs w:val="20"/>
        </w:rPr>
        <w:t xml:space="preserve">Rising real yields compress gold's appeal; offset by the $4,000 physical/central-bank floor and silver confirmation (§10).</w:t>
      </w:r>
    </w:p>
    <w:p>
      <w:pPr>
        <w:pStyle w:val="ListParagraph"/>
        <w:numPr>
          <w:ilvl w:val="0"/>
          <w:numId w:val="1"/>
        </w:numPr>
        <w:spacing w:after="80" w:line="264"/>
      </w:pPr>
      <w:r>
        <w:rPr>
          <w:rFonts w:ascii="Calibri" w:cs="Calibri" w:eastAsia="Calibri" w:hAnsi="Calibri"/>
          <w:b/>
          <w:bCs/>
          <w:sz w:val="20"/>
          <w:szCs w:val="20"/>
        </w:rPr>
        <w:t xml:space="preserve">Positioning: </w:t>
      </w:r>
      <w:r>
        <w:rPr>
          <w:rFonts w:ascii="Calibri" w:cs="Calibri" w:eastAsia="Calibri" w:hAnsi="Calibri"/>
          <w:sz w:val="20"/>
          <w:szCs w:val="20"/>
        </w:rPr>
        <w:t xml:space="preserve">CFTC Comex gold COT released 24 Jul; VIX ~18.6 (moderate). Watch item: FOMC (§13d) is the pivotal macro trigger with clear downside risk for gold if hawkish.</w:t>
      </w:r>
    </w:p>
    <w:p>
      <w:pPr>
        <w:pBdr>
          <w:bottom w:val="single" w:color="1F3864" w:sz="10"/>
        </w:pBdr>
        <w:spacing w:after="110" w:before="220"/>
      </w:pPr>
      <w:r>
        <w:rPr>
          <w:rFonts w:ascii="Calibri" w:cs="Calibri" w:eastAsia="Calibri" w:hAnsi="Calibri"/>
          <w:b/>
          <w:bCs/>
          <w:color w:val="1F3864"/>
          <w:sz w:val="26"/>
          <w:szCs w:val="26"/>
        </w:rPr>
        <w:t xml:space="preserve">§15  Bull / Bear Balance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Upside risks (bullish gold)</w:t>
            </w:r>
          </w:p>
        </w:tc>
        <w:tc>
          <w:tcPr>
            <w:tcW w:type="dxa" w:w="4680"/>
            <w:shd w:fill="1F3864"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Downside risks (bearish gold)</w:t>
            </w:r>
          </w:p>
        </w:tc>
      </w:tr>
      <w:tr>
        <w:tc>
          <w:tcPr>
            <w:tcW w:type="dxa" w:w="4680"/>
            <w:tcMar>
              <w:top w:type="dxa" w:w="40"/>
              <w:left w:type="dxa" w:w="70"/>
              <w:bottom w:type="dxa" w:w="40"/>
              <w:right w:type="dxa" w:w="70"/>
            </w:tcMar>
            <w:vAlign w:val="center"/>
          </w:tcPr>
          <w:p>
            <w:pPr>
              <w:spacing w:after="0" w:line="240"/>
            </w:pPr>
            <w:r>
              <w:rPr>
                <w:rFonts w:ascii="Calibri" w:cs="Calibri" w:eastAsia="Calibri" w:hAnsi="Calibri"/>
                <w:color w:val="1a6b3a"/>
                <w:sz w:val="17"/>
                <w:szCs w:val="17"/>
              </w:rPr>
              <w:t xml:space="preserve">▲ $4,000 shelf repeatedly defended by physical + central-bank demand</w:t>
            </w:r>
          </w:p>
        </w:tc>
        <w:tc>
          <w:tcPr>
            <w:tcW w:type="dxa" w:w="4680"/>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 Dollar at multi-week highs; 2-yr yields at 18-mo high raise carry cost</w:t>
            </w:r>
          </w:p>
        </w:tc>
      </w:tr>
      <w:tr>
        <w:tc>
          <w:tcPr>
            <w:tcW w:type="dxa" w:w="4680"/>
            <w:shd w:fill="F2F2F2" w:color="auto" w:val="clear"/>
            <w:tcMar>
              <w:top w:type="dxa" w:w="40"/>
              <w:left w:type="dxa" w:w="70"/>
              <w:bottom w:type="dxa" w:w="40"/>
              <w:right w:type="dxa" w:w="70"/>
            </w:tcMar>
            <w:vAlign w:val="center"/>
          </w:tcPr>
          <w:p>
            <w:pPr>
              <w:spacing w:after="0" w:line="240"/>
            </w:pPr>
            <w:r>
              <w:rPr>
                <w:rFonts w:ascii="Calibri" w:cs="Calibri" w:eastAsia="Calibri" w:hAnsi="Calibri"/>
                <w:color w:val="1a6b3a"/>
                <w:sz w:val="17"/>
                <w:szCs w:val="17"/>
              </w:rPr>
              <w:t xml:space="preserve">▲ Dovish FOMC surprise → break daily R1 $4,089 → $4,140+</w:t>
            </w:r>
          </w:p>
        </w:tc>
        <w:tc>
          <w:tcPr>
            <w:tcW w:type="dxa" w:w="4680"/>
            <w:shd w:fill="F2F2F2" w:color="auto" w:val="clear"/>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 Hawkish FOMC (§13d) → break weekly P $4,022.9 → S1 $3,960.8</w:t>
            </w:r>
          </w:p>
        </w:tc>
      </w:tr>
      <w:tr>
        <w:tc>
          <w:tcPr>
            <w:tcW w:type="dxa" w:w="4680"/>
            <w:tcMar>
              <w:top w:type="dxa" w:w="40"/>
              <w:left w:type="dxa" w:w="70"/>
              <w:bottom w:type="dxa" w:w="40"/>
              <w:right w:type="dxa" w:w="70"/>
            </w:tcMar>
            <w:vAlign w:val="center"/>
          </w:tcPr>
          <w:p>
            <w:pPr>
              <w:spacing w:after="0" w:line="240"/>
            </w:pPr>
            <w:r>
              <w:rPr>
                <w:rFonts w:ascii="Calibri" w:cs="Calibri" w:eastAsia="Calibri" w:hAnsi="Calibri"/>
                <w:color w:val="1a6b3a"/>
                <w:sz w:val="17"/>
                <w:szCs w:val="17"/>
              </w:rPr>
              <w:t xml:space="preserve">▲ Middle East re-escalation revives haven bid</w:t>
            </w:r>
          </w:p>
        </w:tc>
        <w:tc>
          <w:tcPr>
            <w:tcW w:type="dxa" w:w="4680"/>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 Oil de-escalation removes the inflation-haven prop</w:t>
            </w:r>
          </w:p>
        </w:tc>
      </w:tr>
      <w:tr>
        <w:tc>
          <w:tcPr>
            <w:tcW w:type="dxa" w:w="4680"/>
            <w:shd w:fill="F2F2F2" w:color="auto" w:val="clear"/>
            <w:tcMar>
              <w:top w:type="dxa" w:w="40"/>
              <w:left w:type="dxa" w:w="70"/>
              <w:bottom w:type="dxa" w:w="40"/>
              <w:right w:type="dxa" w:w="70"/>
            </w:tcMar>
            <w:vAlign w:val="center"/>
          </w:tcPr>
          <w:p>
            <w:pPr>
              <w:spacing w:after="0" w:line="240"/>
            </w:pPr>
            <w:r>
              <w:rPr>
                <w:rFonts w:ascii="Calibri" w:cs="Calibri" w:eastAsia="Calibri" w:hAnsi="Calibri"/>
                <w:color w:val="1a6b3a"/>
                <w:sz w:val="17"/>
                <w:szCs w:val="17"/>
              </w:rPr>
              <w:t xml:space="preserve">▲ Silver confirmation (§10) keeps a metals floor</w:t>
            </w:r>
          </w:p>
        </w:tc>
        <w:tc>
          <w:tcPr>
            <w:tcW w:type="dxa" w:w="4680"/>
            <w:shd w:fill="F2F2F2" w:color="auto" w:val="clear"/>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 USDX &amp; DAX contradict a bullish read (§10 MIXED aggregate)</w:t>
            </w:r>
          </w:p>
        </w:tc>
      </w:tr>
      <w:tr>
        <w:tc>
          <w:tcPr>
            <w:tcW w:type="dxa" w:w="4680"/>
            <w:tcMar>
              <w:top w:type="dxa" w:w="40"/>
              <w:left w:type="dxa" w:w="70"/>
              <w:bottom w:type="dxa" w:w="40"/>
              <w:right w:type="dxa" w:w="70"/>
            </w:tcMar>
            <w:vAlign w:val="center"/>
          </w:tcPr>
          <w:p>
            <w:pPr>
              <w:spacing w:after="0" w:line="240"/>
            </w:pPr>
            <w:r>
              <w:rPr>
                <w:rFonts w:ascii="Calibri" w:cs="Calibri" w:eastAsia="Calibri" w:hAnsi="Calibri"/>
                <w:color w:val="1a6b3a"/>
                <w:sz w:val="17"/>
                <w:szCs w:val="17"/>
              </w:rPr>
              <w:t xml:space="preserve">▲ RSI2 deeply oversold (16.3) → mean-reversion bounce risk</w:t>
            </w:r>
          </w:p>
        </w:tc>
        <w:tc>
          <w:tcPr>
            <w:tcW w:type="dxa" w:w="4680"/>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 Ranging–Downward-Bias KER + Predominantly Bearish sentiment (−0.65)</w:t>
            </w:r>
          </w:p>
        </w:tc>
      </w:tr>
    </w:tbl>
    <w:p>
      <w:pPr>
        <w:spacing w:after="120" w:before="0" w:line="276"/>
      </w:pPr>
      <w:r>
        <w:rPr>
          <w:rFonts w:ascii="Calibri" w:cs="Calibri" w:eastAsia="Calibri" w:hAnsi="Calibri"/>
          <w:b/>
          <w:bCs/>
          <w:sz w:val="20"/>
          <w:szCs w:val="20"/>
        </w:rPr>
        <w:t xml:space="preserve">Balance: </w:t>
      </w:r>
      <w:r>
        <w:rPr>
          <w:rFonts w:ascii="Calibri" w:cs="Calibri" w:eastAsia="Calibri" w:hAnsi="Calibri"/>
          <w:sz w:val="20"/>
          <w:szCs w:val="20"/>
        </w:rPr>
        <w:t xml:space="preserve">With price at the daily pivot, a Ranging regime, and the FOMC as a binary catalyst, the book is roughly balanced with a mild bearish lean into the decision. The $4,022.9 weekly pivot is the fulcrum.</w:t>
      </w:r>
    </w:p>
    <w:p>
      <w:pPr>
        <w:pBdr>
          <w:bottom w:val="single" w:color="1F3864" w:sz="10"/>
        </w:pBdr>
        <w:spacing w:after="110" w:before="220"/>
      </w:pPr>
      <w:r>
        <w:rPr>
          <w:rFonts w:ascii="Calibri" w:cs="Calibri" w:eastAsia="Calibri" w:hAnsi="Calibri"/>
          <w:b/>
          <w:bCs/>
          <w:color w:val="1F3864"/>
          <w:sz w:val="26"/>
          <w:szCs w:val="26"/>
        </w:rPr>
        <w:t xml:space="preserve">§16  Forward View</w:t>
      </w:r>
    </w:p>
    <w:p>
      <w:pPr>
        <w:spacing w:after="120" w:before="0" w:line="276"/>
      </w:pPr>
      <w:r>
        <w:rPr>
          <w:rFonts w:ascii="Calibri" w:cs="Calibri" w:eastAsia="Calibri" w:hAnsi="Calibri"/>
          <w:b/>
          <w:bCs/>
          <w:sz w:val="20"/>
          <w:szCs w:val="20"/>
        </w:rPr>
        <w:t xml:space="preserve">Expected direction (next 5 sessions): </w:t>
      </w:r>
      <w:r>
        <w:rPr>
          <w:rFonts w:ascii="Calibri" w:cs="Calibri" w:eastAsia="Calibri" w:hAnsi="Calibri"/>
          <w:sz w:val="20"/>
          <w:szCs w:val="20"/>
        </w:rPr>
        <w:t xml:space="preserve">range-bound with a mild downward skew, gated entirely by the FOMC. This respects the §9 Ranging regime — no contradiction to flag.</w:t>
      </w:r>
    </w:p>
    <w:p>
      <w:pPr>
        <w:spacing w:after="120" w:before="0" w:line="276"/>
      </w:pPr>
      <w:r>
        <w:rPr>
          <w:rFonts w:ascii="Calibri" w:cs="Calibri" w:eastAsia="Calibri" w:hAnsi="Calibri"/>
          <w:b/>
          <w:bCs/>
          <w:sz w:val="20"/>
          <w:szCs w:val="20"/>
        </w:rPr>
        <w:t xml:space="preserve">Trading range: </w:t>
      </w:r>
      <w:r>
        <w:rPr>
          <w:rFonts w:ascii="Calibri" w:cs="Calibri" w:eastAsia="Calibri" w:hAnsi="Calibri"/>
          <w:sz w:val="20"/>
          <w:szCs w:val="20"/>
        </w:rPr>
        <w:t xml:space="preserve">$3,960 (weekly S1) to $4,140, with the $4,022–$4,090 corridor most likely absent a Fed surprise. Base case: chop around $4,020–$4,080 pre-Fed, directional resolution post-decision.</w:t>
      </w:r>
    </w:p>
    <w:p>
      <w:pPr>
        <w:spacing w:after="120" w:before="0" w:line="276"/>
      </w:pPr>
      <w:r>
        <w:rPr>
          <w:rFonts w:ascii="Calibri" w:cs="Calibri" w:eastAsia="Calibri" w:hAnsi="Calibri"/>
          <w:b/>
          <w:bCs/>
          <w:sz w:val="20"/>
          <w:szCs w:val="20"/>
        </w:rPr>
        <w:t xml:space="preserve">Base-case invalidation: </w:t>
      </w:r>
      <w:r>
        <w:rPr>
          <w:rFonts w:ascii="Calibri" w:cs="Calibri" w:eastAsia="Calibri" w:hAnsi="Calibri"/>
          <w:sz w:val="20"/>
          <w:szCs w:val="20"/>
        </w:rPr>
        <w:t xml:space="preserve">a decisive daily close above $4,090 (daily R1) flips the skew bullish toward $4,140; a decisive close below $4,000 opens $3,960 then $3,903. Both are the §13d FOMC watch items.</w:t>
      </w:r>
    </w:p>
    <w:p>
      <w:pPr>
        <w:pBdr>
          <w:bottom w:val="single" w:color="1F3864" w:sz="10"/>
        </w:pBdr>
        <w:spacing w:after="110" w:before="220"/>
      </w:pPr>
      <w:r>
        <w:rPr>
          <w:rFonts w:ascii="Calibri" w:cs="Calibri" w:eastAsia="Calibri" w:hAnsi="Calibri"/>
          <w:b/>
          <w:bCs/>
          <w:color w:val="1F3864"/>
          <w:sz w:val="26"/>
          <w:szCs w:val="26"/>
        </w:rPr>
        <w:t xml:space="preserve">§17  Forecast</w:t>
      </w:r>
    </w:p>
    <w:p>
      <w:pPr>
        <w:pBdr>
          <w:left w:val="single" w:color="9C6500" w:sz="18"/>
        </w:pBdr>
        <w:shd w:fill="F2F2F2" w:color="auto" w:val="clear"/>
        <w:spacing w:after="60" w:before="60"/>
      </w:pPr>
      <w:r>
        <w:rPr>
          <w:rFonts w:ascii="Calibri" w:cs="Calibri" w:eastAsia="Calibri" w:hAnsi="Calibri"/>
          <w:b/>
          <w:bCs/>
          <w:i/>
          <w:iCs/>
          <w:sz w:val="21"/>
          <w:szCs w:val="21"/>
        </w:rPr>
        <w:t xml:space="preserve">  Gold holds a $4,020–$4,090 range into the FOMC and resolves modestly lower toward the $4,000–$3,960 support shelf, as a firm dollar, 18-month-high yields and Predominantly Bearish sentiment outweigh a deeply oversold RSI2 and the resilient physical bid.</w:t>
      </w:r>
    </w:p>
    <w:p>
      <w:pPr>
        <w:pBdr>
          <w:bottom w:val="single" w:color="1F3864" w:sz="10"/>
        </w:pBdr>
        <w:spacing w:after="110" w:before="220"/>
      </w:pPr>
      <w:r>
        <w:rPr>
          <w:rFonts w:ascii="Calibri" w:cs="Calibri" w:eastAsia="Calibri" w:hAnsi="Calibri"/>
          <w:b/>
          <w:bCs/>
          <w:color w:val="1F3864"/>
          <w:sz w:val="26"/>
          <w:szCs w:val="26"/>
        </w:rPr>
        <w:t xml:space="preserve">§18  Final Analyst Judgement</w:t>
      </w:r>
    </w:p>
    <w:p>
      <w:pPr>
        <w:spacing w:after="120" w:before="0" w:line="276"/>
      </w:pPr>
      <w:r>
        <w:rPr>
          <w:rFonts w:ascii="Calibri" w:cs="Calibri" w:eastAsia="Calibri" w:hAnsi="Calibri"/>
          <w:b/>
          <w:bCs/>
          <w:sz w:val="20"/>
          <w:szCs w:val="20"/>
        </w:rPr>
        <w:t xml:space="preserve">Consensus call: </w:t>
      </w:r>
      <w:r>
        <w:rPr>
          <w:rFonts w:ascii="Calibri" w:cs="Calibri" w:eastAsia="Calibri" w:hAnsi="Calibri"/>
          <w:sz w:val="20"/>
          <w:szCs w:val="20"/>
        </w:rPr>
        <w:t xml:space="preserve">$4,058/oz ($4,049–$4,068), Medium confidence, balanced-to-mildly-bearish tone.</w:t>
      </w:r>
    </w:p>
    <w:p>
      <w:pPr>
        <w:spacing w:after="120" w:before="0" w:line="276"/>
      </w:pPr>
      <w:r>
        <w:rPr>
          <w:rFonts w:ascii="Calibri" w:cs="Calibri" w:eastAsia="Calibri" w:hAnsi="Calibri"/>
          <w:b/>
          <w:bCs/>
          <w:sz w:val="20"/>
          <w:szCs w:val="20"/>
        </w:rPr>
        <w:t xml:space="preserve">Three most important reasons: </w:t>
      </w:r>
      <w:r>
        <w:rPr>
          <w:rFonts w:ascii="Calibri" w:cs="Calibri" w:eastAsia="Calibri" w:hAnsi="Calibri"/>
          <w:sz w:val="20"/>
          <w:szCs w:val="20"/>
        </w:rPr>
        <w:t xml:space="preserve">(1) firm dollar + 18-month-high yields raise gold's carry cost; (2) Ranging–Downward-Bias technical/sentiment regime (tilt −0.65); (3) the $4,000 physical/central-bank floor and oversold RSI2 cap the downside.</w:t>
      </w:r>
    </w:p>
    <w:p>
      <w:pPr>
        <w:spacing w:after="120" w:before="0" w:line="276"/>
      </w:pPr>
      <w:r>
        <w:rPr>
          <w:rFonts w:ascii="Calibri" w:cs="Calibri" w:eastAsia="Calibri" w:hAnsi="Calibri"/>
          <w:b/>
          <w:bCs/>
          <w:sz w:val="20"/>
          <w:szCs w:val="20"/>
        </w:rPr>
        <w:t xml:space="preserve">Single watch item: </w:t>
      </w:r>
      <w:r>
        <w:rPr>
          <w:rFonts w:ascii="Calibri" w:cs="Calibri" w:eastAsia="Calibri" w:hAnsi="Calibri"/>
          <w:b/>
          <w:bCs/>
          <w:color w:val="9C6500"/>
          <w:sz w:val="20"/>
          <w:szCs w:val="20"/>
        </w:rPr>
        <w:t xml:space="preserve">FOMC decision, 29 July.</w:t>
      </w:r>
    </w:p>
    <w:p>
      <w:pPr>
        <w:pBdr>
          <w:bottom w:val="single" w:color="1F3864" w:sz="10"/>
        </w:pBdr>
        <w:spacing w:after="110" w:before="220"/>
      </w:pPr>
      <w:r>
        <w:rPr>
          <w:rFonts w:ascii="Calibri" w:cs="Calibri" w:eastAsia="Calibri" w:hAnsi="Calibri"/>
          <w:b/>
          <w:bCs/>
          <w:color w:val="1F3864"/>
          <w:sz w:val="26"/>
          <w:szCs w:val="26"/>
        </w:rPr>
        <w:t xml:space="preserve">§19  Source Discipline Note</w:t>
      </w:r>
    </w:p>
    <w:p>
      <w:pPr>
        <w:pStyle w:val="ListParagraph"/>
        <w:numPr>
          <w:ilvl w:val="0"/>
          <w:numId w:val="1"/>
        </w:numPr>
        <w:spacing w:after="80" w:line="264"/>
      </w:pPr>
      <w:r>
        <w:rPr>
          <w:rFonts w:ascii="Calibri" w:cs="Calibri" w:eastAsia="Calibri" w:hAnsi="Calibri"/>
          <w:sz w:val="19"/>
          <w:szCs w:val="19"/>
        </w:rPr>
        <w:t xml:space="preserve">Live vs indicative: Friday 24 Jul closes 20–23 Jul are CORROBORATED within the ±$0.50 gold tolerance across MyGoldCalc (Source A) and Investing.com / Reuters spot (Source B). The 24 Jul close is reported dual-basis — UTC-archive $4,068.20 vs spot cluster ~$4,050–4,056 (~$18 gap) — and is flagged accordingly.</w:t>
      </w:r>
    </w:p>
    <w:p>
      <w:pPr>
        <w:pStyle w:val="ListParagraph"/>
        <w:numPr>
          <w:ilvl w:val="0"/>
          <w:numId w:val="1"/>
        </w:numPr>
        <w:spacing w:after="80" w:line="264"/>
      </w:pPr>
      <w:r>
        <w:rPr>
          <w:rFonts w:ascii="Calibri" w:cs="Calibri" w:eastAsia="Calibri" w:hAnsi="Calibri"/>
          <w:sz w:val="19"/>
          <w:szCs w:val="19"/>
        </w:rPr>
        <w:t xml:space="preserve">Corroboration status per instrument: gold OHLC CORROBORATED (with the 24 Jul basis caveat); weekly pivots CORROBORATED; daily pivots PARTIALLY INDICATIVE (rest on the 24 Jul basis-gapped close); monthly pivots SINGLE-SOURCE INDICATIVE (June extremes) — not used for entry pricing per protocol.</w:t>
      </w:r>
    </w:p>
    <w:p>
      <w:pPr>
        <w:pStyle w:val="ListParagraph"/>
        <w:numPr>
          <w:ilvl w:val="0"/>
          <w:numId w:val="1"/>
        </w:numPr>
        <w:spacing w:after="80" w:line="264"/>
      </w:pPr>
      <w:r>
        <w:rPr>
          <w:rFonts w:ascii="Calibri" w:cs="Calibri" w:eastAsia="Calibri" w:hAnsi="Calibri"/>
          <w:sz w:val="19"/>
          <w:szCs w:val="19"/>
        </w:rPr>
        <w:t xml:space="preserve">Data gaps: the project engine's live data adapters (Yahoo/Twelve Data/Investing) were not reachable in this run environment; OHLC was therefore corroborated via approved web sources rather than programmatic API pulls. Counter VOLator paths for USDX/S&amp;P/DAX are illustrative scalings consistent with the documented weekly moves, not tick-validated series — used for directional context only.</w:t>
      </w:r>
    </w:p>
    <w:p>
      <w:pPr>
        <w:pStyle w:val="ListParagraph"/>
        <w:numPr>
          <w:ilvl w:val="0"/>
          <w:numId w:val="1"/>
        </w:numPr>
        <w:spacing w:after="80" w:line="264"/>
      </w:pPr>
      <w:r>
        <w:rPr>
          <w:rFonts w:ascii="Calibri" w:cs="Calibri" w:eastAsia="Calibri" w:hAnsi="Calibri"/>
          <w:color w:val="595959"/>
          <w:sz w:val="19"/>
          <w:szCs w:val="19"/>
        </w:rPr>
        <w:t xml:space="preserve">Normalization: all prices USD/oz, spot loco-London equivalent; no retail FX-broker spreads admitted. Trading strategies (§21) are produced despite the residual 24 Jul corroboration caveat, per the explicit run instruction to prioritise strategy output; affected cards carry a corroboration caveat.</w:t>
      </w:r>
    </w:p>
    <w:p>
      <w:pPr>
        <w:pBdr>
          <w:bottom w:val="single" w:color="1F3864" w:sz="10"/>
        </w:pBdr>
        <w:spacing w:after="110" w:before="220"/>
      </w:pPr>
      <w:r>
        <w:rPr>
          <w:rFonts w:ascii="Calibri" w:cs="Calibri" w:eastAsia="Calibri" w:hAnsi="Calibri"/>
          <w:b/>
          <w:bCs/>
          <w:color w:val="1F3864"/>
          <w:sz w:val="26"/>
          <w:szCs w:val="26"/>
        </w:rPr>
        <w:t xml:space="preserve">§20  Agent Log</w:t>
      </w:r>
    </w:p>
    <w:p>
      <w:pPr>
        <w:pStyle w:val="ListParagraph"/>
        <w:numPr>
          <w:ilvl w:val="0"/>
          <w:numId w:val="1"/>
        </w:numPr>
        <w:spacing w:after="80" w:line="264"/>
      </w:pPr>
      <w:r>
        <w:rPr>
          <w:rFonts w:ascii="Calibri" w:cs="Calibri" w:eastAsia="Calibri" w:hAnsi="Calibri"/>
          <w:sz w:val="18"/>
          <w:szCs w:val="18"/>
        </w:rPr>
        <w:t xml:space="preserve">Sources attempted (gold): MyGoldCalc UTC archive (corroborated, full OHLC), Investing.com (corroborated, spot close/prev-close), Reuters wrap via USAGOLD (corroborated, 23 Jul level + Fri spot), TradingEconomics (corroborated), TradingView (corroborated weekend print), Vantage/LiteFinance (context). Stooq CSV attempted — CAPTCHA-gated, not machine-fetchable. Yahoo demoted per protocol.</w:t>
      </w:r>
    </w:p>
    <w:p>
      <w:pPr>
        <w:pStyle w:val="ListParagraph"/>
        <w:numPr>
          <w:ilvl w:val="0"/>
          <w:numId w:val="1"/>
        </w:numPr>
        <w:spacing w:after="80" w:line="264"/>
      </w:pPr>
      <w:r>
        <w:rPr>
          <w:rFonts w:ascii="Calibri" w:cs="Calibri" w:eastAsia="Calibri" w:hAnsi="Calibri"/>
          <w:sz w:val="18"/>
          <w:szCs w:val="18"/>
        </w:rPr>
        <w:t xml:space="preserve">Corroboration pairs: 20 Jul MGC×Inv Δ&lt;$0.5; 21 Jul MGC×Inv Δ&lt;$0.5; 22 Jul MGC×Reuters (archive 4159.06 vs spot peak 4165.87 — within gold band on close); 23 Jul MGC×Reuters Δ small; 24 Jul MGC(4068.20)×spot(~4055) Δ≈$13–18 → flagged.</w:t>
      </w:r>
    </w:p>
    <w:p>
      <w:pPr>
        <w:pStyle w:val="ListParagraph"/>
        <w:numPr>
          <w:ilvl w:val="0"/>
          <w:numId w:val="1"/>
        </w:numPr>
        <w:spacing w:after="80" w:line="264"/>
      </w:pPr>
      <w:r>
        <w:rPr>
          <w:rFonts w:ascii="Calibri" w:cs="Calibri" w:eastAsia="Calibri" w:hAnsi="Calibri"/>
          <w:sz w:val="18"/>
          <w:szCs w:val="18"/>
        </w:rPr>
        <w:t xml:space="preserve">Sentiment derivation: 7 articles, source-class weighted (M2 §9c). Σw·s=−2.99, Σw=4.60 → tilt −0.65; categorical Predominantly Bearish. Not low-confidence (≥3 articles).</w:t>
      </w:r>
    </w:p>
    <w:p>
      <w:pPr>
        <w:pStyle w:val="ListParagraph"/>
        <w:numPr>
          <w:ilvl w:val="0"/>
          <w:numId w:val="1"/>
        </w:numPr>
        <w:spacing w:after="80" w:line="264"/>
      </w:pPr>
      <w:r>
        <w:rPr>
          <w:rFonts w:ascii="Calibri" w:cs="Calibri" w:eastAsia="Calibri" w:hAnsi="Calibri"/>
          <w:sz w:val="18"/>
          <w:szCs w:val="18"/>
        </w:rPr>
        <w:t xml:space="preserve">M5 trace: direction-score weights = DEFAULTS (v2.1 baseline 0.25/0.20/0.10/0.15/0.15/0.15), locked (no tuning). Contributions — short-tech +0.075, medium −0.030, VOLator +0.013, Kaufman −0.117, sentiment −0.098, cross-asset −0.060 → score −0.22. Trade 1 SUPPRESSED (|−0.22|&lt;0.25 conviction threshold). regime_label = TRANSITION (Step-4 mixed; RANGE dual-gate fails because VOLator slope +0.01 is not ≤0). cross_asset_confirm = MIXED.</w:t>
      </w:r>
    </w:p>
    <w:p>
      <w:pPr>
        <w:pStyle w:val="ListParagraph"/>
        <w:numPr>
          <w:ilvl w:val="0"/>
          <w:numId w:val="1"/>
        </w:numPr>
        <w:spacing w:after="80" w:line="264"/>
      </w:pPr>
      <w:r>
        <w:rPr>
          <w:rFonts w:ascii="Calibri" w:cs="Calibri" w:eastAsia="Calibri" w:hAnsi="Calibri"/>
          <w:sz w:val="18"/>
          <w:szCs w:val="18"/>
        </w:rPr>
        <w:t xml:space="preserve">Backtest reconstruction: 5 sessions replayed at each t−1 close with no forward leakage; sentiment/regime/ATR/pivots recomputed per session. Anomaly logged: 24 Jul spot/UTC basis gap.</w:t>
      </w:r>
    </w:p>
    <w:p>
      <w:pPr>
        <w:pStyle w:val="ListParagraph"/>
        <w:numPr>
          <w:ilvl w:val="0"/>
          <w:numId w:val="1"/>
        </w:numPr>
        <w:spacing w:after="80" w:line="264"/>
      </w:pPr>
      <w:r>
        <w:rPr>
          <w:rFonts w:ascii="Calibri" w:cs="Calibri" w:eastAsia="Calibri" w:hAnsi="Calibri"/>
          <w:color w:val="595959"/>
          <w:sz w:val="18"/>
          <w:szCs w:val="18"/>
        </w:rPr>
        <w:t xml:space="preserve">Run timestamp: 26 Jul 2026, generated for the 27 Jul 2026 (Sun) report with [session anchor] override to 00:00 UK.</w:t>
      </w:r>
    </w:p>
    <w:p>
      <w:pPr>
        <w:pBdr>
          <w:bottom w:val="single" w:color="8B2E5D" w:sz="10"/>
        </w:pBdr>
        <w:spacing w:after="110" w:before="220"/>
      </w:pPr>
      <w:r>
        <w:rPr>
          <w:rFonts w:ascii="Calibri" w:cs="Calibri" w:eastAsia="Calibri" w:hAnsi="Calibri"/>
          <w:b/>
          <w:bCs/>
          <w:color w:val="8B2E5D"/>
          <w:sz w:val="26"/>
          <w:szCs w:val="26"/>
        </w:rPr>
        <w:t xml:space="preserve">§21  Strategy Recommendations</w:t>
      </w:r>
    </w:p>
    <w:p>
      <w:pPr>
        <w:spacing w:after="80" w:before="140"/>
      </w:pPr>
      <w:r>
        <w:rPr>
          <w:rFonts w:ascii="Calibri" w:cs="Calibri" w:eastAsia="Calibri" w:hAnsi="Calibri"/>
          <w:b/>
          <w:bCs/>
          <w:color w:val="8B2E5D"/>
          <w:sz w:val="22"/>
          <w:szCs w:val="22"/>
        </w:rPr>
        <w:t xml:space="preserve">§21a  Directional Conviction</w:t>
      </w:r>
    </w:p>
    <w:p>
      <w:pPr>
        <w:spacing w:after="120" w:before="0" w:line="276"/>
      </w:pPr>
      <w:r>
        <w:rPr>
          <w:rFonts w:ascii="Calibri" w:cs="Calibri" w:eastAsia="Calibri" w:hAnsi="Calibri"/>
          <w:b/>
          <w:bCs/>
          <w:sz w:val="20"/>
          <w:szCs w:val="20"/>
        </w:rPr>
        <w:t xml:space="preserve">Direction: SHORT-leaning, but SUPPRESSED for the daily directional trade. </w:t>
      </w:r>
      <w:r>
        <w:rPr>
          <w:rFonts w:ascii="Calibri" w:cs="Calibri" w:eastAsia="Calibri" w:hAnsi="Calibri"/>
          <w:sz w:val="20"/>
          <w:szCs w:val="20"/>
        </w:rPr>
        <w:t xml:space="preserve">Score −0.22 (two decimals), below the 0.25 conviction threshold. Three highest-weighted contributors: Kaufman KER classification (§9) −0.117, aggregate sentiment tilt (§13b) −0.098, and short-term technical bias (§8) +0.075. Weights basis: defaults. </w:t>
      </w:r>
      <w:r>
        <w:rPr>
          <w:rFonts w:ascii="Calibri" w:cs="Calibri" w:eastAsia="Calibri" w:hAnsi="Calibri"/>
          <w:i/>
          <w:iCs/>
          <w:sz w:val="20"/>
          <w:szCs w:val="20"/>
        </w:rPr>
        <w:t xml:space="preserve">Conflict flag: the directional score leans SHORT and the §17 forecast also leans modestly lower — they agree; no conflict.</w:t>
      </w:r>
    </w:p>
    <w:p>
      <w:pPr>
        <w:spacing w:after="80" w:before="140"/>
      </w:pPr>
      <w:r>
        <w:rPr>
          <w:rFonts w:ascii="Calibri" w:cs="Calibri" w:eastAsia="Calibri" w:hAnsi="Calibri"/>
          <w:b/>
          <w:bCs/>
          <w:color w:val="8B2E5D"/>
          <w:sz w:val="22"/>
          <w:szCs w:val="22"/>
        </w:rPr>
        <w:t xml:space="preserve">§21b  Trade Cards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0"/>
      </w:tblGrid>
      <w:tr>
        <w:trPr>
          <w:tblHeader/>
        </w:trPr>
        <w:tc>
          <w:tcPr>
            <w:tcW w:type="dxa" w:w="9360"/>
            <w:shd w:fill="8B2E5D" w:color="auto" w:val="clear"/>
            <w:tcMar>
              <w:top w:type="dxa" w:w="40"/>
              <w:left w:type="dxa" w:w="70"/>
              <w:bottom w:type="dxa" w:w="40"/>
              <w:right w:type="dxa" w:w="70"/>
            </w:tcMar>
            <w:vAlign w:val="center"/>
          </w:tcPr>
          <w:p>
            <w:pPr>
              <w:spacing w:after="0" w:line="240"/>
            </w:pPr>
            <w:r>
              <w:rPr>
                <w:rFonts w:ascii="Calibri" w:cs="Calibri" w:eastAsia="Calibri" w:hAnsi="Calibri"/>
                <w:b/>
                <w:bCs/>
                <w:color w:val="FFFFFF"/>
                <w:sz w:val="19"/>
                <w:szCs w:val="19"/>
              </w:rPr>
              <w:t xml:space="preserve">Trade 1 — Daily Directional</w:t>
            </w:r>
          </w:p>
        </w:tc>
      </w:tr>
    </w:tbl>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6860"/>
      </w:tblGrid>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Status</w:t>
            </w:r>
          </w:p>
        </w:tc>
        <w:tc>
          <w:tcPr>
            <w:tcW w:type="dxa" w:w="6860"/>
            <w:shd w:fill="F6E4EE" w:color="auto" w:val="clear"/>
            <w:tcMar>
              <w:top w:type="dxa" w:w="40"/>
              <w:left w:type="dxa" w:w="70"/>
              <w:bottom w:type="dxa" w:w="40"/>
              <w:right w:type="dxa" w:w="70"/>
            </w:tcMar>
            <w:vAlign w:val="center"/>
          </w:tcPr>
          <w:p>
            <w:pPr>
              <w:spacing w:after="0" w:line="240"/>
            </w:pPr>
            <w:r>
              <w:rPr>
                <w:rFonts w:ascii="Calibri" w:cs="Calibri" w:eastAsia="Calibri" w:hAnsi="Calibri"/>
                <w:color w:val="C00000"/>
                <w:sz w:val="17"/>
                <w:szCs w:val="17"/>
              </w:rPr>
              <w:t xml:space="preserve">SUPPRESSED — direction score |−0.22| below the 0.25 conviction threshold. No daily directional card issued.</w:t>
            </w:r>
          </w:p>
        </w:tc>
      </w:tr>
    </w:tbl>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0"/>
      </w:tblGrid>
      <w:tr>
        <w:trPr>
          <w:tblHeader/>
        </w:trPr>
        <w:tc>
          <w:tcPr>
            <w:tcW w:type="dxa" w:w="9360"/>
            <w:shd w:fill="8B2E5D" w:color="auto" w:val="clear"/>
            <w:tcMar>
              <w:top w:type="dxa" w:w="40"/>
              <w:left w:type="dxa" w:w="70"/>
              <w:bottom w:type="dxa" w:w="40"/>
              <w:right w:type="dxa" w:w="70"/>
            </w:tcMar>
            <w:vAlign w:val="center"/>
          </w:tcPr>
          <w:p>
            <w:pPr>
              <w:spacing w:after="0" w:line="240"/>
            </w:pPr>
            <w:r>
              <w:rPr>
                <w:rFonts w:ascii="Calibri" w:cs="Calibri" w:eastAsia="Calibri" w:hAnsi="Calibri"/>
                <w:b/>
                <w:bCs/>
                <w:color w:val="FFFFFF"/>
                <w:sz w:val="19"/>
                <w:szCs w:val="19"/>
              </w:rPr>
              <w:t xml:space="preserve">Trade 2 — Pivot (Regime-Aware, Ranging)</w:t>
            </w:r>
          </w:p>
        </w:tc>
      </w:tr>
    </w:tbl>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6860"/>
      </w:tblGrid>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Trade type</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Trade 2 — Pivot fade at validated range extreme (Ranging regime).</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Direction</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SHORT — fade into overhead weekly R1 confluence; range regime favours selling strength.</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Entry</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Sell limit $4,088 (weekly R1 $4,080.2 / daily R1 $4,089.2 confluence). Order type: limit; timing from 00:00 UK reset.</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Stop loss</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$4,124 — 36.0 above entry (≈$36 / 3600 ticks). Anchor: above 22 Jul supply and daily R2 $4,110.</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Risk (R)</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$36.0 / oz (3,600 ticks at $0.01).</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TP1 (Unit 1)</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$4,052 — +1R (daily P confluence, ~$36 / 3,600 ticks).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TP2 (Unit 2)</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$4,023 — weekly P $4,022.9 (~+1.8R / ~$65 / 6,500 ticks).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TP3 (runner)</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$3,961 — weekly S1 $3,960.8; runner exit at pivot P re-touch or range breakout.</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Tranche mgmt</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 equal units; U1 exits TP1, U2 exits TP2; on U2 fill U3 stop → entry −0.2R ($4,081).</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Confluences</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Entry: weekly R1 + daily R1 within 0.15×ATR → strong confluence. TP2: weekly P. TP3: weekly S1 + $3,960 swing.</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Invalidation</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Daily close back above $4,110 (daily R2) breaks the range-fade thesis.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Caveats</w:t>
            </w:r>
          </w:p>
        </w:tc>
        <w:tc>
          <w:tcPr>
            <w:tcW w:type="dxa" w:w="6860"/>
            <w:tcMar>
              <w:top w:type="dxa" w:w="40"/>
              <w:left w:type="dxa" w:w="70"/>
              <w:bottom w:type="dxa" w:w="40"/>
              <w:right w:type="dxa" w:w="70"/>
            </w:tcMar>
            <w:vAlign w:val="center"/>
          </w:tcPr>
          <w:p>
            <w:pPr>
              <w:spacing w:after="0" w:line="240"/>
            </w:pPr>
            <w:r>
              <w:rPr>
                <w:rFonts w:ascii="Calibri" w:cs="Calibri" w:eastAsia="Calibri" w:hAnsi="Calibri"/>
                <w:color w:val="9C6500"/>
                <w:sz w:val="17"/>
                <w:szCs w:val="17"/>
              </w:rPr>
              <w:t xml:space="preserve">Daily pivots partially indicative (24 Jul basis gap); weekly pivots corroborated — entry anchored on the corroborated weekly R1.</w:t>
            </w:r>
          </w:p>
        </w:tc>
      </w:tr>
    </w:tbl>
    <w:p>
      <w:pPr>
        <w:spacing w:after="60"/>
      </w:pP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9360"/>
      </w:tblGrid>
      <w:tr>
        <w:trPr>
          <w:tblHeader/>
        </w:trPr>
        <w:tc>
          <w:tcPr>
            <w:tcW w:type="dxa" w:w="9360"/>
            <w:shd w:fill="8B2E5D" w:color="auto" w:val="clear"/>
            <w:tcMar>
              <w:top w:type="dxa" w:w="40"/>
              <w:left w:type="dxa" w:w="70"/>
              <w:bottom w:type="dxa" w:w="40"/>
              <w:right w:type="dxa" w:w="70"/>
            </w:tcMar>
            <w:vAlign w:val="center"/>
          </w:tcPr>
          <w:p>
            <w:pPr>
              <w:spacing w:after="0" w:line="240"/>
            </w:pPr>
            <w:r>
              <w:rPr>
                <w:rFonts w:ascii="Calibri" w:cs="Calibri" w:eastAsia="Calibri" w:hAnsi="Calibri"/>
                <w:b/>
                <w:bCs/>
                <w:color w:val="FFFFFF"/>
                <w:sz w:val="19"/>
                <w:szCs w:val="19"/>
              </w:rPr>
              <w:t xml:space="preserve">Trade 3 — Complex (Transition → 3A Momentum-Pullback)</w:t>
            </w:r>
          </w:p>
        </w:tc>
      </w:tr>
    </w:tbl>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6860"/>
      </w:tblGrid>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Trade type</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Trade 3A — Momentum-Pullback. RANGE dual-gate fails (VOLator slope +0.01 not ≤0) → fork falls through to 3A.</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Direction</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SHORT — pull-back sell in the direction of the prevailing downward drift off the July highs.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Entry</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Stop-entry $4,020 on a confirmed break below weekly P $4,022.9 (momentum trigger).</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Stop loss</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$4,058 — 38.0 above entry (≈$38 / 3,800 ticks). Anchor: back above daily P / spot consensus.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Risk (R)</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$38.0 / oz (3,800 ticks).</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TP1 (Unit 1)</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$3,982 — 38.2% retrace zone of the 17→22 Jul swing (~+1R).</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TP2 (Unit 2)</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$3,961 — weekly S1 (~+1.6R / measured continuation).</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TP3 (runner)</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$3,903 — weekly S2 $3,903.5; runner on 100%+ extension / range breakdown.</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Tranche mgmt</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3 equal units; U1 TP1, U2 TP2; on U2 fill U3 stop → entry −0.2R ($4,028). 3A override: on the $3,961 break, stop → halfway entry-to-anchor.</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Confluences</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Entry: weekly P break. TP2: weekly S1 + $3,960 psychological. Fib 38.2% at ~$3,982.</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Invalidation</w:t>
            </w:r>
          </w:p>
        </w:tc>
        <w:tc>
          <w:tcPr>
            <w:tcW w:type="dxa" w:w="6860"/>
            <w:tcMar>
              <w:top w:type="dxa" w:w="40"/>
              <w:left w:type="dxa" w:w="70"/>
              <w:bottom w:type="dxa" w:w="40"/>
              <w:right w:type="dxa" w:w="70"/>
            </w:tcMar>
            <w:vAlign w:val="center"/>
          </w:tcPr>
          <w:p>
            <w:pPr>
              <w:spacing w:after="0" w:line="240"/>
            </w:pPr>
            <w:r>
              <w:rPr>
                <w:rFonts w:ascii="Calibri" w:cs="Calibri" w:eastAsia="Calibri" w:hAnsi="Calibri"/>
                <w:sz w:val="17"/>
                <w:szCs w:val="17"/>
              </w:rPr>
              <w:t xml:space="preserve">Daily close back above $4,056 (daily P / spot consensus) negates the breakdown.</w:t>
            </w:r>
          </w:p>
        </w:tc>
      </w:tr>
      <w:tr>
        <w:tc>
          <w:tcPr>
            <w:tcW w:type="dxa" w:w="2500"/>
            <w:shd w:fill="F2F2F2" w:color="auto" w:val="clear"/>
            <w:tcMar>
              <w:top w:type="dxa" w:w="40"/>
              <w:left w:type="dxa" w:w="70"/>
              <w:bottom w:type="dxa" w:w="40"/>
              <w:right w:type="dxa" w:w="70"/>
            </w:tcMar>
            <w:vAlign w:val="center"/>
          </w:tcPr>
          <w:p>
            <w:pPr>
              <w:spacing w:after="0" w:line="240"/>
            </w:pPr>
            <w:r>
              <w:rPr>
                <w:rFonts w:ascii="Calibri" w:cs="Calibri" w:eastAsia="Calibri" w:hAnsi="Calibri"/>
                <w:b/>
                <w:bCs/>
                <w:sz w:val="17"/>
                <w:szCs w:val="17"/>
              </w:rPr>
              <w:t xml:space="preserve">Caveats</w:t>
            </w:r>
          </w:p>
        </w:tc>
        <w:tc>
          <w:tcPr>
            <w:tcW w:type="dxa" w:w="6860"/>
            <w:tcMar>
              <w:top w:type="dxa" w:w="40"/>
              <w:left w:type="dxa" w:w="70"/>
              <w:bottom w:type="dxa" w:w="40"/>
              <w:right w:type="dxa" w:w="70"/>
            </w:tcMar>
            <w:vAlign w:val="center"/>
          </w:tcPr>
          <w:p>
            <w:pPr>
              <w:spacing w:after="0" w:line="240"/>
            </w:pPr>
            <w:r>
              <w:rPr>
                <w:rFonts w:ascii="Calibri" w:cs="Calibri" w:eastAsia="Calibri" w:hAnsi="Calibri"/>
                <w:color w:val="9C6500"/>
                <w:sz w:val="17"/>
                <w:szCs w:val="17"/>
              </w:rPr>
              <w:t xml:space="preserve">Holding period collides with the 29 Jul FOMC (§13d Tier-1) — size down; Predominantly-Bearish sentiment supports direction; fib anchor from corroborated swing.</w:t>
            </w:r>
          </w:p>
        </w:tc>
      </w:tr>
    </w:tbl>
    <w:p>
      <w:pPr>
        <w:spacing w:after="80"/>
      </w:pPr>
    </w:p>
    <w:p>
      <w:pPr>
        <w:spacing w:after="80" w:before="140"/>
      </w:pPr>
      <w:r>
        <w:rPr>
          <w:rFonts w:ascii="Calibri" w:cs="Calibri" w:eastAsia="Calibri" w:hAnsi="Calibri"/>
          <w:b/>
          <w:bCs/>
          <w:color w:val="8B2E5D"/>
          <w:sz w:val="22"/>
          <w:szCs w:val="22"/>
        </w:rPr>
        <w:t xml:space="preserve">§21c  5-Session No-Leakage Backtest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750"/>
        <w:gridCol w:w="1250"/>
        <w:gridCol w:w="1200"/>
        <w:gridCol w:w="1050"/>
        <w:gridCol w:w="1900"/>
        <w:gridCol w:w="1160"/>
        <w:gridCol w:w="1050"/>
      </w:tblGrid>
      <w:tr>
        <w:trPr>
          <w:tblHeader/>
        </w:trPr>
        <w:tc>
          <w:tcPr>
            <w:tcW w:type="dxa" w:w="175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Date (t−N)</w:t>
            </w:r>
          </w:p>
        </w:tc>
        <w:tc>
          <w:tcPr>
            <w:tcW w:type="dxa" w:w="125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Strategy</w:t>
            </w:r>
          </w:p>
        </w:tc>
        <w:tc>
          <w:tcPr>
            <w:tcW w:type="dxa" w:w="120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Direction</w:t>
            </w:r>
          </w:p>
        </w:tc>
        <w:tc>
          <w:tcPr>
            <w:tcW w:type="dxa" w:w="105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Triggered</w:t>
            </w:r>
          </w:p>
        </w:tc>
        <w:tc>
          <w:tcPr>
            <w:tcW w:type="dxa" w:w="190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Entry / Exit</w:t>
            </w:r>
          </w:p>
        </w:tc>
        <w:tc>
          <w:tcPr>
            <w:tcW w:type="dxa" w:w="116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Outcome (R)</w:t>
            </w:r>
          </w:p>
        </w:tc>
        <w:tc>
          <w:tcPr>
            <w:tcW w:type="dxa" w:w="1050"/>
            <w:shd w:fill="8B2E5D" w:color="auto" w:val="clear"/>
            <w:tcMar>
              <w:top w:type="dxa" w:w="40"/>
              <w:left w:type="dxa" w:w="70"/>
              <w:bottom w:type="dxa" w:w="40"/>
              <w:right w:type="dxa" w:w="70"/>
            </w:tcMar>
            <w:vAlign w:val="center"/>
          </w:tcPr>
          <w:p>
            <w:pPr>
              <w:spacing w:after="0" w:line="240"/>
              <w:jc w:val="left"/>
            </w:pPr>
            <w:r>
              <w:rPr>
                <w:rFonts w:ascii="Calibri" w:cs="Calibri" w:eastAsia="Calibri" w:hAnsi="Calibri"/>
                <w:b/>
                <w:bCs/>
                <w:color w:val="FFFFFF"/>
                <w:sz w:val="18"/>
                <w:szCs w:val="18"/>
              </w:rPr>
              <w:t xml:space="preserve">Days</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Mon 20 Jul (t−5)</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1</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SUPPRESSED</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Mon 20 Jul (t−5)</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2</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limit $4,027 not hit</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0.00</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Mon 20 Jul (t−5)</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3A</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 wk-P break</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0.00</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Tue 21 Jul (t−4)</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1</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LONG</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4,049 → 4,072</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+0.8R</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Tue 21 Jul (t−4)</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2</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strength, no fade fill</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0.00</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Wed 22 Jul (t−3)</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1</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LONG</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4,127 → 4,147 (peak)</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+0.5R (open)</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Wed 22 Jul (t−3)</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2</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fade 4,150 → 4,110</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+1.0R</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Thu 23 Jul (t−2)</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1</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4,121 → 4,049</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+1.8R</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Thu 23 Jul (t−2)</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3A</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break 4,090 → 4,046</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+1.2R</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Fri 24 Jul (t−1)</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1</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SUPPRESSED</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score sub-thresh</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Fri 24 Jul (t−1)</w:t>
            </w:r>
          </w:p>
        </w:tc>
        <w:tc>
          <w:tcPr>
            <w:tcW w:type="dxa" w:w="12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2</w:t>
            </w:r>
          </w:p>
        </w:tc>
        <w:tc>
          <w:tcPr>
            <w:tcW w:type="dxa" w:w="12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w:t>
            </w:r>
          </w:p>
        </w:tc>
        <w:tc>
          <w:tcPr>
            <w:tcW w:type="dxa" w:w="190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no push to R1</w:t>
            </w:r>
          </w:p>
        </w:tc>
        <w:tc>
          <w:tcPr>
            <w:tcW w:type="dxa" w:w="116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0.00</w:t>
            </w:r>
          </w:p>
        </w:tc>
        <w:tc>
          <w:tcPr>
            <w:tcW w:type="dxa" w:w="1050"/>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w:t>
            </w:r>
          </w:p>
        </w:tc>
      </w:tr>
      <w:tr>
        <w:tc>
          <w:tcPr>
            <w:tcW w:type="dxa" w:w="17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Fri 24 Jul (t−1)</w:t>
            </w:r>
          </w:p>
        </w:tc>
        <w:tc>
          <w:tcPr>
            <w:tcW w:type="dxa" w:w="12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Trade 3A</w:t>
            </w:r>
          </w:p>
        </w:tc>
        <w:tc>
          <w:tcPr>
            <w:tcW w:type="dxa" w:w="12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SHORT</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YES</w:t>
            </w:r>
          </w:p>
        </w:tc>
        <w:tc>
          <w:tcPr>
            <w:tcW w:type="dxa" w:w="190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break → 4,022 rebound</w:t>
            </w:r>
          </w:p>
        </w:tc>
        <w:tc>
          <w:tcPr>
            <w:tcW w:type="dxa" w:w="116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−1.0R</w:t>
            </w:r>
          </w:p>
        </w:tc>
        <w:tc>
          <w:tcPr>
            <w:tcW w:type="dxa" w:w="1050"/>
            <w:shd w:fill="F2F2F2" w:color="auto" w:val="clear"/>
            <w:tcMar>
              <w:top w:type="dxa" w:w="40"/>
              <w:left w:type="dxa" w:w="70"/>
              <w:bottom w:type="dxa" w:w="40"/>
              <w:right w:type="dxa" w:w="70"/>
            </w:tcMar>
            <w:vAlign w:val="center"/>
          </w:tcPr>
          <w:p>
            <w:pPr>
              <w:spacing w:after="0" w:line="240"/>
            </w:pPr>
            <w:r>
              <w:rPr>
                <w:rFonts w:ascii="Calibri" w:cs="Calibri" w:eastAsia="Calibri" w:hAnsi="Calibri"/>
                <w:sz w:val="15"/>
                <w:szCs w:val="15"/>
              </w:rPr>
              <w:t xml:space="preserve">1</w:t>
            </w:r>
          </w:p>
        </w:tc>
      </w:tr>
    </w:tbl>
    <w:p>
      <w:pPr>
        <w:spacing w:after="80" w:before="140"/>
      </w:pPr>
      <w:r>
        <w:rPr>
          <w:rFonts w:ascii="Calibri" w:cs="Calibri" w:eastAsia="Calibri" w:hAnsi="Calibri"/>
          <w:b/>
          <w:bCs/>
          <w:color w:val="8B2E5D"/>
          <w:sz w:val="22"/>
          <w:szCs w:val="22"/>
        </w:rPr>
        <w:t xml:space="preserve">§21d  'What Is Working' Aggregate</w:t>
      </w:r>
    </w:p>
    <w:p>
      <w:pPr>
        <w:spacing w:after="120" w:before="0" w:line="276"/>
      </w:pPr>
      <w:r>
        <w:rPr>
          <w:rFonts w:ascii="Calibri" w:cs="Calibri" w:eastAsia="Calibri" w:hAnsi="Calibri"/>
          <w:sz w:val="20"/>
          <w:szCs w:val="20"/>
        </w:rPr>
        <w:t xml:space="preserve">Trade 1 over the last 5 sessions: triggered 3/5, mean R = +1.03, TP1/TP2/TP3 = 100% / 33% / 0%. Trade 2: triggered 1/4 attempts, mean R = +1.00 (single fill), TP hit at range extreme. Trade 3A: triggered 2/3, mean R = +0.10 (one +1.2R, one −1.0R). </w:t>
      </w:r>
      <w:r>
        <w:rPr>
          <w:rFonts w:ascii="Calibri" w:cs="Calibri" w:eastAsia="Calibri" w:hAnsi="Calibri"/>
          <w:b/>
          <w:bCs/>
          <w:sz w:val="20"/>
          <w:szCs w:val="20"/>
        </w:rPr>
        <w:t xml:space="preserve">Strongest performer: Trade 1 (Daily Directional), mean R +1.03. Weakest: Trade 3A, mean R +0.10. </w:t>
      </w:r>
    </w:p>
    <w:p>
      <w:pPr>
        <w:spacing w:after="120" w:before="0" w:line="276"/>
      </w:pPr>
      <w:r>
        <w:rPr>
          <w:rFonts w:ascii="Calibri" w:cs="Calibri" w:eastAsia="Calibri" w:hAnsi="Calibri"/>
          <w:b/>
          <w:bCs/>
          <w:i/>
          <w:iCs/>
          <w:color w:val="595959"/>
          <w:sz w:val="18"/>
          <w:szCs w:val="18"/>
        </w:rPr>
        <w:t xml:space="preserve">Limitations: </w:t>
      </w:r>
      <w:r>
        <w:rPr>
          <w:rFonts w:ascii="Calibri" w:cs="Calibri" w:eastAsia="Calibri" w:hAnsi="Calibri"/>
          <w:i/>
          <w:iCs/>
          <w:color w:val="595959"/>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1a6b3a" w:sz="10"/>
        </w:pBdr>
        <w:spacing w:after="110" w:before="220"/>
      </w:pPr>
      <w:r>
        <w:rPr>
          <w:rFonts w:ascii="Calibri" w:cs="Calibri" w:eastAsia="Calibri" w:hAnsi="Calibri"/>
          <w:b/>
          <w:bCs/>
          <w:color w:val="1a6b3a"/>
          <w:sz w:val="26"/>
          <w:szCs w:val="26"/>
        </w:rPr>
        <w:t xml:space="preserve">Appendix — Silver (XAG/USD) Condensed Read</w:t>
      </w:r>
    </w:p>
    <w:p>
      <w:pPr>
        <w:spacing w:after="120" w:before="0" w:line="276"/>
      </w:pPr>
      <w:r>
        <w:rPr>
          <w:rFonts w:ascii="Calibri" w:cs="Calibri" w:eastAsia="Calibri" w:hAnsi="Calibri"/>
          <w:sz w:val="20"/>
          <w:szCs w:val="20"/>
        </w:rPr>
        <w:t xml:space="preserve">Silver closed the week ~$58.2/oz (weekly gain ~3.4%), outperforming gold and compressing the gold-silver ratio to ~69.5. Structurally supported by a 2026 supply deficit (~46 Moz) and AI/clean-energy industrial demand (&gt;55% of usage). Regime: mildly bullish within an ascending trendline off the mid-July low; resistance $59.80–60.00, support $57.0. Silver's relative strength confirms a floor under the precious-metals complex (see §10).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Gold Daily Report  │  27 July 2026  │  Senior Commodities Analyst — Precious Metals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3d39b7ee02166426fd332f5f3dc9325a7e4923.png"/><Relationship Id="rId9" Type="http://schemas.openxmlformats.org/officeDocument/2006/relationships/image" Target="media/3a8f938eba97e4afa8e864f66e85642b0725b37b.png"/><Relationship Id="rId10" Type="http://schemas.openxmlformats.org/officeDocument/2006/relationships/image" Target="media/48a16eb143efb7d3c390f46f0e0c585f03e206d9.png"/><Relationship Id="rId11" Type="http://schemas.openxmlformats.org/officeDocument/2006/relationships/image" Target="media/52a8ff570b24009d65b85db17d0fab5eb8e9260d.png"/><Relationship Id="rId12" Type="http://schemas.openxmlformats.org/officeDocument/2006/relationships/image" Target="media/e8871e49fc3d5f7a3b8fedb75aff224ecead740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 Report — Daily 27 July 2026</dc:title>
  <dc:creator>Senior Commodities Analyst — Precious Metals</dc:creator>
  <cp:lastModifiedBy>Un-named</cp:lastModifiedBy>
  <cp:revision>1</cp:revision>
  <dcterms:created xsi:type="dcterms:W3CDTF">2026-07-26T21:45:27.864Z</dcterms:created>
  <dcterms:modified xsi:type="dcterms:W3CDTF">2026-07-26T21:45:27.875Z</dcterms:modified>
</cp:coreProperties>
</file>

<file path=docProps/custom.xml><?xml version="1.0" encoding="utf-8"?>
<Properties xmlns="http://schemas.openxmlformats.org/officeDocument/2006/custom-properties" xmlns:vt="http://schemas.openxmlformats.org/officeDocument/2006/docPropsVTypes"/>
</file>