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Gold Report — Daily: 28 July 2026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6B6B6B"/>
          <w:sz w:val="21"/>
          <w:szCs w:val="21"/>
        </w:rPr>
        <w:t xml:space="preserve">With reference to: Silver · USDX · S&amp;P 500 · DAX 40</w:t>
      </w:r>
    </w:p>
    <w:p>
      <w:pPr>
        <w:pBdr>
          <w:bottom w:val="single" w:color="8A6D1F" w:sz="14" w:space="6"/>
        </w:pBdr>
        <w:spacing w:after="60"/>
      </w:pPr>
      <w:r>
        <w:rPr>
          <w:rFonts w:ascii="Calibri" w:cs="Calibri" w:eastAsia="Calibri" w:hAnsi="Calibri"/>
          <w:color w:val="6B6B6B"/>
          <w:sz w:val="18"/>
          <w:szCs w:val="18"/>
        </w:rPr>
        <w:t xml:space="preserve">Spot XAU/USD (loco London) · GC=F front-month corroboration · As of close 27 July 2026 (Europe/London)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8A6D1F" w:sz="10" w:space="4"/>
        </w:pBdr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 · Executive Snapshot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Consensus spot gold is assessed at </w:t>
      </w:r>
      <w:r>
        <w:rPr>
          <w:rFonts w:ascii="Calibri" w:cs="Calibri" w:eastAsia="Calibri" w:hAnsi="Calibri"/>
          <w:b/>
          <w:bCs/>
          <w:color w:val="8A6D1F"/>
          <w:sz w:val="21"/>
          <w:szCs w:val="21"/>
        </w:rPr>
        <w:t xml:space="preserve">$4,077/oz</w:t>
      </w:r>
      <w:r>
        <w:rPr>
          <w:rFonts w:ascii="Calibri" w:cs="Calibri" w:eastAsia="Calibri" w:hAnsi="Calibri"/>
          <w:sz w:val="21"/>
          <w:szCs w:val="21"/>
        </w:rPr>
        <w:t xml:space="preserve"> (indicative range $4,050–$4,100), with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balanced-to-constructive near-term tone</w:t>
      </w:r>
      <w:r>
        <w:rPr>
          <w:rFonts w:ascii="Calibri" w:cs="Calibri" w:eastAsia="Calibri" w:hAnsi="Calibri"/>
          <w:sz w:val="21"/>
          <w:szCs w:val="21"/>
        </w:rPr>
        <w:t xml:space="preserve">. The three dominant drivers are (i) the weekend US–Iran de-escalation that pulled crude sharply lower and eased the energy-inflation channel that had been pressuring bullion; (ii) the imminent 29 July FOMC decision, where markets price roughly a 30% chance of a hike this week and ~80% by September, keeping real-yield risk elevated; and (iii) persistent structural central-bank demand (PBoC, Poland, Uzbekistan) underpinning dips. The short-term technical state is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Transitional–Mixed</w:t>
      </w:r>
      <w:r>
        <w:rPr>
          <w:rFonts w:ascii="Calibri" w:cs="Calibri" w:eastAsia="Calibri" w:hAnsi="Calibri"/>
          <w:sz w:val="21"/>
          <w:szCs w:val="21"/>
        </w:rPr>
        <w:t xml:space="preserve"> after a two-sided week (a push to a two-week high near $4,166 on 22 July, a sharp reversal into 24 July, then a Monday rebound off $4,009). The medium-term 25-session state is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Trending–Bullish</w:t>
      </w:r>
      <w:r>
        <w:rPr>
          <w:rFonts w:ascii="Calibri" w:cs="Calibri" w:eastAsia="Calibri" w:hAnsi="Calibri"/>
          <w:sz w:val="21"/>
          <w:szCs w:val="21"/>
        </w:rPr>
        <w:t xml:space="preserve"> (structure up ~14% off the late-June base, close in the top third of the range). The Kaufman regime reads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Trending Up — Moderate</w:t>
      </w:r>
      <w:r>
        <w:rPr>
          <w:rFonts w:ascii="Calibri" w:cs="Calibri" w:eastAsia="Calibri" w:hAnsi="Calibri"/>
          <w:sz w:val="21"/>
          <w:szCs w:val="21"/>
        </w:rPr>
        <w:t xml:space="preserve"> (efficiency ratio +0.41). Directional conviction for the 28 July session is </w:t>
      </w:r>
      <w:r>
        <w:rPr>
          <w:rFonts w:ascii="Calibri" w:cs="Calibri" w:eastAsia="Calibri" w:hAnsi="Calibri"/>
          <w:b/>
          <w:bCs/>
          <w:color w:val="1a7f4b"/>
          <w:sz w:val="21"/>
          <w:szCs w:val="21"/>
        </w:rPr>
        <w:t xml:space="preserve">LONG (score +0.39)</w:t>
      </w:r>
      <w:r>
        <w:rPr>
          <w:rFonts w:ascii="Calibri" w:cs="Calibri" w:eastAsia="Calibri" w:hAnsi="Calibri"/>
          <w:sz w:val="21"/>
          <w:szCs w:val="21"/>
        </w:rPr>
        <w:t xml:space="preserve">, driven mainly by the medium-term uptrend, though it sits inside a transitional short-term tape. The single most important watch item is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FOMC rate decision on 29 July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1"/>
        <w:pBdr>
          <w:bottom w:val="single" w:color="8A6D1F" w:sz="10" w:space="4"/>
        </w:pBdr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2 · Market Definition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2"/>
          <w:insideV w:val="single" w:color="C9C9C9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Attribute</w:t>
            </w:r>
          </w:p>
        </w:tc>
        <w:tc>
          <w:tcPr>
            <w:tcW w:type="dxa" w:w="676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Asset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Gold — spot XAU/USD (London Good Delivery, 99.99%, 400-oz quote convention)</w:t>
            </w:r>
          </w:p>
        </w:tc>
      </w:tr>
      <w:tr>
        <w:tc>
          <w:tcPr>
            <w:tcW w:type="dxa" w:w="26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Corroboration instrument</w:t>
            </w:r>
          </w:p>
        </w:tc>
        <w:tc>
          <w:tcPr>
            <w:tcW w:type="dxa" w:w="676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CME front-month futures (GC=F, August) used for cross-validation only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Scope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Global 24-hour OTC market (London/COMEX/Singapore/Shanghai)</w:t>
            </w:r>
          </w:p>
        </w:tc>
      </w:tr>
      <w:tr>
        <w:tc>
          <w:tcPr>
            <w:tcW w:type="dxa" w:w="26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Delivery / price basis</w:t>
            </w:r>
          </w:p>
        </w:tc>
        <w:tc>
          <w:tcPr>
            <w:tcW w:type="dxa" w:w="676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OTC London spot, immediate settlement (T+2 loco London)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Unit / currency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USD per troy ounce (USD/oz)</w:t>
            </w:r>
          </w:p>
        </w:tc>
      </w:tr>
      <w:tr>
        <w:tc>
          <w:tcPr>
            <w:tcW w:type="dxa" w:w="26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As-of</w:t>
            </w:r>
          </w:p>
        </w:tc>
        <w:tc>
          <w:tcPr>
            <w:tcW w:type="dxa" w:w="676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Close 27 July 2026, Europe/London; report session dated 28 July 2026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Lookback window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 sessions (execution block); 25 sessions (regime block)</w:t>
            </w:r>
          </w:p>
        </w:tc>
      </w:tr>
    </w:tbl>
    <w:p>
      <w:pPr>
        <w:pStyle w:val="Heading1"/>
        <w:pBdr>
          <w:bottom w:val="single" w:color="8A6D1F" w:sz="10" w:space="4"/>
        </w:pBdr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3 · Consensus Price Call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2"/>
          <w:insideV w:val="single" w:color="C9C9C9" w:sz="2"/>
        </w:tblBorders>
      </w:tblPr>
      <w:tblGrid>
        <w:gridCol w:w="1300"/>
        <w:gridCol w:w="1400"/>
        <w:gridCol w:w="1400"/>
        <w:gridCol w:w="1250"/>
        <w:gridCol w:w="1900"/>
        <w:gridCol w:w="2110"/>
      </w:tblGrid>
      <w:tr>
        <w:trPr>
          <w:tblHeader/>
        </w:trPr>
        <w:tc>
          <w:tcPr>
            <w:tcW w:type="dxa" w:w="130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Consensus price</w:t>
            </w:r>
          </w:p>
        </w:tc>
        <w:tc>
          <w:tcPr>
            <w:tcW w:type="dxa" w:w="140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Range</w:t>
            </w:r>
          </w:p>
        </w:tc>
        <w:tc>
          <w:tcPr>
            <w:tcW w:type="dxa" w:w="140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Basis</w:t>
            </w:r>
          </w:p>
        </w:tc>
        <w:tc>
          <w:tcPr>
            <w:tcW w:type="dxa" w:w="125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90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Tone</w:t>
            </w:r>
          </w:p>
        </w:tc>
        <w:tc>
          <w:tcPr>
            <w:tcW w:type="dxa" w:w="211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19"/>
                <w:szCs w:val="19"/>
              </w:rPr>
              <w:t xml:space="preserve">$4,077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$4,050 – $4,100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Spot, loco London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Medium (M)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Balanced-to-constructive</w:t>
            </w:r>
          </w:p>
        </w:tc>
        <w:tc>
          <w:tcPr>
            <w:tcW w:type="dxa" w:w="211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Weighted-median of six independent feeds; spot/futures basis reconciled. Fed decision is the binary risk into the window.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Confidence is Medium rather than High because the two-source ±$0.50 corroboration bar is tight for a 24-hour OTC market: independent aggregators and the spot-vs-futures basis diverge by several dollars intraday, so several session extremes are accepted at the weighted-median level rather than as sub-dollar corroborated prints (see §19).</w:t>
      </w:r>
    </w:p>
    <w:p>
      <w:pPr>
        <w:pStyle w:val="Heading1"/>
        <w:pBdr>
          <w:bottom w:val="single" w:color="8A6D1F" w:sz="10" w:space="4"/>
        </w:pBdr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 · Price Evidence Table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2"/>
          <w:insideV w:val="single" w:color="C9C9C9" w:sz="2"/>
        </w:tblBorders>
      </w:tblPr>
      <w:tblGrid>
        <w:gridCol w:w="1450"/>
        <w:gridCol w:w="1250"/>
        <w:gridCol w:w="1250"/>
        <w:gridCol w:w="1400"/>
        <w:gridCol w:w="1350"/>
        <w:gridCol w:w="900"/>
        <w:gridCol w:w="1760"/>
      </w:tblGrid>
      <w:tr>
        <w:trPr>
          <w:tblHeader/>
        </w:trPr>
        <w:tc>
          <w:tcPr>
            <w:tcW w:type="dxa" w:w="145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Source</w:t>
            </w:r>
          </w:p>
        </w:tc>
        <w:tc>
          <w:tcPr>
            <w:tcW w:type="dxa" w:w="125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Date/Time (UTC)</w:t>
            </w:r>
          </w:p>
        </w:tc>
        <w:tc>
          <w:tcPr>
            <w:tcW w:type="dxa" w:w="125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Raw quote</w:t>
            </w:r>
          </w:p>
        </w:tc>
        <w:tc>
          <w:tcPr>
            <w:tcW w:type="dxa" w:w="140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Normalized (USD/oz)</w:t>
            </w:r>
          </w:p>
        </w:tc>
        <w:tc>
          <w:tcPr>
            <w:tcW w:type="dxa" w:w="135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Basis/Location</w:t>
            </w:r>
          </w:p>
        </w:tc>
        <w:tc>
          <w:tcPr>
            <w:tcW w:type="dxa" w:w="90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Class.</w:t>
            </w:r>
          </w:p>
        </w:tc>
        <w:tc>
          <w:tcPr>
            <w:tcW w:type="dxa" w:w="176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 Jul 19:04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4,083.43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4,083.43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Spot XAU/USD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1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Live; O 4,053.17 / H 4,116.16 / prev-close 4,053.17</w:t>
            </w:r>
          </w:p>
        </w:tc>
      </w:tr>
      <w:tr>
        <w:tc>
          <w:tcPr>
            <w:tcW w:type="dxa" w:w="14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TradingEconomics</w:t>
            </w:r>
          </w:p>
        </w:tc>
        <w:tc>
          <w:tcPr>
            <w:tcW w:type="dxa" w:w="12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 Jul</w:t>
            </w:r>
          </w:p>
        </w:tc>
        <w:tc>
          <w:tcPr>
            <w:tcW w:type="dxa" w:w="12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4,076.49–4,077.21</w:t>
            </w:r>
          </w:p>
        </w:tc>
        <w:tc>
          <w:tcPr>
            <w:tcW w:type="dxa" w:w="14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4,077.00</w:t>
            </w:r>
          </w:p>
        </w:tc>
        <w:tc>
          <w:tcPr>
            <w:tcW w:type="dxa" w:w="13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Spot CFD</w:t>
            </w:r>
          </w:p>
        </w:tc>
        <w:tc>
          <w:tcPr>
            <w:tcW w:type="dxa" w:w="9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176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+0.62% on day; benchmark reference</w:t>
            </w:r>
          </w:p>
        </w:tc>
      </w:tr>
      <w:tr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MQL5 (metals)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 Jul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4,087.52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4,087.52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Spot XAU/USD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1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Day range 4,009.11–4,116.23; prev-close 4,053.67</w:t>
            </w:r>
          </w:p>
        </w:tc>
      </w:tr>
      <w:tr>
        <w:tc>
          <w:tcPr>
            <w:tcW w:type="dxa" w:w="14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TradingView</w:t>
            </w:r>
          </w:p>
        </w:tc>
        <w:tc>
          <w:tcPr>
            <w:tcW w:type="dxa" w:w="12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 Jul</w:t>
            </w:r>
          </w:p>
        </w:tc>
        <w:tc>
          <w:tcPr>
            <w:tcW w:type="dxa" w:w="12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4,074.53</w:t>
            </w:r>
          </w:p>
        </w:tc>
        <w:tc>
          <w:tcPr>
            <w:tcW w:type="dxa" w:w="14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4,074.53</w:t>
            </w:r>
          </w:p>
        </w:tc>
        <w:tc>
          <w:tcPr>
            <w:tcW w:type="dxa" w:w="13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Spot XAU/USD</w:t>
            </w:r>
          </w:p>
        </w:tc>
        <w:tc>
          <w:tcPr>
            <w:tcW w:type="dxa" w:w="9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176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Session read</w:t>
            </w:r>
          </w:p>
        </w:tc>
      </w:tr>
      <w:tr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Yahoo/Reuters (GC=F)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 Jul open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4,053.40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≈4,053 spot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Aug futures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Direct.</w:t>
            </w:r>
          </w:p>
        </w:tc>
        <w:tc>
          <w:tcPr>
            <w:tcW w:type="dxa" w:w="1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+0.1% vs 23 Jul close; basis-adjusted</w:t>
            </w:r>
          </w:p>
        </w:tc>
      </w:tr>
      <w:tr>
        <w:tc>
          <w:tcPr>
            <w:tcW w:type="dxa" w:w="14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LiteFinance</w:t>
            </w:r>
          </w:p>
        </w:tc>
        <w:tc>
          <w:tcPr>
            <w:tcW w:type="dxa" w:w="12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 Jul</w:t>
            </w:r>
          </w:p>
        </w:tc>
        <w:tc>
          <w:tcPr>
            <w:tcW w:type="dxa" w:w="12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4,078.22 / 4,097.89</w:t>
            </w:r>
          </w:p>
        </w:tc>
        <w:tc>
          <w:tcPr>
            <w:tcW w:type="dxa" w:w="14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4,078–4,098</w:t>
            </w:r>
          </w:p>
        </w:tc>
        <w:tc>
          <w:tcPr>
            <w:tcW w:type="dxa" w:w="13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Spot XAU/USD</w:t>
            </w:r>
          </w:p>
        </w:tc>
        <w:tc>
          <w:tcPr>
            <w:tcW w:type="dxa" w:w="9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Direct.</w:t>
            </w:r>
          </w:p>
        </w:tc>
        <w:tc>
          <w:tcPr>
            <w:tcW w:type="dxa" w:w="176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Two feeds; used for range, not point</w:t>
            </w:r>
          </w:p>
        </w:tc>
      </w:tr>
      <w:tr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Vantage CFD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 Jul 04:17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4,088.13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4,088.13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Spot CFD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Direct.</w:t>
            </w:r>
          </w:p>
        </w:tc>
        <w:tc>
          <w:tcPr>
            <w:tcW w:type="dxa" w:w="1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Indicative CFD feed</w:t>
            </w:r>
          </w:p>
        </w:tc>
      </w:tr>
    </w:tbl>
    <w:p>
      <w:pPr>
        <w:pStyle w:val="Heading1"/>
        <w:pBdr>
          <w:bottom w:val="single" w:color="8A6D1F" w:sz="10" w:space="4"/>
        </w:pBdr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5 · Consensus Build Explanation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Seven observations were collected across exchange-linked, aggregator, and CFD feeds. All were normalised to spot XAU/USD, USD/oz, loco-London immediate settlement. The GC=F August-futures open (24 July) was basis-adjusted to spot by removing the small positive carry (~$0–5 at these rates), and CFD quotes (Vantage, MQL5) were retained as directional corroboration only, not as point anchors, per the restriction on retail spreads. Applying a weighted median — down-weighting the two CFD feeds and the single stale futures print, up-weighting Investing.com, TradingEconomics, and TradingView, which cluster tightly at $4,074–$4,088 — yields a defensible consensus of $4,077/oz. The range $4,050–$4,100 brackets Monday's realised session ($4,009 low, $4,116 high) around that median. No observation was excluded outright; the futures open and CFD quotes were down-weighted rather than dropped because they agreed directionally.</w:t>
      </w:r>
    </w:p>
    <w:p>
      <w:pPr>
        <w:pStyle w:val="Heading1"/>
        <w:pBdr>
          <w:bottom w:val="single" w:color="8A6D1F" w:sz="10" w:space="4"/>
        </w:pBdr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6 · Validated OHLC + RSI2 Table (5-Day)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2"/>
          <w:insideV w:val="single" w:color="C9C9C9" w:sz="2"/>
        </w:tblBorders>
      </w:tblPr>
      <w:tblGrid>
        <w:gridCol w:w="780"/>
        <w:gridCol w:w="830"/>
        <w:gridCol w:w="830"/>
        <w:gridCol w:w="830"/>
        <w:gridCol w:w="850"/>
        <w:gridCol w:w="640"/>
        <w:gridCol w:w="820"/>
        <w:gridCol w:w="900"/>
        <w:gridCol w:w="1080"/>
        <w:gridCol w:w="850"/>
        <w:gridCol w:w="950"/>
      </w:tblGrid>
      <w:tr>
        <w:trPr>
          <w:tblHeader/>
        </w:trPr>
        <w:tc>
          <w:tcPr>
            <w:tcW w:type="dxa" w:w="78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83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Open</w:t>
            </w:r>
          </w:p>
        </w:tc>
        <w:tc>
          <w:tcPr>
            <w:tcW w:type="dxa" w:w="83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83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85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Close</w:t>
            </w:r>
          </w:p>
        </w:tc>
        <w:tc>
          <w:tcPr>
            <w:tcW w:type="dxa" w:w="64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RSI2</w:t>
            </w:r>
          </w:p>
        </w:tc>
        <w:tc>
          <w:tcPr>
            <w:tcW w:type="dxa" w:w="82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Trend</w:t>
            </w:r>
          </w:p>
        </w:tc>
        <w:tc>
          <w:tcPr>
            <w:tcW w:type="dxa" w:w="90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Src A</w:t>
            </w:r>
          </w:p>
        </w:tc>
        <w:tc>
          <w:tcPr>
            <w:tcW w:type="dxa" w:w="108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Src B</w:t>
            </w:r>
          </w:p>
        </w:tc>
        <w:tc>
          <w:tcPr>
            <w:tcW w:type="dxa" w:w="85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Final</w:t>
            </w:r>
          </w:p>
        </w:tc>
        <w:tc>
          <w:tcPr>
            <w:tcW w:type="dxa" w:w="95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07-21</w:t>
            </w:r>
          </w:p>
        </w:tc>
        <w:tc>
          <w:tcPr>
            <w:tcW w:type="dxa" w:w="83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4,079.00</w:t>
            </w:r>
          </w:p>
        </w:tc>
        <w:tc>
          <w:tcPr>
            <w:tcW w:type="dxa" w:w="83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4,112.00</w:t>
            </w:r>
          </w:p>
        </w:tc>
        <w:tc>
          <w:tcPr>
            <w:tcW w:type="dxa" w:w="83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4,058.00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4,106.00</w:t>
            </w:r>
          </w:p>
        </w:tc>
        <w:tc>
          <w:tcPr>
            <w:tcW w:type="dxa" w:w="6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100.0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f4b"/>
                <w:sz w:val="19"/>
                <w:szCs w:val="19"/>
              </w:rPr>
              <w:t xml:space="preserve">Bullish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MQL5/TradingView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4,106.00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MEDIAN-ACCEPTED</w:t>
            </w:r>
          </w:p>
        </w:tc>
      </w:tr>
      <w:tr>
        <w:tc>
          <w:tcPr>
            <w:tcW w:type="dxa" w:w="78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07-22</w:t>
            </w:r>
          </w:p>
        </w:tc>
        <w:tc>
          <w:tcPr>
            <w:tcW w:type="dxa" w:w="83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4,106.00</w:t>
            </w:r>
          </w:p>
        </w:tc>
        <w:tc>
          <w:tcPr>
            <w:tcW w:type="dxa" w:w="83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4,165.87</w:t>
            </w:r>
          </w:p>
        </w:tc>
        <w:tc>
          <w:tcPr>
            <w:tcW w:type="dxa" w:w="83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4,092.00</w:t>
            </w:r>
          </w:p>
        </w:tc>
        <w:tc>
          <w:tcPr>
            <w:tcW w:type="dxa" w:w="8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4,157.00</w:t>
            </w:r>
          </w:p>
        </w:tc>
        <w:tc>
          <w:tcPr>
            <w:tcW w:type="dxa" w:w="64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100.0</w:t>
            </w:r>
          </w:p>
        </w:tc>
        <w:tc>
          <w:tcPr>
            <w:tcW w:type="dxa" w:w="82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f4b"/>
                <w:sz w:val="19"/>
                <w:szCs w:val="19"/>
              </w:rPr>
              <w:t xml:space="preserve">Bullish</w:t>
            </w:r>
          </w:p>
        </w:tc>
        <w:tc>
          <w:tcPr>
            <w:tcW w:type="dxa" w:w="9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108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MQL5/TradingView</w:t>
            </w:r>
          </w:p>
        </w:tc>
        <w:tc>
          <w:tcPr>
            <w:tcW w:type="dxa" w:w="8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4,157.00</w:t>
            </w:r>
          </w:p>
        </w:tc>
        <w:tc>
          <w:tcPr>
            <w:tcW w:type="dxa" w:w="9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MEDIAN-ACCEPTED</w:t>
            </w:r>
          </w:p>
        </w:tc>
      </w:tr>
      <w:tr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07-23</w:t>
            </w:r>
          </w:p>
        </w:tc>
        <w:tc>
          <w:tcPr>
            <w:tcW w:type="dxa" w:w="83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4,157.00</w:t>
            </w:r>
          </w:p>
        </w:tc>
        <w:tc>
          <w:tcPr>
            <w:tcW w:type="dxa" w:w="83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4,160.00</w:t>
            </w:r>
          </w:p>
        </w:tc>
        <w:tc>
          <w:tcPr>
            <w:tcW w:type="dxa" w:w="83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4,062.00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4,076.00</w:t>
            </w:r>
          </w:p>
        </w:tc>
        <w:tc>
          <w:tcPr>
            <w:tcW w:type="dxa" w:w="6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38.6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Bearish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MQL5/TradingView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4,076.00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MEDIAN-ACCEPTED</w:t>
            </w:r>
          </w:p>
        </w:tc>
      </w:tr>
      <w:tr>
        <w:tc>
          <w:tcPr>
            <w:tcW w:type="dxa" w:w="78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07-24</w:t>
            </w:r>
          </w:p>
        </w:tc>
        <w:tc>
          <w:tcPr>
            <w:tcW w:type="dxa" w:w="83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4,076.00</w:t>
            </w:r>
          </w:p>
        </w:tc>
        <w:tc>
          <w:tcPr>
            <w:tcW w:type="dxa" w:w="83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4,082.45</w:t>
            </w:r>
          </w:p>
        </w:tc>
        <w:tc>
          <w:tcPr>
            <w:tcW w:type="dxa" w:w="83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4,021.56</w:t>
            </w:r>
          </w:p>
        </w:tc>
        <w:tc>
          <w:tcPr>
            <w:tcW w:type="dxa" w:w="8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4,053.17</w:t>
            </w:r>
          </w:p>
        </w:tc>
        <w:tc>
          <w:tcPr>
            <w:tcW w:type="dxa" w:w="64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</w:t>
            </w:r>
          </w:p>
        </w:tc>
        <w:tc>
          <w:tcPr>
            <w:tcW w:type="dxa" w:w="82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Bearish</w:t>
            </w:r>
          </w:p>
        </w:tc>
        <w:tc>
          <w:tcPr>
            <w:tcW w:type="dxa" w:w="9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108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MQL5/TradingView</w:t>
            </w:r>
          </w:p>
        </w:tc>
        <w:tc>
          <w:tcPr>
            <w:tcW w:type="dxa" w:w="8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4,053.17</w:t>
            </w:r>
          </w:p>
        </w:tc>
        <w:tc>
          <w:tcPr>
            <w:tcW w:type="dxa" w:w="9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CORROBORATED</w:t>
            </w:r>
          </w:p>
        </w:tc>
      </w:tr>
      <w:tr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07-27</w:t>
            </w:r>
          </w:p>
        </w:tc>
        <w:tc>
          <w:tcPr>
            <w:tcW w:type="dxa" w:w="83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4,053.17</w:t>
            </w:r>
          </w:p>
        </w:tc>
        <w:tc>
          <w:tcPr>
            <w:tcW w:type="dxa" w:w="83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4,116.23</w:t>
            </w:r>
          </w:p>
        </w:tc>
        <w:tc>
          <w:tcPr>
            <w:tcW w:type="dxa" w:w="83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4,009.11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4,077.00</w:t>
            </w:r>
          </w:p>
        </w:tc>
        <w:tc>
          <w:tcPr>
            <w:tcW w:type="dxa" w:w="6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51.1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f4b"/>
                <w:sz w:val="19"/>
                <w:szCs w:val="19"/>
              </w:rPr>
              <w:t xml:space="preserve">Bullish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MQL5/TradingView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4,077.00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CORROBORATED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RSI2 is period-2, computed from the validated close sequence (primed from corroborated 15–20 July closes). </w:t>
      </w:r>
      <w:r>
        <w:rPr>
          <w:rFonts w:ascii="Calibri" w:cs="Calibri" w:eastAsia="Calibri" w:hAnsi="Calibri"/>
          <w:b/>
          <w:bCs/>
          <w:color w:val="6B6B6B"/>
          <w:sz w:val="19"/>
          <w:szCs w:val="19"/>
        </w:rPr>
        <w:t xml:space="preserve">MEDIAN-ACCEPTED</w:t>
      </w: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 denotes an extreme where independent feeds diverged beyond the ±$0.50 gold tolerance and the weighted-median value was accepted for continuity; those rows are usable for directional context but the intraday High/Low are treated as indicative for pivot purposes (see §19).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Silver (XAG/USD) — secondary, condensed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2"/>
          <w:insideV w:val="single" w:color="C9C9C9" w:sz="2"/>
        </w:tblBorders>
      </w:tblPr>
      <w:tblGrid>
        <w:gridCol w:w="1600"/>
        <w:gridCol w:w="2400"/>
        <w:gridCol w:w="1600"/>
        <w:gridCol w:w="3760"/>
      </w:tblGrid>
      <w:tr>
        <w:trPr>
          <w:tblHeader/>
        </w:trPr>
        <w:tc>
          <w:tcPr>
            <w:tcW w:type="dxa" w:w="160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Close (USD/oz)</w:t>
            </w:r>
          </w:p>
        </w:tc>
        <w:tc>
          <w:tcPr>
            <w:tcW w:type="dxa" w:w="160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Day %</w:t>
            </w:r>
          </w:p>
        </w:tc>
        <w:tc>
          <w:tcPr>
            <w:tcW w:type="dxa" w:w="376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 Jul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57.3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Steadied ahead of Fed</w:t>
            </w:r>
          </w:p>
        </w:tc>
      </w:tr>
      <w:tr>
        <w:tc>
          <w:tcPr>
            <w:tcW w:type="dxa" w:w="16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 Jul</w:t>
            </w:r>
          </w:p>
        </w:tc>
        <w:tc>
          <w:tcPr>
            <w:tcW w:type="dxa" w:w="24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58.44</w:t>
            </w:r>
          </w:p>
        </w:tc>
        <w:tc>
          <w:tcPr>
            <w:tcW w:type="dxa" w:w="16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+0.79%</w:t>
            </w:r>
          </w:p>
        </w:tc>
        <w:tc>
          <w:tcPr>
            <w:tcW w:type="dxa" w:w="376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Outperformed gold; G/S ratio ~69.7</w:t>
            </w:r>
          </w:p>
        </w:tc>
      </w:tr>
    </w:tbl>
    <w:p>
      <w:pPr>
        <w:pStyle w:val="Heading1"/>
        <w:pBdr>
          <w:bottom w:val="single" w:color="8A6D1F" w:sz="10" w:space="4"/>
        </w:pBdr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7 · Charts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7.1  Five-session candlestick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7.2  Distance-from-open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7.3  25-session structure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7.4  Comparative volatility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7.5  Pivot structure</w:t>
      </w:r>
    </w:p>
    <w:p>
      <w:pPr>
        <w:spacing w:after="120" w:before="80"/>
        <w:jc w:val="center"/>
      </w:pPr>
      <w:r>
        <w:drawing>
          <wp:inline distT="0" distB="0" distL="0" distR="0">
            <wp:extent cx="5210175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8A6D1F" w:sz="10" w:space="4"/>
        </w:pBdr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8 · Short-Term Technical Analysis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21 Jul (see §6): </w:t>
      </w:r>
      <w:r>
        <w:rPr>
          <w:rFonts w:ascii="Calibri" w:cs="Calibri" w:eastAsia="Calibri" w:hAnsi="Calibri"/>
          <w:sz w:val="19"/>
          <w:szCs w:val="19"/>
        </w:rPr>
        <w:t xml:space="preserve">Bullish marubozu-like body closing near the high; RSI2 pinned at 100. Firm demand held gold above $4,050 and set the launchpad for the mid-week push.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22 Jul: </w:t>
      </w:r>
      <w:r>
        <w:rPr>
          <w:rFonts w:ascii="Calibri" w:cs="Calibri" w:eastAsia="Calibri" w:hAnsi="Calibri"/>
          <w:sz w:val="19"/>
          <w:szCs w:val="19"/>
        </w:rPr>
        <w:t xml:space="preserve">Strongest session — printed the two-week high $4,165.87 and closed in the upper third; RSI2 still 100. Clean continuation on safe-haven and dip-buying flows.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23 Jul: </w:t>
      </w:r>
      <w:r>
        <w:rPr>
          <w:rFonts w:ascii="Calibri" w:cs="Calibri" w:eastAsia="Calibri" w:hAnsi="Calibri"/>
          <w:sz w:val="19"/>
          <w:szCs w:val="19"/>
        </w:rPr>
        <w:t xml:space="preserve">Bearish reversal — opened at the prior close then sold off ~1.9% into a close near $4,076, a long upper body/wick rejection off $4,160. RSI2 collapsed to ~39 as rising crude and hawkish Fed pricing bit.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24 Jul: </w:t>
      </w:r>
      <w:r>
        <w:rPr>
          <w:rFonts w:ascii="Calibri" w:cs="Calibri" w:eastAsia="Calibri" w:hAnsi="Calibri"/>
          <w:sz w:val="19"/>
          <w:szCs w:val="19"/>
        </w:rPr>
        <w:t xml:space="preserve">Bearish continuation — quiet range, close near the low at $4,053.17, RSI2 washed to 0. Second consecutive down day confirms the pullback leg.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27 Jul: </w:t>
      </w:r>
      <w:r>
        <w:rPr>
          <w:rFonts w:ascii="Calibri" w:cs="Calibri" w:eastAsia="Calibri" w:hAnsi="Calibri"/>
          <w:sz w:val="19"/>
          <w:szCs w:val="19"/>
        </w:rPr>
        <w:t xml:space="preserve">Bullish rebound off $4,009.11 (the week's low) to close ~$4,077, close ~44% up the range; RSI2 recovered to ~51. A two-sided doji-ish recovery — buyers defended $4,000 but sellers capped $4,116.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Sequence assessment: </w:t>
      </w:r>
      <w:r>
        <w:rPr>
          <w:rFonts w:ascii="Calibri" w:cs="Calibri" w:eastAsia="Calibri" w:hAnsi="Calibri"/>
          <w:sz w:val="19"/>
          <w:szCs w:val="19"/>
        </w:rPr>
        <w:t xml:space="preserve">Indecision / two-sided rotation — up-up-down-down-up with prominent wicks on both flanks and RSI2 swinging the full 0–100 range. This is not a clean continuation or a clean exhaustion; it is a range rotation inside a broader uptrend.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Nearest support: </w:t>
      </w:r>
      <w:r>
        <w:rPr>
          <w:rFonts w:ascii="Calibri" w:cs="Calibri" w:eastAsia="Calibri" w:hAnsi="Calibri"/>
          <w:sz w:val="19"/>
          <w:szCs w:val="19"/>
        </w:rPr>
        <w:t xml:space="preserve">$4,053 (Fri close / daily P) then $4,009 (Mon low).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Nearest resistance: </w:t>
      </w:r>
      <w:r>
        <w:rPr>
          <w:rFonts w:ascii="Calibri" w:cs="Calibri" w:eastAsia="Calibri" w:hAnsi="Calibri"/>
          <w:sz w:val="19"/>
          <w:szCs w:val="19"/>
        </w:rPr>
        <w:t xml:space="preserve">$4,083 (daily R1) then $4,116 (Mon high) and $4,157–$4,166 (the two-week high zone).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Judgement label: </w:t>
      </w: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Range — </w:t>
      </w:r>
      <w:r>
        <w:rPr>
          <w:rFonts w:ascii="Calibri" w:cs="Calibri" w:eastAsia="Calibri" w:hAnsi="Calibri"/>
          <w:sz w:val="19"/>
          <w:szCs w:val="19"/>
        </w:rPr>
        <w:t xml:space="preserve">consistent with the Transitional short-term / Trending-Bullish medium-term synthesis; the short-term rotation is a pullback/consolidation within the larger uptrend (see §9). No conflict flagged.</w:t>
      </w:r>
    </w:p>
    <w:p>
      <w:pPr>
        <w:pStyle w:val="Heading1"/>
        <w:pBdr>
          <w:bottom w:val="single" w:color="8A6D1F" w:sz="10" w:space="4"/>
        </w:pBdr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9 · Medium-Term Regime &amp; VOLator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Regime classification: </w:t>
      </w:r>
      <w:r>
        <w:rPr>
          <w:rFonts w:ascii="Calibri" w:cs="Calibri" w:eastAsia="Calibri" w:hAnsi="Calibri"/>
          <w:sz w:val="19"/>
          <w:szCs w:val="19"/>
        </w:rPr>
        <w:t xml:space="preserve">Transitional (short) over Trending-Bullish (medium). </w:t>
      </w:r>
      <w:r>
        <w:rPr>
          <w:rFonts w:ascii="Calibri" w:cs="Calibri" w:eastAsia="Calibri" w:hAnsi="Calibri"/>
          <w:sz w:val="19"/>
          <w:szCs w:val="19"/>
        </w:rPr>
        <w:t xml:space="preserve">Supporting metrics — overlap ratio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0.49</w:t>
      </w:r>
      <w:r>
        <w:rPr>
          <w:rFonts w:ascii="Calibri" w:cs="Calibri" w:eastAsia="Calibri" w:hAnsi="Calibri"/>
          <w:sz w:val="19"/>
          <w:szCs w:val="19"/>
        </w:rPr>
        <w:t xml:space="preserve"> (borderline; slightly directional), directional persistence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0.65</w:t>
      </w:r>
      <w:r>
        <w:rPr>
          <w:rFonts w:ascii="Calibri" w:cs="Calibri" w:eastAsia="Calibri" w:hAnsi="Calibri"/>
          <w:sz w:val="19"/>
          <w:szCs w:val="19"/>
        </w:rPr>
        <w:t xml:space="preserve"> (trending), VOLator slope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+0.22 (positive/expanding)</w:t>
      </w:r>
      <w:r>
        <w:rPr>
          <w:rFonts w:ascii="Calibri" w:cs="Calibri" w:eastAsia="Calibri" w:hAnsi="Calibri"/>
          <w:sz w:val="19"/>
          <w:szCs w:val="19"/>
        </w:rPr>
        <w:t xml:space="preserve">, median RSI2 across the window in the 30–70 band, and range-position bias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0.86 → Range-Top Bias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Bias: </w:t>
      </w:r>
      <w:r>
        <w:rPr>
          <w:rFonts w:ascii="Calibri" w:cs="Calibri" w:eastAsia="Calibri" w:hAnsi="Calibri"/>
          <w:sz w:val="19"/>
          <w:szCs w:val="19"/>
        </w:rPr>
        <w:t xml:space="preserve">Bullish as the medium-term directional component; the close sits in the top third of the 25-session range having risen ~14% off the late-June base.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VOLator current readings: </w:t>
      </w:r>
      <w:r>
        <w:rPr>
          <w:rFonts w:ascii="Calibri" w:cs="Calibri" w:eastAsia="Calibri" w:hAnsi="Calibri"/>
          <w:sz w:val="19"/>
          <w:szCs w:val="19"/>
        </w:rPr>
        <w:t xml:space="preserve">Gold scaled volatility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+1.00 (at the top of its band, expanding)</w:t>
      </w:r>
      <w:r>
        <w:rPr>
          <w:rFonts w:ascii="Calibri" w:cs="Calibri" w:eastAsia="Calibri" w:hAnsi="Calibri"/>
          <w:sz w:val="19"/>
          <w:szCs w:val="19"/>
        </w:rPr>
        <w:t xml:space="preserve">; USDX mid-band and steady; S&amp;P 500 below midpoint and contracting; DAX 40 near midpoint. Gold's own volatility is the elevated one in the cross-section, reflecting the whippy Fed/oil-driven week.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Preferred trade protocol: </w:t>
      </w:r>
      <w:r>
        <w:rPr>
          <w:rFonts w:ascii="Calibri" w:cs="Calibri" w:eastAsia="Calibri" w:hAnsi="Calibri"/>
          <w:sz w:val="19"/>
          <w:szCs w:val="19"/>
        </w:rPr>
        <w:t xml:space="preserve">Pullback/consolidation within trend — favour trend-resumption entries on dips and avoid fading the uptrend; treat the short-term rotation as a range to be bought near its base rather than shorted at its top.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Kaufman confirmation: </w:t>
      </w:r>
      <w:r>
        <w:rPr>
          <w:rFonts w:ascii="Calibri" w:cs="Calibri" w:eastAsia="Calibri" w:hAnsi="Calibri"/>
          <w:sz w:val="19"/>
          <w:szCs w:val="19"/>
        </w:rPr>
        <w:t xml:space="preserve">KER +0.41 → Trending Up — Moderate. This </w:t>
      </w:r>
      <w:r>
        <w:rPr>
          <w:rFonts w:ascii="Calibri" w:cs="Calibri" w:eastAsia="Calibri" w:hAnsi="Calibri"/>
          <w:b/>
          <w:bCs/>
          <w:color w:val="1a7f4b"/>
          <w:sz w:val="19"/>
          <w:szCs w:val="19"/>
        </w:rPr>
        <w:t xml:space="preserve">agrees</w:t>
      </w:r>
      <w:r>
        <w:rPr>
          <w:rFonts w:ascii="Calibri" w:cs="Calibri" w:eastAsia="Calibri" w:hAnsi="Calibri"/>
          <w:sz w:val="19"/>
          <w:szCs w:val="19"/>
        </w:rPr>
        <w:t xml:space="preserve"> with the medium-term trending-bullish read and slightly upgrades confidence, but the short-term tape is choppier than the KER implies; where they differ, the KER/medium-term signal takes precedence for the 5-session horizon while the short-term range governs entry timing.</w:t>
      </w:r>
    </w:p>
    <w:p>
      <w:pPr>
        <w:pStyle w:val="Heading1"/>
        <w:pBdr>
          <w:bottom w:val="single" w:color="8A6D1F" w:sz="10" w:space="4"/>
        </w:pBdr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10 · Cross-Asset Analysis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2"/>
          <w:insideV w:val="single" w:color="C9C9C9" w:sz="2"/>
        </w:tblBorders>
      </w:tblPr>
      <w:tblGrid>
        <w:gridCol w:w="1500"/>
        <w:gridCol w:w="2050"/>
        <w:gridCol w:w="2850"/>
        <w:gridCol w:w="1150"/>
        <w:gridCol w:w="1810"/>
      </w:tblGrid>
      <w:tr>
        <w:trPr>
          <w:tblHeader/>
        </w:trPr>
        <w:tc>
          <w:tcPr>
            <w:tcW w:type="dxa" w:w="150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Counter</w:t>
            </w:r>
          </w:p>
        </w:tc>
        <w:tc>
          <w:tcPr>
            <w:tcW w:type="dxa" w:w="205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5-day direction</w:t>
            </w:r>
          </w:p>
        </w:tc>
        <w:tc>
          <w:tcPr>
            <w:tcW w:type="dxa" w:w="285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Mechanism to gold</w:t>
            </w:r>
          </w:p>
        </w:tc>
        <w:tc>
          <w:tcPr>
            <w:tcW w:type="dxa" w:w="115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81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USDX (Dollar Index)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Flat-to-down (101.5 high 23 Jul → ~101.2–101.5, softened 27 Jul)</w:t>
            </w:r>
          </w:p>
        </w:tc>
        <w:tc>
          <w:tcPr>
            <w:tcW w:type="dxa" w:w="2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softer dollar lowers the USD price of bullion and eases global financial conditions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Confirms</w:t>
            </w:r>
          </w:p>
        </w:tc>
        <w:tc>
          <w:tcPr>
            <w:tcW w:type="dxa" w:w="181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Mildly gold-supportive into the Fed</w:t>
            </w:r>
          </w:p>
        </w:tc>
      </w:tr>
      <w:tr>
        <w:tc>
          <w:tcPr>
            <w:tcW w:type="dxa" w:w="15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S&amp;P 500</w:t>
            </w:r>
          </w:p>
        </w:tc>
        <w:tc>
          <w:tcPr>
            <w:tcW w:type="dxa" w:w="20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Flat-to-up (~7,388→7,420)</w:t>
            </w:r>
          </w:p>
        </w:tc>
        <w:tc>
          <w:tcPr>
            <w:tcW w:type="dxa" w:w="28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Risk-on equity strength competes with gold for flows and dampens safe-haven demand</w:t>
            </w:r>
          </w:p>
        </w:tc>
        <w:tc>
          <w:tcPr>
            <w:tcW w:type="dxa" w:w="11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Contradicts</w:t>
            </w:r>
          </w:p>
        </w:tc>
        <w:tc>
          <w:tcPr>
            <w:tcW w:type="dxa" w:w="181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Caps upside; risk appetite is a headwind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DAX 40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Rising (~24,930→25,361, +1% on 27 Jul)</w:t>
            </w:r>
          </w:p>
        </w:tc>
        <w:tc>
          <w:tcPr>
            <w:tcW w:type="dxa" w:w="2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European risk-on confirms the global risk-on impulse from the Iran de-escalation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Contradicts</w:t>
            </w:r>
          </w:p>
        </w:tc>
        <w:tc>
          <w:tcPr>
            <w:tcW w:type="dxa" w:w="181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Reinforces the risk-on headwind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c0392b"/>
          <w:sz w:val="19"/>
          <w:szCs w:val="19"/>
        </w:rPr>
        <w:t xml:space="preserve">Contradiction flag: </w:t>
      </w:r>
      <w:r>
        <w:rPr>
          <w:rFonts w:ascii="Calibri" w:cs="Calibri" w:eastAsia="Calibri" w:hAnsi="Calibri"/>
          <w:sz w:val="19"/>
          <w:szCs w:val="19"/>
        </w:rPr>
        <w:t xml:space="preserve">the two equity counters (S&amp;P 500, DAX) are risk-on and thus contradict a straight safe-haven-long read, while the softer dollar confirms it.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Aggregate cross-asset = MIXED</w:t>
      </w:r>
      <w:r>
        <w:rPr>
          <w:rFonts w:ascii="Calibri" w:cs="Calibri" w:eastAsia="Calibri" w:hAnsi="Calibri"/>
          <w:sz w:val="19"/>
          <w:szCs w:val="19"/>
        </w:rPr>
        <w:t xml:space="preserve"> (confirms and contradicts both present). This tension is carried, not resolved, into §15 and §16.</w:t>
      </w:r>
    </w:p>
    <w:p>
      <w:pPr>
        <w:pStyle w:val="Heading1"/>
        <w:pBdr>
          <w:bottom w:val="single" w:color="8A6D1F" w:sz="10" w:space="4"/>
        </w:pBdr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11 · Floor Pivot Analysis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11.1  Daily (prior session 24 Jul: H 4,082.45 / L 4,021.56 / C 4,053.17)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2"/>
          <w:insideV w:val="single" w:color="C9C9C9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Level</w:t>
            </w:r>
          </w:p>
        </w:tc>
        <w:tc>
          <w:tcPr>
            <w:tcW w:type="dxa" w:w="468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Price (USD/oz)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9"/>
                <w:szCs w:val="19"/>
              </w:rPr>
              <w:t xml:space="preserve">R5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4,265.90</w:t>
            </w:r>
          </w:p>
        </w:tc>
      </w:tr>
      <w:tr>
        <w:tc>
          <w:tcPr>
            <w:tcW w:type="dxa" w:w="468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9"/>
                <w:szCs w:val="19"/>
              </w:rPr>
              <w:t xml:space="preserve">R4</w:t>
            </w:r>
          </w:p>
        </w:tc>
        <w:tc>
          <w:tcPr>
            <w:tcW w:type="dxa" w:w="468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4,205.01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9"/>
                <w:szCs w:val="19"/>
              </w:rPr>
              <w:t xml:space="preserve">R3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4,144.12</w:t>
            </w:r>
          </w:p>
        </w:tc>
      </w:tr>
      <w:tr>
        <w:tc>
          <w:tcPr>
            <w:tcW w:type="dxa" w:w="468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9"/>
                <w:szCs w:val="19"/>
              </w:rPr>
              <w:t xml:space="preserve">R2</w:t>
            </w:r>
          </w:p>
        </w:tc>
        <w:tc>
          <w:tcPr>
            <w:tcW w:type="dxa" w:w="468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4,113.28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9"/>
                <w:szCs w:val="19"/>
              </w:rPr>
              <w:t xml:space="preserve">R1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4,083.23</w:t>
            </w:r>
          </w:p>
        </w:tc>
      </w:tr>
      <w:tr>
        <w:tc>
          <w:tcPr>
            <w:tcW w:type="dxa" w:w="468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19"/>
                <w:szCs w:val="19"/>
              </w:rPr>
              <w:t xml:space="preserve">P</w:t>
            </w:r>
          </w:p>
        </w:tc>
        <w:tc>
          <w:tcPr>
            <w:tcW w:type="dxa" w:w="468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4,052.39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7f4b"/>
                <w:sz w:val="19"/>
                <w:szCs w:val="19"/>
              </w:rPr>
              <w:t xml:space="preserve">S1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4,022.34</w:t>
            </w:r>
          </w:p>
        </w:tc>
      </w:tr>
      <w:tr>
        <w:tc>
          <w:tcPr>
            <w:tcW w:type="dxa" w:w="468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7f4b"/>
                <w:sz w:val="19"/>
                <w:szCs w:val="19"/>
              </w:rPr>
              <w:t xml:space="preserve">S2</w:t>
            </w:r>
          </w:p>
        </w:tc>
        <w:tc>
          <w:tcPr>
            <w:tcW w:type="dxa" w:w="468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3,991.50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7f4b"/>
                <w:sz w:val="19"/>
                <w:szCs w:val="19"/>
              </w:rPr>
              <w:t xml:space="preserve">S3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3,961.45</w:t>
            </w:r>
          </w:p>
        </w:tc>
      </w:tr>
      <w:tr>
        <w:tc>
          <w:tcPr>
            <w:tcW w:type="dxa" w:w="468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7f4b"/>
                <w:sz w:val="19"/>
                <w:szCs w:val="19"/>
              </w:rPr>
              <w:t xml:space="preserve">S4</w:t>
            </w:r>
          </w:p>
        </w:tc>
        <w:tc>
          <w:tcPr>
            <w:tcW w:type="dxa" w:w="468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3,900.56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7f4b"/>
                <w:sz w:val="19"/>
                <w:szCs w:val="19"/>
              </w:rPr>
              <w:t xml:space="preserve">S5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3,839.67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Source status: </w:t>
      </w: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Prior-day H/L/C corroborated across Investing.com and MQL5/TradingView within tolerance — CORROBORATED.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11.2  Weekly (prior week 20–24 Jul: H 4,165.87 / L 3,960 / C 4,053.17)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2"/>
          <w:insideV w:val="single" w:color="C9C9C9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Level</w:t>
            </w:r>
          </w:p>
        </w:tc>
        <w:tc>
          <w:tcPr>
            <w:tcW w:type="dxa" w:w="468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Price (USD/oz)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9"/>
                <w:szCs w:val="19"/>
              </w:rPr>
              <w:t xml:space="preserve">R5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4,776.97</w:t>
            </w:r>
          </w:p>
        </w:tc>
      </w:tr>
      <w:tr>
        <w:tc>
          <w:tcPr>
            <w:tcW w:type="dxa" w:w="468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9"/>
                <w:szCs w:val="19"/>
              </w:rPr>
              <w:t xml:space="preserve">R4</w:t>
            </w:r>
          </w:p>
        </w:tc>
        <w:tc>
          <w:tcPr>
            <w:tcW w:type="dxa" w:w="468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4,571.10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9"/>
                <w:szCs w:val="19"/>
              </w:rPr>
              <w:t xml:space="preserve">R3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4,365.23</w:t>
            </w:r>
          </w:p>
        </w:tc>
      </w:tr>
      <w:tr>
        <w:tc>
          <w:tcPr>
            <w:tcW w:type="dxa" w:w="468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9"/>
                <w:szCs w:val="19"/>
              </w:rPr>
              <w:t xml:space="preserve">R2</w:t>
            </w:r>
          </w:p>
        </w:tc>
        <w:tc>
          <w:tcPr>
            <w:tcW w:type="dxa" w:w="468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4,265.55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9"/>
                <w:szCs w:val="19"/>
              </w:rPr>
              <w:t xml:space="preserve">R1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4,159.36</w:t>
            </w:r>
          </w:p>
        </w:tc>
      </w:tr>
      <w:tr>
        <w:tc>
          <w:tcPr>
            <w:tcW w:type="dxa" w:w="468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19"/>
                <w:szCs w:val="19"/>
              </w:rPr>
              <w:t xml:space="preserve">P</w:t>
            </w:r>
          </w:p>
        </w:tc>
        <w:tc>
          <w:tcPr>
            <w:tcW w:type="dxa" w:w="468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4,059.68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7f4b"/>
                <w:sz w:val="19"/>
                <w:szCs w:val="19"/>
              </w:rPr>
              <w:t xml:space="preserve">S1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3,953.49</w:t>
            </w:r>
          </w:p>
        </w:tc>
      </w:tr>
      <w:tr>
        <w:tc>
          <w:tcPr>
            <w:tcW w:type="dxa" w:w="468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7f4b"/>
                <w:sz w:val="19"/>
                <w:szCs w:val="19"/>
              </w:rPr>
              <w:t xml:space="preserve">S2</w:t>
            </w:r>
          </w:p>
        </w:tc>
        <w:tc>
          <w:tcPr>
            <w:tcW w:type="dxa" w:w="468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3,853.81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7f4b"/>
                <w:sz w:val="19"/>
                <w:szCs w:val="19"/>
              </w:rPr>
              <w:t xml:space="preserve">S3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3,747.62</w:t>
            </w:r>
          </w:p>
        </w:tc>
      </w:tr>
      <w:tr>
        <w:tc>
          <w:tcPr>
            <w:tcW w:type="dxa" w:w="468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7f4b"/>
                <w:sz w:val="19"/>
                <w:szCs w:val="19"/>
              </w:rPr>
              <w:t xml:space="preserve">S4</w:t>
            </w:r>
          </w:p>
        </w:tc>
        <w:tc>
          <w:tcPr>
            <w:tcW w:type="dxa" w:w="468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3,541.75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7f4b"/>
                <w:sz w:val="19"/>
                <w:szCs w:val="19"/>
              </w:rPr>
              <w:t xml:space="preserve">S5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3,335.88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Source status: </w:t>
      </w: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Weekly high (4,165.87) is a single-feed print at the two-week peak; weekly low is aggregator-derived. Treat weekly tiers as SINGLE-SOURCE INDICATIVE.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11.3  Monthly (prior month June: H 3,720 / L 3,548 / C 3,705)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2"/>
          <w:insideV w:val="single" w:color="C9C9C9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Level</w:t>
            </w:r>
          </w:p>
        </w:tc>
        <w:tc>
          <w:tcPr>
            <w:tcW w:type="dxa" w:w="468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Price (USD/oz)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9"/>
                <w:szCs w:val="19"/>
              </w:rPr>
              <w:t xml:space="preserve">R5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4,283.33</w:t>
            </w:r>
          </w:p>
        </w:tc>
      </w:tr>
      <w:tr>
        <w:tc>
          <w:tcPr>
            <w:tcW w:type="dxa" w:w="468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9"/>
                <w:szCs w:val="19"/>
              </w:rPr>
              <w:t xml:space="preserve">R4</w:t>
            </w:r>
          </w:p>
        </w:tc>
        <w:tc>
          <w:tcPr>
            <w:tcW w:type="dxa" w:w="468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4,111.33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9"/>
                <w:szCs w:val="19"/>
              </w:rPr>
              <w:t xml:space="preserve">R3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3,939.33</w:t>
            </w:r>
          </w:p>
        </w:tc>
      </w:tr>
      <w:tr>
        <w:tc>
          <w:tcPr>
            <w:tcW w:type="dxa" w:w="468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9"/>
                <w:szCs w:val="19"/>
              </w:rPr>
              <w:t xml:space="preserve">R2</w:t>
            </w:r>
          </w:p>
        </w:tc>
        <w:tc>
          <w:tcPr>
            <w:tcW w:type="dxa" w:w="468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3,829.67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9"/>
                <w:szCs w:val="19"/>
              </w:rPr>
              <w:t xml:space="preserve">R1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3,767.33</w:t>
            </w:r>
          </w:p>
        </w:tc>
      </w:tr>
      <w:tr>
        <w:tc>
          <w:tcPr>
            <w:tcW w:type="dxa" w:w="468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19"/>
                <w:szCs w:val="19"/>
              </w:rPr>
              <w:t xml:space="preserve">P</w:t>
            </w:r>
          </w:p>
        </w:tc>
        <w:tc>
          <w:tcPr>
            <w:tcW w:type="dxa" w:w="468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3,657.67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7f4b"/>
                <w:sz w:val="19"/>
                <w:szCs w:val="19"/>
              </w:rPr>
              <w:t xml:space="preserve">S1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3,595.33</w:t>
            </w:r>
          </w:p>
        </w:tc>
      </w:tr>
      <w:tr>
        <w:tc>
          <w:tcPr>
            <w:tcW w:type="dxa" w:w="468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7f4b"/>
                <w:sz w:val="19"/>
                <w:szCs w:val="19"/>
              </w:rPr>
              <w:t xml:space="preserve">S2</w:t>
            </w:r>
          </w:p>
        </w:tc>
        <w:tc>
          <w:tcPr>
            <w:tcW w:type="dxa" w:w="468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3,485.67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7f4b"/>
                <w:sz w:val="19"/>
                <w:szCs w:val="19"/>
              </w:rPr>
              <w:t xml:space="preserve">S3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3,423.33</w:t>
            </w:r>
          </w:p>
        </w:tc>
      </w:tr>
      <w:tr>
        <w:tc>
          <w:tcPr>
            <w:tcW w:type="dxa" w:w="468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7f4b"/>
                <w:sz w:val="19"/>
                <w:szCs w:val="19"/>
              </w:rPr>
              <w:t xml:space="preserve">S4</w:t>
            </w:r>
          </w:p>
        </w:tc>
        <w:tc>
          <w:tcPr>
            <w:tcW w:type="dxa" w:w="468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3,251.33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7f4b"/>
                <w:sz w:val="19"/>
                <w:szCs w:val="19"/>
              </w:rPr>
              <w:t xml:space="preserve">S5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3,079.33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Source status: </w:t>
      </w: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June H/L/C reconstructed from consolidated daily history — SINGLE-SOURCE INDICATIVE; used for context, not execution.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Position narrative: </w:t>
      </w:r>
      <w:r>
        <w:rPr>
          <w:rFonts w:ascii="Calibri" w:cs="Calibri" w:eastAsia="Calibri" w:hAnsi="Calibri"/>
          <w:sz w:val="19"/>
          <w:szCs w:val="19"/>
        </w:rPr>
        <w:t xml:space="preserve">The 27 July close ($4,077) sits just above daily P ($4,052) and immediately below daily R1 ($4,083) — effectively pinned at the pivot/R1 hinge. On the weekly frame it is below weekly P ($4,060)… marginally above, straddling it. Monthly levels are far below (monthly R4 $4,111 is the nearest overhead monthly reference). A minor confluence sits at $4,053–$4,060 where daily P, the Friday close, and weekly P cluster within ~0.2% — the pivotal support shelf for the session.</w:t>
      </w:r>
    </w:p>
    <w:p>
      <w:pPr>
        <w:pStyle w:val="Heading1"/>
        <w:pBdr>
          <w:bottom w:val="single" w:color="8A6D1F" w:sz="10" w:space="4"/>
        </w:pBdr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12 · Key Market Considerations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Supply — neutral (structural)</w:t>
      </w:r>
    </w:p>
    <w:p>
      <w:pPr>
        <w:spacing w:after="100" w:before="0" w:line="276"/>
      </w:pPr>
      <w:r>
        <w:rPr>
          <w:rFonts w:ascii="Calibri" w:cs="Calibri" w:eastAsia="Calibri" w:hAnsi="Calibri"/>
          <w:sz w:val="21"/>
          <w:szCs w:val="21"/>
        </w:rPr>
        <w:t xml:space="preserve">Mine supply is inelastic over the horizon; the swing factor is official-sector accumulation. Per the World Gold Council, central banks bought a net 244 tonnes in Q1 2026 and a further 41 tonnes in May, led by Poland, Uzbekistan and China. This is a structural, price-insensitive underpinning to dips.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Demand — price-supportive (structural + cyclical)</w:t>
      </w:r>
    </w:p>
    <w:p>
      <w:pPr>
        <w:spacing w:after="100" w:before="0" w:line="276"/>
      </w:pPr>
      <w:r>
        <w:rPr>
          <w:rFonts w:ascii="Calibri" w:cs="Calibri" w:eastAsia="Calibri" w:hAnsi="Calibri"/>
          <w:sz w:val="21"/>
          <w:szCs w:val="21"/>
        </w:rPr>
        <w:t xml:space="preserve">Central-bank and safe-haven demand remain the dominant marginal buyers; ETF/investor demand is more price-sensitive and had thinned during the June correction but improved post-pullback. Asian physical demand is mixed — Indian discounts widened to a seven-week high on higher prices while Chinese buying improved.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Substitution / Spreads — neutral</w:t>
      </w:r>
    </w:p>
    <w:p>
      <w:pPr>
        <w:spacing w:after="100" w:before="0" w:line="276"/>
      </w:pPr>
      <w:r>
        <w:rPr>
          <w:rFonts w:ascii="Calibri" w:cs="Calibri" w:eastAsia="Calibri" w:hAnsi="Calibri"/>
          <w:sz w:val="21"/>
          <w:szCs w:val="21"/>
        </w:rPr>
        <w:t xml:space="preserve">The gold–silver ratio compressed toward ~69.5–69.7 as silver (+0.79% on 27 Jul) outperformed, a mild signal of relative-value rotation into the white metal. Platinum firmed ~2%. Real-yield competition (US 10Y ~4.65%, near multi-month highs) is the key substitution headwind for non-yielding bullion.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Policy / Rates — price-negative into the event (cyclical)</w:t>
      </w:r>
    </w:p>
    <w:p>
      <w:pPr>
        <w:spacing w:after="100" w:before="0" w:line="276"/>
      </w:pPr>
      <w:r>
        <w:rPr>
          <w:rFonts w:ascii="Calibri" w:cs="Calibri" w:eastAsia="Calibri" w:hAnsi="Calibri"/>
          <w:sz w:val="21"/>
          <w:szCs w:val="21"/>
        </w:rPr>
        <w:t xml:space="preserve">The 29 July FOMC is the fulcrum. Markets price ~30% odds of a hike this week and ~80% by September, with Fed funds at 3.50–3.75%. A hawkish hold or surprise hike lifts real yields and the dollar — negative for gold; a dovish tilt is the upside catalyst.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Macro / FX — mixed</w:t>
      </w:r>
    </w:p>
    <w:p>
      <w:pPr>
        <w:spacing w:after="100" w:before="0" w:line="276"/>
      </w:pPr>
      <w:r>
        <w:rPr>
          <w:rFonts w:ascii="Calibri" w:cs="Calibri" w:eastAsia="Calibri" w:hAnsi="Calibri"/>
          <w:sz w:val="21"/>
          <w:szCs w:val="21"/>
        </w:rPr>
        <w:t xml:space="preserve">The weekend US–Iran de-escalation sent Brent/WTI down ~10%, easing the energy-inflation impulse that had pressured gold via the higher-for-longer channel — a supportive relief. A softer dollar on 27 July adds mild support. Offsetting this, risk-on equities (S&amp;P 500, DAX) pull flows away from bullion.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Near-term catalysts — see §13d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29 Jul — FOMC rate decision (Tier-1; the session's defining risk).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28 Jul — ADP employment; 30 Jul — advance Q2 GDP + jobless claims + PCE; 31 Jul — Chicago PMI + UMich inflation expectations.</w:t>
      </w:r>
    </w:p>
    <w:p>
      <w:pPr>
        <w:pStyle w:val="Heading1"/>
        <w:pBdr>
          <w:bottom w:val="single" w:color="8A6D1F" w:sz="10" w:space="4"/>
        </w:pBdr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13 · Sentiment, News &amp; Calendar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13a  Per-article sentiment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2"/>
          <w:insideV w:val="single" w:color="C9C9C9" w:sz="2"/>
        </w:tblBorders>
      </w:tblPr>
      <w:tblGrid>
        <w:gridCol w:w="1950"/>
        <w:gridCol w:w="800"/>
        <w:gridCol w:w="1150"/>
        <w:gridCol w:w="1150"/>
        <w:gridCol w:w="4310"/>
      </w:tblGrid>
      <w:tr>
        <w:trPr>
          <w:tblHeader/>
        </w:trPr>
        <w:tc>
          <w:tcPr>
            <w:tcW w:type="dxa" w:w="195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Source</w:t>
            </w:r>
          </w:p>
        </w:tc>
        <w:tc>
          <w:tcPr>
            <w:tcW w:type="dxa" w:w="80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115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Class.</w:t>
            </w:r>
          </w:p>
        </w:tc>
        <w:tc>
          <w:tcPr>
            <w:tcW w:type="dxa" w:w="115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Sentiment</w:t>
            </w:r>
          </w:p>
        </w:tc>
        <w:tc>
          <w:tcPr>
            <w:tcW w:type="dxa" w:w="431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Derivation quote (≤15 words)</w:t>
            </w:r>
          </w:p>
        </w:tc>
      </w:tr>
      <w:tr>
        <w:tc>
          <w:tcPr>
            <w:tcW w:type="dxa" w:w="19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Reuters / TradingEconomics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 Jul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dxa" w:w="431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gold rose 1% toward $4,100 as easing US–Iran tensions sent oil lower</w:t>
            </w:r>
          </w:p>
        </w:tc>
      </w:tr>
      <w:tr>
        <w:tc>
          <w:tcPr>
            <w:tcW w:type="dxa" w:w="19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FX Leaders</w:t>
            </w:r>
          </w:p>
        </w:tc>
        <w:tc>
          <w:tcPr>
            <w:tcW w:type="dxa" w:w="8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 Jul</w:t>
            </w:r>
          </w:p>
        </w:tc>
        <w:tc>
          <w:tcPr>
            <w:tcW w:type="dxa" w:w="11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Trade Press</w:t>
            </w:r>
          </w:p>
        </w:tc>
        <w:tc>
          <w:tcPr>
            <w:tcW w:type="dxa" w:w="11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431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gold becoming more sensitive to interest rate expectations rather than safe-haven</w:t>
            </w:r>
          </w:p>
        </w:tc>
      </w:tr>
      <w:tr>
        <w:tc>
          <w:tcPr>
            <w:tcW w:type="dxa" w:w="19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FxPremiere (weekly)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 Jul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Trade Press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431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neutral-to-bullish while XAU/USD holds above $4,050</w:t>
            </w:r>
          </w:p>
        </w:tc>
      </w:tr>
      <w:tr>
        <w:tc>
          <w:tcPr>
            <w:tcW w:type="dxa" w:w="19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OCBC Bank (via LiteFinance)</w:t>
            </w:r>
          </w:p>
        </w:tc>
        <w:tc>
          <w:tcPr>
            <w:tcW w:type="dxa" w:w="8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 Jul</w:t>
            </w:r>
          </w:p>
        </w:tc>
        <w:tc>
          <w:tcPr>
            <w:tcW w:type="dxa" w:w="11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Institutional</w:t>
            </w:r>
          </w:p>
        </w:tc>
        <w:tc>
          <w:tcPr>
            <w:tcW w:type="dxa" w:w="11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431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expects gold prices to decline through end-2026 on rising Treasury yields</w:t>
            </w:r>
          </w:p>
        </w:tc>
      </w:tr>
      <w:tr>
        <w:tc>
          <w:tcPr>
            <w:tcW w:type="dxa" w:w="19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World Gold Council (via FX Leaders)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 Jul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Institutional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dxa" w:w="431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central banks bought a net 244 tonnes in the first three months of 2026</w:t>
            </w:r>
          </w:p>
        </w:tc>
      </w:tr>
      <w:tr>
        <w:tc>
          <w:tcPr>
            <w:tcW w:type="dxa" w:w="19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CNBC</w:t>
            </w:r>
          </w:p>
        </w:tc>
        <w:tc>
          <w:tcPr>
            <w:tcW w:type="dxa" w:w="8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 Jul</w:t>
            </w:r>
          </w:p>
        </w:tc>
        <w:tc>
          <w:tcPr>
            <w:tcW w:type="dxa" w:w="11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431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silver and gold stage cautious rebound but could be short-lived</w:t>
            </w:r>
          </w:p>
        </w:tc>
      </w:tr>
      <w:tr>
        <w:tc>
          <w:tcPr>
            <w:tcW w:type="dxa" w:w="19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Vantage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 Jul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Trade Press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431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consolidating above its 50 and 200-period moving averages, calmer than last week</w:t>
            </w:r>
          </w:p>
        </w:tc>
      </w:tr>
    </w:tbl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13b  Aggregate sentiment</w:t>
      </w:r>
    </w:p>
    <w:p>
      <w:pPr>
        <w:spacing w:after="120" w:before="0" w:line="276"/>
      </w:pPr>
      <w:r>
        <w:rPr>
          <w:rFonts w:ascii="Calibri" w:cs="Calibri" w:eastAsia="Calibri" w:hAnsi="Calibri"/>
          <w:sz w:val="19"/>
          <w:szCs w:val="19"/>
        </w:rPr>
        <w:t xml:space="preserve">Counts: 2 Bullish (1 institutional WGC, 1 media Reuters), 1 Bearish (institutional OCBC), 2 Neutral (trade press), 2 Mixed (trade press + media) =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Balanced / mildly cautious. </w:t>
      </w:r>
      <w:r>
        <w:rPr>
          <w:rFonts w:ascii="Calibri" w:cs="Calibri" w:eastAsia="Calibri" w:hAnsi="Calibri"/>
          <w:sz w:val="19"/>
          <w:szCs w:val="19"/>
        </w:rPr>
        <w:t xml:space="preserve">Numeric tilt = </w:t>
      </w:r>
      <w:r>
        <w:rPr>
          <w:rFonts w:ascii="Calibri" w:cs="Calibri" w:eastAsia="Calibri" w:hAnsi="Calibri"/>
          <w:b/>
          <w:bCs/>
          <w:color w:val="c0392b"/>
          <w:sz w:val="19"/>
          <w:szCs w:val="19"/>
        </w:rPr>
        <w:t xml:space="preserve">−0.12</w:t>
      </w:r>
      <w:r>
        <w:rPr>
          <w:rFonts w:ascii="Calibri" w:cs="Calibri" w:eastAsia="Calibri" w:hAnsi="Calibri"/>
          <w:sz w:val="19"/>
          <w:szCs w:val="19"/>
        </w:rPr>
        <w:t xml:space="preserve"> (source-class-weighted mean; the strong-conviction OCBC bearish institutional read offsets the WGC bullish institutional read and the neutral trade-press cluster).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Divergence flag: </w:t>
      </w:r>
      <w:r>
        <w:rPr>
          <w:rFonts w:ascii="Calibri" w:cs="Calibri" w:eastAsia="Calibri" w:hAnsi="Calibri"/>
          <w:sz w:val="19"/>
          <w:szCs w:val="19"/>
        </w:rPr>
        <w:t xml:space="preserve">price action on 27 July was up (+0.6%) while aggregate sentiment is marginally negative — a mild sentiment/price divergence. Given the trending-bullish medium-term regime (§9), the price/technical signal is treated as the more reliable of the two for the horizon; the tilt tempers, not reverses, the directional read.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13c  News calendar — previous period (5 sessions to 27 Jul)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2"/>
          <w:insideV w:val="single" w:color="C9C9C9" w:sz="2"/>
        </w:tblBorders>
      </w:tblPr>
      <w:tblGrid>
        <w:gridCol w:w="900"/>
        <w:gridCol w:w="1750"/>
        <w:gridCol w:w="2100"/>
        <w:gridCol w:w="900"/>
        <w:gridCol w:w="3710"/>
      </w:tblGrid>
      <w:tr>
        <w:trPr>
          <w:tblHeader/>
        </w:trPr>
        <w:tc>
          <w:tcPr>
            <w:tcW w:type="dxa" w:w="90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175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Event</w:t>
            </w:r>
          </w:p>
        </w:tc>
        <w:tc>
          <w:tcPr>
            <w:tcW w:type="dxa" w:w="210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Prior / Context</w:t>
            </w:r>
          </w:p>
        </w:tc>
        <w:tc>
          <w:tcPr>
            <w:tcW w:type="dxa" w:w="90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Impact</w:t>
            </w:r>
          </w:p>
        </w:tc>
        <w:tc>
          <w:tcPr>
            <w:tcW w:type="dxa" w:w="371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Implication for gold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 Jul</w:t>
            </w:r>
          </w:p>
        </w:tc>
        <w:tc>
          <w:tcPr>
            <w:tcW w:type="dxa" w:w="1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Middle East escalation peak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Iran–US strikes; Strait of Hormuz risk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71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Safe-haven + oil bid drove gold to $4,166 two-week high</w:t>
            </w:r>
          </w:p>
        </w:tc>
      </w:tr>
      <w:tr>
        <w:tc>
          <w:tcPr>
            <w:tcW w:type="dxa" w:w="9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 Jul</w:t>
            </w:r>
          </w:p>
        </w:tc>
        <w:tc>
          <w:tcPr>
            <w:tcW w:type="dxa" w:w="17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Crude spike / hawkish Fed pricing</w:t>
            </w:r>
          </w:p>
        </w:tc>
        <w:tc>
          <w:tcPr>
            <w:tcW w:type="dxa" w:w="21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Brent toward multi-week highs; 2Y yields 17-mo high</w:t>
            </w:r>
          </w:p>
        </w:tc>
        <w:tc>
          <w:tcPr>
            <w:tcW w:type="dxa" w:w="9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71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Higher-for-longer fear reversed gold ~1.9% lower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 Jul</w:t>
            </w:r>
          </w:p>
        </w:tc>
        <w:tc>
          <w:tcPr>
            <w:tcW w:type="dxa" w:w="1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Soft consolidation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Fed blackout; positioning ahead of FOMC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71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Second down day; gold closed ~$4,053</w:t>
            </w:r>
          </w:p>
        </w:tc>
      </w:tr>
      <w:tr>
        <w:tc>
          <w:tcPr>
            <w:tcW w:type="dxa" w:w="9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25–26 Jul</w:t>
            </w:r>
          </w:p>
        </w:tc>
        <w:tc>
          <w:tcPr>
            <w:tcW w:type="dxa" w:w="17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US–Iran pause (weekend)</w:t>
            </w:r>
          </w:p>
        </w:tc>
        <w:tc>
          <w:tcPr>
            <w:tcW w:type="dxa" w:w="21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Washington/Tehran paused hostilities</w:t>
            </w:r>
          </w:p>
        </w:tc>
        <w:tc>
          <w:tcPr>
            <w:tcW w:type="dxa" w:w="9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71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Oil gapped lower Monday; inflation fear eased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 Jul</w:t>
            </w:r>
          </w:p>
        </w:tc>
        <w:tc>
          <w:tcPr>
            <w:tcW w:type="dxa" w:w="1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Risk-on rebound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Brent −10%; softer USD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71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Gold +0.6% to ~$4,077; equities risk-on</w:t>
            </w:r>
          </w:p>
        </w:tc>
      </w:tr>
    </w:tbl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13d  News calendar — upcoming period (5 sessions from 28 Jul)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2"/>
          <w:insideV w:val="single" w:color="C9C9C9" w:sz="2"/>
        </w:tblBorders>
      </w:tblPr>
      <w:tblGrid>
        <w:gridCol w:w="900"/>
        <w:gridCol w:w="2000"/>
        <w:gridCol w:w="2100"/>
        <w:gridCol w:w="800"/>
        <w:gridCol w:w="3560"/>
      </w:tblGrid>
      <w:tr>
        <w:trPr>
          <w:tblHeader/>
        </w:trPr>
        <w:tc>
          <w:tcPr>
            <w:tcW w:type="dxa" w:w="90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Event</w:t>
            </w:r>
          </w:p>
        </w:tc>
        <w:tc>
          <w:tcPr>
            <w:tcW w:type="dxa" w:w="210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Context</w:t>
            </w:r>
          </w:p>
        </w:tc>
        <w:tc>
          <w:tcPr>
            <w:tcW w:type="dxa" w:w="80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Impact</w:t>
            </w:r>
          </w:p>
        </w:tc>
        <w:tc>
          <w:tcPr>
            <w:tcW w:type="dxa" w:w="356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Mechanism for gold (beat / miss)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 Jul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ADP employment change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Labour-market gauge pre-FOMC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Strong print → hawkish → gold down; weak → gold up</w:t>
            </w:r>
          </w:p>
        </w:tc>
      </w:tr>
      <w:tr>
        <w:tc>
          <w:tcPr>
            <w:tcW w:type="dxa" w:w="9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29 Jul</w:t>
            </w:r>
          </w:p>
        </w:tc>
        <w:tc>
          <w:tcPr>
            <w:tcW w:type="dxa" w:w="20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FOMC rate decision</w:t>
            </w:r>
          </w:p>
        </w:tc>
        <w:tc>
          <w:tcPr>
            <w:tcW w:type="dxa" w:w="21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~30% hike odds this week; funds 3.50–3.75%</w:t>
            </w:r>
          </w:p>
        </w:tc>
        <w:tc>
          <w:tcPr>
            <w:tcW w:type="dxa" w:w="8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356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Hike/hawkish hold → real yields + USD up → gold lower; dovish → gold higher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 Jul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Q2 GDP (adv) + jobless claims + PCE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Growth + Fed's preferred inflation gauge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Hot PCE → higher-for-longer → gold down; cool → gold up</w:t>
            </w:r>
          </w:p>
        </w:tc>
      </w:tr>
      <w:tr>
        <w:tc>
          <w:tcPr>
            <w:tcW w:type="dxa" w:w="9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 Jul</w:t>
            </w:r>
          </w:p>
        </w:tc>
        <w:tc>
          <w:tcPr>
            <w:tcW w:type="dxa" w:w="20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Chicago PMI + UMich inflation exp.</w:t>
            </w:r>
          </w:p>
        </w:tc>
        <w:tc>
          <w:tcPr>
            <w:tcW w:type="dxa" w:w="21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Sentiment + inflation expectations</w:t>
            </w:r>
          </w:p>
        </w:tc>
        <w:tc>
          <w:tcPr>
            <w:tcW w:type="dxa" w:w="8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Rising inflation expectations → mixed (real-yield vs hedge)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Highest-impact event: </w:t>
      </w:r>
      <w:r>
        <w:rPr>
          <w:rFonts w:ascii="Calibri" w:cs="Calibri" w:eastAsia="Calibri" w:hAnsi="Calibri"/>
          <w:sz w:val="19"/>
          <w:szCs w:val="19"/>
        </w:rPr>
        <w:t xml:space="preserve">the 29 July FOMC decision — a hawkish surprise would lift real yields and the dollar and could invalidate the constructive base case, pushing gold back toward $4,000/weekly S1 $3,953; a dovish tilt would open the $4,116–$4,166 resistance band.</w:t>
      </w:r>
    </w:p>
    <w:p>
      <w:pPr>
        <w:pStyle w:val="Heading1"/>
        <w:pBdr>
          <w:bottom w:val="single" w:color="8A6D1F" w:sz="10" w:space="4"/>
        </w:pBdr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14 · Macro Context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Rates &amp; policy: </w:t>
      </w:r>
      <w:r>
        <w:rPr>
          <w:rFonts w:ascii="Calibri" w:cs="Calibri" w:eastAsia="Calibri" w:hAnsi="Calibri"/>
          <w:sz w:val="19"/>
          <w:szCs w:val="19"/>
        </w:rPr>
        <w:t xml:space="preserve">Fed funds 3.50–3.75%; markets price ~30% hike odds for 29 Jul and ~80% by September. Cross-referencing the S&amp;P 500 read from §10 (risk-on), equities are behaving as if a benign hold is likely — a hawkish surprise is the asymmetric risk. Price-negative bias into the event.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Inflation: </w:t>
      </w:r>
      <w:r>
        <w:rPr>
          <w:rFonts w:ascii="Calibri" w:cs="Calibri" w:eastAsia="Calibri" w:hAnsi="Calibri"/>
          <w:sz w:val="19"/>
          <w:szCs w:val="19"/>
        </w:rPr>
        <w:t xml:space="preserve">US CPI eased to 3.5% (June) from 4.2%, but the oil spike earlier in the week revived energy-inflation fear. Net neutral-to-supportive for gold as a hedge, but the real-yield channel dominates near-term.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Safe-haven / real yields: </w:t>
      </w:r>
      <w:r>
        <w:rPr>
          <w:rFonts w:ascii="Calibri" w:cs="Calibri" w:eastAsia="Calibri" w:hAnsi="Calibri"/>
          <w:sz w:val="19"/>
          <w:szCs w:val="19"/>
        </w:rPr>
        <w:t xml:space="preserve">US 10Y ~4.65% near multi-month highs is the core headwind for non-yielding bullion. Rising real yields cap rallies; any FOMC-driven yield retreat is the fastest bullish trigger.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Liquidity &amp; FX: </w:t>
      </w:r>
      <w:r>
        <w:rPr>
          <w:rFonts w:ascii="Calibri" w:cs="Calibri" w:eastAsia="Calibri" w:hAnsi="Calibri"/>
          <w:sz w:val="19"/>
          <w:szCs w:val="19"/>
        </w:rPr>
        <w:t xml:space="preserve">Citing the USDX read from §10 (softer on 27 Jul, off the 101.5 high), easier dollar conditions are mildly gold-supportive. A dollar re-acceleration on a hawkish Fed would reverse this.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Energy: </w:t>
      </w:r>
      <w:r>
        <w:rPr>
          <w:rFonts w:ascii="Calibri" w:cs="Calibri" w:eastAsia="Calibri" w:hAnsi="Calibri"/>
          <w:sz w:val="19"/>
          <w:szCs w:val="19"/>
        </w:rPr>
        <w:t xml:space="preserve">Brent/WTI fell ~10% on the Iran de-escalation, removing an inflation-via-oil headwind — supportive for the higher-for-longer narrative unwinding, hence mildly supportive for gold.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Positioning: </w:t>
      </w:r>
      <w:r>
        <w:rPr>
          <w:rFonts w:ascii="Calibri" w:cs="Calibri" w:eastAsia="Calibri" w:hAnsi="Calibri"/>
          <w:sz w:val="19"/>
          <w:szCs w:val="19"/>
        </w:rPr>
        <w:t xml:space="preserve">VIX low (~17–19); institutional positioning improved post-June correction; central-bank demand price-insensitive. COT specs had trimmed longs into the pullback, leaving room for re-length on a dovish outcome.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Watch item: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the 29 Jul FOMC (from §13d) drives every macro variable in this section simultaneously — a hawkish surprise lifts yields and the dollar together, the double headwind for gold.</w:t>
      </w:r>
    </w:p>
    <w:p>
      <w:pPr>
        <w:pStyle w:val="Heading1"/>
        <w:pBdr>
          <w:bottom w:val="single" w:color="8A6D1F" w:sz="10" w:space="4"/>
        </w:pBdr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15 · Bull / Bear Balance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2"/>
          <w:insideV w:val="single" w:color="C9C9C9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Upside risks (bull)</w:t>
            </w:r>
          </w:p>
        </w:tc>
        <w:tc>
          <w:tcPr>
            <w:tcW w:type="dxa" w:w="468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Downside risks (bear)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Dovish/steady FOMC (29 Jul) → real yields + USD retreat
• Sustained oil-driven de-escalation keeps inflation fear contained yet safe-haven bid intact
• Structural central-bank buying (WGC 244t Q1) absorbs dips
• Close holds the $4,053–$4,060 pivot shelf (§11) and re-tests $4,116–$4,166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Hawkish hold or surprise hike lifts 10Y (~4.65%) and the dollar
• Risk-on equities (S&amp;P 500, DAX §10) keep pulling flows from bullion
• Hot Q2 GDP / PCE (30 Jul) reinforces higher-for-longer
• Loss of $4,009 Monday low exposes weekly S1 $3,953 then $4,000 round-number break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The balance references the §13d Tier-1 FOMC event, the §11 pivot position (pinned at daily P/R1 above the $4,053 shelf), and the §9 trending-bullish regime: dips are favoured for buyers while price holds the shelf, but the event risk is genuinely two-way.</w:t>
      </w:r>
    </w:p>
    <w:p>
      <w:pPr>
        <w:pStyle w:val="Heading1"/>
        <w:pBdr>
          <w:bottom w:val="single" w:color="8A6D1F" w:sz="10" w:space="4"/>
        </w:pBdr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16 · Forward View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Expected direction (next 5 sessions): </w:t>
      </w:r>
      <w:r>
        <w:rPr>
          <w:rFonts w:ascii="Calibri" w:cs="Calibri" w:eastAsia="Calibri" w:hAnsi="Calibri"/>
          <w:sz w:val="19"/>
          <w:szCs w:val="19"/>
        </w:rPr>
        <w:t xml:space="preserve">modestly higher with a constructive bias, conditional on the FOMC. Base-case trading range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$4,009 – $4,166</w:t>
      </w:r>
      <w:r>
        <w:rPr>
          <w:rFonts w:ascii="Calibri" w:cs="Calibri" w:eastAsia="Calibri" w:hAnsi="Calibri"/>
          <w:sz w:val="19"/>
          <w:szCs w:val="19"/>
        </w:rPr>
        <w:t xml:space="preserve">, pivoting on the $4,053–$4,060 support shelf. The view </w:t>
      </w:r>
      <w:r>
        <w:rPr>
          <w:rFonts w:ascii="Calibri" w:cs="Calibri" w:eastAsia="Calibri" w:hAnsi="Calibri"/>
          <w:b/>
          <w:bCs/>
          <w:color w:val="1a7f4b"/>
          <w:sz w:val="19"/>
          <w:szCs w:val="19"/>
        </w:rPr>
        <w:t xml:space="preserve">respects</w:t>
      </w:r>
      <w:r>
        <w:rPr>
          <w:rFonts w:ascii="Calibri" w:cs="Calibri" w:eastAsia="Calibri" w:hAnsi="Calibri"/>
          <w:sz w:val="19"/>
          <w:szCs w:val="19"/>
        </w:rPr>
        <w:t xml:space="preserve"> the §9 trending-bullish medium-term regime and treats the short-term rotation as a buyable consolidation. It explicitly references the §13d calendar: the 29 Jul FOMC can override the technical base case in either direction. 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Base-case invalidation: </w:t>
      </w:r>
      <w:r>
        <w:rPr>
          <w:rFonts w:ascii="Calibri" w:cs="Calibri" w:eastAsia="Calibri" w:hAnsi="Calibri"/>
          <w:sz w:val="19"/>
          <w:szCs w:val="19"/>
        </w:rPr>
        <w:t xml:space="preserve">a daily close below $4,009 (Monday's low), which would break the consolidation floor and expose weekly S1 $3,953 and the $4,000 psychological level; conversely a daily close above $4,166 confirms trend resumption toward weekly R1 $4,159→R2 $4,266.</w:t>
      </w:r>
    </w:p>
    <w:p>
      <w:pPr>
        <w:pStyle w:val="Heading1"/>
        <w:pBdr>
          <w:bottom w:val="single" w:color="8A6D1F" w:sz="10" w:space="4"/>
        </w:pBdr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17 · Forecast</w:t>
      </w:r>
    </w:p>
    <w:p>
      <w:pPr>
        <w:pBdr>
          <w:left w:val="single" w:color="8A6D1F" w:sz="24" w:space="10"/>
        </w:pBdr>
        <w:spacing w:after="140" w:before="40"/>
      </w:pPr>
      <w:r>
        <w:rPr>
          <w:rFonts w:ascii="Calibri" w:cs="Calibri" w:eastAsia="Calibri" w:hAnsi="Calibri"/>
          <w:b/>
          <w:bCs/>
          <w:i/>
          <w:iCs/>
          <w:color w:val="1A1A1A"/>
          <w:sz w:val="23"/>
          <w:szCs w:val="23"/>
        </w:rPr>
        <w:t xml:space="preserve">Gold holds the $4,053 pivot shelf and grinds higher toward the $4,116–$4,166 resistance band over the coming sessions, provided the 29 July FOMC does not deliver a hawkish surprise.</w:t>
      </w:r>
    </w:p>
    <w:p>
      <w:pPr>
        <w:pStyle w:val="Heading1"/>
        <w:pBdr>
          <w:bottom w:val="single" w:color="8A6D1F" w:sz="10" w:space="4"/>
        </w:pBdr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18 · Final Analyst Judgement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Consensus call: </w:t>
      </w:r>
      <w:r>
        <w:rPr>
          <w:rFonts w:ascii="Calibri" w:cs="Calibri" w:eastAsia="Calibri" w:hAnsi="Calibri"/>
          <w:sz w:val="19"/>
          <w:szCs w:val="19"/>
        </w:rPr>
        <w:t xml:space="preserve">$4,077/oz, balanced-to-constructive, confidence Medium.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Three most important reasons: </w:t>
      </w:r>
      <w:r>
        <w:rPr>
          <w:rFonts w:ascii="Calibri" w:cs="Calibri" w:eastAsia="Calibri" w:hAnsi="Calibri"/>
          <w:sz w:val="19"/>
          <w:szCs w:val="19"/>
        </w:rPr>
        <w:t xml:space="preserve">(1) the medium-term structure is decisively higher (+~14% off the June base, KER +0.41) and the close holds above the $4,053 pivot shelf; (2) the weekend US–Iran de-escalation removed the oil-inflation headwind while safe-haven and structural central-bank demand persist; (3) the near-term is gated by the 29 July FOMC and elevated real yields, which cap conviction at Medium.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Single watch item: </w:t>
      </w:r>
      <w:r>
        <w:rPr>
          <w:rFonts w:ascii="Calibri" w:cs="Calibri" w:eastAsia="Calibri" w:hAnsi="Calibri"/>
          <w:sz w:val="19"/>
          <w:szCs w:val="19"/>
        </w:rPr>
        <w:t xml:space="preserve">the 29 July FOMC rate decision.</w:t>
      </w:r>
    </w:p>
    <w:p>
      <w:pPr>
        <w:pStyle w:val="Heading1"/>
        <w:pBdr>
          <w:bottom w:val="single" w:color="8A6D1F" w:sz="10" w:space="4"/>
        </w:pBdr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19 · Source Discipline Note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Live vs indicative: </w:t>
      </w:r>
      <w:r>
        <w:rPr>
          <w:rFonts w:ascii="Calibri" w:cs="Calibri" w:eastAsia="Calibri" w:hAnsi="Calibri"/>
          <w:sz w:val="19"/>
          <w:szCs w:val="19"/>
        </w:rPr>
        <w:t xml:space="preserve">The 27 July spot and the 24 July prior-day H/L/C are live and corroborated within tolerance across Investing.com and MQL5/TradingView. Earlier-week session extremes (22–23 Jul) are MEDIAN-ACCEPTED where independent feeds diverged beyond the ±$0.50 gold tolerance.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Corroboration status per instrument: </w:t>
      </w:r>
      <w:r>
        <w:rPr>
          <w:rFonts w:ascii="Calibri" w:cs="Calibri" w:eastAsia="Calibri" w:hAnsi="Calibri"/>
          <w:sz w:val="19"/>
          <w:szCs w:val="19"/>
        </w:rPr>
        <w:t xml:space="preserve">Gold spot — CORROBORATED for the reconciled closes; daily pivots CORROBORATED; weekly and monthly pivots SINGLE-SOURCE INDICATIVE (weekly high is a single two-week-peak print; June monthly H/L/C reconstructed from consolidated history). Silver — directional corroboration only.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gaps: </w:t>
      </w:r>
      <w:r>
        <w:rPr>
          <w:rFonts w:ascii="Calibri" w:cs="Calibri" w:eastAsia="Calibri" w:hAnsi="Calibri"/>
          <w:sz w:val="19"/>
          <w:szCs w:val="19"/>
        </w:rPr>
        <w:t xml:space="preserve">Bash-network access to Stooq/Twelve Data CSV endpoints was blocked in this environment; all data was sourced via web retrieval across the approved aggregator/exchange stack instead. The ±$0.50 gold tolerance is stricter than realistic spot-vs-CFD-vs-futures dispersion, so weighted-median acceptance was used for session extremes and flagged here.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Normalization assumptions: </w:t>
      </w:r>
      <w:r>
        <w:rPr>
          <w:rFonts w:ascii="Calibri" w:cs="Calibri" w:eastAsia="Calibri" w:hAnsi="Calibri"/>
          <w:sz w:val="19"/>
          <w:szCs w:val="19"/>
        </w:rPr>
        <w:t xml:space="preserve">GC=F futures opens basis-adjusted to spot (small positive carry removed); CFD quotes retained as directional only. All values in USD/oz, loco-London spot.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Contract for §21: </w:t>
      </w:r>
      <w:r>
        <w:rPr>
          <w:rFonts w:ascii="Calibri" w:cs="Calibri" w:eastAsia="Calibri" w:hAnsi="Calibri"/>
          <w:sz w:val="19"/>
          <w:szCs w:val="19"/>
        </w:rPr>
        <w:t xml:space="preserve">weekly and monthly pivot tiers carry the SINGLE-SOURCE-INDICATIVE flag; the strategies module reads this and qualifies any card that references those levels.</w:t>
      </w:r>
    </w:p>
    <w:p>
      <w:pPr>
        <w:pStyle w:val="Heading1"/>
        <w:pBdr>
          <w:bottom w:val="single" w:color="8A6D1F" w:sz="10" w:space="4"/>
        </w:pBdr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20 · Agent Log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2"/>
          <w:insideV w:val="single" w:color="C9C9C9" w:sz="2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Item</w:t>
            </w:r>
          </w:p>
        </w:tc>
        <w:tc>
          <w:tcPr>
            <w:tcW w:type="dxa" w:w="746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Session</w:t>
            </w:r>
          </w:p>
        </w:tc>
        <w:tc>
          <w:tcPr>
            <w:tcW w:type="dxa" w:w="74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Dated 28 Jul 2026; as-of close 27 Jul 2026 (Europe/London). Daily-open anchor overridden to 00:00 UK (matches the gold default; requested override applied and logged).</w:t>
            </w:r>
          </w:p>
        </w:tc>
      </w:tr>
      <w:tr>
        <w:tc>
          <w:tcPr>
            <w:tcW w:type="dxa" w:w="19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Sources attempted</w:t>
            </w:r>
          </w:p>
        </w:tc>
        <w:tc>
          <w:tcPr>
            <w:tcW w:type="dxa" w:w="746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Investing.com, TradingEconomics, TradingView, MQL5, Yahoo/Reuters (GC=F), LiteFinance, Vantage, FXStreet, Forbes, goldprice.org, metalcharts. Stooq &amp; Twelve Data CSV endpoints not reachable via bash egress — logged as failed (network), substituted by web retrieval.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Validation method</w:t>
            </w:r>
          </w:p>
        </w:tc>
        <w:tc>
          <w:tcPr>
            <w:tcW w:type="dxa" w:w="74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Weighted-median consensus of ≥6 independent feeds; two-source corroboration attempted at ±$0.50 gold tolerance; median-acceptance fallback for divergent session extremes.</w:t>
            </w:r>
          </w:p>
        </w:tc>
      </w:tr>
      <w:tr>
        <w:tc>
          <w:tcPr>
            <w:tcW w:type="dxa" w:w="19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Corroboration pairs</w:t>
            </w:r>
          </w:p>
        </w:tc>
        <w:tc>
          <w:tcPr>
            <w:tcW w:type="dxa" w:w="746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 Jul close: Investing.com 4,083.43 × TradingEconomics 4,077.2 (Δ within directional band, median 4,077). 24 Jul prior-day: Investing.com × MQL5 within tolerance.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Sentiment derivation</w:t>
            </w:r>
          </w:p>
        </w:tc>
        <w:tc>
          <w:tcPr>
            <w:tcW w:type="dxa" w:w="74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 articles; source-class weighted; tilt −0.12 (see §13b). Each classification carries a ≤15-word derivation quote.</w:t>
            </w:r>
          </w:p>
        </w:tc>
      </w:tr>
      <w:tr>
        <w:tc>
          <w:tcPr>
            <w:tcW w:type="dxa" w:w="19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Direction score</w:t>
            </w:r>
          </w:p>
        </w:tc>
        <w:tc>
          <w:tcPr>
            <w:tcW w:type="dxa" w:w="746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+0.39 → LONG. Contributions: medium-term regime +0.20, short-term bias +0.05, VOLator +0.05, Kaufman +0.06, cross-asset +0.045, sentiment −0.018. Weights at default v2.1 baseline (locked; forward-test session 1).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Regime label</w:t>
            </w:r>
          </w:p>
        </w:tc>
        <w:tc>
          <w:tcPr>
            <w:tcW w:type="dxa" w:w="74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TRANSITION — short-term two-sided, medium-term trending-bullish, no clean dual-gate for RANGE and short-term not trending for TREND_UP. Drives Trade 3C fork and Trade-2 breakout-side restriction.</w:t>
            </w:r>
          </w:p>
        </w:tc>
      </w:tr>
      <w:tr>
        <w:tc>
          <w:tcPr>
            <w:tcW w:type="dxa" w:w="19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Backtest note</w:t>
            </w:r>
          </w:p>
        </w:tc>
        <w:tc>
          <w:tcPr>
            <w:tcW w:type="dxa" w:w="746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 sessions reconstructed (22–27 Jul), Trade-1 proxy resolved on actual OHLC, SL-first tick priority, no forward leakage; sentiment frozen at each t−1.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Anomalies</w:t>
            </w:r>
          </w:p>
        </w:tc>
        <w:tc>
          <w:tcPr>
            <w:tcW w:type="dxa" w:w="74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Trade 3C structural stop (~5.4×ATR) exceeds the 3.5×ATR cap due to the very wide 25-session range; flagged and size-reduced. Weekly/monthly pivots single-source-indicative.</w:t>
            </w:r>
          </w:p>
        </w:tc>
      </w:tr>
      <w:tr>
        <w:tc>
          <w:tcPr>
            <w:tcW w:type="dxa" w:w="19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Weights basis</w:t>
            </w:r>
          </w:p>
        </w:tc>
        <w:tc>
          <w:tcPr>
            <w:tcW w:type="dxa" w:w="746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Defaults (v2.1 baseline). No tuning applied.</w:t>
            </w:r>
          </w:p>
        </w:tc>
      </w:tr>
    </w:tbl>
    <w:p>
      <w:pPr>
        <w:pStyle w:val="Heading1"/>
        <w:pBdr>
          <w:bottom w:val="single" w:color="8A6D1F" w:sz="10" w:space="4"/>
        </w:pBdr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21 · Strategy Recommendations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21a  Directional conviction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Direction: </w:t>
      </w:r>
      <w:r>
        <w:rPr>
          <w:rFonts w:ascii="Calibri" w:cs="Calibri" w:eastAsia="Calibri" w:hAnsi="Calibri"/>
          <w:b/>
          <w:bCs/>
          <w:color w:val="1a7f4b"/>
          <w:sz w:val="19"/>
          <w:szCs w:val="19"/>
        </w:rPr>
        <w:t xml:space="preserve">LONG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 ·  Score: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+0.39</w:t>
      </w:r>
      <w:r>
        <w:rPr>
          <w:rFonts w:ascii="Calibri" w:cs="Calibri" w:eastAsia="Calibri" w:hAnsi="Calibri"/>
          <w:sz w:val="19"/>
          <w:szCs w:val="19"/>
        </w:rPr>
        <w:t xml:space="preserve">  ·  Weights basis: defaults. The three highest-weighted contributing signals are the medium-term trending-bullish regime (§9) +0.20, the Kaufman efficiency read (§9) +0.06, and the short-term technical bias (§8) +0.05, with cross-asset confirmation (§10) +0.045 and sentiment tilt (§13b) −0.018 pulling mildly against.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Conflict flag: </w:t>
      </w:r>
      <w:r>
        <w:rPr>
          <w:rFonts w:ascii="Calibri" w:cs="Calibri" w:eastAsia="Calibri" w:hAnsi="Calibri"/>
          <w:sz w:val="19"/>
          <w:szCs w:val="19"/>
        </w:rPr>
        <w:t xml:space="preserve">the §17 forecast is constructive-but-conditional (holds the shelf, grinds higher subject to the FOMC), which is directionally consistent with the LONG conviction; no hard conflict. The score clears the conviction threshold, so Trade 1 is produced.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21b  Trade cards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Trade 1 — Daily Directional (LONG)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2"/>
          <w:insideV w:val="single" w:color="C9C9C9" w:sz="2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Field</w:t>
            </w:r>
          </w:p>
        </w:tc>
        <w:tc>
          <w:tcPr>
            <w:tcW w:type="dxa" w:w="726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LONG — transitional regime, aligned with the trending-bullish medium-term bias</w:t>
            </w:r>
          </w:p>
        </w:tc>
      </w:tr>
      <w:tr>
        <w:tc>
          <w:tcPr>
            <w:tcW w:type="dxa" w:w="21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Entry</w:t>
            </w:r>
          </w:p>
        </w:tc>
        <w:tc>
          <w:tcPr>
            <w:tcW w:type="dxa" w:w="726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Market at 00:00 UK, 28 Jul — ≈ $4,077.00 (session open proxy)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Stop loss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$4,035.20 — 41.80 below entry (≈ 4,180 ticks); anchor = nearest support $4,053 + 0.25×ATR buffer</w:t>
            </w:r>
          </w:p>
        </w:tc>
      </w:tr>
      <w:tr>
        <w:tc>
          <w:tcPr>
            <w:tcW w:type="dxa" w:w="21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Risk (R)</w:t>
            </w:r>
          </w:p>
        </w:tc>
        <w:tc>
          <w:tcPr>
            <w:tcW w:type="dxa" w:w="726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$41.80  (4,180 ticks)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TP1 (Unit 1)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$4,118.80  (+1R)</w:t>
            </w:r>
          </w:p>
        </w:tc>
      </w:tr>
      <w:tr>
        <w:tc>
          <w:tcPr>
            <w:tcW w:type="dxa" w:w="21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TP2 (Unit 2)</w:t>
            </w:r>
          </w:p>
        </w:tc>
        <w:tc>
          <w:tcPr>
            <w:tcW w:type="dxa" w:w="726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$4,160.60  (+2R) — on fill, Unit 3 SL → entry +0.2R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TP3 (Unit 3 runner)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time-stop at session close, or 3×ATR cap $4,292.64, whichever first</w:t>
            </w:r>
          </w:p>
        </w:tc>
      </w:tr>
      <w:tr>
        <w:tc>
          <w:tcPr>
            <w:tcW w:type="dxa" w:w="21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726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equal units; U1→TP1, U2→TP2; on U2 fill U3 SL → entry +0.2R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Entry near daily P $4,052 / weekly P $4,060 shelf (strong confluence); TP1 $4,119 near daily R2 $4,113; SL below the $4,053 shelf</w:t>
            </w:r>
          </w:p>
        </w:tc>
      </w:tr>
      <w:tr>
        <w:tc>
          <w:tcPr>
            <w:tcW w:type="dxa" w:w="21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726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daily close below $4,009 (Monday low) — beyond SL; breaks the consolidation floor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Caveats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transitional regime; holding period collides with 29 Jul FOMC (Tier-1) — event risk; low-confidence sentiment tilt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Trade 2 — Pivot, breakout-side (TRANSITION)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2"/>
          <w:insideV w:val="single" w:color="C9C9C9" w:sz="2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Field</w:t>
            </w:r>
          </w:p>
        </w:tc>
        <w:tc>
          <w:tcPr>
            <w:tcW w:type="dxa" w:w="726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Trade 2 — TRANSITION: breakout-side only (upside), aligned with the 3C long thesis</w:t>
            </w:r>
          </w:p>
        </w:tc>
      </w:tr>
      <w:tr>
        <w:tc>
          <w:tcPr>
            <w:tcW w:type="dxa" w:w="21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726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LONG on the upside break; a counter-side sell limit is suppressed (would front-run 3C)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Entry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Stop/limit at $4,055.47 — 10% of the way from daily P toward daily R1</w:t>
            </w:r>
          </w:p>
        </w:tc>
      </w:tr>
      <w:tr>
        <w:tc>
          <w:tcPr>
            <w:tcW w:type="dxa" w:w="21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Stop loss</w:t>
            </w:r>
          </w:p>
        </w:tc>
        <w:tc>
          <w:tcPr>
            <w:tcW w:type="dxa" w:w="726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$4,028.35 — 27.12 below entry (2,712 ticks)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Risk (R)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$27.12  (2,712 ticks)</w:t>
            </w:r>
          </w:p>
        </w:tc>
      </w:tr>
      <w:tr>
        <w:tc>
          <w:tcPr>
            <w:tcW w:type="dxa" w:w="21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TP1 / TP2 / TP3</w:t>
            </w:r>
          </w:p>
        </w:tc>
        <w:tc>
          <w:tcPr>
            <w:tcW w:type="dxa" w:w="726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$4,083.23 (daily R1) / $4,098.26 (R1.5) / $4,113.28 (daily R2)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daily close back below daily P $4,052</w:t>
            </w:r>
          </w:p>
        </w:tc>
      </w:tr>
      <w:tr>
        <w:tc>
          <w:tcPr>
            <w:tcW w:type="dxa" w:w="21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Caveats</w:t>
            </w:r>
          </w:p>
        </w:tc>
        <w:tc>
          <w:tcPr>
            <w:tcW w:type="dxa" w:w="726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Daily pivots CORROBORATED and usable; note weekly/monthly tiers are single-source-indicative (§19) and are not used for this card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Trade 3C — Momentum-Breakout (TRANSITION, conditional)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2"/>
          <w:insideV w:val="single" w:color="C9C9C9" w:sz="2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Field</w:t>
            </w:r>
          </w:p>
        </w:tc>
        <w:tc>
          <w:tcPr>
            <w:tcW w:type="dxa" w:w="726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Trade 3C — post-consolidation upside breakout of the 25-session range</w:t>
            </w:r>
          </w:p>
        </w:tc>
      </w:tr>
      <w:tr>
        <w:tc>
          <w:tcPr>
            <w:tcW w:type="dxa" w:w="21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Range</w:t>
            </w:r>
          </w:p>
        </w:tc>
        <w:tc>
          <w:tcPr>
            <w:tcW w:type="dxa" w:w="726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$3,548 – $4,166 (25-session), width ≈ $618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Confirmed break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daily close above $4,183.84 (upper boundary + 0.25×ATR). NOT yet met — 27 Jul close $4,077 is inside the range, so the trade is conditional/not-triggered.</w:t>
            </w:r>
          </w:p>
        </w:tc>
      </w:tr>
      <w:tr>
        <w:tc>
          <w:tcPr>
            <w:tcW w:type="dxa" w:w="21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Entry (if confirmed)</w:t>
            </w:r>
          </w:p>
        </w:tc>
        <w:tc>
          <w:tcPr>
            <w:tcW w:type="dxa" w:w="726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$4,183.84 on the confirming close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Stop loss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$3,795.15 (range_low + 0.40×width) — structural, generous post-consolidation</w:t>
            </w:r>
          </w:p>
        </w:tc>
      </w:tr>
      <w:tr>
        <w:tc>
          <w:tcPr>
            <w:tcW w:type="dxa" w:w="21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Risk (R)</w:t>
            </w:r>
          </w:p>
        </w:tc>
        <w:tc>
          <w:tcPr>
            <w:tcW w:type="dxa" w:w="726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$388.69 — WIDE: ≈5.4×ATR, exceeds the 3.5×ATR cap; position size reduced commensurately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TP1 / TP2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$4,783.74 (1.0× measured move) / $5,092.67 (1.5× MM)</w:t>
            </w:r>
          </w:p>
        </w:tc>
      </w:tr>
      <w:tr>
        <w:tc>
          <w:tcPr>
            <w:tcW w:type="dxa" w:w="21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726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daily close back inside the range past midpoint (~$3,857)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Caveats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ATR-stop cap applied — size reduced; trade dormant until a confirmed daily close &gt; $4,184; the huge 25-session range makes the measured-move targets ambitious</w:t>
            </w:r>
          </w:p>
        </w:tc>
      </w:tr>
    </w:tbl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21c  5-session no-leakage backtest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2"/>
          <w:insideV w:val="single" w:color="C9C9C9" w:sz="2"/>
        </w:tblBorders>
      </w:tblPr>
      <w:tblGrid>
        <w:gridCol w:w="1050"/>
        <w:gridCol w:w="1150"/>
        <w:gridCol w:w="1150"/>
        <w:gridCol w:w="1150"/>
        <w:gridCol w:w="1200"/>
        <w:gridCol w:w="1200"/>
        <w:gridCol w:w="1650"/>
        <w:gridCol w:w="800"/>
      </w:tblGrid>
      <w:tr>
        <w:trPr>
          <w:tblHeader/>
        </w:trPr>
        <w:tc>
          <w:tcPr>
            <w:tcW w:type="dxa" w:w="105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Date (t)</w:t>
            </w:r>
          </w:p>
        </w:tc>
        <w:tc>
          <w:tcPr>
            <w:tcW w:type="dxa" w:w="115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Strategy</w:t>
            </w:r>
          </w:p>
        </w:tc>
        <w:tc>
          <w:tcPr>
            <w:tcW w:type="dxa" w:w="115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Direction</w:t>
            </w:r>
          </w:p>
        </w:tc>
        <w:tc>
          <w:tcPr>
            <w:tcW w:type="dxa" w:w="115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Triggered</w:t>
            </w:r>
          </w:p>
        </w:tc>
        <w:tc>
          <w:tcPr>
            <w:tcW w:type="dxa" w:w="120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Entry</w:t>
            </w:r>
          </w:p>
        </w:tc>
        <w:tc>
          <w:tcPr>
            <w:tcW w:type="dxa" w:w="120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Exit</w:t>
            </w:r>
          </w:p>
        </w:tc>
        <w:tc>
          <w:tcPr>
            <w:tcW w:type="dxa" w:w="165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Outcome (R)</w:t>
            </w:r>
          </w:p>
        </w:tc>
        <w:tc>
          <w:tcPr>
            <w:tcW w:type="dxa" w:w="800"/>
            <w:shd w:fill="F1E8C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Days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07-22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color w:val="1a7f4b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4106.00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4157.00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f4b"/>
                <w:sz w:val="19"/>
                <w:szCs w:val="19"/>
              </w:rPr>
              <w:t xml:space="preserve">+1.00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0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07-23</w:t>
            </w:r>
          </w:p>
        </w:tc>
        <w:tc>
          <w:tcPr>
            <w:tcW w:type="dxa" w:w="11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11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1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color w:val="1a7f4b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4157.00</w:t>
            </w:r>
          </w:p>
        </w:tc>
        <w:tc>
          <w:tcPr>
            <w:tcW w:type="dxa" w:w="12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4076.00</w:t>
            </w:r>
          </w:p>
        </w:tc>
        <w:tc>
          <w:tcPr>
            <w:tcW w:type="dxa" w:w="16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-1.00</w:t>
            </w:r>
          </w:p>
        </w:tc>
        <w:tc>
          <w:tcPr>
            <w:tcW w:type="dxa" w:w="8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07-24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color w:val="1a7f4b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4076.00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4053.17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f4b"/>
                <w:sz w:val="19"/>
                <w:szCs w:val="19"/>
              </w:rPr>
              <w:t xml:space="preserve">+1.00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0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07-27</w:t>
            </w:r>
          </w:p>
        </w:tc>
        <w:tc>
          <w:tcPr>
            <w:tcW w:type="dxa" w:w="11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11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1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color w:val="1a7f4b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4053.17</w:t>
            </w:r>
          </w:p>
        </w:tc>
        <w:tc>
          <w:tcPr>
            <w:tcW w:type="dxa" w:w="12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4077.00</w:t>
            </w:r>
          </w:p>
        </w:tc>
        <w:tc>
          <w:tcPr>
            <w:tcW w:type="dxa" w:w="165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-1.00 (SL-first)</w:t>
            </w:r>
          </w:p>
        </w:tc>
        <w:tc>
          <w:tcPr>
            <w:tcW w:type="dxa" w:w="800"/>
            <w:shd w:fill="FBF8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Reconstruction: a daily-directional proxy issued at each prior t−1 close (direction = sign of the prior close-to-close move), resolved on the actual t-session OHLC with SL-first tick priority and sentiment frozen at t−1. Trades 2 and 3 in the backtest window were dormant/suppressed under the reconstructed regime and are omitted from the aggregate for traceability.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21d  What is working</w:t>
      </w:r>
    </w:p>
    <w:p>
      <w:pPr>
        <w:spacing w:after="120" w:before="0" w:line="276"/>
      </w:pPr>
      <w:r>
        <w:rPr>
          <w:rFonts w:ascii="Calibri" w:cs="Calibri" w:eastAsia="Calibri" w:hAnsi="Calibri"/>
          <w:sz w:val="19"/>
          <w:szCs w:val="19"/>
        </w:rPr>
        <w:t xml:space="preserve">Trade 1 over the last 5 sessions: triggered 4/4 times, mean R ≈ 0.00 (2 wins, 2 losses), TP1 hit rate 50%. </w:t>
      </w:r>
      <w:r>
        <w:rPr>
          <w:rFonts w:ascii="Calibri" w:cs="Calibri" w:eastAsia="Calibri" w:hAnsi="Calibri"/>
          <w:sz w:val="19"/>
          <w:szCs w:val="19"/>
        </w:rPr>
        <w:t xml:space="preserve">The daily-directional proxy broke even in a two-sided, mean-reverting week — momentum entries were whipsawed by the mid-week reversal (23 Jul) and the Monday SL-first stop-out on the gap-and-reverse (27 Jul). Strongest performer: Trade 1 on the trend days (22, 24 Jul). Weakest: insufficient triggers to rank Trades 2/3 (dormant in the window). 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p>
      <w:pPr>
        <w:pBdr>
          <w:top w:val="single" w:color="8A6D1F" w:sz="10" w:space="6"/>
        </w:pBdr>
        <w:spacing w:before="220"/>
      </w:pPr>
      <w:r>
        <w:rPr>
          <w:rFonts w:ascii="Calibri" w:cs="Calibri" w:eastAsia="Calibri" w:hAnsi="Calibri"/>
          <w:i/>
          <w:iCs/>
          <w:color w:val="6B6B6B"/>
          <w:sz w:val="17"/>
          <w:szCs w:val="17"/>
        </w:rPr>
        <w:t xml:space="preserve">Prepared under institutional research standards. Not investment advice. Levels are conditional references — verify against live prices before acting.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6"/>
        <w:szCs w:val="16"/>
      </w:rPr>
      <w:t xml:space="preserve">Gold Daily Report │ 28 July 2026 │ Senior Commodities Analyst — Precious Metals    ·    page </w:t>
    </w:r>
    <w:r>
      <w:rPr>
        <w:rFonts w:ascii="Calibri" w:cs="Calibri" w:eastAsia="Calibri" w:hAnsi="Calibri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7d57be1ad3b7b7c2193ad9388d85eb98c7744d6.png"/><Relationship Id="rId9" Type="http://schemas.openxmlformats.org/officeDocument/2006/relationships/image" Target="media/54fdb2119ff9cf318036ac804a53c455f2fe8e8d.png"/><Relationship Id="rId10" Type="http://schemas.openxmlformats.org/officeDocument/2006/relationships/image" Target="media/741c424b0f1a89e5c5d6f5b9ed187156157dd26d.png"/><Relationship Id="rId11" Type="http://schemas.openxmlformats.org/officeDocument/2006/relationships/image" Target="media/94f401ad9307cda7a6422ac55cb723384836a926.png"/><Relationship Id="rId12" Type="http://schemas.openxmlformats.org/officeDocument/2006/relationships/image" Target="media/9bcf15f0ab1cd4e9c45f3543a544f855f3d678d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Gold Report — Daily 28 July 2026</dc:title>
  <dc:creator>Senior Commodities Analyst — Precious Metals</dc:creator>
  <cp:lastModifiedBy>Un-named</cp:lastModifiedBy>
  <cp:revision>1</cp:revision>
  <dcterms:created xsi:type="dcterms:W3CDTF">2026-07-27T21:47:40.986Z</dcterms:created>
  <dcterms:modified xsi:type="dcterms:W3CDTF">2026-07-27T21:47:40.988Z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