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Gold Report — Daily: 29 July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With reference to: Silver · USDX · S&amp;P 500 · DAX 40</w:t>
      </w:r>
    </w:p>
    <w:p>
      <w:pPr>
        <w:pBdr>
          <w:bottom w:val="single" w:color="1b2a4a" w:sz="8"/>
        </w:pBd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9360"/>
      </w:tblGrid>
      <w:tr>
        <w:tc>
          <w:tcPr>
            <w:tcW w:type="dxa" w:w="9360"/>
            <w:shd w:fill="fbf3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271e"/>
                <w:sz w:val="18"/>
                <w:szCs w:val="18"/>
              </w:rPr>
              <w:t xml:space="preserve">DATA-CORROBORATION NOTICE.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All Gold OHLC in this report is SINGLE-SOURCE INDICATIVE. Two-source corroboration within the ±$0.50/oz gold tolerance could not be achieved for the 22–28 Jul sessions — same-day spot reads across venues diverged by up to ~$50/oz, roughly 100× the tolerance. Under the standard data protocol this would trigger a halt; per the analyst's explicit run-time instruction for this forward-test session, corroboration was relaxed and strategy output was retained rather than suppressed. Indicative levels must not be used for live execution without independent verification. See §19 and §20.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Daily-open anchor overridden to 00:00 UK for the 29 Jul 2026 session per run-time instruction. As-of reference: prior completed session Tue 28 Jul 2026 close.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§1  Executive Snapshot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Gold enters the 29 July session on the defensive around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$4,030/oz</w:t>
      </w:r>
      <w:r>
        <w:rPr>
          <w:rFonts w:ascii="Calibri" w:cs="Calibri" w:eastAsia="Calibri" w:hAnsi="Calibri"/>
          <w:sz w:val="20"/>
          <w:szCs w:val="20"/>
        </w:rPr>
        <w:t xml:space="preserve"> (indicative), with the consensus spot read spanning roughly $4,024–$4,046 and the FOMC decision due that same afternoon. Three drivers dominate: a firm US dollar sitting near a five-week high, a market pricing an unusually high ~30% probability of a Fed </w:t>
      </w:r>
      <w:r>
        <w:rPr>
          <w:rFonts w:ascii="Calibri" w:cs="Calibri" w:eastAsia="Calibri" w:hAnsi="Calibri"/>
          <w:sz w:val="20"/>
          <w:szCs w:val="20"/>
        </w:rPr>
        <w:t xml:space="preserve">hike</w:t>
      </w:r>
      <w:r>
        <w:rPr>
          <w:rFonts w:ascii="Calibri" w:cs="Calibri" w:eastAsia="Calibri" w:hAnsi="Calibri"/>
          <w:sz w:val="20"/>
          <w:szCs w:val="20"/>
        </w:rPr>
        <w:t xml:space="preserve"> on 29 Jul (with ~56–80% priced for September), and a partial unwind of the Middle-East safe-haven premium after the US–Iran pause pulled oil sharply lower. Short-term technical state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Ranging → Bearish</w:t>
      </w:r>
      <w:r>
        <w:rPr>
          <w:rFonts w:ascii="Calibri" w:cs="Calibri" w:eastAsia="Calibri" w:hAnsi="Calibri"/>
          <w:sz w:val="20"/>
          <w:szCs w:val="20"/>
        </w:rPr>
        <w:t xml:space="preserve"> (RSI2 36.7, a down close on 28 Jul into the low third of the 25-session range); the medium-term structure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Ranging with a range-bottom bias</w:t>
      </w:r>
      <w:r>
        <w:rPr>
          <w:rFonts w:ascii="Calibri" w:cs="Calibri" w:eastAsia="Calibri" w:hAnsi="Calibri"/>
          <w:sz w:val="20"/>
          <w:szCs w:val="20"/>
        </w:rPr>
        <w:t xml:space="preserve">. The Kaufman efficiency read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Trending Down — Moderate</w:t>
      </w:r>
      <w:r>
        <w:rPr>
          <w:rFonts w:ascii="Calibri" w:cs="Calibri" w:eastAsia="Calibri" w:hAnsi="Calibri"/>
          <w:sz w:val="20"/>
          <w:szCs w:val="20"/>
        </w:rPr>
        <w:t xml:space="preserve"> (smoothed KER −0.16), but volatility is compressing and 25-session overlap is high (0.69), so the consolidated regime resolves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TRANSITION</w:t>
      </w:r>
      <w:r>
        <w:rPr>
          <w:rFonts w:ascii="Calibri" w:cs="Calibri" w:eastAsia="Calibri" w:hAnsi="Calibri"/>
          <w:sz w:val="20"/>
          <w:szCs w:val="20"/>
        </w:rPr>
        <w:t xml:space="preserve">. Directional conviction is </w:t>
      </w:r>
      <w:r>
        <w:rPr>
          <w:rFonts w:ascii="Calibri" w:cs="Calibri" w:eastAsia="Calibri" w:hAnsi="Calibri"/>
          <w:b/>
          <w:bCs/>
          <w:color w:val="b3271e"/>
          <w:sz w:val="20"/>
          <w:szCs w:val="20"/>
        </w:rPr>
        <w:t xml:space="preserve">SHORT (score −0.54)</w:t>
      </w:r>
      <w:r>
        <w:rPr>
          <w:rFonts w:ascii="Calibri" w:cs="Calibri" w:eastAsia="Calibri" w:hAnsi="Calibri"/>
          <w:sz w:val="20"/>
          <w:szCs w:val="20"/>
        </w:rPr>
        <w:t xml:space="preserve">. The single most important watch item is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29 Jul FOMC rate decision and Chair Warsh press conference</w:t>
      </w:r>
      <w:r>
        <w:rPr>
          <w:rFonts w:ascii="Calibri" w:cs="Calibri" w:eastAsia="Calibri" w:hAnsi="Calibri"/>
          <w:sz w:val="20"/>
          <w:szCs w:val="20"/>
        </w:rPr>
        <w:t xml:space="preserve"> — a hold or dovish surprise would likely snap gold back toward the $4,070–$4,090 pivot shelf; a hike or hawkish hold risks a break of the $4,000 psychological floor.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§2  Market Definition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Gold — XAU/USD spot (GC=F front-month for corroboration)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specification</w:t>
            </w:r>
          </w:p>
        </w:tc>
        <w:tc>
          <w:tcPr>
            <w:tcW w:type="dxa" w:w="67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London Good Delivery bar, 99.99% pure, 400-oz spot quote (LBMA standard)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Market scope</w:t>
            </w:r>
          </w:p>
        </w:tc>
        <w:tc>
          <w:tcPr>
            <w:tcW w:type="dxa" w:w="6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Global, 24-hour OTC spot market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Delivery / price basis</w:t>
            </w:r>
          </w:p>
        </w:tc>
        <w:tc>
          <w:tcPr>
            <w:tcW w:type="dxa" w:w="67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OTC London spot, T+2 settlement; immediate settlement (loco London)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USD per troy ounce (USD/oz)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As-of reference</w:t>
            </w:r>
          </w:p>
        </w:tc>
        <w:tc>
          <w:tcPr>
            <w:tcW w:type="dxa" w:w="67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 completed session Tue 28 Jul 2026 (Europe/London); report for 29 Jul 2026 open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sessions (execution block); 25 sessions (regime block)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Secondary asset</w:t>
            </w:r>
          </w:p>
        </w:tc>
        <w:tc>
          <w:tcPr>
            <w:tcW w:type="dxa" w:w="67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Silver — XAG/USD spot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§3  Consensus Price Call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Consensus spot (indicative)</w:t>
            </w:r>
          </w:p>
        </w:tc>
        <w:tc>
          <w:tcPr>
            <w:tcW w:type="dxa" w:w="6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≈ $4,030 / oz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Consensus range</w:t>
            </w:r>
          </w:p>
        </w:tc>
        <w:tc>
          <w:tcPr>
            <w:tcW w:type="dxa" w:w="67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$4,022 – $4,046 / oz (28 Jul session envelope)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Basis</w:t>
            </w:r>
          </w:p>
        </w:tc>
        <w:tc>
          <w:tcPr>
            <w:tcW w:type="dxa" w:w="6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OTC London spot, USD/oz, immediate settlement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7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 — single-source indicative; wide inter-venue dispersion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Market tone</w:t>
            </w:r>
          </w:p>
        </w:tc>
        <w:tc>
          <w:tcPr>
            <w:tcW w:type="dxa" w:w="6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b3271e"/>
                <w:sz w:val="18"/>
                <w:szCs w:val="18"/>
              </w:rPr>
              <w:t xml:space="preserve">Bearish (risk-off into FOMC; dollar firm)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Rationale</w:t>
            </w:r>
          </w:p>
        </w:tc>
        <w:tc>
          <w:tcPr>
            <w:tcW w:type="dxa" w:w="67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Spot slid ~0.8–1.2% on 28 Jul as the dollar held a five-week high and rate-hike odds rose; the metal is testing the lower half of its July range just below the 20-day average.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§4  Price Evidence Table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Observations for the 28 Jul session and current spot. All quotes are spot or CFD-tracked spot; none reconciled to within the gold tolerance, hence every row is classified indicative. Retail FX-broker quotes are excluded from the consensus per the source restrictions.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1350"/>
        <w:gridCol w:w="1250"/>
        <w:gridCol w:w="1050"/>
        <w:gridCol w:w="1350"/>
        <w:gridCol w:w="1500"/>
        <w:gridCol w:w="1050"/>
        <w:gridCol w:w="1810"/>
      </w:tblGrid>
      <w:tr>
        <w:trPr>
          <w:tblHeader/>
        </w:trPr>
        <w:tc>
          <w:tcPr>
            <w:tcW w:type="dxa" w:w="135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5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105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35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Normalized (USD/oz)</w:t>
            </w:r>
          </w:p>
        </w:tc>
        <w:tc>
          <w:tcPr>
            <w:tcW w:type="dxa" w:w="15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 / Location</w:t>
            </w:r>
          </w:p>
        </w:tc>
        <w:tc>
          <w:tcPr>
            <w:tcW w:type="dxa" w:w="105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81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3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2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 Jul close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4,074.56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4,074.56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CFD spot / global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81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+0.56% d/d; third-party CFD, unverified</w:t>
            </w:r>
          </w:p>
        </w:tc>
      </w:tr>
      <w:tr>
        <w:tc>
          <w:tcPr>
            <w:tcW w:type="dxa" w:w="13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FXLeaders</w:t>
            </w:r>
          </w:p>
        </w:tc>
        <w:tc>
          <w:tcPr>
            <w:tcW w:type="dxa" w:w="12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 Jul intraday</w:t>
            </w:r>
          </w:p>
        </w:tc>
        <w:tc>
          <w:tcPr>
            <w:tcW w:type="dxa" w:w="10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4,045.89</w:t>
            </w:r>
          </w:p>
        </w:tc>
        <w:tc>
          <w:tcPr>
            <w:tcW w:type="dxa" w:w="13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4,045.89</w:t>
            </w:r>
          </w:p>
        </w:tc>
        <w:tc>
          <w:tcPr>
            <w:tcW w:type="dxa" w:w="15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Spot / London</w:t>
            </w:r>
          </w:p>
        </w:tc>
        <w:tc>
          <w:tcPr>
            <w:tcW w:type="dxa" w:w="10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81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Futures 4,046.20 alongside</w:t>
            </w:r>
          </w:p>
        </w:tc>
      </w:tr>
      <w:tr>
        <w:tc>
          <w:tcPr>
            <w:tcW w:type="dxa" w:w="13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USAGold</w:t>
            </w:r>
          </w:p>
        </w:tc>
        <w:tc>
          <w:tcPr>
            <w:tcW w:type="dxa" w:w="12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 Jul intraday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4,042.29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4,042.29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Spot / NY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81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−$32.60 (−0.80%) on day</w:t>
            </w:r>
          </w:p>
        </w:tc>
      </w:tr>
      <w:tr>
        <w:tc>
          <w:tcPr>
            <w:tcW w:type="dxa" w:w="13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2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 Jul RT</w:t>
            </w:r>
          </w:p>
        </w:tc>
        <w:tc>
          <w:tcPr>
            <w:tcW w:type="dxa" w:w="10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4,031.32</w:t>
            </w:r>
          </w:p>
        </w:tc>
        <w:tc>
          <w:tcPr>
            <w:tcW w:type="dxa" w:w="13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4,031.32</w:t>
            </w:r>
          </w:p>
        </w:tc>
        <w:tc>
          <w:tcPr>
            <w:tcW w:type="dxa" w:w="15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Spot / global</w:t>
            </w:r>
          </w:p>
        </w:tc>
        <w:tc>
          <w:tcPr>
            <w:tcW w:type="dxa" w:w="10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81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range 4,022.23–4,062.05</w:t>
            </w:r>
          </w:p>
        </w:tc>
      </w:tr>
      <w:tr>
        <w:tc>
          <w:tcPr>
            <w:tcW w:type="dxa" w:w="13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TradingEconomics (CFD)</w:t>
            </w:r>
          </w:p>
        </w:tc>
        <w:tc>
          <w:tcPr>
            <w:tcW w:type="dxa" w:w="12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 Jul intraday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4,026.33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4,026.33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CFD spot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81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−1.25% d/d</w:t>
            </w:r>
          </w:p>
        </w:tc>
      </w:tr>
      <w:tr>
        <w:tc>
          <w:tcPr>
            <w:tcW w:type="dxa" w:w="13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TradingView (OANDA)</w:t>
            </w:r>
          </w:p>
        </w:tc>
        <w:tc>
          <w:tcPr>
            <w:tcW w:type="dxa" w:w="12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 Jul RT</w:t>
            </w:r>
          </w:p>
        </w:tc>
        <w:tc>
          <w:tcPr>
            <w:tcW w:type="dxa" w:w="10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4,027.93</w:t>
            </w:r>
          </w:p>
        </w:tc>
        <w:tc>
          <w:tcPr>
            <w:tcW w:type="dxa" w:w="13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4,027.93</w:t>
            </w:r>
          </w:p>
        </w:tc>
        <w:tc>
          <w:tcPr>
            <w:tcW w:type="dxa" w:w="15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Spot / OANDA</w:t>
            </w:r>
          </w:p>
        </w:tc>
        <w:tc>
          <w:tcPr>
            <w:tcW w:type="dxa" w:w="10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81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Strong-sell daily rating</w:t>
            </w:r>
          </w:p>
        </w:tc>
      </w:tr>
      <w:tr>
        <w:tc>
          <w:tcPr>
            <w:tcW w:type="dxa" w:w="13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IFCM</w:t>
            </w:r>
          </w:p>
        </w:tc>
        <w:tc>
          <w:tcPr>
            <w:tcW w:type="dxa" w:w="12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 Jul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4,024.39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4,024.39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Spot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Excluded</w:t>
            </w:r>
          </w:p>
        </w:tc>
        <w:tc>
          <w:tcPr>
            <w:tcW w:type="dxa" w:w="181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Retail dealer feed</w:t>
            </w:r>
          </w:p>
        </w:tc>
      </w:tr>
      <w:tr>
        <w:tc>
          <w:tcPr>
            <w:tcW w:type="dxa" w:w="13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LiteFinance</w:t>
            </w:r>
          </w:p>
        </w:tc>
        <w:tc>
          <w:tcPr>
            <w:tcW w:type="dxa" w:w="12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 Jul</w:t>
            </w:r>
          </w:p>
        </w:tc>
        <w:tc>
          <w:tcPr>
            <w:tcW w:type="dxa" w:w="10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4,073.88</w:t>
            </w:r>
          </w:p>
        </w:tc>
        <w:tc>
          <w:tcPr>
            <w:tcW w:type="dxa" w:w="13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4,073.88</w:t>
            </w:r>
          </w:p>
        </w:tc>
        <w:tc>
          <w:tcPr>
            <w:tcW w:type="dxa" w:w="15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CFD / analysis</w:t>
            </w:r>
          </w:p>
        </w:tc>
        <w:tc>
          <w:tcPr>
            <w:tcW w:type="dxa" w:w="10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Excluded</w:t>
            </w:r>
          </w:p>
        </w:tc>
        <w:tc>
          <w:tcPr>
            <w:tcW w:type="dxa" w:w="181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Forecast-page quote; stale vs others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Dispersion across live venues on 28 Jul: ~$4,024 to ~$4,074 (~$50). This exceeds the ±$0.50 gold corroboration tolerance by ~100×, so no pair corroborates. The weighted-median of the non-excluded reads sits at ≈ $4,030/oz, adopted as the indicative consensus.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§5  Consensus Build Explanation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Comparables were already on the target basis (USD/oz spot), so no FX or spec conversion was required; the only normalization was timing — all reads pulled to the 28 Jul session. Weighting followed recency and source credibility: exchange-adjacent CFD closes (Trading Economics) and multi-venue spot aggregators (Investing.com, TradingView/OANDA) were retained as directional comparables; single retail dealer feeds (IFCM) and a stale forecast-page quote (LiteFinance) were excluded. Because no two retained sources agree within tolerance, the build is range-first: the defensible statement is that spot traded a ~$4,022–$4,062 envelope on 28 Jul and closed indicatively near $4,030. The weighted median of retained reads (~$4,030) is the most defensible point estimate, but it carries a Low confidence flag and cannot be used as a settlement reference.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Exclusions: </w:t>
      </w:r>
      <w:r>
        <w:rPr>
          <w:rFonts w:ascii="Calibri" w:cs="Calibri" w:eastAsia="Calibri" w:hAnsi="Calibri"/>
          <w:sz w:val="20"/>
          <w:szCs w:val="20"/>
        </w:rPr>
        <w:t xml:space="preserve">IFCM (retail dealer spread); LiteFinance (forecast-page quote, ~$44 above the venue cluster).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Limiting factor: </w:t>
      </w:r>
      <w:r>
        <w:rPr>
          <w:rFonts w:ascii="Calibri" w:cs="Calibri" w:eastAsia="Calibri" w:hAnsi="Calibri"/>
          <w:sz w:val="20"/>
          <w:szCs w:val="20"/>
        </w:rPr>
        <w:t xml:space="preserve">absence of a second tolerance-agreeing OHLC source for 22–28 Jul; historical daily tables were only freely retrievable through 15 Jul.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§6  Validated OHLC + RSI2 Table (5-Session)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900"/>
        <w:gridCol w:w="880"/>
        <w:gridCol w:w="880"/>
        <w:gridCol w:w="880"/>
        <w:gridCol w:w="900"/>
        <w:gridCol w:w="620"/>
        <w:gridCol w:w="880"/>
        <w:gridCol w:w="1150"/>
        <w:gridCol w:w="700"/>
        <w:gridCol w:w="1570"/>
      </w:tblGrid>
      <w:tr>
        <w:trPr>
          <w:tblHeader/>
        </w:trPr>
        <w:tc>
          <w:tcPr>
            <w:tcW w:type="dxa" w:w="9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8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88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88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62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88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15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A</w:t>
            </w:r>
          </w:p>
        </w:tc>
        <w:tc>
          <w:tcPr>
            <w:tcW w:type="dxa" w:w="7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B</w:t>
            </w:r>
          </w:p>
        </w:tc>
        <w:tc>
          <w:tcPr>
            <w:tcW w:type="dxa" w:w="157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Wed 22 Jul</w:t>
            </w:r>
          </w:p>
        </w:tc>
        <w:tc>
          <w:tcPr>
            <w:tcW w:type="dxa" w:w="88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4021.80</w:t>
            </w:r>
          </w:p>
        </w:tc>
        <w:tc>
          <w:tcPr>
            <w:tcW w:type="dxa" w:w="88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4052.30</w:t>
            </w:r>
          </w:p>
        </w:tc>
        <w:tc>
          <w:tcPr>
            <w:tcW w:type="dxa" w:w="88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3999.10</w:t>
            </w:r>
          </w:p>
        </w:tc>
        <w:tc>
          <w:tcPr>
            <w:tcW w:type="dxa" w:w="9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4033.60</w:t>
            </w:r>
          </w:p>
        </w:tc>
        <w:tc>
          <w:tcPr>
            <w:tcW w:type="dxa" w:w="62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48.3</w:t>
            </w:r>
          </w:p>
        </w:tc>
        <w:tc>
          <w:tcPr>
            <w:tcW w:type="dxa" w:w="88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Neutral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Investing/TE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7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b3271e"/>
                <w:sz w:val="16"/>
                <w:szCs w:val="16"/>
              </w:rPr>
              <w:t xml:space="preserve">SINGLE-SOURCE (indic.)</w:t>
            </w:r>
          </w:p>
        </w:tc>
      </w:tr>
      <w:tr>
        <w:tc>
          <w:tcPr>
            <w:tcW w:type="dxa" w:w="9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 23 Jul</w:t>
            </w:r>
          </w:p>
        </w:tc>
        <w:tc>
          <w:tcPr>
            <w:tcW w:type="dxa" w:w="88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4033.60</w:t>
            </w:r>
          </w:p>
        </w:tc>
        <w:tc>
          <w:tcPr>
            <w:tcW w:type="dxa" w:w="88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4058.90</w:t>
            </w:r>
          </w:p>
        </w:tc>
        <w:tc>
          <w:tcPr>
            <w:tcW w:type="dxa" w:w="88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3966.40</w:t>
            </w:r>
          </w:p>
        </w:tc>
        <w:tc>
          <w:tcPr>
            <w:tcW w:type="dxa" w:w="9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3979.50</w:t>
            </w:r>
          </w:p>
        </w:tc>
        <w:tc>
          <w:tcPr>
            <w:tcW w:type="dxa" w:w="62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10.8</w:t>
            </w:r>
          </w:p>
        </w:tc>
        <w:tc>
          <w:tcPr>
            <w:tcW w:type="dxa" w:w="88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b3271e"/>
                <w:sz w:val="18"/>
                <w:szCs w:val="18"/>
              </w:rPr>
              <w:t xml:space="preserve">Bearish</w:t>
            </w:r>
          </w:p>
        </w:tc>
        <w:tc>
          <w:tcPr>
            <w:tcW w:type="dxa" w:w="11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Investing/TE</w:t>
            </w:r>
          </w:p>
        </w:tc>
        <w:tc>
          <w:tcPr>
            <w:tcW w:type="dxa" w:w="7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7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b3271e"/>
                <w:sz w:val="16"/>
                <w:szCs w:val="16"/>
              </w:rPr>
              <w:t xml:space="preserve">SINGLE-SOURCE (indic.)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Fri 24 Jul</w:t>
            </w:r>
          </w:p>
        </w:tc>
        <w:tc>
          <w:tcPr>
            <w:tcW w:type="dxa" w:w="88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3979.50</w:t>
            </w:r>
          </w:p>
        </w:tc>
        <w:tc>
          <w:tcPr>
            <w:tcW w:type="dxa" w:w="88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4061.20</w:t>
            </w:r>
          </w:p>
        </w:tc>
        <w:tc>
          <w:tcPr>
            <w:tcW w:type="dxa" w:w="88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3971.30</w:t>
            </w:r>
          </w:p>
        </w:tc>
        <w:tc>
          <w:tcPr>
            <w:tcW w:type="dxa" w:w="9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4051.90</w:t>
            </w:r>
          </w:p>
        </w:tc>
        <w:tc>
          <w:tcPr>
            <w:tcW w:type="dxa" w:w="62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71.0</w:t>
            </w:r>
          </w:p>
        </w:tc>
        <w:tc>
          <w:tcPr>
            <w:tcW w:type="dxa" w:w="88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7f4b"/>
                <w:sz w:val="18"/>
                <w:szCs w:val="18"/>
              </w:rPr>
              <w:t xml:space="preserve">Bullish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Investing/TE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7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b3271e"/>
                <w:sz w:val="16"/>
                <w:szCs w:val="16"/>
              </w:rPr>
              <w:t xml:space="preserve">SINGLE-SOURCE (indic.)</w:t>
            </w:r>
          </w:p>
        </w:tc>
      </w:tr>
      <w:tr>
        <w:tc>
          <w:tcPr>
            <w:tcW w:type="dxa" w:w="9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 27 Jul</w:t>
            </w:r>
          </w:p>
        </w:tc>
        <w:tc>
          <w:tcPr>
            <w:tcW w:type="dxa" w:w="88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4051.90</w:t>
            </w:r>
          </w:p>
        </w:tc>
        <w:tc>
          <w:tcPr>
            <w:tcW w:type="dxa" w:w="88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4092.60</w:t>
            </w:r>
          </w:p>
        </w:tc>
        <w:tc>
          <w:tcPr>
            <w:tcW w:type="dxa" w:w="88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4046.20</w:t>
            </w:r>
          </w:p>
        </w:tc>
        <w:tc>
          <w:tcPr>
            <w:tcW w:type="dxa" w:w="9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4074.56</w:t>
            </w:r>
          </w:p>
        </w:tc>
        <w:tc>
          <w:tcPr>
            <w:tcW w:type="dxa" w:w="62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79.6</w:t>
            </w:r>
          </w:p>
        </w:tc>
        <w:tc>
          <w:tcPr>
            <w:tcW w:type="dxa" w:w="88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7f4b"/>
                <w:sz w:val="18"/>
                <w:szCs w:val="18"/>
              </w:rPr>
              <w:t xml:space="preserve">Bullish</w:t>
            </w:r>
          </w:p>
        </w:tc>
        <w:tc>
          <w:tcPr>
            <w:tcW w:type="dxa" w:w="11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Investing/TE</w:t>
            </w:r>
          </w:p>
        </w:tc>
        <w:tc>
          <w:tcPr>
            <w:tcW w:type="dxa" w:w="7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7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b3271e"/>
                <w:sz w:val="16"/>
                <w:szCs w:val="16"/>
              </w:rPr>
              <w:t xml:space="preserve">SINGLE-SOURCE (indic.)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Tue 28 Jul</w:t>
            </w:r>
          </w:p>
        </w:tc>
        <w:tc>
          <w:tcPr>
            <w:tcW w:type="dxa" w:w="88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4047.65</w:t>
            </w:r>
          </w:p>
        </w:tc>
        <w:tc>
          <w:tcPr>
            <w:tcW w:type="dxa" w:w="88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4082.45</w:t>
            </w:r>
          </w:p>
        </w:tc>
        <w:tc>
          <w:tcPr>
            <w:tcW w:type="dxa" w:w="88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4021.56</w:t>
            </w:r>
          </w:p>
        </w:tc>
        <w:tc>
          <w:tcPr>
            <w:tcW w:type="dxa" w:w="9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4030.00</w:t>
            </w:r>
          </w:p>
        </w:tc>
        <w:tc>
          <w:tcPr>
            <w:tcW w:type="dxa" w:w="62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36.7</w:t>
            </w:r>
          </w:p>
        </w:tc>
        <w:tc>
          <w:tcPr>
            <w:tcW w:type="dxa" w:w="88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b3271e"/>
                <w:sz w:val="18"/>
                <w:szCs w:val="18"/>
              </w:rPr>
              <w:t xml:space="preserve">Bearish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Investing/TE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57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b3271e"/>
                <w:sz w:val="16"/>
                <w:szCs w:val="16"/>
              </w:rPr>
              <w:t xml:space="preserve">SINGLE-SOURCE (indic.)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RSI2 computed from the validated close sequence (period fixed at 2). Every row is single-source indicative — none can be used for pivot inputs or execution pricing. The 23 Jul washout (RSI2 10.8) and 27 Jul recovery (RSI2 79.6) frame a choppy, mean-reverting week; 28 Jul closed lower (RSI2 36.7) in the lower third of the day's range.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Silver (XAG/USD) — condensed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Close (USD/oz)</w:t>
            </w:r>
          </w:p>
        </w:tc>
        <w:tc>
          <w:tcPr>
            <w:tcW w:type="dxa" w:w="516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Fri 24 Jul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~57.9</w:t>
            </w:r>
          </w:p>
        </w:tc>
        <w:tc>
          <w:tcPr>
            <w:tcW w:type="dxa" w:w="51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Steadied with gold</w:t>
            </w:r>
          </w:p>
        </w:tc>
      </w:tr>
      <w:tr>
        <w:tc>
          <w:tcPr>
            <w:tcW w:type="dxa" w:w="18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 27 Jul</w:t>
            </w:r>
          </w:p>
        </w:tc>
        <w:tc>
          <w:tcPr>
            <w:tcW w:type="dxa" w:w="24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58.38</w:t>
            </w:r>
          </w:p>
        </w:tc>
        <w:tc>
          <w:tcPr>
            <w:tcW w:type="dxa" w:w="51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+0.69% d/d (TE)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Tue 28 Jul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~57.5</w:t>
            </w:r>
          </w:p>
        </w:tc>
        <w:tc>
          <w:tcPr>
            <w:tcW w:type="dxa" w:w="51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−1.49%; gold/silver ratio widened to ~70.3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§7  Charts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5-Session Candlestick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Distance from Open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25-Session Structure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Comparative Volatility (VOLator)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Counter volatility series are indicative overlays (USDX, S&amp;P 500, DAX shown for shape only — not corroborated OHLC).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Pivot Structure</w:t>
      </w:r>
    </w:p>
    <w:p>
      <w:pPr>
        <w:spacing w:after="120" w:before="60"/>
        <w:jc w:val="center"/>
      </w:pPr>
      <w:r>
        <w:drawing>
          <wp:inline distT="0" distB="0" distL="0" distR="0">
            <wp:extent cx="5210175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§8  Short-Term Technical Analysis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Wed 22 Jul (see §6): </w:t>
      </w:r>
      <w:r>
        <w:rPr>
          <w:rFonts w:ascii="Calibri" w:cs="Calibri" w:eastAsia="Calibri" w:hAnsi="Calibri"/>
          <w:sz w:val="20"/>
          <w:szCs w:val="20"/>
        </w:rPr>
        <w:t xml:space="preserve">small-bodied up close near range mid; RSI2 48 — indecisive, consolidating after the prior week's slide.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Thu 23 Jul: </w:t>
      </w:r>
      <w:r>
        <w:rPr>
          <w:rFonts w:ascii="Calibri" w:cs="Calibri" w:eastAsia="Calibri" w:hAnsi="Calibri"/>
          <w:sz w:val="20"/>
          <w:szCs w:val="20"/>
        </w:rPr>
        <w:t xml:space="preserve">wide-range bearish session, close near the low (RSI2 10.8) — a momentum washout, the week's dominant down-candle.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Fri 24 Jul: </w:t>
      </w:r>
      <w:r>
        <w:rPr>
          <w:rFonts w:ascii="Calibri" w:cs="Calibri" w:eastAsia="Calibri" w:hAnsi="Calibri"/>
          <w:sz w:val="20"/>
          <w:szCs w:val="20"/>
        </w:rPr>
        <w:t xml:space="preserve">strong bullish reversal, close in the upper third recovering most of Thursday (RSI2 71) — classic mean-reversion snapback.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Mon 27 Jul: </w:t>
      </w:r>
      <w:r>
        <w:rPr>
          <w:rFonts w:ascii="Calibri" w:cs="Calibri" w:eastAsia="Calibri" w:hAnsi="Calibri"/>
          <w:sz w:val="20"/>
          <w:szCs w:val="20"/>
        </w:rPr>
        <w:t xml:space="preserve">follow-through higher, close near the high (RSI2 79.6) on the oil-driven risk relief.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Tue 28 Jul: </w:t>
      </w:r>
      <w:r>
        <w:rPr>
          <w:rFonts w:ascii="Calibri" w:cs="Calibri" w:eastAsia="Calibri" w:hAnsi="Calibri"/>
          <w:sz w:val="20"/>
          <w:szCs w:val="20"/>
        </w:rPr>
        <w:t xml:space="preserve">bearish reversal into the Fed, close in the lower third (RSI2 36.7) — the two-day bounce rejected below $4,090.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Sequence assessment: </w:t>
      </w:r>
      <w:r>
        <w:rPr>
          <w:rFonts w:ascii="Calibri" w:cs="Calibri" w:eastAsia="Calibri" w:hAnsi="Calibri"/>
          <w:sz w:val="20"/>
          <w:szCs w:val="20"/>
        </w:rPr>
        <w:t xml:space="preserve">Indecision / Compression — alternating direction with prominent two-sided wicks and RSI2 oscillating between extremes. Nearest support $3,999–$4,022 (22/28 Jul lows) and the round $4,000; nearest resistance $4,082–$4,093 (28/27 Jul highs).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Judgement label: </w:t>
      </w:r>
      <w:r>
        <w:rPr>
          <w:rFonts w:ascii="Calibri" w:cs="Calibri" w:eastAsia="Calibri" w:hAnsi="Calibri"/>
          <w:b/>
          <w:bCs/>
          <w:color w:val="d97a1f"/>
          <w:sz w:val="20"/>
          <w:szCs w:val="20"/>
        </w:rPr>
        <w:t xml:space="preserve">Range — reversal risk</w:t>
      </w:r>
      <w:r>
        <w:rPr>
          <w:rFonts w:ascii="Calibri" w:cs="Calibri" w:eastAsia="Calibri" w:hAnsi="Calibri"/>
          <w:sz w:val="20"/>
          <w:szCs w:val="20"/>
        </w:rPr>
        <w:t xml:space="preserve">. Consistent with the §9 ranging/transitional read; the KER trending-down flag is noted as a mixed signal.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§9  Medium-Term Regime &amp; VOLator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6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Overlap ratio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0.69</w:t>
            </w:r>
          </w:p>
        </w:tc>
        <w:tc>
          <w:tcPr>
            <w:tcW w:type="dxa" w:w="4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&gt;0.55 → range-bound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Directional persistence</w:t>
            </w:r>
          </w:p>
        </w:tc>
        <w:tc>
          <w:tcPr>
            <w:tcW w:type="dxa" w:w="16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0.44</w:t>
            </w:r>
          </w:p>
        </w:tc>
        <w:tc>
          <w:tcPr>
            <w:tcW w:type="dxa" w:w="47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&lt;0.50 → ranging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Range position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0.33</w:t>
            </w:r>
          </w:p>
        </w:tc>
        <w:tc>
          <w:tcPr>
            <w:tcW w:type="dxa" w:w="4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≤33rd pct → range-bottom bias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Median RSI2 (25d)</w:t>
            </w:r>
          </w:p>
        </w:tc>
        <w:tc>
          <w:tcPr>
            <w:tcW w:type="dxa" w:w="16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~48</w:t>
            </w:r>
          </w:p>
        </w:tc>
        <w:tc>
          <w:tcPr>
            <w:tcW w:type="dxa" w:w="47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 oscillation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VOLator (gold, latest)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−1.00</w:t>
            </w:r>
          </w:p>
        </w:tc>
        <w:tc>
          <w:tcPr>
            <w:tcW w:type="dxa" w:w="4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Below midpoint — vol compressed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VOLator slope (10-obs)</w:t>
            </w:r>
          </w:p>
        </w:tc>
        <w:tc>
          <w:tcPr>
            <w:tcW w:type="dxa" w:w="16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 0.00</w:t>
            </w:r>
          </w:p>
        </w:tc>
        <w:tc>
          <w:tcPr>
            <w:tcW w:type="dxa" w:w="47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Flat/contracting — ranging signal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Kaufman KER (smoothed)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−0.16</w:t>
            </w:r>
          </w:p>
        </w:tc>
        <w:tc>
          <w:tcPr>
            <w:tcW w:type="dxa" w:w="4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b3271e"/>
                <w:sz w:val="18"/>
                <w:szCs w:val="18"/>
              </w:rPr>
              <w:t xml:space="preserve">Trending Down — Moderate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Regime classification: </w:t>
      </w:r>
      <w:r>
        <w:rPr>
          <w:rFonts w:ascii="Calibri" w:cs="Calibri" w:eastAsia="Calibri" w:hAnsi="Calibri"/>
          <w:b/>
          <w:bCs/>
          <w:color w:val="d97a1f"/>
          <w:sz w:val="20"/>
          <w:szCs w:val="20"/>
        </w:rPr>
        <w:t xml:space="preserve">TRANSITIONAL — bias bearish.</w:t>
      </w:r>
      <w:r>
        <w:rPr>
          <w:rFonts w:ascii="Calibri" w:cs="Calibri" w:eastAsia="Calibri" w:hAnsi="Calibri"/>
          <w:sz w:val="20"/>
          <w:szCs w:val="20"/>
        </w:rPr>
        <w:t xml:space="preserve"> High overlap and sub-0.50 persistence argue ranging, but the range-bottom position and a moderately negative KER lean bearish. The dual-gate RANGE rule is NOT satisfied (│KER│ 0.16 exceeds the 0.13 trend threshold), so the consolidated label resolves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TRANSITION</w:t>
      </w:r>
      <w:r>
        <w:rPr>
          <w:rFonts w:ascii="Calibri" w:cs="Calibri" w:eastAsia="Calibri" w:hAnsi="Calibri"/>
          <w:sz w:val="20"/>
          <w:szCs w:val="20"/>
        </w:rPr>
        <w:t xml:space="preserve">, not RANGE.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Kaufman confirmation: </w:t>
      </w:r>
      <w:r>
        <w:rPr>
          <w:rFonts w:ascii="Calibri" w:cs="Calibri" w:eastAsia="Calibri" w:hAnsi="Calibri"/>
          <w:sz w:val="20"/>
          <w:szCs w:val="20"/>
        </w:rPr>
        <w:t xml:space="preserve">KER (Trending Down — Moderate) partially contradicts the ranging overlap metric. Where they disagree the composite defers to TRANSITION — treated as a directional regime, with the next confirmed break favoured. Preferred protocol: reduced-conviction, breakout-confirmation entries rather than range fades.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§10  Cross-Asset Analysis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1500"/>
        <w:gridCol w:w="1450"/>
        <w:gridCol w:w="2600"/>
        <w:gridCol w:w="1300"/>
        <w:gridCol w:w="2510"/>
      </w:tblGrid>
      <w:tr>
        <w:trPr>
          <w:tblHeader/>
        </w:trPr>
        <w:tc>
          <w:tcPr>
            <w:tcW w:type="dxa" w:w="15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45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5-day dir.</w:t>
            </w:r>
          </w:p>
        </w:tc>
        <w:tc>
          <w:tcPr>
            <w:tcW w:type="dxa" w:w="26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Mechanism → Gold</w:t>
            </w:r>
          </w:p>
        </w:tc>
        <w:tc>
          <w:tcPr>
            <w:tcW w:type="dxa" w:w="13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1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USDX (Dollar Index)</w:t>
            </w:r>
          </w:p>
        </w:tc>
        <w:tc>
          <w:tcPr>
            <w:tcW w:type="dxa" w:w="14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Rising (~101.5, 5-wk high)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Stronger USD raises the cost of gold for non-dollar buyers and reflects tighter conditions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Confirms (bearish)</w:t>
            </w:r>
          </w:p>
        </w:tc>
        <w:tc>
          <w:tcPr>
            <w:tcW w:type="dxa" w:w="251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Headwind — a firm dollar caps rallies into FOMC</w:t>
            </w:r>
          </w:p>
        </w:tc>
      </w:tr>
      <w:tr>
        <w:tc>
          <w:tcPr>
            <w:tcW w:type="dxa" w:w="15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4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Rising / flat (~7,430)</w:t>
            </w:r>
          </w:p>
        </w:tc>
        <w:tc>
          <w:tcPr>
            <w:tcW w:type="dxa" w:w="26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Risk-on reduces safe-haven bid; equity strength competes for flows</w:t>
            </w:r>
          </w:p>
        </w:tc>
        <w:tc>
          <w:tcPr>
            <w:tcW w:type="dxa" w:w="13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Confirms (bearish)</w:t>
            </w:r>
          </w:p>
        </w:tc>
        <w:tc>
          <w:tcPr>
            <w:tcW w:type="dxa" w:w="251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Defensive demand for gold is muted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DAX 40</w:t>
            </w:r>
          </w:p>
        </w:tc>
        <w:tc>
          <w:tcPr>
            <w:tcW w:type="dxa" w:w="14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Rising (3-wk high ~25,400)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European risk appetite corroborates the US risk-on read</w:t>
            </w:r>
          </w:p>
        </w:tc>
        <w:tc>
          <w:tcPr>
            <w:tcW w:type="dxa" w:w="13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Confirms (bearish)</w:t>
            </w:r>
          </w:p>
        </w:tc>
        <w:tc>
          <w:tcPr>
            <w:tcW w:type="dxa" w:w="251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Cross-validates muted haven demand</w:t>
            </w:r>
          </w:p>
        </w:tc>
      </w:tr>
      <w:tr>
        <w:tc>
          <w:tcPr>
            <w:tcW w:type="dxa" w:w="15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Silver (XAG/USD)</w:t>
            </w:r>
          </w:p>
        </w:tc>
        <w:tc>
          <w:tcPr>
            <w:tcW w:type="dxa" w:w="14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Falling (~57.5, −1.5%)</w:t>
            </w:r>
          </w:p>
        </w:tc>
        <w:tc>
          <w:tcPr>
            <w:tcW w:type="dxa" w:w="26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Precious-metals proxy; ratio widened to ~70.3</w:t>
            </w:r>
          </w:p>
        </w:tc>
        <w:tc>
          <w:tcPr>
            <w:tcW w:type="dxa" w:w="13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Confirms (bearish)</w:t>
            </w:r>
          </w:p>
        </w:tc>
        <w:tc>
          <w:tcPr>
            <w:tcW w:type="dxa" w:w="251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Silver taking the sharper end of risk-off — sector weak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Aggregate cross-asset read: </w:t>
      </w:r>
      <w:r>
        <w:rPr>
          <w:rFonts w:ascii="Calibri" w:cs="Calibri" w:eastAsia="Calibri" w:hAnsi="Calibri"/>
          <w:b/>
          <w:bCs/>
          <w:color w:val="b3271e"/>
          <w:sz w:val="20"/>
          <w:szCs w:val="20"/>
        </w:rPr>
        <w:t xml:space="preserve">CONFIRM (bearish).</w:t>
      </w:r>
      <w:r>
        <w:rPr>
          <w:rFonts w:ascii="Calibri" w:cs="Calibri" w:eastAsia="Calibri" w:hAnsi="Calibri"/>
          <w:sz w:val="20"/>
          <w:szCs w:val="20"/>
        </w:rPr>
        <w:t xml:space="preserve"> All four active counters align with a soft-gold bias — rising dollar, firm equities, weak silver. No counter contradicts, so the aggregate is a clean bearish confirmation into the direction score.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§11  Floor Pivot Analysis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Prior-period H/L/C inputs are single-source indicative; all levels below are therefore </w:t>
      </w:r>
      <w:r>
        <w:rPr>
          <w:rFonts w:ascii="Calibri" w:cs="Calibri" w:eastAsia="Calibri" w:hAnsi="Calibri"/>
          <w:b/>
          <w:bCs/>
          <w:i/>
          <w:iCs/>
          <w:color w:val="b3271e"/>
          <w:sz w:val="18"/>
          <w:szCs w:val="18"/>
        </w:rPr>
        <w:t xml:space="preserve">indicative only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and cannot anchor live limit orders. Order R5→P→S5.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Daily pivots (from 27 Jul H/L/C) — indicative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36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 (USD/oz)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R5</w:t>
            </w:r>
          </w:p>
        </w:tc>
        <w:tc>
          <w:tcPr>
            <w:tcW w:type="dxa" w:w="63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4235.24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R4</w:t>
            </w:r>
          </w:p>
        </w:tc>
        <w:tc>
          <w:tcPr>
            <w:tcW w:type="dxa" w:w="63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4188.84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63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4142.44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63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4117.52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63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4096.04</w:t>
            </w:r>
          </w:p>
        </w:tc>
      </w:tr>
      <w:tr>
        <w:tc>
          <w:tcPr>
            <w:tcW w:type="dxa" w:w="3000"/>
            <w:shd w:fill="dfe4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6360"/>
            <w:shd w:fill="dfe4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4071.12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63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4049.64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63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4024.72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63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4003.24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63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3956.84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W w:type="dxa" w:w="63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3910.44</w:t>
            </w:r>
          </w:p>
        </w:tc>
      </w:tr>
    </w:tbl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Weekly pivots (from 20–24 Jul H/L/C) — indicative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36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 (USD/oz)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R5</w:t>
            </w:r>
          </w:p>
        </w:tc>
        <w:tc>
          <w:tcPr>
            <w:tcW w:type="dxa" w:w="63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4478.43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R4</w:t>
            </w:r>
          </w:p>
        </w:tc>
        <w:tc>
          <w:tcPr>
            <w:tcW w:type="dxa" w:w="63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4354.33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63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4230.23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63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4160.37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63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4106.13</w:t>
            </w:r>
          </w:p>
        </w:tc>
      </w:tr>
      <w:tr>
        <w:tc>
          <w:tcPr>
            <w:tcW w:type="dxa" w:w="3000"/>
            <w:shd w:fill="dfe4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6360"/>
            <w:shd w:fill="dfe4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4036.27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63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3982.03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63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3912.17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63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3857.93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63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3733.83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W w:type="dxa" w:w="63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3609.73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Position narrative: </w:t>
      </w:r>
      <w:r>
        <w:rPr>
          <w:rFonts w:ascii="Calibri" w:cs="Calibri" w:eastAsia="Calibri" w:hAnsi="Calibri"/>
          <w:sz w:val="20"/>
          <w:szCs w:val="20"/>
        </w:rPr>
        <w:t xml:space="preserve">The 28 Jul indicative close (~$4,030) sits below the daily pivot P ($4,071) and just below weekly P ($4,036) — a bearish location on both timeframes. Nearest support is daily S1 $4,050 → weekly S1 $3,982; nearest resistance daily P $4,071 → daily R1 $4,096. Monthly pivots (June basis) sit far above (P $4,111, R1 $4,279) and below (S1 $3,841), off the near-term chart.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§12  Key Market Considerations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Demand / Safe-haven — price-negative (cyclical)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The US–Iran pause pulled Brent sharply off two-month highs, unwinding part of the geopolitical premium that had supported gold. Physically-backed gold ETFs still saw ~$8bn H1 inflows (Asia a record ~$12bn), a structural cushion, but the immediate flow impulse is risk-on.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Macro / FX — price-negative (cyclical)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The dollar sits near a five-week high and the market prices ~30% odds of a Fed hike on 29 Jul, ~56–80% for September. Elevated real-yield expectations raise the opportunity cost of holding non-yielding gold. US 10Y ~4.59–4.66%.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Policy — watch item (cyclical)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The 29 Jul FOMC decision and Chair Warsh press conference is the pivotal near-term catalyst (see §13d). A hold/dovish tone is price-supportive; a hike/hawkish hold is price-negative.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Substitution / Spreads — price-negative (cyclical)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The gold/silver ratio widened to ~70.3 as silver underperformed (−1.5%), and central-bank buying (PBoC, RBI, and reserve accumulation broadly) remains a structural (6+ month) offset that analysts expect to cushion any retreat.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§13  Sentiment, News &amp; Calendar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§13a  Per-Article Sentiment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1500"/>
        <w:gridCol w:w="760"/>
        <w:gridCol w:w="2600"/>
        <w:gridCol w:w="1000"/>
        <w:gridCol w:w="1000"/>
        <w:gridCol w:w="2500"/>
      </w:tblGrid>
      <w:tr>
        <w:trPr>
          <w:tblHeader/>
        </w:trPr>
        <w:tc>
          <w:tcPr>
            <w:tcW w:type="dxa" w:w="15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6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Headline (verbatim)</w:t>
            </w:r>
          </w:p>
        </w:tc>
        <w:tc>
          <w:tcPr>
            <w:tcW w:type="dxa" w:w="10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0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25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Derivation quote (≤15w)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Reuters / FXLeaders</w:t>
            </w:r>
          </w:p>
        </w:tc>
        <w:tc>
          <w:tcPr>
            <w:tcW w:type="dxa" w:w="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 Jul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Gold tests $4,020 support ahead of Fed decision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“stronger dollar and Fed uncertainty pressure XAU/USD”</w:t>
            </w:r>
          </w:p>
        </w:tc>
      </w:tr>
      <w:tr>
        <w:tc>
          <w:tcPr>
            <w:tcW w:type="dxa" w:w="15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7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 Jul</w:t>
            </w:r>
          </w:p>
        </w:tc>
        <w:tc>
          <w:tcPr>
            <w:tcW w:type="dxa" w:w="26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Gold falls as firm dollar, Fed uncertainty weigh</w:t>
            </w:r>
          </w:p>
        </w:tc>
        <w:tc>
          <w:tcPr>
            <w:tcW w:type="dxa" w:w="10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0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</w:t>
            </w:r>
          </w:p>
        </w:tc>
        <w:tc>
          <w:tcPr>
            <w:tcW w:type="dxa" w:w="25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“Gold fell to 4,026.33... down 1.25%” — commentary bearish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 Jul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Gold Rebounds as Oil Prices Retreat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Bullish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“Gold rose 1% toward $4,100 an ounce”</w:t>
            </w:r>
          </w:p>
        </w:tc>
      </w:tr>
      <w:tr>
        <w:tc>
          <w:tcPr>
            <w:tcW w:type="dxa" w:w="15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OCBC Bank (via LiteFinance)</w:t>
            </w:r>
          </w:p>
        </w:tc>
        <w:tc>
          <w:tcPr>
            <w:tcW w:type="dxa" w:w="7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 Jul</w:t>
            </w:r>
          </w:p>
        </w:tc>
        <w:tc>
          <w:tcPr>
            <w:tcW w:type="dxa" w:w="26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OCBC sees gold declining through end-2026</w:t>
            </w:r>
          </w:p>
        </w:tc>
        <w:tc>
          <w:tcPr>
            <w:tcW w:type="dxa" w:w="10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0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</w:t>
            </w:r>
          </w:p>
        </w:tc>
        <w:tc>
          <w:tcPr>
            <w:tcW w:type="dxa" w:w="25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“expects gold prices to decline through the end of 2026”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FXStreet</w:t>
            </w:r>
          </w:p>
        </w:tc>
        <w:tc>
          <w:tcPr>
            <w:tcW w:type="dxa" w:w="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 Jul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$4,000: Gold's key support faces a crucial Fed test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Bearish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“daily RSI holds below the neutral 50 line”</w:t>
            </w:r>
          </w:p>
        </w:tc>
      </w:tr>
      <w:tr>
        <w:tc>
          <w:tcPr>
            <w:tcW w:type="dxa" w:w="15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CNBC</w:t>
            </w:r>
          </w:p>
        </w:tc>
        <w:tc>
          <w:tcPr>
            <w:tcW w:type="dxa" w:w="7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(recent)</w:t>
            </w:r>
          </w:p>
        </w:tc>
        <w:tc>
          <w:tcPr>
            <w:tcW w:type="dxa" w:w="26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Central banks buying more gold, bringing bullion home</w:t>
            </w:r>
          </w:p>
        </w:tc>
        <w:tc>
          <w:tcPr>
            <w:tcW w:type="dxa" w:w="10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Bullish</w:t>
            </w:r>
          </w:p>
        </w:tc>
        <w:tc>
          <w:tcPr>
            <w:tcW w:type="dxa" w:w="25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“central banks are buying more gold”</w:t>
            </w:r>
          </w:p>
        </w:tc>
      </w:tr>
    </w:tbl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§13b  Aggregate Sentiment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Counts: 4 Bearish (1 institutional, 1 media, 2 trade press), 2 Bullish (1 media, 1 trade press) = </w:t>
      </w:r>
      <w:r>
        <w:rPr>
          <w:rFonts w:ascii="Calibri" w:cs="Calibri" w:eastAsia="Calibri" w:hAnsi="Calibri"/>
          <w:b/>
          <w:bCs/>
          <w:color w:val="b3271e"/>
          <w:sz w:val="20"/>
          <w:szCs w:val="20"/>
        </w:rPr>
        <w:t xml:space="preserve">Predominantly Bearish (tilt = −0.45).</w:t>
      </w:r>
    </w:p>
    <w:p>
      <w:pPr>
        <w:spacing w:after="120" w:before="0" w:line="276"/>
      </w:pPr>
      <w:r>
        <w:rPr>
          <w:rFonts w:ascii="Calibri" w:cs="Calibri" w:eastAsia="Calibri" w:hAnsi="Calibri"/>
          <w:sz w:val="18"/>
          <w:szCs w:val="18"/>
        </w:rPr>
        <w:t xml:space="preserve">Computation (source-class weighted): institutional bearish −1.0×1.0; trade-press bearish −1.0×0.7 ×2; media bearish −1.0×0.5; against trade-press bullish +1.0×0.7 and media bullish +1.0×0.5. Σw·s ≈ −1.90 / Σw ≈ 4.10 → −0.46, reported −0.45. </w:t>
      </w:r>
      <w:r>
        <w:rPr>
          <w:rFonts w:ascii="Calibri" w:cs="Calibri" w:eastAsia="Calibri" w:hAnsi="Calibri"/>
          <w:sz w:val="18"/>
          <w:szCs w:val="18"/>
        </w:rPr>
        <w:t xml:space="preserve">Divergence: none — bearish sentiment agrees with the falling price and the §9 transitional-bearish regime.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§13c  News Calendar — Previous Period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1200"/>
        <w:gridCol w:w="1750"/>
        <w:gridCol w:w="2100"/>
        <w:gridCol w:w="760"/>
        <w:gridCol w:w="3550"/>
      </w:tblGrid>
      <w:tr>
        <w:trPr>
          <w:tblHeader/>
        </w:trPr>
        <w:tc>
          <w:tcPr>
            <w:tcW w:type="dxa" w:w="12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75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1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76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5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 23 Jul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ECB rate decision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Held; door open to Sept hike</w:t>
            </w:r>
          </w:p>
        </w:tc>
        <w:tc>
          <w:tcPr>
            <w:tcW w:type="dxa" w:w="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</w:t>
            </w:r>
          </w:p>
        </w:tc>
        <w:tc>
          <w:tcPr>
            <w:tcW w:type="dxa" w:w="35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 EUR-rate outlook; gold ~2% down that session</w:t>
            </w:r>
          </w:p>
        </w:tc>
      </w:tr>
      <w:tr>
        <w:tc>
          <w:tcPr>
            <w:tcW w:type="dxa" w:w="12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Fri 24 Jul</w:t>
            </w:r>
          </w:p>
        </w:tc>
        <w:tc>
          <w:tcPr>
            <w:tcW w:type="dxa" w:w="17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Mid-East risk / oil</w:t>
            </w:r>
          </w:p>
        </w:tc>
        <w:tc>
          <w:tcPr>
            <w:tcW w:type="dxa" w:w="21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Brent near 2-mo highs</w:t>
            </w:r>
          </w:p>
        </w:tc>
        <w:tc>
          <w:tcPr>
            <w:tcW w:type="dxa" w:w="7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5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Higher-for-longer fears; gold steadied ~$4,050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Fri–Sun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US–Iran pause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Strikes suspended</w:t>
            </w:r>
          </w:p>
        </w:tc>
        <w:tc>
          <w:tcPr>
            <w:tcW w:type="dxa" w:w="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5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Safe-haven premium unwind; oil dropped sharply</w:t>
            </w:r>
          </w:p>
        </w:tc>
      </w:tr>
      <w:tr>
        <w:tc>
          <w:tcPr>
            <w:tcW w:type="dxa" w:w="12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 27 Jul</w:t>
            </w:r>
          </w:p>
        </w:tc>
        <w:tc>
          <w:tcPr>
            <w:tcW w:type="dxa" w:w="17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Oil retreat</w:t>
            </w:r>
          </w:p>
        </w:tc>
        <w:tc>
          <w:tcPr>
            <w:tcW w:type="dxa" w:w="21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Brent off highs</w:t>
            </w:r>
          </w:p>
        </w:tc>
        <w:tc>
          <w:tcPr>
            <w:tcW w:type="dxa" w:w="7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5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Gold +0.56% to ~$4,075 as inflation fears eased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Tue 28 Jul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FOMC meeting begins</w:t>
            </w:r>
          </w:p>
        </w:tc>
        <w:tc>
          <w:tcPr>
            <w:tcW w:type="dxa" w:w="2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Dollar 5-wk high</w:t>
            </w:r>
          </w:p>
        </w:tc>
        <w:tc>
          <w:tcPr>
            <w:tcW w:type="dxa" w:w="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5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Gold −0.8/1.2%; hike odds ~30% weighed</w:t>
            </w:r>
          </w:p>
        </w:tc>
      </w:tr>
    </w:tbl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§13d  News Calendar — Upcoming Period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1150"/>
        <w:gridCol w:w="1950"/>
        <w:gridCol w:w="1650"/>
        <w:gridCol w:w="760"/>
        <w:gridCol w:w="3850"/>
      </w:tblGrid>
      <w:tr>
        <w:trPr>
          <w:tblHeader/>
        </w:trPr>
        <w:tc>
          <w:tcPr>
            <w:tcW w:type="dxa" w:w="115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5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65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76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85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Wed 29 Jul</w:t>
            </w:r>
          </w:p>
        </w:tc>
        <w:tc>
          <w:tcPr>
            <w:tcW w:type="dxa" w:w="19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FOMC rate decision + Warsh presser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~30% hike priced</w:t>
            </w:r>
          </w:p>
        </w:tc>
        <w:tc>
          <w:tcPr>
            <w:tcW w:type="dxa" w:w="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b3271e"/>
                <w:sz w:val="18"/>
                <w:szCs w:val="18"/>
              </w:rPr>
              <w:t xml:space="preserve">HIGH</w:t>
            </w:r>
          </w:p>
        </w:tc>
        <w:tc>
          <w:tcPr>
            <w:tcW w:type="dxa" w:w="38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Hold/dovish → snapback to $4,070–$4,090; hike/hawkish → break of $4,000</w:t>
            </w:r>
          </w:p>
        </w:tc>
      </w:tr>
      <w:tr>
        <w:tc>
          <w:tcPr>
            <w:tcW w:type="dxa" w:w="11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Wed 29 Jul</w:t>
            </w:r>
          </w:p>
        </w:tc>
        <w:tc>
          <w:tcPr>
            <w:tcW w:type="dxa" w:w="19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 ADP employment</w:t>
            </w:r>
          </w:p>
        </w:tc>
        <w:tc>
          <w:tcPr>
            <w:tcW w:type="dxa" w:w="16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Labour-market read</w:t>
            </w:r>
          </w:p>
        </w:tc>
        <w:tc>
          <w:tcPr>
            <w:tcW w:type="dxa" w:w="7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</w:t>
            </w:r>
          </w:p>
        </w:tc>
        <w:tc>
          <w:tcPr>
            <w:tcW w:type="dxa" w:w="38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Strong print reinforces hike path — bearish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 30 Jul</w:t>
            </w:r>
          </w:p>
        </w:tc>
        <w:tc>
          <w:tcPr>
            <w:tcW w:type="dxa" w:w="19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 Q2 GDP (advance)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Growth momentum</w:t>
            </w:r>
          </w:p>
        </w:tc>
        <w:tc>
          <w:tcPr>
            <w:tcW w:type="dxa" w:w="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</w:t>
            </w:r>
          </w:p>
        </w:tc>
        <w:tc>
          <w:tcPr>
            <w:tcW w:type="dxa" w:w="38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Hot GDP lifts real-yield fears — bearish</w:t>
            </w:r>
          </w:p>
        </w:tc>
      </w:tr>
      <w:tr>
        <w:tc>
          <w:tcPr>
            <w:tcW w:type="dxa" w:w="11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 30 Jul</w:t>
            </w:r>
          </w:p>
        </w:tc>
        <w:tc>
          <w:tcPr>
            <w:tcW w:type="dxa" w:w="19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jobless claims</w:t>
            </w:r>
          </w:p>
        </w:tc>
        <w:tc>
          <w:tcPr>
            <w:tcW w:type="dxa" w:w="16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 labour</w:t>
            </w:r>
          </w:p>
        </w:tc>
        <w:tc>
          <w:tcPr>
            <w:tcW w:type="dxa" w:w="7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  <w:tc>
          <w:tcPr>
            <w:tcW w:type="dxa" w:w="38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claims mildly supportive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 30 Jul</w:t>
            </w:r>
          </w:p>
        </w:tc>
        <w:tc>
          <w:tcPr>
            <w:tcW w:type="dxa" w:w="19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 PCE / income &amp; spending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Fed's preferred gauge</w:t>
            </w:r>
          </w:p>
        </w:tc>
        <w:tc>
          <w:tcPr>
            <w:tcW w:type="dxa" w:w="7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8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Hotter PCE bearish; cooler supportive</w:t>
            </w:r>
          </w:p>
        </w:tc>
      </w:tr>
      <w:tr>
        <w:tc>
          <w:tcPr>
            <w:tcW w:type="dxa" w:w="11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Fri 31 Jul</w:t>
            </w:r>
          </w:p>
        </w:tc>
        <w:tc>
          <w:tcPr>
            <w:tcW w:type="dxa" w:w="19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Chicago PMI / UoM inflation exp.</w:t>
            </w:r>
          </w:p>
        </w:tc>
        <w:tc>
          <w:tcPr>
            <w:tcW w:type="dxa" w:w="16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Month-end</w:t>
            </w:r>
          </w:p>
        </w:tc>
        <w:tc>
          <w:tcPr>
            <w:tcW w:type="dxa" w:w="7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</w:t>
            </w:r>
          </w:p>
        </w:tc>
        <w:tc>
          <w:tcPr>
            <w:tcW w:type="dxa" w:w="38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Inflation-expectation surprise moves real-yield read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Highest-impact event: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Wed 29 Jul FOMC decision &amp; press conference. </w:t>
      </w:r>
      <w:r>
        <w:rPr>
          <w:rFonts w:ascii="Calibri" w:cs="Calibri" w:eastAsia="Calibri" w:hAnsi="Calibri"/>
          <w:sz w:val="20"/>
          <w:szCs w:val="20"/>
        </w:rPr>
        <w:t xml:space="preserve">A surprise hike or hawkish hold would confirm the bearish thesis and open the $4,000 floor; a hold with dovish guidance would invalidate the short bias and force a squeeze back to the pivot shelf.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§14  Macro Context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Rates / policy: </w:t>
      </w:r>
      <w:r>
        <w:rPr>
          <w:rFonts w:ascii="Calibri" w:cs="Calibri" w:eastAsia="Calibri" w:hAnsi="Calibri"/>
          <w:sz w:val="20"/>
          <w:szCs w:val="20"/>
        </w:rPr>
        <w:t xml:space="preserve">Fed funds 3.50–3.75%; 29 Jul decision live with ~30% hike odds. Cross-referencing §10, the firm S&amp;P 500 is consistent with a market not fearing an aggressive tightening beyond September.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Inflation: </w:t>
      </w:r>
      <w:r>
        <w:rPr>
          <w:rFonts w:ascii="Calibri" w:cs="Calibri" w:eastAsia="Calibri" w:hAnsi="Calibri"/>
          <w:sz w:val="20"/>
          <w:szCs w:val="20"/>
        </w:rPr>
        <w:t xml:space="preserve">US CPI 3.5% (Jun). Core PCE on 30 Jul is the key print — price-negative for gold if hot. Currently neutral-to-negative.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Liquidity / FX (USDX §10): </w:t>
      </w:r>
      <w:r>
        <w:rPr>
          <w:rFonts w:ascii="Calibri" w:cs="Calibri" w:eastAsia="Calibri" w:hAnsi="Calibri"/>
          <w:sz w:val="20"/>
          <w:szCs w:val="20"/>
        </w:rPr>
        <w:t xml:space="preserve">Dollar near a five-week high is the dominant near-term headwind — the clearest causal channel into a soft-gold view.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Safe-haven / real yields: </w:t>
      </w:r>
      <w:r>
        <w:rPr>
          <w:rFonts w:ascii="Calibri" w:cs="Calibri" w:eastAsia="Calibri" w:hAnsi="Calibri"/>
          <w:sz w:val="20"/>
          <w:szCs w:val="20"/>
        </w:rPr>
        <w:t xml:space="preserve">US 10Y ~4.59–4.66%; the US–Iran pause and lower oil compressed the geopolitical premium, reducing defensive demand.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Positioning: </w:t>
      </w:r>
      <w:r>
        <w:rPr>
          <w:rFonts w:ascii="Calibri" w:cs="Calibri" w:eastAsia="Calibri" w:hAnsi="Calibri"/>
          <w:sz w:val="20"/>
          <w:szCs w:val="20"/>
        </w:rPr>
        <w:t xml:space="preserve">Daily technical ratings across venues read Strong Sell; ETF flows remain a structural offset (H1 inflows ~$8bn). VIX ~16–18 (low).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§15  Bull / Bear Balance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Upside risks (bullish)</w:t>
            </w:r>
          </w:p>
        </w:tc>
        <w:tc>
          <w:tcPr>
            <w:tcW w:type="dxa" w:w="468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Downside risks (bearish)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FOMC holds / dovish surprise (§13d) → real-yield relief and short squeeze toward daily P $4,071 → R1 $4,096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Hike or hawkish hold confirms tightening path; close below weekly S1 $3,982 opens the $4,000 floor</w:t>
            </w:r>
          </w:p>
        </w:tc>
      </w:tr>
      <w:tr>
        <w:tc>
          <w:tcPr>
            <w:tcW w:type="dxa" w:w="468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Central-bank buying (PBoC/RBI) and ~$8bn ETF inflows cushion any retreat (structural)</w:t>
            </w:r>
          </w:p>
        </w:tc>
        <w:tc>
          <w:tcPr>
            <w:tcW w:type="dxa" w:w="468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Dollar extends its five-week high; USDX confirms bearish (§10)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Fresh geopolitical flare-up re-arms the safe-haven bid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Silver underperformance (ratio ~70.3) signals broad precious-metals weakness (§10)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Pivot cross-reference (§11): </w:t>
      </w:r>
      <w:r>
        <w:rPr>
          <w:rFonts w:ascii="Calibri" w:cs="Calibri" w:eastAsia="Calibri" w:hAnsi="Calibri"/>
          <w:sz w:val="20"/>
          <w:szCs w:val="20"/>
        </w:rPr>
        <w:t xml:space="preserve">price below both daily and weekly P frames the balance as bearish-leaning; the 29 Jul FOMC is the swing factor that resolves it.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§16  Forward View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Expected direction (next 5 sessions): </w:t>
      </w:r>
      <w:r>
        <w:rPr>
          <w:rFonts w:ascii="Calibri" w:cs="Calibri" w:eastAsia="Calibri" w:hAnsi="Calibri"/>
          <w:sz w:val="20"/>
          <w:szCs w:val="20"/>
        </w:rPr>
        <w:t xml:space="preserve">mildly lower / two-sided, event-gated. </w:t>
      </w:r>
      <w:r>
        <w:rPr>
          <w:rFonts w:ascii="Calibri" w:cs="Calibri" w:eastAsia="Calibri" w:hAnsi="Calibri"/>
          <w:sz w:val="20"/>
          <w:szCs w:val="20"/>
        </w:rPr>
        <w:t xml:space="preserve">Base-case trading range $3,982–$4,096 (weekly S1 to daily R1), pivoting on the FOMC outcome. This respects the §9 TRANSITION regime — the report treats the next confirmed break as the higher-probability move rather than fading the range. Invalidation of the bearish lean: a daily close back above the daily pivot $4,071, which would neutralise the short bias and expose $4,096–$4,117.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§17  Forecast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9360"/>
      </w:tblGrid>
      <w:tr>
        <w:tc>
          <w:tcPr>
            <w:tcW w:type="dxa" w:w="9360"/>
            <w:shd w:fill="fbf3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Forecast: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Gold drifts lower into the 29 July FOMC, pressured by a firm dollar and bearish sentiment, with a confirmed daily close below $4,000 opening deeper downside and a hold/dovish Fed the single scenario capable of forcing a squeeze back toward $4,070–$4,096.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§18  Final Analyst Judgement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Consensus price call: </w:t>
      </w:r>
      <w:r>
        <w:rPr>
          <w:rFonts w:ascii="Calibri" w:cs="Calibri" w:eastAsia="Calibri" w:hAnsi="Calibri"/>
          <w:sz w:val="20"/>
          <w:szCs w:val="20"/>
        </w:rPr>
        <w:t xml:space="preserve">≈ $4,030/oz (indicative), Low confidence, market tone bearish.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Reason 1: </w:t>
      </w:r>
      <w:r>
        <w:rPr>
          <w:rFonts w:ascii="Calibri" w:cs="Calibri" w:eastAsia="Calibri" w:hAnsi="Calibri"/>
          <w:sz w:val="20"/>
          <w:szCs w:val="20"/>
        </w:rPr>
        <w:t xml:space="preserve">Firm dollar at a five-week high plus rising Fed-hike odds raise gold's opportunity cost (§14).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Reason 2: </w:t>
      </w:r>
      <w:r>
        <w:rPr>
          <w:rFonts w:ascii="Calibri" w:cs="Calibri" w:eastAsia="Calibri" w:hAnsi="Calibri"/>
          <w:sz w:val="20"/>
          <w:szCs w:val="20"/>
        </w:rPr>
        <w:t xml:space="preserve">Cross-asset read is a clean bearish CONFIRM — rising USDX/equities, weak silver (§10).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Reason 3: </w:t>
      </w:r>
      <w:r>
        <w:rPr>
          <w:rFonts w:ascii="Calibri" w:cs="Calibri" w:eastAsia="Calibri" w:hAnsi="Calibri"/>
          <w:sz w:val="20"/>
          <w:szCs w:val="20"/>
        </w:rPr>
        <w:t xml:space="preserve">Price sits below daily and weekly pivots with a moderately negative KER (§9, §11).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Single watch item: </w:t>
      </w:r>
      <w:r>
        <w:rPr>
          <w:rFonts w:ascii="Calibri" w:cs="Calibri" w:eastAsia="Calibri" w:hAnsi="Calibri"/>
          <w:sz w:val="20"/>
          <w:szCs w:val="20"/>
        </w:rPr>
        <w:t xml:space="preserve">the 29 Jul FOMC decision and press conference.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§19  Source Discipline Note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Live vs indicative: </w:t>
      </w:r>
      <w:r>
        <w:rPr>
          <w:rFonts w:ascii="Calibri" w:cs="Calibri" w:eastAsia="Calibri" w:hAnsi="Calibri"/>
          <w:sz w:val="20"/>
          <w:szCs w:val="20"/>
        </w:rPr>
        <w:t xml:space="preserve">No Gold OHLC field in this report achieved two-source corroboration within the ±$0.50/oz tolerance. Every OHLC value, every RSI2, ATR, KER and VOLator reading derived from them, and every pivot level, is SINGLE-SOURCE INDICATIVE.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Corroboration status by instrument: </w:t>
      </w:r>
      <w:r>
        <w:rPr>
          <w:rFonts w:ascii="Calibri" w:cs="Calibri" w:eastAsia="Calibri" w:hAnsi="Calibri"/>
          <w:sz w:val="20"/>
          <w:szCs w:val="20"/>
        </w:rPr>
        <w:t xml:space="preserve">Gold — single-source indicative (all sessions). USDX, S&amp;P 500, DAX, Silver — directional reads corroborated at close level across ≥2 venues within their tolerances, used for confirmation only, not for pivots.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gaps: </w:t>
      </w:r>
      <w:r>
        <w:rPr>
          <w:rFonts w:ascii="Calibri" w:cs="Calibri" w:eastAsia="Calibri" w:hAnsi="Calibri"/>
          <w:sz w:val="20"/>
          <w:szCs w:val="20"/>
        </w:rPr>
        <w:t xml:space="preserve">Free historical daily OHLC tables were retrievable only through 15 Jul; 16–28 Jul sessions were assembled from daily close reads plus 28 Jul intraday envelopes.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Normalization assumptions: </w:t>
      </w:r>
      <w:r>
        <w:rPr>
          <w:rFonts w:ascii="Calibri" w:cs="Calibri" w:eastAsia="Calibri" w:hAnsi="Calibri"/>
          <w:sz w:val="20"/>
          <w:szCs w:val="20"/>
        </w:rPr>
        <w:t xml:space="preserve">All reads already on USD/oz spot basis; only timing normalization applied. Inter-venue dispersion up to ~$50 on 28 Jul.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Consequence for §21: </w:t>
      </w:r>
      <w:r>
        <w:rPr>
          <w:rFonts w:ascii="Calibri" w:cs="Calibri" w:eastAsia="Calibri" w:hAnsi="Calibri"/>
          <w:sz w:val="20"/>
          <w:szCs w:val="20"/>
        </w:rPr>
        <w:t xml:space="preserve">All pivot tiers carry the single-source-indicative flag. Per the standard suppression rule the pivot trade (Trade 2) and pivot-anchored levels would normally be suppressed; per the analyst's explicit run-time instruction, strategies are retained with the indicative qualifier attached to every level.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§20  Agent Log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Sources attempted (Gold OHLC): </w:t>
      </w:r>
      <w:r>
        <w:rPr>
          <w:rFonts w:ascii="Calibri" w:cs="Calibri" w:eastAsia="Calibri" w:hAnsi="Calibri"/>
          <w:sz w:val="20"/>
          <w:szCs w:val="20"/>
        </w:rPr>
        <w:t xml:space="preserve">Stooq (blocked — host not reachable), Investing.com historical (data only through 15 Jul), Trading Economics (CFD closes, unverified third-party), TradingView/OANDA, FXLeaders, USAGold, IFCM (retail — excluded), LiteFinance (excluded). Corroboration NOT achieved → standard protocol = DataCorroborationError/halt.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Override applied: </w:t>
      </w:r>
      <w:r>
        <w:rPr>
          <w:rFonts w:ascii="Calibri" w:cs="Calibri" w:eastAsia="Calibri" w:hAnsi="Calibri"/>
          <w:sz w:val="20"/>
          <w:szCs w:val="20"/>
        </w:rPr>
        <w:t xml:space="preserve">Analyst instruction for this forward-test session directed lenient corroboration and retention of strategies. Data retained as single-source indicative; halt suppressed. Daily-open anchor overridden to 00:00 UK; report generated for 29 Jul 2026.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Validation method: </w:t>
      </w:r>
      <w:r>
        <w:rPr>
          <w:rFonts w:ascii="Calibri" w:cs="Calibri" w:eastAsia="Calibri" w:hAnsi="Calibri"/>
          <w:sz w:val="20"/>
          <w:szCs w:val="20"/>
        </w:rPr>
        <w:t xml:space="preserve">RSI2 Wilder period 2; ATR 14; KER period 13 with EMA-3 smoothing; VOLator = ATR/close z-scored on 25-session history, clipped ±1; floor pivots from prior day/week/month H/L/C.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Direction score (weights basis: defaults): </w:t>
      </w:r>
      <w:r>
        <w:rPr>
          <w:rFonts w:ascii="Calibri" w:cs="Calibri" w:eastAsia="Calibri" w:hAnsi="Calibri"/>
          <w:sz w:val="20"/>
          <w:szCs w:val="20"/>
        </w:rPr>
        <w:t xml:space="preserve">short-term technical −0.25, medium regime −0.10, VOLator 0.00, Kaufman +0.02, sentiment tilt −0.07, cross-asset −0.15 → total −0.54 → SHORT. Weights at v2.1 baseline (locked, session-1 forward-test).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Regime derivation: </w:t>
      </w:r>
      <w:r>
        <w:rPr>
          <w:rFonts w:ascii="Calibri" w:cs="Calibri" w:eastAsia="Calibri" w:hAnsi="Calibri"/>
          <w:sz w:val="20"/>
          <w:szCs w:val="20"/>
        </w:rPr>
        <w:t xml:space="preserve">overlap 0.69 / persistence 0.44 / range-pos 0.33 → ranging structure; │KER│ 0.16 fails the RANGE dual-gate (&gt;0.13) → consolidated regime_label = TRANSITION → Trade 3 fork = 3C; Trade 2 breakout-side only.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Backtest note: </w:t>
      </w:r>
      <w:r>
        <w:rPr>
          <w:rFonts w:ascii="Calibri" w:cs="Calibri" w:eastAsia="Calibri" w:hAnsi="Calibri"/>
          <w:sz w:val="20"/>
          <w:szCs w:val="20"/>
        </w:rPr>
        <w:t xml:space="preserve">5-session no-leakage reconstruction run on the indicative series; sentiment frozen per t−1; results are a directional sanity-check only given the indicative data base.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Anomalies: </w:t>
      </w:r>
      <w:r>
        <w:rPr>
          <w:rFonts w:ascii="Calibri" w:cs="Calibri" w:eastAsia="Calibri" w:hAnsi="Calibri"/>
          <w:sz w:val="20"/>
          <w:szCs w:val="20"/>
        </w:rPr>
        <w:t xml:space="preserve">~$50 inter-venue spot dispersion on 28 Jul (100× tolerance); VOLator pinned at −1.0 (compressed vol vs the volatile June–July history).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Timestamp: generated 28 Jul 2026 (UK), for the 29 Jul 2026 session.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§21  Strategy Recommendations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9360"/>
      </w:tblGrid>
      <w:tr>
        <w:tc>
          <w:tcPr>
            <w:tcW w:type="dxa" w:w="9360"/>
            <w:shd w:fill="fbf3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All levels below are single-source indicative. Retained per run-time instruction; verify independently before any live execution. Native unit: 1 tick = $0.01/oz (distances also shown in whole USD/oz).</w:t>
            </w:r>
          </w:p>
        </w:tc>
      </w:tr>
    </w:tbl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§21a  Directional Conviction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Direction: </w:t>
      </w:r>
      <w:r>
        <w:rPr>
          <w:rFonts w:ascii="Calibri" w:cs="Calibri" w:eastAsia="Calibri" w:hAnsi="Calibri"/>
          <w:b/>
          <w:bCs/>
          <w:color w:val="b3271e"/>
          <w:sz w:val="20"/>
          <w:szCs w:val="20"/>
        </w:rPr>
        <w:t xml:space="preserve">SHORT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·  Score: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−0.54</w:t>
      </w:r>
      <w:r>
        <w:rPr>
          <w:rFonts w:ascii="Calibri" w:cs="Calibri" w:eastAsia="Calibri" w:hAnsi="Calibri"/>
          <w:sz w:val="20"/>
          <w:szCs w:val="20"/>
        </w:rPr>
        <w:t xml:space="preserve"> (weights basis: defaults). The three highest-weighted contributors are short-term technical bias (§8) −0.25, cross-asset confirmation (§10) −0.15, and medium-term regime (§9) −0.10, with sentiment tilt (§13b) −0.07 reinforcing. Conviction is comfortably beyond the threshold, so Trade 1 is active. No conflict with the §17 forecast — both lean lower into the FOMC.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§21b  Trade Cards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Trade 1 — Daily Directional (SHORT)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6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Direction</w:t>
            </w:r>
          </w:p>
        </w:tc>
        <w:tc>
          <w:tcPr>
            <w:tcW w:type="dxa" w:w="72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 — TRANSITION regime, direction-of-day score −0.54</w:t>
            </w:r>
          </w:p>
        </w:tc>
      </w:tr>
      <w:tr>
        <w:tc>
          <w:tcPr>
            <w:tcW w:type="dxa" w:w="21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Entry</w:t>
            </w:r>
          </w:p>
        </w:tc>
        <w:tc>
          <w:tcPr>
            <w:tcW w:type="dxa" w:w="72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Market at 00:00 UK open, 29 Jul (indicative ~$4,030)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 loss</w:t>
            </w:r>
          </w:p>
        </w:tc>
        <w:tc>
          <w:tcPr>
            <w:tcW w:type="dxa" w:w="72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$4,097 — 5-day swing high $4,092.6 + 0.25×ATR buffer (~$18); ≈ 67 USD/oz / 6,700 ticks above entry. Within the 3.5×ATR cap ($253).</w:t>
            </w:r>
          </w:p>
        </w:tc>
      </w:tr>
      <w:tr>
        <w:tc>
          <w:tcPr>
            <w:tcW w:type="dxa" w:w="21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(R)</w:t>
            </w:r>
          </w:p>
        </w:tc>
        <w:tc>
          <w:tcPr>
            <w:tcW w:type="dxa" w:w="72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 67 USD/oz (6,700 ticks)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72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+1R → $3,963 (6,700 ticks)</w:t>
            </w:r>
          </w:p>
        </w:tc>
      </w:tr>
      <w:tr>
        <w:tc>
          <w:tcPr>
            <w:tcW w:type="dxa" w:w="21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72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+2R → $3,896. On fill, Unit 3 SL → entry −0.2R ($4,017)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72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Time-stop at session close or 3×ATR ($217) from entry, whichever first</w:t>
            </w:r>
          </w:p>
        </w:tc>
      </w:tr>
      <w:tr>
        <w:tc>
          <w:tcPr>
            <w:tcW w:type="dxa" w:w="21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2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equal units; U1→TP1, U2→TP2; on U2 fill U3 SL → entry −0.2R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2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SL clusters with 5-day swing high $4,092.6 and daily R1 $4,096 (strong confluence). TP1 near weekly S1 $3,982.</w:t>
            </w:r>
          </w:p>
        </w:tc>
      </w:tr>
      <w:tr>
        <w:tc>
          <w:tcPr>
            <w:tcW w:type="dxa" w:w="21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2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close back above daily pivot $4,071 (inside SL) — neutralises short bias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W w:type="dxa" w:w="72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b3271e"/>
                <w:sz w:val="18"/>
                <w:szCs w:val="18"/>
              </w:rPr>
              <w:t xml:space="preserve">single-source-indicative levels; holding period collides with 29 Jul FOMC (Tier-1); wide-stop flag (R &gt; 1×ATR)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Trade 2 — Pivot, regime-aware (TRANSITION → breakout side only)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6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Direction</w:t>
            </w:r>
          </w:p>
        </w:tc>
        <w:tc>
          <w:tcPr>
            <w:tcW w:type="dxa" w:w="72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 breakout side only (aligned with 3C). Counter-side long limits suppressed in TRANSITION.</w:t>
            </w:r>
          </w:p>
        </w:tc>
      </w:tr>
      <w:tr>
        <w:tc>
          <w:tcPr>
            <w:tcW w:type="dxa" w:w="21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Entry</w:t>
            </w:r>
          </w:p>
        </w:tc>
        <w:tc>
          <w:tcPr>
            <w:tcW w:type="dxa" w:w="72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Sell-stop on confirmed break of weekly S1 $3,982 by ≥0.25×ATR ($18) → trigger ~$3,964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 loss</w:t>
            </w:r>
          </w:p>
        </w:tc>
        <w:tc>
          <w:tcPr>
            <w:tcW w:type="dxa" w:w="72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$4,036 (weekly P) — structural, ~$72 above trigger; capped at 3.5×ATR</w:t>
            </w:r>
          </w:p>
        </w:tc>
      </w:tr>
      <w:tr>
        <w:tc>
          <w:tcPr>
            <w:tcW w:type="dxa" w:w="21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(R)</w:t>
            </w:r>
          </w:p>
        </w:tc>
        <w:tc>
          <w:tcPr>
            <w:tcW w:type="dxa" w:w="72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 72 USD/oz (7,200 ticks)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TP1 / TP2 / TP3</w:t>
            </w:r>
          </w:p>
        </w:tc>
        <w:tc>
          <w:tcPr>
            <w:tcW w:type="dxa" w:w="72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$3,912 (weekly S2) / $3,858 (weekly S3) / runner toward monthly S1 $3,841</w:t>
            </w:r>
          </w:p>
        </w:tc>
      </w:tr>
      <w:tr>
        <w:tc>
          <w:tcPr>
            <w:tcW w:type="dxa" w:w="21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2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equal units; standard BE+0.2R on U2 fill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2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Trigger below weekly S1 $3,982 and round $3,980; TP2 near weekly S3 $3,858</w:t>
            </w:r>
          </w:p>
        </w:tc>
      </w:tr>
      <w:tr>
        <w:tc>
          <w:tcPr>
            <w:tcW w:type="dxa" w:w="21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2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close back above weekly P $4,036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W w:type="dxa" w:w="72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b3271e"/>
                <w:sz w:val="18"/>
                <w:szCs w:val="18"/>
              </w:rPr>
              <w:t xml:space="preserve">single-source-indicative pivots (would normally suppress Trade 2 — retained per instruction); FOMC collision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Trade 3C — Momentum-Breakout (TRANSITION)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6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Direction</w:t>
            </w:r>
          </w:p>
        </w:tc>
        <w:tc>
          <w:tcPr>
            <w:tcW w:type="dxa" w:w="72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 — recent retests failed at the lower/mid range; volator slope ≈0 and cross-asset CONFIRM bearish. Downside break played.</w:t>
            </w:r>
          </w:p>
        </w:tc>
      </w:tr>
      <w:tr>
        <w:tc>
          <w:tcPr>
            <w:tcW w:type="dxa" w:w="21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Range</w:t>
            </w:r>
          </w:p>
        </w:tc>
        <w:tc>
          <w:tcPr>
            <w:tcW w:type="dxa" w:w="72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25-session range: high $4,202.67 / low $3,944.23 (width $258.44)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Confirmed break</w:t>
            </w:r>
          </w:p>
        </w:tc>
        <w:tc>
          <w:tcPr>
            <w:tcW w:type="dxa" w:w="72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close below $3,944.23 by ≥0.25×ATR ($18) → trigger ~$3,926. Not yet eligible — awaits the confirming close.</w:t>
            </w:r>
          </w:p>
        </w:tc>
      </w:tr>
      <w:tr>
        <w:tc>
          <w:tcPr>
            <w:tcW w:type="dxa" w:w="21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Entry</w:t>
            </w:r>
          </w:p>
        </w:tc>
        <w:tc>
          <w:tcPr>
            <w:tcW w:type="dxa" w:w="72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 breakout candle close (or next open) once confirmed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 loss</w:t>
            </w:r>
          </w:p>
        </w:tc>
        <w:tc>
          <w:tcPr>
            <w:tcW w:type="dxa" w:w="72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Inside range at low + 0.60×width for downside break → $4,099 (generous post-fakeout stop)</w:t>
            </w:r>
          </w:p>
        </w:tc>
      </w:tr>
      <w:tr>
        <w:tc>
          <w:tcPr>
            <w:tcW w:type="dxa" w:w="21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TP1 (measured move)</w:t>
            </w:r>
          </w:p>
        </w:tc>
        <w:tc>
          <w:tcPr>
            <w:tcW w:type="dxa" w:w="72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 − 1.0×width → $3,686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TP2</w:t>
            </w:r>
          </w:p>
        </w:tc>
        <w:tc>
          <w:tcPr>
            <w:tcW w:type="dxa" w:w="72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1.5×MM → $3,556. On fill, U3 SL → broken boundary $3,944</w:t>
            </w:r>
          </w:p>
        </w:tc>
      </w:tr>
      <w:tr>
        <w:tc>
          <w:tcPr>
            <w:tcW w:type="dxa" w:w="21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72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Discretionary trail beyond 1.5×MM on subsequent swing structure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2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close back inside range above midpoint $4,073</w:t>
            </w:r>
          </w:p>
        </w:tc>
      </w:tr>
      <w:tr>
        <w:tc>
          <w:tcPr>
            <w:tcW w:type="dxa" w:w="21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W w:type="dxa" w:w="72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b3271e"/>
                <w:sz w:val="18"/>
                <w:szCs w:val="18"/>
              </w:rPr>
              <w:t xml:space="preserve">not yet triggered (no confirmed break); single-source-indicative range; very wide structural stop</w:t>
            </w:r>
          </w:p>
        </w:tc>
      </w:tr>
    </w:tbl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§21c  5-Session No-Leakage Backtest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Reconstructed at each prior t−1 close on the indicative series; sentiment/regime/ATR/pivots recomputed with no forward leakage. Directional sanity-check only.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1550"/>
        <w:gridCol w:w="1450"/>
        <w:gridCol w:w="900"/>
        <w:gridCol w:w="720"/>
        <w:gridCol w:w="2360"/>
        <w:gridCol w:w="1330"/>
        <w:gridCol w:w="650"/>
      </w:tblGrid>
      <w:tr>
        <w:trPr>
          <w:tblHeader/>
        </w:trPr>
        <w:tc>
          <w:tcPr>
            <w:tcW w:type="dxa" w:w="155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45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90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Dir.</w:t>
            </w:r>
          </w:p>
        </w:tc>
        <w:tc>
          <w:tcPr>
            <w:tcW w:type="dxa" w:w="72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Trig.</w:t>
            </w:r>
          </w:p>
        </w:tc>
        <w:tc>
          <w:tcPr>
            <w:tcW w:type="dxa" w:w="236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Entry→Exit</w:t>
            </w:r>
          </w:p>
        </w:tc>
        <w:tc>
          <w:tcPr>
            <w:tcW w:type="dxa" w:w="133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650"/>
            <w:shd w:fill="1b2a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5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Wed 22 Jul (t−5)</w:t>
            </w:r>
          </w:p>
        </w:tc>
        <w:tc>
          <w:tcPr>
            <w:tcW w:type="dxa" w:w="14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1</w:t>
            </w:r>
          </w:p>
        </w:tc>
        <w:tc>
          <w:tcPr>
            <w:tcW w:type="dxa" w:w="9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</w:t>
            </w:r>
          </w:p>
        </w:tc>
        <w:tc>
          <w:tcPr>
            <w:tcW w:type="dxa" w:w="72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4,021.8 → 3,979.5</w:t>
            </w:r>
          </w:p>
        </w:tc>
        <w:tc>
          <w:tcPr>
            <w:tcW w:type="dxa" w:w="13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+0.63R</w:t>
            </w:r>
          </w:p>
        </w:tc>
        <w:tc>
          <w:tcPr>
            <w:tcW w:type="dxa" w:w="6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Wed 22 Jul</w:t>
            </w:r>
          </w:p>
        </w:tc>
        <w:tc>
          <w:tcPr>
            <w:tcW w:type="dxa" w:w="14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3C</w:t>
            </w:r>
          </w:p>
        </w:tc>
        <w:tc>
          <w:tcPr>
            <w:tcW w:type="dxa" w:w="9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</w:t>
            </w:r>
          </w:p>
        </w:tc>
        <w:tc>
          <w:tcPr>
            <w:tcW w:type="dxa" w:w="72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 (no confirmed break)</w:t>
            </w:r>
          </w:p>
        </w:tc>
        <w:tc>
          <w:tcPr>
            <w:tcW w:type="dxa" w:w="133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6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 23 Jul (t−4)</w:t>
            </w:r>
          </w:p>
        </w:tc>
        <w:tc>
          <w:tcPr>
            <w:tcW w:type="dxa" w:w="14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1</w:t>
            </w:r>
          </w:p>
        </w:tc>
        <w:tc>
          <w:tcPr>
            <w:tcW w:type="dxa" w:w="9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</w:t>
            </w:r>
          </w:p>
        </w:tc>
        <w:tc>
          <w:tcPr>
            <w:tcW w:type="dxa" w:w="72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4,033.6 → 4,061.2 (SL)</w:t>
            </w:r>
          </w:p>
        </w:tc>
        <w:tc>
          <w:tcPr>
            <w:tcW w:type="dxa" w:w="13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−1.00R</w:t>
            </w:r>
          </w:p>
        </w:tc>
        <w:tc>
          <w:tcPr>
            <w:tcW w:type="dxa" w:w="6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Fri 24 Jul (t−3)</w:t>
            </w:r>
          </w:p>
        </w:tc>
        <w:tc>
          <w:tcPr>
            <w:tcW w:type="dxa" w:w="14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1</w:t>
            </w:r>
          </w:p>
        </w:tc>
        <w:tc>
          <w:tcPr>
            <w:tcW w:type="dxa" w:w="9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</w:t>
            </w:r>
          </w:p>
        </w:tc>
        <w:tc>
          <w:tcPr>
            <w:tcW w:type="dxa" w:w="72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3,979.5 → 4,061.2</w:t>
            </w:r>
          </w:p>
        </w:tc>
        <w:tc>
          <w:tcPr>
            <w:tcW w:type="dxa" w:w="133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+1.00R (TP1)</w:t>
            </w:r>
          </w:p>
        </w:tc>
        <w:tc>
          <w:tcPr>
            <w:tcW w:type="dxa" w:w="6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 27 Jul (t−2)</w:t>
            </w:r>
          </w:p>
        </w:tc>
        <w:tc>
          <w:tcPr>
            <w:tcW w:type="dxa" w:w="14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1</w:t>
            </w:r>
          </w:p>
        </w:tc>
        <w:tc>
          <w:tcPr>
            <w:tcW w:type="dxa" w:w="9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</w:t>
            </w:r>
          </w:p>
        </w:tc>
        <w:tc>
          <w:tcPr>
            <w:tcW w:type="dxa" w:w="72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4,051.9 → 4,092.6</w:t>
            </w:r>
          </w:p>
        </w:tc>
        <w:tc>
          <w:tcPr>
            <w:tcW w:type="dxa" w:w="13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+1.00R (TP1)</w:t>
            </w:r>
          </w:p>
        </w:tc>
        <w:tc>
          <w:tcPr>
            <w:tcW w:type="dxa" w:w="6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Tue 28 Jul (t−1)</w:t>
            </w:r>
          </w:p>
        </w:tc>
        <w:tc>
          <w:tcPr>
            <w:tcW w:type="dxa" w:w="14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1</w:t>
            </w:r>
          </w:p>
        </w:tc>
        <w:tc>
          <w:tcPr>
            <w:tcW w:type="dxa" w:w="90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</w:t>
            </w:r>
          </w:p>
        </w:tc>
        <w:tc>
          <w:tcPr>
            <w:tcW w:type="dxa" w:w="72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4,047.65 → 4,030.0</w:t>
            </w:r>
          </w:p>
        </w:tc>
        <w:tc>
          <w:tcPr>
            <w:tcW w:type="dxa" w:w="133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@ +0.3R</w:t>
            </w:r>
          </w:p>
        </w:tc>
        <w:tc>
          <w:tcPr>
            <w:tcW w:type="dxa" w:w="650"/>
            <w:shd w:fill="eef1f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1+</w:t>
            </w:r>
          </w:p>
        </w:tc>
      </w:tr>
      <w:tr>
        <w:tc>
          <w:tcPr>
            <w:tcW w:type="dxa" w:w="15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23–28 Jul</w:t>
            </w:r>
          </w:p>
        </w:tc>
        <w:tc>
          <w:tcPr>
            <w:tcW w:type="dxa" w:w="14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 2 (pivot)</w:t>
            </w:r>
          </w:p>
        </w:tc>
        <w:tc>
          <w:tcPr>
            <w:tcW w:type="dxa" w:w="9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72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suppressed (indicative pivots)</w:t>
            </w:r>
          </w:p>
        </w:tc>
        <w:tc>
          <w:tcPr>
            <w:tcW w:type="dxa" w:w="133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6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§21d  ‘What Is Working’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Over the last five sessions Trade 1 (Daily Directional) triggered 5/5 times with a mean of about +0.4R (closed trades), hit rate TP1 ~60% / TP2 0% / TP3 0% — the daily-directional model captured the 24–27 Jul mean-reversion snapback well but was whipsawed on 23 Jul. Trade 2 (Pivot) did not trigger — all pivot tiers were single-source indicative. Trade 3C (Breakout) never armed — no confirmed close beyond the 25-session boundary. Strongest performer: Trade 1 (only strategy with triggers). Weakest: Trade 2 / Trade 3C — insufficient triggers to rank.</w:t>
      </w:r>
    </w:p>
    <w:tbl>
      <w:tblPr>
        <w:tblW w:type="dxa" w:w="9360"/>
        <w:tblBorders>
          <w:top w:val="single" w:color="b9c0d0" w:sz="2"/>
          <w:left w:val="single" w:color="b9c0d0" w:sz="2"/>
          <w:bottom w:val="single" w:color="b9c0d0" w:sz="2"/>
          <w:right w:val="single" w:color="b9c0d0" w:sz="2"/>
          <w:insideH w:val="single" w:color="b9c0d0" w:sz="2"/>
          <w:insideV w:val="single" w:color="b9c0d0" w:sz="2"/>
        </w:tblBorders>
      </w:tblPr>
      <w:tblGrid>
        <w:gridCol w:w="9360"/>
      </w:tblGrid>
      <w:tr>
        <w:tc>
          <w:tcPr>
            <w:tcW w:type="dxa" w:w="9360"/>
            <w:shd w:fill="fbf3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Five-session windows are too small to support statistical claims. The backtest cannot model intraday tick-level fills, slippage, or commission. Treat as a directional sanity-check, not a strategy-validation framework.</w:t>
            </w:r>
          </w:p>
        </w:tc>
      </w:tr>
    </w:tbl>
    <w:p>
      <w:pPr>
        <w:pBdr>
          <w:top w:val="single" w:color="1b2a4a" w:sz="6"/>
        </w:pBdr>
        <w:spacing w:before="200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Gold Daily Report │ 29 July 2026 │ Senior Commodities Analyst — Precious Metals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341d85e9256f6a996d71e6f7c1e8cef2eaa14c.png"/><Relationship Id="rId8" Type="http://schemas.openxmlformats.org/officeDocument/2006/relationships/image" Target="media/0cf8725063051fe12eb79ff9ebb4a0b3b7691422.png"/><Relationship Id="rId9" Type="http://schemas.openxmlformats.org/officeDocument/2006/relationships/image" Target="media/25421fe23eb8ce1ab02d7fd6903822bfb46de607.png"/><Relationship Id="rId10" Type="http://schemas.openxmlformats.org/officeDocument/2006/relationships/image" Target="media/a0b2724f857ccfc07b2931d3b06a72a4fe5f73e7.png"/><Relationship Id="rId11" Type="http://schemas.openxmlformats.org/officeDocument/2006/relationships/image" Target="media/eb87c12d867b7b6c725f62ceffa970c52a3dd0b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 Report — Daily: 29 July 2026</dc:title>
  <dc:creator>Senior Commodities Analyst — Precious Metals</dc:creator>
  <cp:lastModifiedBy>Un-named</cp:lastModifiedBy>
  <cp:revision>1</cp:revision>
  <dcterms:created xsi:type="dcterms:W3CDTF">2026-07-28T21:34:59.781Z</dcterms:created>
  <dcterms:modified xsi:type="dcterms:W3CDTF">2026-07-28T21:34:59.794Z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