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8306b"/>
          <w:sz w:val="40"/>
          <w:szCs w:val="40"/>
        </w:rPr>
        <w:t xml:space="preserve">Gold Report — Daily: 30 June 2026</w:t>
      </w:r>
    </w:p>
    <w:p>
      <w:pPr>
        <w:spacing w:after="40"/>
      </w:pPr>
      <w:r>
        <w:rPr>
          <w:i/>
          <w:iCs/>
          <w:color w:val="555555"/>
          <w:sz w:val="22"/>
          <w:szCs w:val="22"/>
        </w:rPr>
        <w:t xml:space="preserve">With reference to: Silver · USDX · S&amp;P 500 · DAX 40</w:t>
      </w:r>
    </w:p>
    <w:p>
      <w:pPr>
        <w:pBdr>
          <w:bottom w:val="single" w:color="08306b" w:sz="12" w:space="6"/>
        </w:pBdr>
        <w:spacing w:after="200"/>
      </w:pPr>
      <w:r>
        <w:rPr>
          <w:sz w:val="8"/>
          <w:szCs w:val="8"/>
        </w:rPr>
        <w:t xml:space="preserve"/>
      </w:r>
    </w:p>
    <w:p>
      <w:pPr>
        <w:pStyle w:val="Heading1"/>
        <w:spacing w:after="140" w:before="260"/>
      </w:pPr>
      <w:r>
        <w:t xml:space="preserve">1 · Executive Snapshot</w:t>
      </w:r>
    </w:p>
    <w:p>
      <w:pPr>
        <w:spacing w:after="120" w:line="264"/>
      </w:pPr>
      <w:r>
        <w:rPr>
          <w:b/>
          <w:bCs/>
        </w:rPr>
        <w:t xml:space="preserve">Consensus spot price: </w:t>
      </w:r>
      <w:r>
        <w:t xml:space="preserve">≈ $4,051/oz (range $4,040–$4,065), confidence Medium, market tone Bearish. </w:t>
      </w:r>
      <w:r>
        <w:t xml:space="preserve">Gold sits roughly 28% below its 29 January 2026 record near $5,600, having broken decisively below the $4,000 psychological floor intraday on 24 June before reclaiming it. The three dominant drivers are: (i) a hawkish Federal Reserve under new Chair Kevin Warsh, with markets pricing three 2026 hikes and a ~60% chance of a September move; (ii) a US dollar at a 13-month high (USDX ≈ 101.3), lifting the opportunity cost of non-yielding bullion; and (iii) an unwinding Middle-East risk premium as a US–Iran 60-day peace roadmap holds. </w:t>
      </w:r>
      <w:r>
        <w:rPr>
          <w:b/>
          <w:bCs/>
        </w:rPr>
        <w:t xml:space="preserve">Short-term technical state: </w:t>
      </w:r>
      <w:r>
        <w:t xml:space="preserve">Transitional — Mixed (a two-session bounce inside a broader downtrend). </w:t>
      </w:r>
      <w:r>
        <w:rPr>
          <w:b/>
          <w:bCs/>
        </w:rPr>
        <w:t xml:space="preserve">Medium-term technical state: </w:t>
      </w:r>
      <w:r>
        <w:t xml:space="preserve">Trending — Bearish. </w:t>
      </w:r>
      <w:r>
        <w:rPr>
          <w:b/>
          <w:bCs/>
        </w:rPr>
        <w:t xml:space="preserve">Kaufman regime: </w:t>
      </w:r>
      <w:r>
        <w:t xml:space="preserve">Trending Down — Moderate. </w:t>
      </w:r>
      <w:r>
        <w:rPr>
          <w:b/>
          <w:bCs/>
        </w:rPr>
        <w:t xml:space="preserve">Single most important watch item: </w:t>
      </w:r>
      <w:r>
        <w:t xml:space="preserve">the US non-farm payrolls / ISM Manufacturing data later this week, which will set the September-hike probability and therefore gold's real-yield headwind.</w:t>
      </w:r>
    </w:p>
    <w:p>
      <w:pPr>
        <w:spacing w:after="120" w:line="264"/>
      </w:pPr>
      <w:r>
        <w:rPr>
          <w:b/>
          <w:bCs/>
        </w:rPr>
        <w:t xml:space="preserve">Directional conviction (see §21): </w:t>
      </w:r>
      <w:r>
        <w:t xml:space="preserve">the strategy engine returns a net SHORT bias (score −0.34), led by the bearish medium-term regime, dollar strength and a mildly negative sentiment tilt, partially offset by a short-term oversold bounce.</w:t>
      </w:r>
    </w:p>
    <w:p>
      <w:pPr>
        <w:pStyle w:val="Heading1"/>
        <w:spacing w:after="140" w:before="260"/>
      </w:pPr>
      <w:r>
        <w:t xml:space="preserve">2 · Market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Asset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Gold (XAU/USD spot); CME GC=F front-month for corroboration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London Good Delivery bar (99.99% pure), 400-oz spot quote (LBMA standard)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Scope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Global · 24-hour OTC market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Delivery / price basis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OTC London spot, loco London, T+2 settlement; immediate-settlement spot quote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Unit / currency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USD per troy ounce (USD/oz)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As-of date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 June 2026 (Europe/London); data through 29 June close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Session anchor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07:00 UK (pre-NY-open window) — overridden from the standing 00:00 UK reset at user request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Lookback window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 sessions (execution) · 25 sessions (regime)</w:t>
            </w:r>
          </w:p>
        </w:tc>
      </w:tr>
    </w:tbl>
    <w:p>
      <w:pPr>
        <w:spacing w:after="140" w:before="60"/>
      </w:pPr>
      <w:r>
        <w:rPr>
          <w:i/>
          <w:iCs/>
          <w:color w:val="555555"/>
          <w:sz w:val="18"/>
          <w:szCs w:val="18"/>
        </w:rPr>
        <w:t xml:space="preserve">Daily-open anchor overridden to 07:00 UK for this run. The 07:00 UK anchor aligns the daily reset with the European morning / pre-New-York window rather than the London–Asia handover; entries timed to “market at the open” in §21 reference this 07:00 UK reset.</w:t>
      </w:r>
    </w:p>
    <w:p>
      <w:pPr>
        <w:pStyle w:val="Heading1"/>
        <w:spacing w:after="140" w:before="260"/>
      </w:pPr>
      <w:r>
        <w:t xml:space="preserve">3 · Consensus Price Call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300"/>
        <w:gridCol w:w="26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Consensus price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Range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Confidence / tone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$4,051 / oz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$4,040 – $4,065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 · Bearish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Weighted median of six independent spot reads on 29 Jun; tight intraday clustering but elevated week-on-week volatility caps confidence.</w:t>
            </w:r>
          </w:p>
        </w:tc>
      </w:tr>
    </w:tbl>
    <w:p>
      <w:pPr>
        <w:pStyle w:val="Heading1"/>
        <w:spacing w:after="140" w:before="260"/>
      </w:pPr>
      <w:r>
        <w:t xml:space="preserve">4 · Price Evidence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50"/>
        <w:gridCol w:w="1300"/>
        <w:gridCol w:w="1300"/>
        <w:gridCol w:w="1600"/>
        <w:gridCol w:w="1200"/>
        <w:gridCol w:w="111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Date/Time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Raw quote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Normalized (USD/oz)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Basis / location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Relevance</w:t>
            </w:r>
          </w:p>
        </w:tc>
        <w:tc>
          <w:tcPr>
            <w:tcW w:type="dxa" w:w="1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Investing.com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 Jun 07:01 UTC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4,064.35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4,064.35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Spot, loco London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Core</w:t>
            </w:r>
          </w:p>
        </w:tc>
        <w:tc>
          <w:tcPr>
            <w:tcW w:type="dxa" w:w="1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Live bid/ask 4,062.49/4,062.83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TradingEconomics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 Jun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~4,040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4,040.00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Spot CFD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Core</w:t>
            </w:r>
          </w:p>
        </w:tc>
        <w:tc>
          <w:tcPr>
            <w:tcW w:type="dxa" w:w="1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“fell to $4,040… fourth straight monthly loss”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LiteFinance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 Jun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4,051.26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4,051.26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Spot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Core</w:t>
            </w:r>
          </w:p>
        </w:tc>
        <w:tc>
          <w:tcPr>
            <w:tcW w:type="dxa" w:w="1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Session reference quote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TradingView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 Jun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4,026.88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4,026.88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Spot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Core</w:t>
            </w:r>
          </w:p>
        </w:tc>
        <w:tc>
          <w:tcPr>
            <w:tcW w:type="dxa" w:w="1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Prior-close print; sell rating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Investing (GC)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 Jun 07:01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4,073.72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4,073.72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Futures-linked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Directional</w:t>
            </w:r>
          </w:p>
        </w:tc>
        <w:tc>
          <w:tcPr>
            <w:tcW w:type="dxa" w:w="1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GC front-month hovering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Vantage CFD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 Jun 05:45 UTC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3,982.66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3,982.66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Spot CFD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Directional</w:t>
            </w:r>
          </w:p>
        </w:tc>
        <w:tc>
          <w:tcPr>
            <w:tcW w:type="dxa" w:w="1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Sub-$4,000 low print (context)</w:t>
            </w:r>
          </w:p>
        </w:tc>
      </w:tr>
    </w:tbl>
    <w:p>
      <w:pPr>
        <w:spacing w:after="140" w:before="60"/>
      </w:pPr>
      <w:r>
        <w:rPr>
          <w:i/>
          <w:iCs/>
          <w:color w:val="555555"/>
          <w:sz w:val="18"/>
          <w:szCs w:val="18"/>
        </w:rPr>
        <w:t xml:space="preserve">Consensus method: weighted median, down-weighting aggregator-only and futures-linked quotes. Corroboration tolerance for gold is ±$0.50/oz; spot reads on 29 Jun cluster within ~$25, wider than tolerance, so the close is treated as a corroborated consensus band rather than a single tick (see §19).</w:t>
      </w:r>
    </w:p>
    <w:p>
      <w:pPr>
        <w:pStyle w:val="Heading1"/>
        <w:spacing w:after="140" w:before="260"/>
      </w:pPr>
      <w:r>
        <w:t xml:space="preserve">5 · Consensus Build Explanation</w:t>
      </w:r>
    </w:p>
    <w:p>
      <w:pPr>
        <w:spacing w:after="120" w:line="264"/>
      </w:pPr>
      <w:r>
        <w:t xml:space="preserve">All observations are already in USD/oz on a loco-London spot basis, so no FX or freight conversion is required; the only normalization is to strip dealer bid/ask spread to a mid quote and to separate futures-linked GC prints (which carry a small contango) from pure spot. The four core spot reads on 29 June (Investing.com, TradingEconomics, LiteFinance, TradingView prior close) span roughly $4,027–$4,064. The weighted median, emphasising the most recent and most liquid interbank-style quotes, lands at $4,051/oz. The 25 June sub-$4,000 Vantage print is retained only as directional context — it is the week's volatility low, not a 29 June observation. Precision is limited because the week carried unusually wide daily ranges (one session moved more than $190 high-to-low), so the call is expressed as a band rather than a point.</w:t>
      </w:r>
    </w:p>
    <w:p>
      <w:pPr>
        <w:pStyle w:val="Heading1"/>
        <w:spacing w:after="140" w:before="260"/>
      </w:pPr>
      <w:r>
        <w:t xml:space="preserve">6 · Validated OHLC + RSI2 Table (5-Session)</w:t>
      </w:r>
    </w:p>
    <w:p>
      <w:pPr>
        <w:pStyle w:val="Heading2"/>
        <w:spacing w:after="100" w:before="180"/>
      </w:pPr>
      <w:r>
        <w:t xml:space="preserve">Gold (XAU/USD) — USD/oz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50"/>
        <w:gridCol w:w="950"/>
        <w:gridCol w:w="950"/>
        <w:gridCol w:w="950"/>
        <w:gridCol w:w="720"/>
        <w:gridCol w:w="980"/>
        <w:gridCol w:w="1080"/>
        <w:gridCol w:w="1080"/>
        <w:gridCol w:w="600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Close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RSI2</w:t>
            </w:r>
          </w:p>
        </w:tc>
        <w:tc>
          <w:tcPr>
            <w:tcW w:type="dxa" w:w="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 A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 B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Valid.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Tue 23 Jun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4,163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4,215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4,118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4,125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Bearish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Investing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RoboForex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CORR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Wed 24 Jun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4,125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4,135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3,940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3,995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Bearish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Vantage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TradingView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CORR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Thu 25 Jun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3,995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4,045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3,982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4,012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16.5</w:t>
            </w:r>
          </w:p>
        </w:tc>
        <w:tc>
          <w:tcPr>
            <w:tcW w:type="dxa" w:w="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Neutral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Vantage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Investing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CORR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Fri 26 Jun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4,012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4,060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4,005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4,026.8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35.2</w:t>
            </w:r>
          </w:p>
        </w:tc>
        <w:tc>
          <w:tcPr>
            <w:tcW w:type="dxa" w:w="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Neutral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TradingView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TradingEcon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CORR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 29 Jun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4,089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4,089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4,040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4,051.3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62.8</w:t>
            </w:r>
          </w:p>
        </w:tc>
        <w:tc>
          <w:tcPr>
            <w:tcW w:type="dxa" w:w="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Neutral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Investing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LiteFinance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CORR</w:t>
            </w:r>
          </w:p>
        </w:tc>
      </w:tr>
    </w:tbl>
    <w:p>
      <w:pPr>
        <w:spacing w:after="140" w:before="60"/>
      </w:pPr>
      <w:r>
        <w:rPr>
          <w:i/>
          <w:iCs/>
          <w:color w:val="555555"/>
          <w:sz w:val="18"/>
          <w:szCs w:val="18"/>
        </w:rPr>
        <w:t xml:space="preserve">RSI2 fixed at period 2, computed from the validated close sequence. CORR = corroborated within lenient tolerance per user instruction; intraday H/L treated as indicative where two sources diverged beyond ±$0.50. Trend = Bullish (Close&gt;Open &amp; RSI2&gt;50) / Bearish (Close&lt;Open &amp; RSI2&lt;50) / Neutral otherwise.</w:t>
      </w:r>
    </w:p>
    <w:p>
      <w:pPr>
        <w:pStyle w:val="Heading2"/>
        <w:spacing w:after="100" w:before="180"/>
      </w:pPr>
      <w:r>
        <w:t xml:space="preserve">Silver (XAG/USD) — secondary comparator, USD/oz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500"/>
        <w:gridCol w:w="1500"/>
        <w:gridCol w:w="1560"/>
        <w:gridCol w:w="160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Close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Thu 25 Jun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58.9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59.6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56.6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57.4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Broke below $60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Fri 26 Jun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57.4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58.6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57.0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58.2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Modest rebound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 29 Jun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58.7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58.9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57.8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58.3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−0.8% on day</w:t>
            </w:r>
          </w:p>
        </w:tc>
      </w:tr>
    </w:tbl>
    <w:p>
      <w:pPr>
        <w:spacing w:after="140" w:before="60"/>
      </w:pPr>
      <w:r>
        <w:rPr>
          <w:i/>
          <w:iCs/>
          <w:color w:val="555555"/>
          <w:sz w:val="18"/>
          <w:szCs w:val="18"/>
        </w:rPr>
        <w:t xml:space="preserve">Silver shown condensed (3 sessions). Silver has materially underperformed gold since the January peak, losing roughly half its value, reflecting its industrial sensitivity.</w:t>
      </w:r>
    </w:p>
    <w:p>
      <w:pPr>
        <w:pStyle w:val="Heading1"/>
        <w:spacing w:after="140" w:before="260"/>
      </w:pPr>
      <w:r>
        <w:t xml:space="preserve">7 · Charts</w:t>
      </w:r>
    </w:p>
    <w:p>
      <w:pPr>
        <w:pStyle w:val="Heading2"/>
        <w:spacing w:after="100" w:before="180"/>
      </w:pPr>
      <w:r>
        <w:t xml:space="preserve">Chart 1 — 5-Session Candlestick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180"/>
      </w:pPr>
      <w:r>
        <w:t xml:space="preserve">Chart 2 — Distance from Session Open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180"/>
      </w:pPr>
      <w:r>
        <w:t xml:space="preserve">Chart 3 — 25-Session Structure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180"/>
      </w:pPr>
      <w:r>
        <w:t xml:space="preserve">Chart 4 — Comparative Volatility (VOLator)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180"/>
      </w:pPr>
      <w:r>
        <w:t xml:space="preserve">Chart 5 — Pivot Structure</w:t>
      </w:r>
    </w:p>
    <w:p>
      <w:pPr>
        <w:spacing w:after="120" w:before="120"/>
        <w:jc w:val="center"/>
      </w:pPr>
      <w:r>
        <w:drawing>
          <wp:inline distT="0" distB="0" distL="0" distR="0">
            <wp:extent cx="548640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60"/>
      </w:pPr>
      <w:r>
        <w:rPr>
          <w:i/>
          <w:iCs/>
          <w:color w:val="555555"/>
          <w:sz w:val="18"/>
          <w:szCs w:val="18"/>
        </w:rPr>
        <w:t xml:space="preserve">Charts 3 and 4 reconstruct the 25-session path: the final five closes are validated; the earlier path is an indicative reconstruction of the documented decline from the ~$4,600 region and is labelled accordingly.</w:t>
      </w:r>
    </w:p>
    <w:p>
      <w:pPr>
        <w:pStyle w:val="Heading1"/>
        <w:spacing w:after="140" w:before="260"/>
      </w:pPr>
      <w:r>
        <w:t xml:space="preserve">8 · Short-Term Technical Analysis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Tue 23 Jun (see §6): </w:t>
      </w:r>
      <w:r>
        <w:t xml:space="preserve">large bearish body, close near session low (~7% of range), RSI2 pinned at 0 — decisive supply, rejection from the $4,215 high.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Wed 24 Jun: </w:t>
      </w:r>
      <w:r>
        <w:t xml:space="preserve">the breakdown session — a &gt;$190 range that pierced $3,940 before closing $3,995; close mid-low, RSI2 still 0. Capitulation-style move through $4,000.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Thu 25 Jun: </w:t>
      </w:r>
      <w:r>
        <w:t xml:space="preserve">inside-ish day, small bullish body off the low, close ~48% of range, RSI2 lifting to 16.5 — first sign of selling exhaustion.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Fri 26 Jun: </w:t>
      </w:r>
      <w:r>
        <w:t xml:space="preserve">second consecutive higher close, RSI2 35.2, close ~40% of range; constructive but unconvincing on light range.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Mon 29 Jun: </w:t>
      </w:r>
      <w:r>
        <w:t xml:space="preserve">opened at the high $4,089 and faded to close $4,051 (~24% of range), RSI2 62.8. An upper-wick rejection — the bounce is meeting supply.</w:t>
      </w:r>
    </w:p>
    <w:p>
      <w:pPr>
        <w:spacing w:after="120" w:line="264"/>
      </w:pPr>
      <w:r>
        <w:rPr>
          <w:b/>
          <w:bCs/>
        </w:rPr>
        <w:t xml:space="preserve">Sequence assessment: </w:t>
      </w:r>
      <w:r>
        <w:t xml:space="preserve">Exhaustion-then-stabilisation. The 23–24 June leg is clean continuation/capitulation; 25–29 June is a low-energy bounce with an upper-wick rejection on the final session. Net: a counter-trend bounce inside a downtrend.</w:t>
      </w:r>
    </w:p>
    <w:p>
      <w:pPr>
        <w:spacing w:after="120" w:line="264"/>
      </w:pPr>
      <w:r>
        <w:rPr>
          <w:b/>
          <w:bCs/>
        </w:rPr>
        <w:t xml:space="preserve">Nearest support / resistance (from the 5-day structure): </w:t>
      </w:r>
      <w:r>
        <w:t xml:space="preserve">support $3,982 then $3,940 (24–25 Jun lows); resistance $4,089 (29 Jun high) then $4,135.</w:t>
      </w:r>
    </w:p>
    <w:p>
      <w:pPr>
        <w:spacing w:after="120" w:line="264"/>
      </w:pPr>
      <w:r>
        <w:rPr>
          <w:b/>
          <w:bCs/>
        </w:rPr>
        <w:t xml:space="preserve">Judgement label: </w:t>
      </w:r>
      <w:r>
        <w:rPr>
          <w:b/>
          <w:bCs/>
        </w:rPr>
        <w:t xml:space="preserve">Range / counter-trend bounce — reversal risk</w:t>
      </w:r>
      <w:r>
        <w:t xml:space="preserve">. Consistent with the §9 bearish medium-term regime: the short-term bounce does not overturn the trend.</w:t>
      </w:r>
    </w:p>
    <w:p>
      <w:pPr>
        <w:pStyle w:val="Heading1"/>
        <w:spacing w:after="140" w:before="260"/>
      </w:pPr>
      <w:r>
        <w:t xml:space="preserve">9 · Medium-Term Regime &amp; VOLator</w:t>
      </w:r>
    </w:p>
    <w:p>
      <w:pPr>
        <w:spacing w:after="120" w:line="264"/>
      </w:pPr>
      <w:r>
        <w:rPr>
          <w:b/>
          <w:bCs/>
        </w:rPr>
        <w:t xml:space="preserve">Regime classification: Trending — Bearish. </w:t>
      </w:r>
      <w:r>
        <w:t xml:space="preserve">Supporting metrics over the 25-session block: overlap ratio ≈ 0.38 (directional), directional persistence ≈ 0.62 (down-weighted), range-position bias in the lower third (≤33rd percentile → Range-Bottom Bias), median RSI2 below 40, VOLator slope positive (expanding volatility into the decline).</w:t>
      </w:r>
    </w:p>
    <w:p>
      <w:pPr>
        <w:spacing w:after="120" w:line="264"/>
      </w:pPr>
      <w:r>
        <w:rPr>
          <w:b/>
          <w:bCs/>
        </w:rPr>
        <w:t xml:space="preserve">Bias: Bearish. </w:t>
      </w:r>
    </w:p>
    <w:p>
      <w:pPr>
        <w:spacing w:after="120" w:line="264"/>
      </w:pPr>
      <w:r>
        <w:rPr>
          <w:b/>
          <w:bCs/>
        </w:rPr>
        <w:t xml:space="preserve">VOLator current readings (scaled −1..+1): </w:t>
      </w:r>
      <w:r>
        <w:t xml:space="preserve">Gold ≈ +0.85 (above midpoint, expanding); USDX ≈ +0.50 (expanding); S&amp;P 500 ≈ +0.42 (expanding); DAX 40 ≈ +0.28 (expanding). Volatility is elevated across the complex.</w:t>
      </w:r>
    </w:p>
    <w:p>
      <w:pPr>
        <w:spacing w:after="120" w:line="264"/>
      </w:pPr>
      <w:r>
        <w:rPr>
          <w:b/>
          <w:bCs/>
        </w:rPr>
        <w:t xml:space="preserve">Preferred trade protocol: </w:t>
      </w:r>
      <w:r>
        <w:t xml:space="preserve">Ranging-short-term within a bearish trend → favour trend resumption / sell rallies into resistance; avoid fading the downtrend with fresh longs.</w:t>
      </w:r>
    </w:p>
    <w:p>
      <w:pPr>
        <w:spacing w:after="120" w:line="264"/>
      </w:pPr>
      <w:r>
        <w:rPr>
          <w:b/>
          <w:bCs/>
        </w:rPr>
        <w:t xml:space="preserve">Kaufman confirmation: </w:t>
      </w:r>
      <w:r>
        <w:t xml:space="preserve">KER ≈ −0.42 → Trending Down — Moderate. Agrees with the bearish regime synthesis, increasing confidence.</w:t>
      </w:r>
    </w:p>
    <w:p>
      <w:pPr>
        <w:pStyle w:val="Heading1"/>
        <w:spacing w:after="140" w:before="260"/>
      </w:pPr>
      <w:r>
        <w:t xml:space="preserve">10 · Cross-Asset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100"/>
        <w:gridCol w:w="3700"/>
        <w:gridCol w:w="1300"/>
        <w:gridCol w:w="1860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Counter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5-day dir.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Mechanism → Gold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Confirms?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Implication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USDX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Rising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Stronger dollar raises the cost of gold for non-USD buyers and reflects tighter conditions; classic inverse driver.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Confirms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Dollar at 13-month high is a direct headwind.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S&amp;P 500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Choppy / soft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Risk sentiment proxy; here equities and gold both pressured by hawkish-Fed repricing rather than safe-haven rotation.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Neutral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safe-haven bid rotating into gold.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DAX 40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Soft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European risk confirmation; easing on US-Iran de-escalation but capped by rate concerns.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Neutral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Confirms risk tone, not gold-specific.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Silver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Falling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Precious-metals sister asset; industrial leverage amplifies the metals sell-off.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Confirms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Silver −20% on the month validates metals-wide weakness.</w:t>
            </w:r>
          </w:p>
        </w:tc>
      </w:tr>
    </w:tbl>
    <w:p>
      <w:pPr>
        <w:spacing w:after="120" w:line="264"/>
      </w:pPr>
      <w:r>
        <w:rPr>
          <w:b/>
          <w:bCs/>
        </w:rPr>
        <w:t xml:space="preserve">Aggregate cross-asset read: MIXED → leaning CONFIRM. </w:t>
      </w:r>
      <w:r>
        <w:t xml:space="preserve">USDX and Silver actively confirm the bearish gold view; S&amp;P 500 and DAX are neutral (risk-off is being expressed through rates, not a haven bid). No counter actively contradicts.</w:t>
      </w:r>
    </w:p>
    <w:p>
      <w:pPr>
        <w:pStyle w:val="Heading1"/>
        <w:spacing w:after="140" w:before="260"/>
      </w:pPr>
      <w:r>
        <w:t xml:space="preserve">11 · Floor Pivot Analysis</w:t>
      </w:r>
    </w:p>
    <w:p>
      <w:pPr>
        <w:pStyle w:val="Heading2"/>
        <w:spacing w:after="100" w:before="180"/>
      </w:pPr>
      <w:r>
        <w:t xml:space="preserve">Daily pivots (from Mon 29 Jun H/L/C)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Price (USD/oz)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Position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R3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4,130.4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R2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4,109.8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R1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4,080.6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← nearest resistance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4,060.0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close just below pivot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S1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4,030.8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← nearest support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S2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4,010.2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S3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3,981.0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180"/>
      </w:pPr>
      <w:r>
        <w:t xml:space="preserve">Weekly pivots (from W/E 26 Jun H/L/C)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Price (USD/oz)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Position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R2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4,335.6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R1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4,181.2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4,060.6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close ~$9 below weekly P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S1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3,906.2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S2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3,785.6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S3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3,631.2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180"/>
      </w:pPr>
      <w:r>
        <w:t xml:space="preserve">Monthly pivots (from prior month H/L/C — indicative)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Price (USD/oz)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Position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R1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4,920.0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4,650.0 (indicative)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price far below — strong downtrend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S1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4,250.0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S2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3,980.0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monthly support cluster</w:t>
            </w:r>
          </w:p>
        </w:tc>
      </w:tr>
    </w:tbl>
    <w:p>
      <w:pPr>
        <w:spacing w:after="140" w:before="60"/>
      </w:pPr>
      <w:r>
        <w:rPr>
          <w:i/>
          <w:iCs/>
          <w:color w:val="555555"/>
          <w:sz w:val="18"/>
          <w:szCs w:val="18"/>
        </w:rPr>
        <w:t xml:space="preserve">Monthly pivots are flagged indicative only — prior-month H/L/C were single-source/reconstructed and were not two-source corroborated to ±$0.50. They are used for directional context, not for level-based order placement. Daily and weekly pivots are treated as corroborated under the lenient run setting.</w:t>
      </w:r>
    </w:p>
    <w:p>
      <w:pPr>
        <w:spacing w:after="120" w:line="264"/>
      </w:pPr>
      <w:r>
        <w:rPr>
          <w:b/>
          <w:bCs/>
        </w:rPr>
        <w:t xml:space="preserve">Position narrative: </w:t>
      </w:r>
      <w:r>
        <w:t xml:space="preserve">Spot $4,051 sits just below both the daily pivot ($4,060) and the weekly pivot ($4,061) — a tight daily/weekly pivot confluence within ~0.05% at ~$4,060 that now acts as the pivotal resistance. Below, daily S1 $4,031 and the $3,980–$4,010 zone (daily S3 / monthly S2 confluence) are the supports that matter.</w:t>
      </w:r>
    </w:p>
    <w:p>
      <w:pPr>
        <w:pStyle w:val="Heading1"/>
        <w:spacing w:after="140" w:before="260"/>
      </w:pPr>
      <w:r>
        <w:t xml:space="preserve">12 · Key Market Considerations</w:t>
      </w:r>
    </w:p>
    <w:p>
      <w:pPr>
        <w:spacing w:after="120" w:line="264"/>
      </w:pPr>
      <w:r>
        <w:rPr>
          <w:b/>
          <w:bCs/>
        </w:rPr>
        <w:t xml:space="preserve">Macro / FX — price-negative (structural). </w:t>
      </w:r>
      <w:r>
        <w:t xml:space="preserve">USDX at a 13-month high (~101.3) and rising real yields under a hawkish Fed are the core suppressants of non-yielding gold. Markets price three 2026 hikes; ~60% odds of a September move.</w:t>
      </w:r>
    </w:p>
    <w:p>
      <w:pPr>
        <w:spacing w:after="120" w:line="264"/>
      </w:pPr>
      <w:r>
        <w:rPr>
          <w:b/>
          <w:bCs/>
        </w:rPr>
        <w:t xml:space="preserve">Policy / rates — price-negative (cyclical→structural). </w:t>
      </w:r>
      <w:r>
        <w:t xml:space="preserve">New Fed Chair Warsh has reaffirmed an anti-inflation stance and the Fed raised its 2026 PCE projection; headline PCE accelerated to 4.1% in May. Higher-for-longer rates lift gold's opportunity cost.</w:t>
      </w:r>
    </w:p>
    <w:p>
      <w:pPr>
        <w:spacing w:after="120" w:line="264"/>
      </w:pPr>
      <w:r>
        <w:rPr>
          <w:b/>
          <w:bCs/>
        </w:rPr>
        <w:t xml:space="preserve">Geopolitics / risk premium — price-negative (cyclical). </w:t>
      </w:r>
      <w:r>
        <w:t xml:space="preserve">The US–Iran 60-day peace roadmap and Strait-of-Hormuz reopening are unwinding the safe-haven premium that drove the January record; a Doha meeting is flagged for 30 June.</w:t>
      </w:r>
    </w:p>
    <w:p>
      <w:pPr>
        <w:spacing w:after="120" w:line="264"/>
      </w:pPr>
      <w:r>
        <w:rPr>
          <w:b/>
          <w:bCs/>
        </w:rPr>
        <w:t xml:space="preserve">Demand — mixed (structural). </w:t>
      </w:r>
      <w:r>
        <w:t xml:space="preserve">Q1 2026 private investment demand stayed firm (bars +20% q/q) but jewellery fell sharply (China −32%, India −18%); central-bank buying (PBoC, RBI) remains a longer-term floor.</w:t>
      </w:r>
    </w:p>
    <w:p>
      <w:pPr>
        <w:spacing w:after="120" w:line="264"/>
      </w:pPr>
      <w:r>
        <w:rPr>
          <w:b/>
          <w:bCs/>
        </w:rPr>
        <w:t xml:space="preserve">Substitution / spreads — price-negative confirmation. </w:t>
      </w:r>
      <w:r>
        <w:t xml:space="preserve">Silver −20%+ on the month and a falling gold/silver complex show the weakness is metals-wide, not gold-idiosyncratic.</w:t>
      </w:r>
    </w:p>
    <w:p>
      <w:pPr>
        <w:spacing w:after="120" w:line="264"/>
      </w:pPr>
      <w:r>
        <w:rPr>
          <w:b/>
          <w:bCs/>
        </w:rPr>
        <w:t xml:space="preserve">Near-term catalysts (from §13d): </w:t>
      </w:r>
      <w:r>
        <w:t xml:space="preserve">US jobs report and ISM Manufacturing PMI this week; any 30 June Doha headline. These are the primary watch items.</w:t>
      </w:r>
    </w:p>
    <w:p>
      <w:pPr>
        <w:pStyle w:val="Heading1"/>
        <w:spacing w:after="140" w:before="260"/>
      </w:pPr>
      <w:r>
        <w:t xml:space="preserve">13 · Sentiment, News &amp; Calendar</w:t>
      </w:r>
    </w:p>
    <w:p>
      <w:pPr>
        <w:pStyle w:val="Heading2"/>
        <w:spacing w:after="100" w:before="180"/>
      </w:pPr>
      <w:r>
        <w:t xml:space="preserve">13a · Per-Article Sentiment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1250"/>
        <w:gridCol w:w="1050"/>
        <w:gridCol w:w="2700"/>
        <w:gridCol w:w="1300"/>
        <w:gridCol w:w="1110"/>
        <w:gridCol w:w="600"/>
      </w:tblGrid>
      <w:tr>
        <w:trPr>
          <w:tblHeader/>
        </w:trPr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Headline (verbatim)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1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Sentiment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TradingEconomics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tradingeconomics.com/commodity/gold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 Jun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Gold falls to $4,040 as Gulf tensions fuel inflation fears, Fed rate-hike bets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  <w:tc>
          <w:tcPr>
            <w:tcW w:type="dxa" w:w="1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Bearish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“on track for a fourth straight monthly loss”</w:t>
            </w:r>
          </w:p>
        </w:tc>
      </w:tr>
      <w:tr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Vantage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vantagemarkets.com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 Jun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XAUUSD: Gold's $4,000 Break Is a Rate Story, Not a War Story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Trade Press</w:t>
            </w:r>
          </w:p>
        </w:tc>
        <w:tc>
          <w:tcPr>
            <w:tcW w:type="dxa" w:w="1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Bearish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“primarily a real-rates and dollar event”</w:t>
            </w:r>
          </w:p>
        </w:tc>
      </w:tr>
      <w:tr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RoboForex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roboforex.com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 Jun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Gold forecast: continued decline towards 4,020 USD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Trade Press</w:t>
            </w:r>
          </w:p>
        </w:tc>
        <w:tc>
          <w:tcPr>
            <w:tcW w:type="dxa" w:w="1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Bearish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“sellers have the upper hand”</w:t>
            </w:r>
          </w:p>
        </w:tc>
      </w:tr>
      <w:tr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TradingKey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tradingkey.com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 Jun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Gold market transitioned to high-level correction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  <w:tc>
          <w:tcPr>
            <w:tcW w:type="dxa" w:w="1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Mixed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“long-term bullish thesis remains intact”</w:t>
            </w:r>
          </w:p>
        </w:tc>
      </w:tr>
      <w:tr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Phemex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phemex.com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early Jun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XAUUSD 2026 Outlook — banks target $5,243–6,300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  <w:tc>
          <w:tcPr>
            <w:tcW w:type="dxa" w:w="1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Bullish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“Major institutions remain constructive on gold for 2026”</w:t>
            </w:r>
          </w:p>
        </w:tc>
      </w:tr>
      <w:tr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CNBC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cnbc.com/quotes/XAG=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 Jun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Gold hovers around $4,000 — has the shimmer worn off?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  <w:tc>
          <w:tcPr>
            <w:tcW w:type="dxa" w:w="1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Bearish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“shimmer worn off the rally”</w:t>
            </w:r>
          </w:p>
        </w:tc>
      </w:tr>
    </w:tbl>
    <w:p>
      <w:pPr>
        <w:pStyle w:val="Heading2"/>
        <w:spacing w:after="100" w:before="180"/>
      </w:pPr>
      <w:r>
        <w:t xml:space="preserve">13b · Aggregate Sentiment Summary</w:t>
      </w:r>
    </w:p>
    <w:p>
      <w:pPr>
        <w:spacing w:after="120" w:line="264"/>
      </w:pPr>
      <w:r>
        <w:rPr>
          <w:b/>
          <w:bCs/>
        </w:rPr>
        <w:t xml:space="preserve">Counts: </w:t>
      </w:r>
      <w:r>
        <w:t xml:space="preserve">4 Bearish (2 trade press, 2 media), 1 Bullish (media), 1 Mixed (media) = Predominantly Bearish.</w:t>
      </w:r>
    </w:p>
    <w:p>
      <w:pPr>
        <w:spacing w:after="120" w:line="264"/>
      </w:pPr>
      <w:r>
        <w:rPr>
          <w:b/>
          <w:bCs/>
        </w:rPr>
        <w:t xml:space="preserve">Numeric tilt = −0.42</w:t>
      </w:r>
      <w:r>
        <w:t xml:space="preserve"> (source-class-weighted mean: trade-press weight 0.7, media 0.5; bearish scores dominate, bullish/mixed partially offset). Reported as: </w:t>
      </w:r>
      <w:r>
        <w:rPr>
          <w:b/>
          <w:bCs/>
        </w:rPr>
        <w:t xml:space="preserve">Predominantly Bearish (tilt = −0.42)</w:t>
      </w:r>
      <w:r>
        <w:t xml:space="preserve">. This is the value consumed by §21 direction scoring.</w:t>
      </w:r>
    </w:p>
    <w:p>
      <w:pPr>
        <w:spacing w:after="120" w:line="264"/>
      </w:pPr>
      <w:r>
        <w:rPr>
          <w:b/>
          <w:bCs/>
        </w:rPr>
        <w:t xml:space="preserve">Divergence flag: </w:t>
      </w:r>
      <w:r>
        <w:t xml:space="preserve">Sentiment agrees with price action and the §9 bearish regime — no divergence. The two-day bounce is a counter-trend move within an aligned bearish backdrop.</w:t>
      </w:r>
    </w:p>
    <w:p>
      <w:pPr>
        <w:pStyle w:val="Heading2"/>
        <w:spacing w:after="100" w:before="180"/>
      </w:pPr>
      <w:r>
        <w:t xml:space="preserve">13c · News Calendar — Previous Period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500"/>
        <w:gridCol w:w="2400"/>
        <w:gridCol w:w="900"/>
        <w:gridCol w:w="2310"/>
      </w:tblGrid>
      <w:tr>
        <w:trPr>
          <w:tblHeader/>
        </w:trPr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 / context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2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Market implication for gold</w:t>
            </w:r>
          </w:p>
        </w:tc>
      </w:tr>
      <w:tr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Wed 17 Jun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FOMC decision (Warsh debut)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Hawkish hold; higher 2026 dot path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2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Repriced hikes; lifted USD and real yields — bearish gold.</w:t>
            </w:r>
          </w:p>
        </w:tc>
      </w:tr>
      <w:tr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Tue 24 Jun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Gold breaks $4,000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First sub-$4k since Nov 2025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2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Technical capitulation; −$100+ session.</w:t>
            </w:r>
          </w:p>
        </w:tc>
      </w:tr>
      <w:tr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Thu 25 Jun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 PCE (May)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Headline 4.1% y/y; in line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2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Sticky inflation kept hike odds firm — capped gold's bounce.</w:t>
            </w:r>
          </w:p>
        </w:tc>
      </w:tr>
      <w:tr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Fri 26 Jun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Revised Q1 GDP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Soft growth, sticky inflation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2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Stagflation read — historically complex for gold.</w:t>
            </w:r>
          </w:p>
        </w:tc>
      </w:tr>
    </w:tbl>
    <w:p>
      <w:pPr>
        <w:pStyle w:val="Heading2"/>
        <w:spacing w:after="100" w:before="180"/>
      </w:pPr>
      <w:r>
        <w:t xml:space="preserve">13d · News Calendar — Upcoming Period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500"/>
        <w:gridCol w:w="2400"/>
        <w:gridCol w:w="900"/>
        <w:gridCol w:w="2310"/>
      </w:tblGrid>
      <w:tr>
        <w:trPr>
          <w:tblHeader/>
        </w:trPr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 / context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2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</w:tr>
      <w:tr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This week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US Non-Farm Payrolls / jobs report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Labor-market resilience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2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 hot print cements Sept-hike odds → dollar up, gold down; a miss eases the real-yield headwind → relief bounce.</w:t>
            </w:r>
          </w:p>
        </w:tc>
      </w:tr>
      <w:tr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This week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ISM Manufacturing PMI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Growth validation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2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Strong = hawkish-supportive (bearish gold); weak alongside sticky CPI = stagflation.</w:t>
            </w:r>
          </w:p>
        </w:tc>
      </w:tr>
      <w:tr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 Jun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US–Iran Doha meeting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60-day roadmap holds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2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Deal progress = further premium unwind (bearish); breakdown = renewed haven bid (bullish).</w:t>
            </w:r>
          </w:p>
        </w:tc>
      </w:tr>
    </w:tbl>
    <w:p>
      <w:pPr>
        <w:spacing w:after="140" w:before="60"/>
      </w:pPr>
      <w:r>
        <w:rPr>
          <w:i/>
          <w:iCs/>
          <w:color w:val="555555"/>
          <w:sz w:val="18"/>
          <w:szCs w:val="18"/>
        </w:rPr>
        <w:t xml:space="preserve">Highest-impact upcoming event (bold): the US jobs report — a surprise in either direction is the single most likely catalyst to change the consensus price view by shifting September-hike probability and the real-yield path.</w:t>
      </w:r>
    </w:p>
    <w:p>
      <w:pPr>
        <w:pStyle w:val="Heading1"/>
        <w:spacing w:after="140" w:before="260"/>
      </w:pPr>
      <w:r>
        <w:t xml:space="preserve">14 · Macro Context</w:t>
      </w:r>
    </w:p>
    <w:p>
      <w:pPr>
        <w:spacing w:after="120" w:line="264"/>
      </w:pPr>
      <w:r>
        <w:rPr>
          <w:b/>
          <w:bCs/>
        </w:rPr>
        <w:t xml:space="preserve">Rates / monetary policy: </w:t>
      </w:r>
      <w:r>
        <w:t xml:space="preserve">Fed hawkish (Warsh); three 2026 hikes priced, ~60% September odds. The single biggest structural suppressant of gold here.</w:t>
      </w:r>
    </w:p>
    <w:p>
      <w:pPr>
        <w:spacing w:after="120" w:line="264"/>
      </w:pPr>
      <w:r>
        <w:rPr>
          <w:b/>
          <w:bCs/>
        </w:rPr>
        <w:t xml:space="preserve">Inflation: </w:t>
      </w:r>
      <w:r>
        <w:t xml:space="preserve">Headline PCE 4.1% (May), CPI ~4.2% y/y energy-driven; sticky inflation paradoxically pressures gold because it hardens the Fed's hawkish path rather than triggering a hedge bid.</w:t>
      </w:r>
    </w:p>
    <w:p>
      <w:pPr>
        <w:spacing w:after="120" w:line="264"/>
      </w:pPr>
      <w:r>
        <w:rPr>
          <w:b/>
          <w:bCs/>
        </w:rPr>
        <w:t xml:space="preserve">Liquidity / FX (cross-ref §10 USDX): </w:t>
      </w:r>
      <w:r>
        <w:t xml:space="preserve">USDX rising to a 13-month high (~101.3) — tighter global conditions, direct gold headwind.</w:t>
      </w:r>
    </w:p>
    <w:p>
      <w:pPr>
        <w:spacing w:after="120" w:line="264"/>
      </w:pPr>
      <w:r>
        <w:rPr>
          <w:b/>
          <w:bCs/>
        </w:rPr>
        <w:t xml:space="preserve">Safe-haven / real yields: </w:t>
      </w:r>
      <w:r>
        <w:t xml:space="preserve">Rising real yields and an unwinding geopolitical premium are removing both of gold's recent supports simultaneously.</w:t>
      </w:r>
    </w:p>
    <w:p>
      <w:pPr>
        <w:spacing w:after="120" w:line="264"/>
      </w:pPr>
      <w:r>
        <w:rPr>
          <w:b/>
          <w:bCs/>
        </w:rPr>
        <w:t xml:space="preserve">Positioning: </w:t>
      </w:r>
      <w:r>
        <w:t xml:space="preserve">Speculative long liquidation is evident in the metals complex (silver −20%+ on the month); technical sell ratings dominate (Investing.com “Strong Sell”, Barchart 88% Sell).</w:t>
      </w:r>
    </w:p>
    <w:p>
      <w:pPr>
        <w:spacing w:after="120" w:line="264"/>
      </w:pPr>
      <w:r>
        <w:rPr>
          <w:b/>
          <w:bCs/>
        </w:rPr>
        <w:t xml:space="preserve">Upcoming-event watch (cross-ref §13d): </w:t>
      </w:r>
      <w:r>
        <w:t xml:space="preserve">the jobs report directly drives the rates/real-yield channel above — flagged as the key macro watch item with two-sided risk.</w:t>
      </w:r>
    </w:p>
    <w:p>
      <w:pPr>
        <w:pStyle w:val="Heading1"/>
        <w:spacing w:after="140" w:before="260"/>
      </w:pPr>
      <w:r>
        <w:t xml:space="preserve">15 · Bull / Bear Balance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Upside risks (bullish)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Downside risks (bearish)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• Oversold two-day bounce with RSI2 recovering to 62.8</w:t>
            </w:r>
          </w:p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• Breakdown of US–Iran roadmap → renewed haven bid</w:t>
            </w:r>
          </w:p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• A soft jobs report easing September-hike odds</w:t>
            </w:r>
          </w:p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• Structural central-bank buying (PBoC, RBI) as a floor</w:t>
            </w:r>
          </w:p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• Bank year-end targets still clustered $5,243–6,300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• Bearish medium-term regime + KER Trending Down</w:t>
            </w:r>
          </w:p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• USDX at 13-month high; rising real yields</w:t>
            </w:r>
          </w:p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• Hawkish Warsh Fed, three hikes priced</w:t>
            </w:r>
          </w:p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• Price capped at the $4,060 daily/weekly pivot confluence</w:t>
            </w:r>
          </w:p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• Metals-wide weakness (silver −20% m/m) confirms</w:t>
            </w:r>
          </w:p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• A hot jobs/ISM print (see §13d) extends the slide</w:t>
            </w:r>
          </w:p>
        </w:tc>
      </w:tr>
    </w:tbl>
    <w:p>
      <w:pPr>
        <w:pStyle w:val="Heading1"/>
        <w:spacing w:after="140" w:before="260"/>
      </w:pPr>
      <w:r>
        <w:t xml:space="preserve">16 · Forward View</w:t>
      </w:r>
    </w:p>
    <w:p>
      <w:pPr>
        <w:spacing w:after="120" w:line="264"/>
      </w:pPr>
      <w:r>
        <w:t xml:space="preserve">Base case over the next five sessions: a </w:t>
      </w:r>
      <w:r>
        <w:rPr>
          <w:b/>
          <w:bCs/>
        </w:rPr>
        <w:t xml:space="preserve">bearish-to-neutral consolidation</w:t>
      </w:r>
      <w:r>
        <w:t xml:space="preserve"> — gold sells rallies into the $4,060–$4,090 pivot/swing resistance band and probes the $3,980–$4,010 support zone, with risk of a fresh test of $3,940 if jobs data prints hot. Expected trading range $3,940–$4,135. This view </w:t>
      </w:r>
      <w:r>
        <w:rPr>
          <w:b/>
          <w:bCs/>
        </w:rPr>
        <w:t xml:space="preserve">respects</w:t>
      </w:r>
      <w:r>
        <w:t xml:space="preserve"> the §9 bearish regime; it does not contradict it. </w:t>
      </w:r>
      <w:r>
        <w:rPr>
          <w:b/>
          <w:bCs/>
        </w:rPr>
        <w:t xml:space="preserve">Base-case invalidation: </w:t>
      </w:r>
      <w:r>
        <w:t xml:space="preserve">a daily close back above the $4,090 high (and especially weekly close above $4,181 R1) would neutralise the bearish lean and open a deeper mean-reversion toward $4,250.</w:t>
      </w:r>
    </w:p>
    <w:p>
      <w:pPr>
        <w:pStyle w:val="Heading1"/>
        <w:spacing w:after="140" w:before="260"/>
      </w:pPr>
      <w:r>
        <w:t xml:space="preserve">17 · Forecast</w:t>
      </w:r>
    </w:p>
    <w:p>
      <w:pPr>
        <w:spacing w:after="120" w:line="264"/>
      </w:pPr>
      <w:r>
        <w:rPr>
          <w:i/>
          <w:iCs/>
        </w:rPr>
        <w:t xml:space="preserve">Gold is most likely to drift lower-to-sideways within $3,940–$4,090 over the coming week, selling into the $4,060 daily/weekly pivot confluence while a hawkish Fed, a 13-month-high dollar and confirming metals-wide weakness keep the bias bearish unless a soft US jobs print forces a short-cover bounce.</w:t>
      </w:r>
    </w:p>
    <w:p>
      <w:pPr>
        <w:pStyle w:val="Heading1"/>
        <w:spacing w:after="140" w:before="260"/>
      </w:pPr>
      <w:r>
        <w:t xml:space="preserve">18 · Final Analyst Judgement</w:t>
      </w:r>
    </w:p>
    <w:p>
      <w:pPr>
        <w:spacing w:after="120" w:line="264"/>
      </w:pPr>
      <w:r>
        <w:rPr>
          <w:b/>
          <w:bCs/>
        </w:rPr>
        <w:t xml:space="preserve">Consensus price call: </w:t>
      </w:r>
      <w:r>
        <w:t xml:space="preserve">$4,051/oz (band $4,040–$4,065), confidence Medium, tone Bearish.</w:t>
      </w:r>
    </w:p>
    <w:p>
      <w:pPr>
        <w:spacing w:after="120" w:line="264"/>
      </w:pPr>
      <w:r>
        <w:rPr>
          <w:b/>
          <w:bCs/>
        </w:rPr>
        <w:t xml:space="preserve">Three most important reasons: </w:t>
      </w:r>
      <w:r>
        <w:t xml:space="preserve">(1) hawkish Fed + rising real yields; (2) USDX at a 13-month high; (3) bearish medium-term regime confirmed by KER and metals-wide weakness.</w:t>
      </w:r>
    </w:p>
    <w:p>
      <w:pPr>
        <w:spacing w:after="120" w:line="264"/>
      </w:pPr>
      <w:r>
        <w:rPr>
          <w:b/>
          <w:bCs/>
        </w:rPr>
        <w:t xml:space="preserve">Single watch item: </w:t>
      </w:r>
      <w:r>
        <w:t xml:space="preserve">the US jobs report / ISM PMI this week — the swing factor for September-hike odds and gold's real-yield headwind.</w:t>
      </w:r>
    </w:p>
    <w:p>
      <w:pPr>
        <w:pStyle w:val="Heading1"/>
        <w:spacing w:after="140" w:before="260"/>
      </w:pPr>
      <w:r>
        <w:t xml:space="preserve">19 · Source Discipline Note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Live vs indicative: </w:t>
      </w:r>
      <w:r>
        <w:t xml:space="preserve">29 Jun spot closes are live/corroborated within a lenient band; the 23–24 Jun intraday extremes and the 25-session reconstruction are indicative.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Corroboration status: </w:t>
      </w:r>
      <w:r>
        <w:t xml:space="preserve">Gold spot — CORROBORATED (Investing.com × LiteFinance/TradingEconomics, deltas beyond the strict ±$0.50 tolerance but accepted under the user's lenient-corroboration instruction). Silver — CORROBORATED directional. Daily &amp; weekly pivots — CORROBORATED; monthly pivots — SINGLE-SOURCE INDICATIVE.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Data gaps / assumptions: </w:t>
      </w:r>
      <w:r>
        <w:t xml:space="preserve">exact LBMA AM/PM fix prints and CME settlement were not independently re-fetched per source; spot consensus stands in. Per explicit user instruction, trading strategies are produced and not suppressed even where strict two-source corroboration to ±$0.50 was not achievable.</w:t>
      </w:r>
    </w:p>
    <w:p>
      <w:pPr>
        <w:pStyle w:val="Heading1"/>
        <w:spacing w:after="140" w:before="260"/>
      </w:pPr>
      <w:r>
        <w:t xml:space="preserve">20 · Agent Log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Sources attempted: Investing.com, TradingEconomics, LiteFinance, TradingView, Vantage, RoboForex, Phemex, CNBC, World Gold Council, Barchart (news/quotes). Outcome: consensus spot achieved; strict ±$0.50 two-source pivot corroboration not achieved for monthly timeframe → flagged indicative.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Validation method: weighted-median consensus on six spot reads; OHLC cross-referenced across ≥2 sources per session under lenient tolerance.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Sentiment derivation: six articles classified from explicit language with ≤15-word derivation quotes; tilt = −0.42 (source-class weighted), Predominantly Bearish, ≥3 articles → not low-confidence.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Direction-score weights basis: DEFAULTS (0.25/0.20/0.10/0.15/0.15/0.15) — unchanged; forward-test weight-lock respected.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Anchor override: daily-open anchor set to 07:00 UK (from 00:00 UK) at user request; logged as a configuration deviation. Eligibility checks (tick spec $0.01/“tick”, primary asset match, weights sum = 1.00) pass.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Strategy suppression note: trades produced and NOT suppressed despite imperfect corroboration, per explicit user instruction; lenient-corroboration caveat attached to each card.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Backtest reconstruction: 5 sessions replayed; sentiment frozen at each t−1; regime/ATR/swings recomputed; conservative SL-first tick priority applied. Timestamp: 30 Jun 2026, Europe/London.</w:t>
      </w:r>
    </w:p>
    <w:p>
      <w:pPr>
        <w:pStyle w:val="Heading1"/>
        <w:spacing w:after="140" w:before="260"/>
      </w:pPr>
      <w:r>
        <w:t xml:space="preserve">21 · Strategy Recommendations</w:t>
      </w:r>
    </w:p>
    <w:p>
      <w:pPr>
        <w:pStyle w:val="Heading2"/>
        <w:spacing w:after="100" w:before="180"/>
      </w:pPr>
      <w:r>
        <w:t xml:space="preserve">21a · Directional Conviction</w:t>
      </w:r>
    </w:p>
    <w:p>
      <w:pPr>
        <w:spacing w:after="120" w:line="264"/>
      </w:pPr>
      <w:r>
        <w:rPr>
          <w:b/>
          <w:bCs/>
        </w:rPr>
        <w:t xml:space="preserve">Direction: SHORT · Score: −0.34 (defaults). </w:t>
      </w:r>
      <w:r>
        <w:t xml:space="preserve">The net score is bearish, driven by the bearish medium-term regime and dollar strength, with a mild oversold-bounce offset. Three highest-weighted contributors: short-term technical bias (§8) slightly positive on the bounce (+0.06), medium-term bearish regime (§9) −0.20, sentiment tilt (§13b) −0.42 scaled into −0.06, cross-asset confirmation (§10) −0.10. </w:t>
      </w:r>
      <w:r>
        <w:rPr>
          <w:b/>
          <w:bCs/>
        </w:rPr>
        <w:t xml:space="preserve">Conflict flag: </w:t>
      </w:r>
      <w:r>
        <w:t xml:space="preserve">the §17 forecast leans bearish-to-sideways, consistent with the SHORT score — no material conflict.</w:t>
      </w:r>
    </w:p>
    <w:p>
      <w:pPr>
        <w:pStyle w:val="Heading2"/>
        <w:spacing w:after="100" w:before="180"/>
      </w:pPr>
      <w:r>
        <w:t xml:space="preserve">21b · Trade Cards</w:t>
      </w:r>
    </w:p>
    <w:p>
      <w:pPr>
        <w:spacing w:after="120" w:line="264"/>
      </w:pPr>
      <w:r>
        <w:rPr>
          <w:b/>
          <w:bCs/>
        </w:rPr>
        <w:t xml:space="preserve">Trade 1 — Daily Directional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62a8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62a8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Direction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 — bearish trend, sell-the-rally into pivot resistance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Entry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Sell limit $4,062 (daily/weekly pivot confluence) — market at 07:00 UK if already trading below pivot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Stop loss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$4,096 — 340 ticks above entry; anchor = 29 Jun swing high $4,089 + buffer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Risk (R)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$34 / oz = 3,400 ticks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TP1 (Unit 1)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$4,028 (+1R) — daily S1 / 26 Jun area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TP2 (Unit 2)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$3,994 (+2R) — 24 Jun close / sub-$4,000 zone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TP3 (runner)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$3,945 — 24–25 Jun low; time-stop at session close + 3×ATR cap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Tranche mgmt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 equal units; U1 exits TP1, U2 exits TP2; on U2 fill, U3 stop → entry −0.2R ($4,055)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Confluences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Entry at daily+weekly P (~$4,060) = strong confluence; TP2 at round-number $4,000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Invalidation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Daily close back above $4,090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Caveats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lenient-corroboration spot; holding period spans §13d jobs/ISM — event risk; ATR ~ $89 is large</w:t>
            </w:r>
          </w:p>
        </w:tc>
      </w:tr>
    </w:tbl>
    <w:p>
      <w:pPr>
        <w:spacing w:after="120" w:line="264"/>
      </w:pPr>
      <w:r>
        <w:rPr>
          <w:b/>
          <w:bCs/>
        </w:rPr>
        <w:t xml:space="preserve">Trade 2 — Pivot (regime-aware, TREND)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62a8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62a8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Direction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 — TREND regime, fade the pivot from below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Entry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Sell stop $4,029 on confirmed break of daily S1 (momentum continuation)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Stop loss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$4,062 — 330 ticks; back above daily/weekly P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Risk (R)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$33 / oz = 3,300 ticks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TP1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$3,996 (+1R) — daily S2 / $4,000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TP2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$3,963 (+2R)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TP3 (runner)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weekly S1 $3,906; runner exit at pivot S-extension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Tranche mgmt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 equal units; standard rule; U3 stop → entry −0.2R on U2 fill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Confluences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TP1 at $4,000 round number; weekly S1 $3,906 as runner magnet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Invalidation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Daily close back through P $4,060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Caveats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monthly pivots single-source-indicative (not used for entry); event collision with §13d jobs report</w:t>
            </w:r>
          </w:p>
        </w:tc>
      </w:tr>
    </w:tbl>
    <w:p>
      <w:pPr>
        <w:spacing w:after="120" w:line="264"/>
      </w:pPr>
      <w:r>
        <w:rPr>
          <w:b/>
          <w:bCs/>
        </w:rPr>
        <w:t xml:space="preserve">Trade 3 — Complex (fork → 3A Momentum-Pullback)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62a8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62a8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Direction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 — 3A momentum-pullback in the established downtrend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Entry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Sell limit $4,075 — pullback into the 38.2% retrace of the 23–25 Jun down-leg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Stop loss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$4,100 — 250 ticks; above the 50% retrace / 29 Jun high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Risk (R)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$25 / oz = 2,500 ticks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TP1 (38.2% target)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$4,050 (+1R)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TP2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$4,025 (+2R)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TP3 (measured move)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$3,975 — 1× width of the bounce; structural-runner override on a 100%-extension break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Tranche mgmt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 equal units; 3A runner override: on 100%-extension break, U3 stop → halfway entry-to-0% anchor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Confluences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Entry at fib 38.2% + descending resistance; TP3 near $3,980 monthly-S2 cluster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Invalidation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Close above $4,100 (50% retrace) breaks the pullback thesis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Caveats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counter-trend bounce still active — pullback entry may not fill; lenient-corroboration data</w:t>
            </w:r>
          </w:p>
        </w:tc>
      </w:tr>
    </w:tbl>
    <w:p>
      <w:pPr>
        <w:pStyle w:val="Heading2"/>
        <w:spacing w:after="100" w:before="180"/>
      </w:pPr>
      <w:r>
        <w:t xml:space="preserve">21c · 5-Session No-Leakage Backtest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1100"/>
        <w:gridCol w:w="1150"/>
        <w:gridCol w:w="1050"/>
        <w:gridCol w:w="1700"/>
        <w:gridCol w:w="1150"/>
        <w:gridCol w:w="1760"/>
      </w:tblGrid>
      <w:tr>
        <w:trPr>
          <w:tblHeader/>
        </w:trPr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 (t−N)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Triggered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Entry / Exit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Outcome (R)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Days to res.</w:t>
            </w:r>
          </w:p>
        </w:tc>
      </w:tr>
      <w:tr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Tue 23 Jun (t−5)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Trade 1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4,160 / 4,092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+2.0R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Tue 23 Jun (t−5)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Trade 2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4,118 / 3,995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+2.0R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Tue 23 Jun (t−5)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Trade 3A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4,150 / 3,995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+2.0R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Wed 24 Jun (t−4)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Trade 1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4,090 / 3,995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+2.0R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Wed 24 Jun (t−4)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Trade 2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4,060 / 3,940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+2.0R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Thu 25 Jun (t−3)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Trade 1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4,030 / 4,045 (SL)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−1.0R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Thu 25 Jun (t−3)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Trade 3B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SUPPRESSED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Fri 26 Jun (t−2)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Trade 1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limit not hit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0.0R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 29 Jun (t−1)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Trade 1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4,062 / OPEN @ +0.3R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OPEN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5+ (open)</w:t>
            </w:r>
          </w:p>
        </w:tc>
      </w:tr>
      <w:tr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 29 Jun (t−1)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Trade 3A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4,075 / OPEN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OPEN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5+ (open)</w:t>
            </w:r>
          </w:p>
        </w:tc>
      </w:tr>
    </w:tbl>
    <w:p>
      <w:pPr>
        <w:spacing w:after="140" w:before="60"/>
      </w:pPr>
      <w:r>
        <w:rPr>
          <w:i/>
          <w:iCs/>
          <w:color w:val="555555"/>
          <w:sz w:val="18"/>
          <w:szCs w:val="18"/>
        </w:rPr>
        <w:t xml:space="preserve">Suppressed reconstructions (Trade 3B on 25 Jun: RANGE dual-gate not met → fell through to 3A) are shown for traceability and do not contribute to the §21d aggregate.</w:t>
      </w:r>
    </w:p>
    <w:p>
      <w:pPr>
        <w:pStyle w:val="Heading2"/>
        <w:spacing w:after="100" w:before="180"/>
      </w:pPr>
      <w:r>
        <w:t xml:space="preserve">21d · 'What Is Working' Aggregate</w:t>
      </w:r>
    </w:p>
    <w:p>
      <w:pPr>
        <w:spacing w:after="120" w:line="264"/>
      </w:pPr>
      <w:r>
        <w:rPr>
          <w:b/>
          <w:bCs/>
        </w:rPr>
        <w:t xml:space="preserve">Per strategy (last 5 sessions): </w:t>
      </w:r>
      <w:r>
        <w:t xml:space="preserve">Trade 1 triggered 4/5, mean R ≈ +0.75 (closed), TP1/TP2/TP3 hit ≈ 75%/50%/25%. Trade 2 triggered 2/2, mean R = +2.0. Trade 3A triggered 2/3, mean R ≈ +2.0 (one open). </w:t>
      </w:r>
      <w:r>
        <w:rPr>
          <w:b/>
          <w:bCs/>
        </w:rPr>
        <w:t xml:space="preserve">Strongest performer: </w:t>
      </w:r>
      <w:r>
        <w:t xml:space="preserve">Trade 2 (pivot, regime-aware short) — clean +2R captures on the breakdown sessions. </w:t>
      </w:r>
      <w:r>
        <w:rPr>
          <w:b/>
          <w:bCs/>
        </w:rPr>
        <w:t xml:space="preserve">Weakest: </w:t>
      </w:r>
      <w:r>
        <w:t xml:space="preserve">Trade 1 on the 25 Jun bounce session (−1R), the one counter-trend whipsaw.</w:t>
      </w:r>
    </w:p>
    <w:p>
      <w:pPr>
        <w:spacing w:after="120" w:line="264"/>
      </w:pPr>
      <w:r>
        <w:rPr>
          <w:i/>
          <w:iCs/>
          <w:color w:val="555555"/>
          <w:sz w:val="18"/>
          <w:szCs w:val="18"/>
        </w:rPr>
        <w:t xml:space="preserve">Five-session windows are too small to support statistical claims. The backtest cannot model intraday tick-level fills, slippage, or commission. Treat as a directional sanity-check, not a strategy-validation framework.</w:t>
      </w:r>
    </w:p>
    <w:p>
      <w:pPr>
        <w:pBdr>
          <w:top w:val="single" w:color="08306b" w:sz="8" w:space="6"/>
        </w:pBdr>
        <w:spacing w:before="240"/>
      </w:pPr>
      <w:r>
        <w:rPr>
          <w:i/>
          <w:iCs/>
          <w:color w:val="555555"/>
          <w:sz w:val="16"/>
          <w:szCs w:val="16"/>
        </w:rPr>
        <w:t xml:space="preserve">Gold Daily Report · 30 June 2026 · Senior Commodities Analyst — Precious Metals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5"/>
        <w:szCs w:val="15"/>
      </w:rPr>
      <w:t xml:space="preserve">Gold Daily Report  │  30 June 2026  │  Senior Commodities Analyst — Precious Metals  │  Page </w:t>
    </w:r>
    <w:r>
      <w:rPr>
        <w:color w:val="555555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55555"/>
        <w:sz w:val="16"/>
        <w:szCs w:val="16"/>
      </w:rPr>
      <w:t xml:space="preserve">Gold Report — 30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9DB7D6" w:sz="6" w:space="4"/>
      </w:pBdr>
      <w:spacing w:after="140" w:before="260"/>
      <w:outlineLvl w:val="0"/>
    </w:pPr>
    <w:rPr>
      <w:rFonts w:ascii="Arial" w:cs="Arial" w:eastAsia="Arial" w:hAnsi="Arial"/>
      <w:b/>
      <w:bCs/>
      <w:color w:val="08306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762a8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c7aec0585c8933b1cf1b0cc1a6705fc67d8dcf4.png"/><Relationship Id="rId10" Type="http://schemas.openxmlformats.org/officeDocument/2006/relationships/image" Target="media/31c26e2ca6102c6360cb0814abb940ef55476b21.png"/><Relationship Id="rId11" Type="http://schemas.openxmlformats.org/officeDocument/2006/relationships/image" Target="media/d77e31f2d439fbe70a3141e6abe1f8a84e1d72fe.png"/><Relationship Id="rId12" Type="http://schemas.openxmlformats.org/officeDocument/2006/relationships/image" Target="media/2971bfd98d90c2a27a746bffd15d294c05bfb40f.png"/><Relationship Id="rId13" Type="http://schemas.openxmlformats.org/officeDocument/2006/relationships/image" Target="media/36384619e20ab8599aeedfaf246c06fc66359b19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2026-06-29T21:38:25.849Z</dcterms:created>
  <dcterms:modified xsi:type="dcterms:W3CDTF">2026-06-29T21:38:25.850Z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