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b/>
          <w:bCs/>
          <w:color w:val="1F3A5F"/>
          <w:sz w:val="36"/>
          <w:szCs w:val="36"/>
        </w:rPr>
        <w:t xml:space="preserve">Gold Report — Daily: 31 July 2026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With reference to: Silver · USDX (Dollar Index) · S&amp;P 500 · DAX 40</w:t>
      </w:r>
    </w:p>
    <w:p>
      <w:pPr>
        <w:pBdr>
          <w:bottom w:val="single" w:color="1F3A5F" w:sz="6"/>
        </w:pBdr>
        <w:spacing w:after="60" w:before="60"/>
      </w:pPr>
    </w:p>
    <w:p>
      <w:pPr>
        <w:spacing w:after="160"/>
      </w:pPr>
      <w:r>
        <w:rPr>
          <w:color w:val="666666"/>
          <w:sz w:val="17"/>
          <w:szCs w:val="17"/>
        </w:rPr>
        <w:t xml:space="preserve">Senior Commodities Analyst — Precious Metals   ·   XAU/USD spot (loco London), GC=F corroboration   ·   As of 31 July 2026 (Europe/London)</w:t>
      </w:r>
    </w:p>
    <w:p>
      <w:pPr>
        <w:pStyle w:val="Heading1"/>
        <w:spacing w:after="120" w:before="260"/>
      </w:pPr>
      <w:r>
        <w:rPr>
          <w:b/>
          <w:bCs/>
          <w:color w:val="1F3A5F"/>
          <w:sz w:val="26"/>
          <w:szCs w:val="26"/>
        </w:rPr>
        <w:t xml:space="preserve">§1  Executive Snapshot</w:t>
      </w:r>
    </w:p>
    <w:p>
      <w:pPr>
        <w:spacing w:after="120" w:line="276"/>
      </w:pPr>
      <w:r>
        <w:rPr>
          <w:sz w:val="20"/>
          <w:szCs w:val="20"/>
        </w:rPr>
        <w:t xml:space="preserve">Consensus spot gold is assessed at </w:t>
      </w:r>
      <w:r>
        <w:rPr>
          <w:b/>
          <w:bCs/>
          <w:sz w:val="20"/>
          <w:szCs w:val="20"/>
        </w:rPr>
        <w:t xml:space="preserve">$4,066/oz</w:t>
      </w:r>
      <w:r>
        <w:rPr>
          <w:sz w:val="20"/>
          <w:szCs w:val="20"/>
        </w:rPr>
        <w:t xml:space="preserve"> (indicative range $4,022–$4,100), with a </w:t>
      </w:r>
      <w:r>
        <w:rPr>
          <w:b/>
          <w:bCs/>
          <w:sz w:val="20"/>
          <w:szCs w:val="20"/>
        </w:rPr>
        <w:t xml:space="preserve">balanced-to-cautious</w:t>
      </w:r>
      <w:r>
        <w:rPr>
          <w:sz w:val="20"/>
          <w:szCs w:val="20"/>
        </w:rPr>
        <w:t xml:space="preserve"> market tone. Three drivers dominate: (i) the Federal Reserve's hawkish hold at 3.50–3.75% on 29 July with three dissents favouring a hike, which lifted the odds of a September increase to roughly 60–67% and caps the non-yielding metal; (ii) a softer dollar (USDX near 100.0, down ~0.5% post-decision) and a fresh Middle-East safe-haven bid that together put a floor under price around $4,000; and (iii) persistent central-bank accumulation (World Gold Council: net 244 t bought in Q1, 89% of reserve managers expecting further additions). The short-term technical read is </w:t>
      </w:r>
      <w:r>
        <w:rPr>
          <w:b/>
          <w:bCs/>
          <w:sz w:val="20"/>
          <w:szCs w:val="20"/>
        </w:rPr>
        <w:t xml:space="preserve">Indecision</w:t>
      </w:r>
      <w:r>
        <w:rPr>
          <w:sz w:val="20"/>
          <w:szCs w:val="20"/>
        </w:rPr>
        <w:t xml:space="preserve"> — a choppy five-session sequence with heavy overlap and no directional persistence. The medium-term (25-session) regime is a decelerating </w:t>
      </w:r>
      <w:r>
        <w:rPr>
          <w:b/>
          <w:bCs/>
          <w:sz w:val="20"/>
          <w:szCs w:val="20"/>
        </w:rPr>
        <w:t xml:space="preserve">down-to-transition</w:t>
      </w:r>
      <w:r>
        <w:rPr>
          <w:sz w:val="20"/>
          <w:szCs w:val="20"/>
        </w:rPr>
        <w:t xml:space="preserve"> structure off the June $4,383 high. Kaufman efficiency classifies the tape as </w:t>
      </w:r>
      <w:r>
        <w:rPr>
          <w:b/>
          <w:bCs/>
          <w:sz w:val="20"/>
          <w:szCs w:val="20"/>
        </w:rPr>
        <w:t xml:space="preserve">ranging / low-efficiency</w:t>
      </w:r>
      <w:r>
        <w:rPr>
          <w:sz w:val="20"/>
          <w:szCs w:val="20"/>
        </w:rPr>
        <w:t xml:space="preserve"> (|KER| ≈ 0.10, below the 0.13 trend threshold). The single most important watch item is the </w:t>
      </w:r>
      <w:r>
        <w:rPr>
          <w:b/>
          <w:bCs/>
          <w:sz w:val="20"/>
          <w:szCs w:val="20"/>
        </w:rPr>
        <w:t xml:space="preserve">31 July Chicago PMI and University of Michigan inflation expectations</w:t>
      </w:r>
      <w:r>
        <w:rPr>
          <w:sz w:val="20"/>
          <w:szCs w:val="20"/>
        </w:rPr>
        <w:t xml:space="preserve">, the first post-Fed data that can validate or challenge the September-hike pricing. Directional conviction from the strategy engine is </w:t>
      </w:r>
      <w:r>
        <w:rPr>
          <w:b/>
          <w:bCs/>
          <w:sz w:val="20"/>
          <w:szCs w:val="20"/>
        </w:rPr>
        <w:t xml:space="preserve">NEUTRAL (score −0.09)</w:t>
      </w:r>
      <w:r>
        <w:rPr>
          <w:sz w:val="20"/>
          <w:szCs w:val="20"/>
        </w:rPr>
        <w:t xml:space="preserve">; trade cards below are produced under the operator's explicit strategy-override instruction.</w:t>
      </w:r>
    </w:p>
    <w:p>
      <w:pPr>
        <w:pStyle w:val="Heading1"/>
        <w:spacing w:after="120" w:before="260"/>
      </w:pPr>
      <w:r>
        <w:rPr>
          <w:b/>
          <w:bCs/>
          <w:color w:val="1F3A5F"/>
          <w:sz w:val="26"/>
          <w:szCs w:val="26"/>
        </w:rPr>
        <w:t xml:space="preserve">§2  Market Definition</w:t>
      </w:r>
    </w:p>
    <w:tbl>
      <w:tblPr>
        <w:tblW w:type="dxa" w:w="936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DDDDDD" w:sz="1"/>
          <w:insideV w:val="single" w:color="DDDDDD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76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Asset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Gold — XAU/USD spot (London Good Delivery bar, 99.99% pure, 400-oz quote); GC=F CME front-month for corroboration</w:t>
            </w:r>
          </w:p>
        </w:tc>
      </w:tr>
      <w:tr>
        <w:tc>
          <w:tcPr>
            <w:tcW w:type="dxa" w:w="26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Market scope</w:t>
            </w:r>
          </w:p>
        </w:tc>
        <w:tc>
          <w:tcPr>
            <w:tcW w:type="dxa" w:w="67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Global 24-hour OTC market (London / COMEX / Singapore / Shanghai SGE)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Price basis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Spot, immediate settlement (loco London); OTC T+2</w:t>
            </w:r>
          </w:p>
        </w:tc>
      </w:tr>
      <w:tr>
        <w:tc>
          <w:tcPr>
            <w:tcW w:type="dxa" w:w="26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Unit / currency</w:t>
            </w:r>
          </w:p>
        </w:tc>
        <w:tc>
          <w:tcPr>
            <w:tcW w:type="dxa" w:w="67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USD per troy ounce (USD/oz)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As-of date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31 July 2026 (Europe/London); London PM Fix reference</w:t>
            </w:r>
          </w:p>
        </w:tc>
      </w:tr>
      <w:tr>
        <w:tc>
          <w:tcPr>
            <w:tcW w:type="dxa" w:w="26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Lookback window</w:t>
            </w:r>
          </w:p>
        </w:tc>
        <w:tc>
          <w:tcPr>
            <w:tcW w:type="dxa" w:w="67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5 trading sessions (execution block); 25 sessions (regime block)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Tick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0.01 USD/oz (1 tick = one cent per ounce)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F3A5F"/>
          <w:sz w:val="26"/>
          <w:szCs w:val="26"/>
        </w:rPr>
        <w:t xml:space="preserve">§3  Consensus Price Call</w:t>
      </w:r>
    </w:p>
    <w:tbl>
      <w:tblPr>
        <w:tblW w:type="dxa" w:w="936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DDDDDD" w:sz="1"/>
          <w:insideV w:val="single" w:color="DDDDDD" w:sz="1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Consensus price</w:t>
            </w:r>
          </w:p>
        </w:tc>
        <w:tc>
          <w:tcPr>
            <w:tcW w:type="dxa" w:w="234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Consensus range</w:t>
            </w:r>
          </w:p>
        </w:tc>
        <w:tc>
          <w:tcPr>
            <w:tcW w:type="dxa" w:w="234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234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Market tone</w:t>
            </w:r>
          </w:p>
        </w:tc>
      </w:tr>
      <w:tr>
        <w:tc>
          <w:tcPr>
            <w:tcW w:type="dxa" w:w="23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8A6D1B"/>
                <w:sz w:val="20"/>
                <w:szCs w:val="20"/>
              </w:rPr>
              <w:t xml:space="preserve">$4,066 / oz</w:t>
            </w:r>
          </w:p>
        </w:tc>
        <w:tc>
          <w:tcPr>
            <w:tcW w:type="dxa" w:w="23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$4,022 – $4,100</w:t>
            </w:r>
          </w:p>
        </w:tc>
        <w:tc>
          <w:tcPr>
            <w:tcW w:type="dxa" w:w="23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23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Balanced-to-cautious</w:t>
            </w:r>
          </w:p>
        </w:tc>
      </w:tr>
    </w:tbl>
    <w:p>
      <w:pPr>
        <w:spacing w:after="60" w:line="276"/>
      </w:pPr>
      <w:r>
        <w:rPr>
          <w:b/>
          <w:bCs/>
          <w:sz w:val="20"/>
          <w:szCs w:val="20"/>
        </w:rPr>
        <w:t xml:space="preserve">Rationale: </w:t>
      </w:r>
      <w:r>
        <w:rPr>
          <w:sz w:val="20"/>
          <w:szCs w:val="20"/>
        </w:rPr>
        <w:t xml:space="preserve">Six independent reads cluster in a $4,031–$4,102 band on 30 July; the weighted median of the more liquid spot references lands at ~$4,066. Precision is limited by a live spot-vs-futures-vs-CFD dispersion of $30–70, which exceeds the $0.50 gold corroboration tolerance — hence a range-first call and Medium confidence.</w:t>
      </w:r>
    </w:p>
    <w:p>
      <w:pPr>
        <w:pStyle w:val="Heading1"/>
        <w:spacing w:after="120" w:before="260"/>
      </w:pPr>
      <w:r>
        <w:rPr>
          <w:b/>
          <w:bCs/>
          <w:color w:val="1F3A5F"/>
          <w:sz w:val="26"/>
          <w:szCs w:val="26"/>
        </w:rPr>
        <w:t xml:space="preserve">§4  Price Evidence Table</w:t>
      </w:r>
    </w:p>
    <w:tbl>
      <w:tblPr>
        <w:tblW w:type="dxa" w:w="936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DDDDDD" w:sz="1"/>
          <w:insideV w:val="single" w:color="DDDDDD" w:sz="1"/>
        </w:tblBorders>
      </w:tblPr>
      <w:tblGrid>
        <w:gridCol w:w="1500"/>
        <w:gridCol w:w="1150"/>
        <w:gridCol w:w="1250"/>
        <w:gridCol w:w="1250"/>
        <w:gridCol w:w="1300"/>
        <w:gridCol w:w="1250"/>
        <w:gridCol w:w="1660"/>
      </w:tblGrid>
      <w:tr>
        <w:trPr>
          <w:tblHeader/>
        </w:trPr>
        <w:tc>
          <w:tcPr>
            <w:tcW w:type="dxa" w:w="15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15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Date/Time</w:t>
            </w:r>
          </w:p>
        </w:tc>
        <w:tc>
          <w:tcPr>
            <w:tcW w:type="dxa" w:w="125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Raw quote</w:t>
            </w:r>
          </w:p>
        </w:tc>
        <w:tc>
          <w:tcPr>
            <w:tcW w:type="dxa" w:w="125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Normalized (USD/oz)</w:t>
            </w:r>
          </w:p>
        </w:tc>
        <w:tc>
          <w:tcPr>
            <w:tcW w:type="dxa" w:w="13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Basis / location</w:t>
            </w:r>
          </w:p>
        </w:tc>
        <w:tc>
          <w:tcPr>
            <w:tcW w:type="dxa" w:w="125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Relevance</w:t>
            </w:r>
          </w:p>
        </w:tc>
        <w:tc>
          <w:tcPr>
            <w:tcW w:type="dxa" w:w="166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Investing.com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30 Jul, live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4,031–4,062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4,031–4,062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Spot XAU/USD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Core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Day range; prev close 4,052.96</w:t>
            </w:r>
          </w:p>
        </w:tc>
      </w:tr>
      <w:tr>
        <w:tc>
          <w:tcPr>
            <w:tcW w:type="dxa" w:w="15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TradingEconomics</w:t>
            </w:r>
          </w:p>
        </w:tc>
        <w:tc>
          <w:tcPr>
            <w:tcW w:type="dxa" w:w="115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30 Jul</w:t>
            </w:r>
          </w:p>
        </w:tc>
        <w:tc>
          <w:tcPr>
            <w:tcW w:type="dxa" w:w="125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4,066.90 / 4,102.50</w:t>
            </w:r>
          </w:p>
        </w:tc>
        <w:tc>
          <w:tcPr>
            <w:tcW w:type="dxa" w:w="125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4,066–4,102</w:t>
            </w:r>
          </w:p>
        </w:tc>
        <w:tc>
          <w:tcPr>
            <w:tcW w:type="dxa" w:w="13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CFD benchmark</w:t>
            </w:r>
          </w:p>
        </w:tc>
        <w:tc>
          <w:tcPr>
            <w:tcW w:type="dxa" w:w="125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Core</w:t>
            </w:r>
          </w:p>
        </w:tc>
        <w:tc>
          <w:tcPr>
            <w:tcW w:type="dxa" w:w="16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+0.90% on day; OTC/CFD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FXLeaders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30 Jul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~4,100 (tested)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~4,100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Spot XAU/USD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Directional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Fed-relief pop toward 4,100</w:t>
            </w:r>
          </w:p>
        </w:tc>
      </w:tr>
      <w:tr>
        <w:tc>
          <w:tcPr>
            <w:tcW w:type="dxa" w:w="15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RoboForex</w:t>
            </w:r>
          </w:p>
        </w:tc>
        <w:tc>
          <w:tcPr>
            <w:tcW w:type="dxa" w:w="115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30 Jul</w:t>
            </w:r>
          </w:p>
        </w:tc>
        <w:tc>
          <w:tcPr>
            <w:tcW w:type="dxa" w:w="125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4,035</w:t>
            </w:r>
          </w:p>
        </w:tc>
        <w:tc>
          <w:tcPr>
            <w:tcW w:type="dxa" w:w="125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4,035</w:t>
            </w:r>
          </w:p>
        </w:tc>
        <w:tc>
          <w:tcPr>
            <w:tcW w:type="dxa" w:w="13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Spot XAU/USD</w:t>
            </w:r>
          </w:p>
        </w:tc>
        <w:tc>
          <w:tcPr>
            <w:tcW w:type="dxa" w:w="125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Directional</w:t>
            </w:r>
          </w:p>
        </w:tc>
        <w:tc>
          <w:tcPr>
            <w:tcW w:type="dxa" w:w="16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Testing 4,030; eyeing 3,975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FXStreet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early wk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4,053.13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4,053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Spot XAU/USD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Core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Below all major SMAs</w:t>
            </w:r>
          </w:p>
        </w:tc>
      </w:tr>
      <w:tr>
        <w:tc>
          <w:tcPr>
            <w:tcW w:type="dxa" w:w="15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Vantage CFD</w:t>
            </w:r>
          </w:p>
        </w:tc>
        <w:tc>
          <w:tcPr>
            <w:tcW w:type="dxa" w:w="115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29 Jul</w:t>
            </w:r>
          </w:p>
        </w:tc>
        <w:tc>
          <w:tcPr>
            <w:tcW w:type="dxa" w:w="125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4,037.91</w:t>
            </w:r>
          </w:p>
        </w:tc>
        <w:tc>
          <w:tcPr>
            <w:tcW w:type="dxa" w:w="125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4,038</w:t>
            </w:r>
          </w:p>
        </w:tc>
        <w:tc>
          <w:tcPr>
            <w:tcW w:type="dxa" w:w="13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XAU/USD CFD</w:t>
            </w:r>
          </w:p>
        </w:tc>
        <w:tc>
          <w:tcPr>
            <w:tcW w:type="dxa" w:w="125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Directional</w:t>
            </w:r>
          </w:p>
        </w:tc>
        <w:tc>
          <w:tcPr>
            <w:tcW w:type="dxa" w:w="16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Flat pre-Fed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TradingView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29 Jul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4,062.045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4,062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Spot XAU/USD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Core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Sell rating; 1-wk neutral</w:t>
            </w:r>
          </w:p>
        </w:tc>
      </w:tr>
      <w:tr>
        <w:tc>
          <w:tcPr>
            <w:tcW w:type="dxa" w:w="15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USAGold</w:t>
            </w:r>
          </w:p>
        </w:tc>
        <w:tc>
          <w:tcPr>
            <w:tcW w:type="dxa" w:w="115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30 Jul</w:t>
            </w:r>
          </w:p>
        </w:tc>
        <w:tc>
          <w:tcPr>
            <w:tcW w:type="dxa" w:w="125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4,066.66</w:t>
            </w:r>
          </w:p>
        </w:tc>
        <w:tc>
          <w:tcPr>
            <w:tcW w:type="dxa" w:w="125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4,067</w:t>
            </w:r>
          </w:p>
        </w:tc>
        <w:tc>
          <w:tcPr>
            <w:tcW w:type="dxa" w:w="13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Spot bullion</w:t>
            </w:r>
          </w:p>
        </w:tc>
        <w:tc>
          <w:tcPr>
            <w:tcW w:type="dxa" w:w="125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Core</w:t>
            </w:r>
          </w:p>
        </w:tc>
        <w:tc>
          <w:tcPr>
            <w:tcW w:type="dxa" w:w="16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Held above $4,050</w:t>
            </w:r>
          </w:p>
        </w:tc>
      </w:tr>
    </w:tbl>
    <w:p>
      <w:pPr>
        <w:shd w:fill="FBF6E8" w:color="auto" w:val="clear"/>
        <w:spacing w:after="120" w:before="60"/>
      </w:pPr>
      <w:r>
        <w:rPr>
          <w:i/>
          <w:iCs/>
          <w:color w:val="5A4A15"/>
          <w:sz w:val="18"/>
          <w:szCs w:val="18"/>
        </w:rPr>
        <w:t xml:space="preserve">Corroboration status: current spot is corroborated within-band across ≥6 sources; individual daily O/H/L for the five-session block does not achieve two-source agreement within the $0.50 gold tolerance and is therefore SINGLE-SOURCE INDICATIVE (see §6, §19).</w:t>
      </w:r>
    </w:p>
    <w:p>
      <w:pPr>
        <w:pStyle w:val="Heading1"/>
        <w:spacing w:after="120" w:before="260"/>
      </w:pPr>
      <w:r>
        <w:rPr>
          <w:b/>
          <w:bCs/>
          <w:color w:val="1F3A5F"/>
          <w:sz w:val="26"/>
          <w:szCs w:val="26"/>
        </w:rPr>
        <w:t xml:space="preserve">§5  Consensus Build Explanation</w:t>
      </w:r>
    </w:p>
    <w:p>
      <w:pPr>
        <w:spacing w:after="120" w:line="276"/>
      </w:pPr>
      <w:r>
        <w:rPr>
          <w:sz w:val="20"/>
          <w:szCs w:val="20"/>
        </w:rPr>
        <w:t xml:space="preserve">All observations were normalized to USD/oz spot, loco London. Provider types were separated — interbank spot (Investing.com, TradingView, FXStreet, USAGold), CFD/OTC benchmarks (TradingEconomics, Vantage), and futures-linked reads — and were not blended. A weighted-median method down-weighted CFD and single-broker quotes and preserved the more liquid interbank spot reads. The Fed-day whipsaw (a pop toward $4,100 then a fade back under $4,070) widened intraday dispersion; the median of the post-settlement spot cluster is ~$4,066. Excluded: retail FX-broker spreads and any quote that could not be pinned to a spot basis. The final number is the most defensible because it sits at the centre of the liquid interbank cluster and is bracketed on both sides by CFD prints.</w:t>
      </w:r>
    </w:p>
    <w:p>
      <w:pPr>
        <w:pStyle w:val="Heading1"/>
        <w:spacing w:after="120" w:before="260"/>
      </w:pPr>
      <w:r>
        <w:rPr>
          <w:b/>
          <w:bCs/>
          <w:color w:val="1F3A5F"/>
          <w:sz w:val="26"/>
          <w:szCs w:val="26"/>
        </w:rPr>
        <w:t xml:space="preserve">§6  Validated OHLC + RSI2 Table (5-Session)</w:t>
      </w:r>
    </w:p>
    <w:p>
      <w:pPr>
        <w:spacing w:after="80" w:line="276"/>
      </w:pPr>
      <w:r>
        <w:rPr>
          <w:b/>
          <w:bCs/>
          <w:sz w:val="20"/>
          <w:szCs w:val="20"/>
        </w:rPr>
        <w:t xml:space="preserve">Primary asset — Gold (XAU/USD spot). </w:t>
      </w:r>
      <w:r>
        <w:rPr>
          <w:i/>
          <w:iCs/>
          <w:sz w:val="18"/>
          <w:szCs w:val="18"/>
        </w:rPr>
        <w:t xml:space="preserve">Recent-session O/H/L/C are indicative (single-source) per the corroboration note; RSI2 is period-2 on the validated close sequence.</w:t>
      </w:r>
    </w:p>
    <w:tbl>
      <w:tblPr>
        <w:tblW w:type="dxa" w:w="936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DDDDDD" w:sz="1"/>
          <w:insideV w:val="single" w:color="DDDDDD" w:sz="1"/>
        </w:tblBorders>
      </w:tblPr>
      <w:tblGrid>
        <w:gridCol w:w="900"/>
        <w:gridCol w:w="900"/>
        <w:gridCol w:w="900"/>
        <w:gridCol w:w="900"/>
        <w:gridCol w:w="900"/>
        <w:gridCol w:w="760"/>
        <w:gridCol w:w="1060"/>
        <w:gridCol w:w="1180"/>
        <w:gridCol w:w="1860"/>
      </w:tblGrid>
      <w:tr>
        <w:trPr>
          <w:tblHeader/>
        </w:trPr>
        <w:tc>
          <w:tcPr>
            <w:tcW w:type="dxa" w:w="9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9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Close</w:t>
            </w:r>
          </w:p>
        </w:tc>
        <w:tc>
          <w:tcPr>
            <w:tcW w:type="dxa" w:w="76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RSI2</w:t>
            </w:r>
          </w:p>
        </w:tc>
        <w:tc>
          <w:tcPr>
            <w:tcW w:type="dxa" w:w="106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118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Src A / B</w:t>
            </w:r>
          </w:p>
        </w:tc>
        <w:tc>
          <w:tcPr>
            <w:tcW w:type="dxa" w:w="186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24 Jul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4158.00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4160.50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3998.00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4006.00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1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B4232A"/>
                <w:sz w:val="17"/>
                <w:szCs w:val="17"/>
              </w:rPr>
              <w:t xml:space="preserve">Bearish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Inv / TE</w:t>
            </w:r>
          </w:p>
        </w:tc>
        <w:tc>
          <w:tcPr>
            <w:tcW w:type="dxa" w:w="18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SINGLE-SRC (indic.)</w:t>
            </w:r>
          </w:p>
        </w:tc>
      </w:tr>
      <w:tr>
        <w:tc>
          <w:tcPr>
            <w:tcW w:type="dxa" w:w="9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27 Jul</w:t>
            </w:r>
          </w:p>
        </w:tc>
        <w:tc>
          <w:tcPr>
            <w:tcW w:type="dxa" w:w="9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4006.00</w:t>
            </w:r>
          </w:p>
        </w:tc>
        <w:tc>
          <w:tcPr>
            <w:tcW w:type="dxa" w:w="9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4108.00</w:t>
            </w:r>
          </w:p>
        </w:tc>
        <w:tc>
          <w:tcPr>
            <w:tcW w:type="dxa" w:w="9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4002.00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4092.00</w:t>
            </w:r>
          </w:p>
        </w:tc>
        <w:tc>
          <w:tcPr>
            <w:tcW w:type="dxa" w:w="7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1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1A7A4C"/>
                <w:sz w:val="17"/>
                <w:szCs w:val="17"/>
              </w:rPr>
              <w:t xml:space="preserve">Bullish</w:t>
            </w:r>
          </w:p>
        </w:tc>
        <w:tc>
          <w:tcPr>
            <w:tcW w:type="dxa" w:w="118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Inv / Vantage</w:t>
            </w:r>
          </w:p>
        </w:tc>
        <w:tc>
          <w:tcPr>
            <w:tcW w:type="dxa" w:w="18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SINGLE-SRC (indic.)</w:t>
            </w:r>
          </w:p>
        </w:tc>
      </w:tr>
      <w:tr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28 Jul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4092.00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4095.00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3996.00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4009.00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50.9</w:t>
            </w:r>
          </w:p>
        </w:tc>
        <w:tc>
          <w:tcPr>
            <w:tcW w:type="dxa" w:w="1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B4232A"/>
                <w:sz w:val="17"/>
                <w:szCs w:val="17"/>
              </w:rPr>
              <w:t xml:space="preserve">Bearish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Inv / TE</w:t>
            </w:r>
          </w:p>
        </w:tc>
        <w:tc>
          <w:tcPr>
            <w:tcW w:type="dxa" w:w="18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SINGLE-SRC (indic.)</w:t>
            </w:r>
          </w:p>
        </w:tc>
      </w:tr>
      <w:tr>
        <w:tc>
          <w:tcPr>
            <w:tcW w:type="dxa" w:w="9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29 Jul</w:t>
            </w:r>
          </w:p>
        </w:tc>
        <w:tc>
          <w:tcPr>
            <w:tcW w:type="dxa" w:w="9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4009.00</w:t>
            </w:r>
          </w:p>
        </w:tc>
        <w:tc>
          <w:tcPr>
            <w:tcW w:type="dxa" w:w="9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4066.00</w:t>
            </w:r>
          </w:p>
        </w:tc>
        <w:tc>
          <w:tcPr>
            <w:tcW w:type="dxa" w:w="9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4001.30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4052.96</w:t>
            </w:r>
          </w:p>
        </w:tc>
        <w:tc>
          <w:tcPr>
            <w:tcW w:type="dxa" w:w="7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34.6</w:t>
            </w:r>
          </w:p>
        </w:tc>
        <w:tc>
          <w:tcPr>
            <w:tcW w:type="dxa" w:w="1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666666"/>
                <w:sz w:val="17"/>
                <w:szCs w:val="17"/>
              </w:rPr>
              <w:t xml:space="preserve">Neutral</w:t>
            </w:r>
          </w:p>
        </w:tc>
        <w:tc>
          <w:tcPr>
            <w:tcW w:type="dxa" w:w="118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Inv / TV</w:t>
            </w:r>
          </w:p>
        </w:tc>
        <w:tc>
          <w:tcPr>
            <w:tcW w:type="dxa" w:w="18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SINGLE-SRC (indic.)</w:t>
            </w:r>
          </w:p>
        </w:tc>
      </w:tr>
      <w:tr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30 Jul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4052.96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4120.16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4022.23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4066.38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100.0</w:t>
            </w:r>
          </w:p>
        </w:tc>
        <w:tc>
          <w:tcPr>
            <w:tcW w:type="dxa" w:w="1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1A7A4C"/>
                <w:sz w:val="17"/>
                <w:szCs w:val="17"/>
              </w:rPr>
              <w:t xml:space="preserve">Bullish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Inv / TE</w:t>
            </w:r>
          </w:p>
        </w:tc>
        <w:tc>
          <w:tcPr>
            <w:tcW w:type="dxa" w:w="18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Δ range corrob.; O/H/L indic.</w:t>
            </w:r>
          </w:p>
        </w:tc>
      </w:tr>
    </w:tbl>
    <w:p>
      <w:pPr>
        <w:shd w:fill="FBF6E8" w:color="auto" w:val="clear"/>
        <w:spacing w:after="120" w:before="60"/>
      </w:pPr>
      <w:r>
        <w:rPr>
          <w:i/>
          <w:iCs/>
          <w:color w:val="5A4A15"/>
          <w:sz w:val="18"/>
          <w:szCs w:val="18"/>
        </w:rPr>
        <w:t xml:space="preserve">RSI2 fixed at period 2. 30 Jul RSI2 pins at 100 because both prior-session deltas were up into the print — an overbought spike within an otherwise overlapping range, not a trend signal.</w:t>
      </w:r>
    </w:p>
    <w:p>
      <w:pPr>
        <w:pStyle w:val="Heading2"/>
        <w:spacing w:after="90" w:before="180"/>
      </w:pPr>
      <w:r>
        <w:rPr>
          <w:b/>
          <w:bCs/>
          <w:color w:val="1F3A5F"/>
          <w:sz w:val="23"/>
          <w:szCs w:val="23"/>
        </w:rPr>
        <w:t xml:space="preserve">Secondary asset — Silver (XAG/USD spot)</w:t>
      </w:r>
    </w:p>
    <w:tbl>
      <w:tblPr>
        <w:tblW w:type="dxa" w:w="936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DDDDDD" w:sz="1"/>
          <w:insideV w:val="single" w:color="DDDDDD" w:sz="1"/>
        </w:tblBorders>
      </w:tblPr>
      <w:tblGrid>
        <w:gridCol w:w="1400"/>
        <w:gridCol w:w="1500"/>
        <w:gridCol w:w="1500"/>
        <w:gridCol w:w="1500"/>
        <w:gridCol w:w="1500"/>
        <w:gridCol w:w="1960"/>
      </w:tblGrid>
      <w:tr>
        <w:trPr>
          <w:tblHeader/>
        </w:trPr>
        <w:tc>
          <w:tcPr>
            <w:tcW w:type="dxa" w:w="14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5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15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Close</w:t>
            </w:r>
          </w:p>
        </w:tc>
        <w:tc>
          <w:tcPr>
            <w:tcW w:type="dxa" w:w="196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28 Jul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57.10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57.90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56.70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57.20</w:t>
            </w:r>
          </w:p>
        </w:tc>
        <w:tc>
          <w:tcPr>
            <w:tcW w:type="dxa" w:w="1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Indicative</w:t>
            </w:r>
          </w:p>
        </w:tc>
      </w:tr>
      <w:tr>
        <w:tc>
          <w:tcPr>
            <w:tcW w:type="dxa" w:w="14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29 Jul</w:t>
            </w:r>
          </w:p>
        </w:tc>
        <w:tc>
          <w:tcPr>
            <w:tcW w:type="dxa" w:w="15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57.20</w:t>
            </w:r>
          </w:p>
        </w:tc>
        <w:tc>
          <w:tcPr>
            <w:tcW w:type="dxa" w:w="15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57.95</w:t>
            </w:r>
          </w:p>
        </w:tc>
        <w:tc>
          <w:tcPr>
            <w:tcW w:type="dxa" w:w="15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56.90</w:t>
            </w:r>
          </w:p>
        </w:tc>
        <w:tc>
          <w:tcPr>
            <w:tcW w:type="dxa" w:w="15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57.61</w:t>
            </w:r>
          </w:p>
        </w:tc>
        <w:tc>
          <w:tcPr>
            <w:tcW w:type="dxa" w:w="19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Indicative; gold-silver ratio ~70.2</w:t>
            </w:r>
          </w:p>
        </w:tc>
      </w:tr>
      <w:tr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30 Jul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57.61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59.20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57.50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59.00</w:t>
            </w:r>
          </w:p>
        </w:tc>
        <w:tc>
          <w:tcPr>
            <w:tcW w:type="dxa" w:w="1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+2.4%; ratio widened to ~70.4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F3A5F"/>
          <w:sz w:val="26"/>
          <w:szCs w:val="26"/>
        </w:rPr>
        <w:t xml:space="preserve">§7  Charts</w:t>
      </w:r>
    </w:p>
    <w:p>
      <w:pPr>
        <w:spacing w:after="40" w:line="276"/>
      </w:pPr>
      <w:r>
        <w:rPr>
          <w:b/>
          <w:bCs/>
          <w:color w:val="1F3A5F"/>
          <w:sz w:val="20"/>
          <w:szCs w:val="20"/>
        </w:rPr>
        <w:t xml:space="preserve">Chart 1 — 5-Session Candlestick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line="276"/>
      </w:pPr>
      <w:r>
        <w:rPr>
          <w:b/>
          <w:bCs/>
          <w:color w:val="1F3A5F"/>
          <w:sz w:val="20"/>
          <w:szCs w:val="20"/>
        </w:rPr>
        <w:t xml:space="preserve">Chart 2 — Distance from Session Open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 w:line="276"/>
      </w:pPr>
      <w:r>
        <w:rPr>
          <w:b/>
          <w:bCs/>
          <w:color w:val="1F3A5F"/>
          <w:sz w:val="20"/>
          <w:szCs w:val="20"/>
        </w:rPr>
        <w:t xml:space="preserve">Chart 3 — 25-Session Structure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line="276"/>
      </w:pPr>
      <w:r>
        <w:rPr>
          <w:b/>
          <w:bCs/>
          <w:color w:val="1F3A5F"/>
          <w:sz w:val="20"/>
          <w:szCs w:val="20"/>
        </w:rPr>
        <w:t xml:space="preserve">Chart 4 — Comparative Volatility (Gold vs Counters)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 w:line="276"/>
      </w:pPr>
      <w:r>
        <w:rPr>
          <w:b/>
          <w:bCs/>
          <w:color w:val="1F3A5F"/>
          <w:sz w:val="20"/>
          <w:szCs w:val="20"/>
        </w:rPr>
        <w:t xml:space="preserve">Chart 5 — Weekly Candles with Daily Floor-Pivot Levels</w:t>
      </w:r>
    </w:p>
    <w:p>
      <w:pPr>
        <w:spacing w:after="80" w:before="80"/>
        <w:jc w:val="center"/>
      </w:pPr>
      <w:r>
        <w:drawing>
          <wp:inline distT="0" distB="0" distL="0" distR="0">
            <wp:extent cx="5124450" cy="3705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60"/>
      </w:pPr>
      <w:r>
        <w:rPr>
          <w:b/>
          <w:bCs/>
          <w:color w:val="1F3A5F"/>
          <w:sz w:val="26"/>
          <w:szCs w:val="26"/>
        </w:rPr>
        <w:t xml:space="preserve">§8  Short-Term Technical Analysis</w:t>
      </w:r>
    </w:p>
    <w:p>
      <w:pPr>
        <w:spacing w:after="120" w:line="276"/>
      </w:pPr>
      <w:r>
        <w:rPr>
          <w:sz w:val="20"/>
          <w:szCs w:val="20"/>
        </w:rPr>
        <w:t xml:space="preserve">Session-by-session (see §6):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sz w:val="20"/>
          <w:szCs w:val="20"/>
        </w:rPr>
        <w:t xml:space="preserve">24 Jul — </w:t>
      </w:r>
      <w:r>
        <w:rPr>
          <w:sz w:val="20"/>
          <w:szCs w:val="20"/>
        </w:rPr>
        <w:t xml:space="preserve">Large bearish body; price collapsed ~$160 from a $4,160 cycle high to close near $4,006, closing at ~5% of range (deep at the low). Distribution / supply dominance.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sz w:val="20"/>
          <w:szCs w:val="20"/>
        </w:rPr>
        <w:t xml:space="preserve">27 Jul — </w:t>
      </w:r>
      <w:r>
        <w:rPr>
          <w:sz w:val="20"/>
          <w:szCs w:val="20"/>
        </w:rPr>
        <w:t xml:space="preserve">Strong bullish reversal candle; close at ~85% of range, recovering into the low $4,100s. Demand response off $4,000.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sz w:val="20"/>
          <w:szCs w:val="20"/>
        </w:rPr>
        <w:t xml:space="preserve">28 Jul — </w:t>
      </w:r>
      <w:r>
        <w:rPr>
          <w:sz w:val="20"/>
          <w:szCs w:val="20"/>
        </w:rPr>
        <w:t xml:space="preserve">Bearish rejection; close ~13% of range back near $4,009, RSI2 ≈ 51. The recovery failed — overlap builds.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sz w:val="20"/>
          <w:szCs w:val="20"/>
        </w:rPr>
        <w:t xml:space="preserve">29 Jul — </w:t>
      </w:r>
      <w:r>
        <w:rPr>
          <w:sz w:val="20"/>
          <w:szCs w:val="20"/>
        </w:rPr>
        <w:t xml:space="preserve">Inside-ish consolidation into the Fed; close ~80% of range at $4,053, RSI2 ≈ 35 — a low-momentum hold.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sz w:val="20"/>
          <w:szCs w:val="20"/>
        </w:rPr>
        <w:t xml:space="preserve">30 Jul — </w:t>
      </w:r>
      <w:r>
        <w:rPr>
          <w:sz w:val="20"/>
          <w:szCs w:val="20"/>
        </w:rPr>
        <w:t xml:space="preserve">Fed-relief pop to $4,120 then a fade to $4,066 (close ~45% of range). Bullish body but a rejected high; RSI2 spikes to 100 (overbought within range).</w:t>
      </w:r>
    </w:p>
    <w:p>
      <w:pPr>
        <w:spacing w:after="60" w:line="276"/>
      </w:pPr>
      <w:r>
        <w:rPr>
          <w:b/>
          <w:bCs/>
          <w:sz w:val="20"/>
          <w:szCs w:val="20"/>
        </w:rPr>
        <w:t xml:space="preserve">Sequence assessment: </w:t>
      </w:r>
      <w:r>
        <w:rPr>
          <w:sz w:val="20"/>
          <w:szCs w:val="20"/>
        </w:rPr>
        <w:t xml:space="preserve">Indecision / compression — five sessions with heavy overlap, alternating direction, and no persistence. Nearest support $3,996–$4,000 (5-day swing low); nearest resistance $4,120 (5-day swing high), then the $4,160 weekly high.</w:t>
      </w:r>
    </w:p>
    <w:p>
      <w:pPr>
        <w:spacing w:after="120" w:line="276"/>
      </w:pPr>
      <w:r>
        <w:rPr>
          <w:b/>
          <w:bCs/>
          <w:sz w:val="20"/>
          <w:szCs w:val="20"/>
        </w:rPr>
        <w:t xml:space="preserve">Judgement label: </w:t>
      </w:r>
      <w:r>
        <w:rPr>
          <w:b/>
          <w:bCs/>
          <w:color w:val="1F3A5F"/>
          <w:sz w:val="20"/>
          <w:szCs w:val="20"/>
        </w:rPr>
        <w:t xml:space="preserve">Indecision. </w:t>
      </w:r>
      <w:r>
        <w:rPr>
          <w:sz w:val="20"/>
          <w:szCs w:val="20"/>
        </w:rPr>
        <w:t xml:space="preserve">Consistent with the §9 transition regime (no conflict).</w:t>
      </w:r>
    </w:p>
    <w:p>
      <w:pPr>
        <w:pStyle w:val="Heading1"/>
        <w:spacing w:after="120" w:before="260"/>
      </w:pPr>
      <w:r>
        <w:rPr>
          <w:b/>
          <w:bCs/>
          <w:color w:val="1F3A5F"/>
          <w:sz w:val="26"/>
          <w:szCs w:val="26"/>
        </w:rPr>
        <w:t xml:space="preserve">§9  Medium-Term Regime &amp; VOLator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sz w:val="20"/>
          <w:szCs w:val="20"/>
        </w:rPr>
        <w:t xml:space="preserve">Regime: </w:t>
      </w:r>
      <w:r>
        <w:rPr>
          <w:sz w:val="20"/>
          <w:szCs w:val="20"/>
        </w:rPr>
        <w:t xml:space="preserve">Transitional (bearish-leaning). The 25-session structure fell from the June $4,383 high toward $4,066 — a clear down-leg — but has decelerated and based around $4,000 for two weeks. Overlap ratio high; directional persistence low; range-position bias neutral-to-lower.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sz w:val="20"/>
          <w:szCs w:val="20"/>
        </w:rPr>
        <w:t xml:space="preserve">Bias: </w:t>
      </w:r>
      <w:r>
        <w:rPr>
          <w:sz w:val="20"/>
          <w:szCs w:val="20"/>
        </w:rPr>
        <w:t xml:space="preserve">Neutral-to-bearish.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sz w:val="20"/>
          <w:szCs w:val="20"/>
        </w:rPr>
        <w:t xml:space="preserve">VOLator: </w:t>
      </w:r>
      <w:r>
        <w:rPr>
          <w:sz w:val="20"/>
          <w:szCs w:val="20"/>
        </w:rPr>
        <w:t xml:space="preserve">Gold scaled volatility is positive but rolling over (post-Fed compression, slope ≤ 0). USDX volatility below midpoint and easing; S&amp;P 500 and DAX volatility rising modestly (risk-on).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sz w:val="20"/>
          <w:szCs w:val="20"/>
        </w:rPr>
        <w:t xml:space="preserve">Kaufman confirmation: </w:t>
      </w:r>
      <w:r>
        <w:rPr>
          <w:sz w:val="20"/>
          <w:szCs w:val="20"/>
        </w:rPr>
        <w:t xml:space="preserve">|KER| ≈ 0.10 &lt; 0.13 → ranging / low efficiency. Agrees with the transition read (choppy, inefficient tape). KER takes precedence in confirming that no clean trend is present.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sz w:val="20"/>
          <w:szCs w:val="20"/>
        </w:rPr>
        <w:t xml:space="preserve">Preferred protocol: </w:t>
      </w:r>
      <w:r>
        <w:rPr>
          <w:sz w:val="20"/>
          <w:szCs w:val="20"/>
        </w:rPr>
        <w:t xml:space="preserve">Reduced-conviction / breakout-await. Combining §8 indecision with a transitional regime argues for fading extremes into confirmation or trading the next confirmed break, not chasing direction.</w:t>
      </w:r>
    </w:p>
    <w:p>
      <w:pPr>
        <w:pStyle w:val="Heading1"/>
        <w:spacing w:after="120" w:before="260"/>
      </w:pPr>
      <w:r>
        <w:rPr>
          <w:b/>
          <w:bCs/>
          <w:color w:val="1F3A5F"/>
          <w:sz w:val="26"/>
          <w:szCs w:val="26"/>
        </w:rPr>
        <w:t xml:space="preserve">§10  Cross-Asset Analysis</w:t>
      </w:r>
    </w:p>
    <w:tbl>
      <w:tblPr>
        <w:tblW w:type="dxa" w:w="936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DDDDDD" w:sz="1"/>
          <w:insideV w:val="single" w:color="DDDDDD" w:sz="1"/>
        </w:tblBorders>
      </w:tblPr>
      <w:tblGrid>
        <w:gridCol w:w="1500"/>
        <w:gridCol w:w="900"/>
        <w:gridCol w:w="3260"/>
        <w:gridCol w:w="1200"/>
        <w:gridCol w:w="2500"/>
      </w:tblGrid>
      <w:tr>
        <w:trPr>
          <w:tblHeader/>
        </w:trPr>
        <w:tc>
          <w:tcPr>
            <w:tcW w:type="dxa" w:w="15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Counter</w:t>
            </w:r>
          </w:p>
        </w:tc>
        <w:tc>
          <w:tcPr>
            <w:tcW w:type="dxa" w:w="9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5-day</w:t>
            </w:r>
          </w:p>
        </w:tc>
        <w:tc>
          <w:tcPr>
            <w:tcW w:type="dxa" w:w="326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12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5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Implication for gold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USDX (Dollar Index)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Falling</w:t>
            </w:r>
          </w:p>
        </w:tc>
        <w:tc>
          <w:tcPr>
            <w:tcW w:type="dxa" w:w="3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Weaker dollar lowers the USD price of gold and eases the opportunity cost of holding it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Contradicts (vs bearish regime)</w:t>
            </w:r>
          </w:p>
        </w:tc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Supportive — the softer dollar is the main floor under $4,000</w:t>
            </w:r>
          </w:p>
        </w:tc>
      </w:tr>
      <w:tr>
        <w:tc>
          <w:tcPr>
            <w:tcW w:type="dxa" w:w="15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S&amp;P 500</w:t>
            </w:r>
          </w:p>
        </w:tc>
        <w:tc>
          <w:tcPr>
            <w:tcW w:type="dxa" w:w="9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Rising</w:t>
            </w:r>
          </w:p>
        </w:tc>
        <w:tc>
          <w:tcPr>
            <w:tcW w:type="dxa" w:w="32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Risk-on flows compete with gold for capital via the real-yield / risk-appetite channel</w:t>
            </w:r>
          </w:p>
        </w:tc>
        <w:tc>
          <w:tcPr>
            <w:tcW w:type="dxa" w:w="12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Confirms (bearish)</w:t>
            </w:r>
          </w:p>
        </w:tc>
        <w:tc>
          <w:tcPr>
            <w:tcW w:type="dxa" w:w="25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Mild headwind — risk-on caps safe-haven demand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DAX 40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Rising</w:t>
            </w:r>
          </w:p>
        </w:tc>
        <w:tc>
          <w:tcPr>
            <w:tcW w:type="dxa" w:w="3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European risk-on cross-validates the US equity read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Confirms (bearish)</w:t>
            </w:r>
          </w:p>
        </w:tc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Mild headwind — corroborates risk-on</w:t>
            </w:r>
          </w:p>
        </w:tc>
      </w:tr>
      <w:tr>
        <w:tc>
          <w:tcPr>
            <w:tcW w:type="dxa" w:w="15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Silver (XAG)</w:t>
            </w:r>
          </w:p>
        </w:tc>
        <w:tc>
          <w:tcPr>
            <w:tcW w:type="dxa" w:w="9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Rising</w:t>
            </w:r>
          </w:p>
        </w:tc>
        <w:tc>
          <w:tcPr>
            <w:tcW w:type="dxa" w:w="32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Precious-metals beta; silver outperforming (+2.4%) signals sector bid</w:t>
            </w:r>
          </w:p>
        </w:tc>
        <w:tc>
          <w:tcPr>
            <w:tcW w:type="dxa" w:w="12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Contradicts (vs bearish)</w:t>
            </w:r>
          </w:p>
        </w:tc>
        <w:tc>
          <w:tcPr>
            <w:tcW w:type="dxa" w:w="25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Supportive — sector demand, ratio ~70</w:t>
            </w:r>
          </w:p>
        </w:tc>
      </w:tr>
    </w:tbl>
    <w:p>
      <w:pPr>
        <w:spacing w:after="120" w:line="276"/>
      </w:pPr>
      <w:r>
        <w:rPr>
          <w:b/>
          <w:bCs/>
          <w:sz w:val="20"/>
          <w:szCs w:val="20"/>
        </w:rPr>
        <w:t xml:space="preserve">Aggregate: </w:t>
      </w:r>
      <w:r>
        <w:rPr>
          <w:b/>
          <w:bCs/>
          <w:color w:val="8A6D1B"/>
          <w:sz w:val="20"/>
          <w:szCs w:val="20"/>
        </w:rPr>
        <w:t xml:space="preserve">MIXED. </w:t>
      </w:r>
      <w:r>
        <w:rPr>
          <w:sz w:val="20"/>
          <w:szCs w:val="20"/>
        </w:rPr>
        <w:t xml:space="preserve">USDX and silver contradict the bearish regime while equities confirm it — the classic tug-of-war between a softer dollar / safe-haven bid and higher-for-longer rate fears. The contradiction is not resolved silently; it feeds §15 and §16.</w:t>
      </w:r>
    </w:p>
    <w:p>
      <w:pPr>
        <w:pStyle w:val="Heading1"/>
        <w:spacing w:after="120" w:before="260"/>
      </w:pPr>
      <w:r>
        <w:rPr>
          <w:b/>
          <w:bCs/>
          <w:color w:val="1F3A5F"/>
          <w:sz w:val="26"/>
          <w:szCs w:val="26"/>
        </w:rPr>
        <w:t xml:space="preserve">§11  Floor Pivot Analysis</w:t>
      </w:r>
    </w:p>
    <w:p>
      <w:pPr>
        <w:spacing w:after="60" w:line="276"/>
      </w:pPr>
      <w:r>
        <w:rPr>
          <w:b/>
          <w:bCs/>
          <w:sz w:val="20"/>
          <w:szCs w:val="20"/>
        </w:rPr>
        <w:t xml:space="preserve">Daily (from 30 Jul H/L/C) — </w:t>
      </w:r>
      <w:r>
        <w:rPr>
          <w:i/>
          <w:iCs/>
          <w:sz w:val="18"/>
          <w:szCs w:val="18"/>
        </w:rPr>
        <w:t xml:space="preserve">source status: SINGLE-SOURCE INDICATIVE (prior-day H/L/C not two-source corroborated).</w:t>
      </w:r>
    </w:p>
    <w:tbl>
      <w:tblPr>
        <w:tblW w:type="dxa" w:w="936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DDDDDD" w:sz="1"/>
          <w:insideV w:val="single" w:color="DDDDDD" w:sz="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Daily</w:t>
            </w:r>
          </w:p>
        </w:tc>
        <w:tc>
          <w:tcPr>
            <w:tcW w:type="dxa" w:w="156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56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Weekly</w:t>
            </w:r>
          </w:p>
        </w:tc>
        <w:tc>
          <w:tcPr>
            <w:tcW w:type="dxa" w:w="156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56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Monthly</w:t>
            </w:r>
          </w:p>
        </w:tc>
        <w:tc>
          <w:tcPr>
            <w:tcW w:type="dxa" w:w="156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</w:tr>
      <w:tr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R5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4316.02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R3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4274.17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R3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4718.10</w:t>
            </w:r>
          </w:p>
        </w:tc>
      </w:tr>
      <w:tr>
        <w:tc>
          <w:tcPr>
            <w:tcW w:type="dxa" w:w="15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R4</w:t>
            </w:r>
          </w:p>
        </w:tc>
        <w:tc>
          <w:tcPr>
            <w:tcW w:type="dxa" w:w="15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4265.45</w:t>
            </w:r>
          </w:p>
        </w:tc>
        <w:tc>
          <w:tcPr>
            <w:tcW w:type="dxa" w:w="15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R2</w:t>
            </w:r>
          </w:p>
        </w:tc>
        <w:tc>
          <w:tcPr>
            <w:tcW w:type="dxa" w:w="15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4217.33</w:t>
            </w:r>
          </w:p>
        </w:tc>
        <w:tc>
          <w:tcPr>
            <w:tcW w:type="dxa" w:w="15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R2</w:t>
            </w:r>
          </w:p>
        </w:tc>
        <w:tc>
          <w:tcPr>
            <w:tcW w:type="dxa" w:w="15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4550.47</w:t>
            </w:r>
          </w:p>
        </w:tc>
      </w:tr>
      <w:tr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R3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4214.88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R1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4111.67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R1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4279.48</w:t>
            </w:r>
          </w:p>
        </w:tc>
      </w:tr>
      <w:tr>
        <w:tc>
          <w:tcPr>
            <w:tcW w:type="dxa" w:w="15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R2</w:t>
            </w:r>
          </w:p>
        </w:tc>
        <w:tc>
          <w:tcPr>
            <w:tcW w:type="dxa" w:w="15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4167.52</w:t>
            </w:r>
          </w:p>
        </w:tc>
        <w:tc>
          <w:tcPr>
            <w:tcW w:type="dxa" w:w="15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P</w:t>
            </w:r>
          </w:p>
        </w:tc>
        <w:tc>
          <w:tcPr>
            <w:tcW w:type="dxa" w:w="15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4054.83</w:t>
            </w:r>
          </w:p>
        </w:tc>
        <w:tc>
          <w:tcPr>
            <w:tcW w:type="dxa" w:w="15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P</w:t>
            </w:r>
          </w:p>
        </w:tc>
        <w:tc>
          <w:tcPr>
            <w:tcW w:type="dxa" w:w="15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4111.85</w:t>
            </w:r>
          </w:p>
        </w:tc>
      </w:tr>
      <w:tr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R1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4116.95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3949.17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3840.86</w:t>
            </w:r>
          </w:p>
        </w:tc>
      </w:tr>
      <w:tr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P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4069.59</w:t>
            </w:r>
          </w:p>
        </w:tc>
        <w:tc>
          <w:tcPr>
            <w:tcW w:type="dxa" w:w="15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15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3892.33</w:t>
            </w:r>
          </w:p>
        </w:tc>
        <w:tc>
          <w:tcPr>
            <w:tcW w:type="dxa" w:w="15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15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3673.23</w:t>
            </w:r>
          </w:p>
        </w:tc>
      </w:tr>
      <w:tr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4019.02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3786.67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3402.24</w:t>
            </w:r>
          </w:p>
        </w:tc>
      </w:tr>
      <w:tr>
        <w:tc>
          <w:tcPr>
            <w:tcW w:type="dxa" w:w="15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15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3971.66</w:t>
            </w:r>
          </w:p>
        </w:tc>
        <w:tc>
          <w:tcPr>
            <w:tcW w:type="dxa" w:w="15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3921.09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15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3873.73</w:t>
            </w:r>
          </w:p>
        </w:tc>
        <w:tc>
          <w:tcPr>
            <w:tcW w:type="dxa" w:w="15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3826.37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line="276"/>
      </w:pPr>
      <w:r>
        <w:rPr>
          <w:b/>
          <w:bCs/>
          <w:sz w:val="20"/>
          <w:szCs w:val="20"/>
        </w:rPr>
        <w:t xml:space="preserve">Position narrative: </w:t>
      </w:r>
      <w:r>
        <w:rPr>
          <w:sz w:val="20"/>
          <w:szCs w:val="20"/>
        </w:rPr>
        <w:t xml:space="preserve">The 30 Jul close ($4,066.38) sits fractionally below daily P ($4,069.59) and essentially at weekly P ($4,054.83) and monthly P ($4,111.85 above). This is a textbook pivot-cluster balance point: daily-P, weekly-P and the $4,066 close all fall within ~$15, a confluence zone. First resistance is daily R1 $4,116.95 (≈ weekly R1 $4,111.67 — strong confluence); first support is daily S1 $4,019.02 into the psychological $4,000 / 5-day swing low.</w:t>
      </w:r>
    </w:p>
    <w:p>
      <w:pPr>
        <w:pStyle w:val="Heading1"/>
        <w:spacing w:after="120" w:before="260"/>
      </w:pPr>
      <w:r>
        <w:rPr>
          <w:b/>
          <w:bCs/>
          <w:color w:val="1F3A5F"/>
          <w:sz w:val="26"/>
          <w:szCs w:val="26"/>
        </w:rPr>
        <w:t xml:space="preserve">§12  Key Market Considerations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color w:val="1A7A4C"/>
          <w:sz w:val="20"/>
          <w:szCs w:val="20"/>
        </w:rPr>
        <w:t xml:space="preserve">Demand — price-supportive (structural). </w:t>
      </w:r>
      <w:r>
        <w:rPr>
          <w:sz w:val="20"/>
          <w:szCs w:val="20"/>
        </w:rPr>
        <w:t xml:space="preserve">Central banks bought a net 244 t in Q1 2026 (World Gold Council); 89% of reserve managers expect further additions. This is the slow-moving bid explaining the repeated $4,000 floor.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sz w:val="20"/>
          <w:szCs w:val="20"/>
        </w:rPr>
        <w:t xml:space="preserve">Supply — neutral. </w:t>
      </w:r>
      <w:r>
        <w:rPr>
          <w:sz w:val="20"/>
          <w:szCs w:val="20"/>
        </w:rPr>
        <w:t xml:space="preserve">Mine supply stable; high prices continue to erode jewellery demand in India and China (cyclical offset).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color w:val="B4232A"/>
          <w:sz w:val="20"/>
          <w:szCs w:val="20"/>
        </w:rPr>
        <w:t xml:space="preserve">Policy / rates — price-negative (cyclical). </w:t>
      </w:r>
      <w:r>
        <w:rPr>
          <w:sz w:val="20"/>
          <w:szCs w:val="20"/>
        </w:rPr>
        <w:t xml:space="preserve">Fed hold at 3.50–3.75% with three dissents; markets price ~60–67% odds of a September hike. Higher-for-longer real rates raise the opportunity cost of non-yielding gold.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color w:val="1A7A4C"/>
          <w:sz w:val="20"/>
          <w:szCs w:val="20"/>
        </w:rPr>
        <w:t xml:space="preserve">Macro / FX — price-supportive (cyclical). </w:t>
      </w:r>
      <w:r>
        <w:rPr>
          <w:sz w:val="20"/>
          <w:szCs w:val="20"/>
        </w:rPr>
        <w:t xml:space="preserve">USDX near 100.0, down ~0.5% post-Fed (see §10). A softer dollar is the dominant near-term support.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color w:val="1A7A4C"/>
          <w:sz w:val="20"/>
          <w:szCs w:val="20"/>
        </w:rPr>
        <w:t xml:space="preserve">Geopolitics — price-supportive (cyclical). </w:t>
      </w:r>
      <w:r>
        <w:rPr>
          <w:sz w:val="20"/>
          <w:szCs w:val="20"/>
        </w:rPr>
        <w:t xml:space="preserve">Fresh Middle-East escalation (US strikes on IRGC targets; Iranian missile attacks on US forces) is driving a safe-haven premium and lifting oil, an inflation channel that cuts both ways for gold.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sz w:val="20"/>
          <w:szCs w:val="20"/>
        </w:rPr>
        <w:t xml:space="preserve">Substitution / spreads — neutral. </w:t>
      </w:r>
      <w:r>
        <w:rPr>
          <w:sz w:val="20"/>
          <w:szCs w:val="20"/>
        </w:rPr>
        <w:t xml:space="preserve">Gold-silver ratio ~70 with silver outperforming (+2.4% on 30 Jul) — sector bid intact, no rotation stress.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sz w:val="20"/>
          <w:szCs w:val="20"/>
        </w:rPr>
        <w:t xml:space="preserve">Near-term catalysts (see §13d). </w:t>
      </w:r>
      <w:r>
        <w:rPr>
          <w:sz w:val="20"/>
          <w:szCs w:val="20"/>
        </w:rPr>
        <w:t xml:space="preserve">31 Jul Chicago PMI and UMich inflation expectations; then Q2 GDP / core PCE / jobless claims — the data that confirms or unwinds September-hike pricing.</w:t>
      </w:r>
    </w:p>
    <w:p>
      <w:pPr>
        <w:pStyle w:val="Heading1"/>
        <w:spacing w:after="120" w:before="260"/>
      </w:pPr>
      <w:r>
        <w:rPr>
          <w:b/>
          <w:bCs/>
          <w:color w:val="1F3A5F"/>
          <w:sz w:val="26"/>
          <w:szCs w:val="26"/>
        </w:rPr>
        <w:t xml:space="preserve">§13  Sentiment, News &amp; Calendar</w:t>
      </w:r>
    </w:p>
    <w:p>
      <w:pPr>
        <w:pStyle w:val="Heading2"/>
        <w:spacing w:after="90" w:before="180"/>
      </w:pPr>
      <w:r>
        <w:rPr>
          <w:b/>
          <w:bCs/>
          <w:color w:val="1F3A5F"/>
          <w:sz w:val="23"/>
          <w:szCs w:val="23"/>
        </w:rPr>
        <w:t xml:space="preserve">§13a  Per-Article Sentiment</w:t>
      </w:r>
    </w:p>
    <w:tbl>
      <w:tblPr>
        <w:tblW w:type="dxa" w:w="936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DDDDDD" w:sz="1"/>
          <w:insideV w:val="single" w:color="DDDDDD" w:sz="1"/>
        </w:tblBorders>
      </w:tblPr>
      <w:tblGrid>
        <w:gridCol w:w="1500"/>
        <w:gridCol w:w="1150"/>
        <w:gridCol w:w="3600"/>
        <w:gridCol w:w="1450"/>
        <w:gridCol w:w="1660"/>
      </w:tblGrid>
      <w:tr>
        <w:trPr>
          <w:tblHeader/>
        </w:trPr>
        <w:tc>
          <w:tcPr>
            <w:tcW w:type="dxa" w:w="15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 (class)</w:t>
            </w:r>
          </w:p>
        </w:tc>
        <w:tc>
          <w:tcPr>
            <w:tcW w:type="dxa" w:w="115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6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Headline / gist</w:t>
            </w:r>
          </w:p>
        </w:tc>
        <w:tc>
          <w:tcPr>
            <w:tcW w:type="dxa" w:w="145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Sentiment</w:t>
            </w:r>
          </w:p>
        </w:tc>
        <w:tc>
          <w:tcPr>
            <w:tcW w:type="dxa" w:w="166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Derivation quote (≤15w)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FXLeaders (Media)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30 Jul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FOMC holds; XAU/USD climbs toward $4,100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Bullish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"central bank buying offsets higher rates and a stronger US dollar"</w:t>
            </w:r>
          </w:p>
        </w:tc>
      </w:tr>
      <w:tr>
        <w:tc>
          <w:tcPr>
            <w:tcW w:type="dxa" w:w="15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TradingEconomics/wire (Media)</w:t>
            </w:r>
          </w:p>
        </w:tc>
        <w:tc>
          <w:tcPr>
            <w:tcW w:type="dxa" w:w="115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30 Jul</w:t>
            </w:r>
          </w:p>
        </w:tc>
        <w:tc>
          <w:tcPr>
            <w:tcW w:type="dxa" w:w="36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Gold Extends Gains on Softer Dollar</w:t>
            </w:r>
          </w:p>
        </w:tc>
        <w:tc>
          <w:tcPr>
            <w:tcW w:type="dxa" w:w="145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Bullish</w:t>
            </w:r>
          </w:p>
        </w:tc>
        <w:tc>
          <w:tcPr>
            <w:tcW w:type="dxa" w:w="16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"Gold climbed... as a weaker US dollar provided support"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RoboForex (Trade Press)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30 Jul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Another downward wave; testing $4,030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Bearish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"suggests a decline towards the 3,975 USD support level"</w:t>
            </w:r>
          </w:p>
        </w:tc>
      </w:tr>
      <w:tr>
        <w:tc>
          <w:tcPr>
            <w:tcW w:type="dxa" w:w="15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LiteFinance (Media)</w:t>
            </w:r>
          </w:p>
        </w:tc>
        <w:tc>
          <w:tcPr>
            <w:tcW w:type="dxa" w:w="115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30 Jul</w:t>
            </w:r>
          </w:p>
        </w:tc>
        <w:tc>
          <w:tcPr>
            <w:tcW w:type="dxa" w:w="36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Daily/weekly forecast</w:t>
            </w:r>
          </w:p>
        </w:tc>
        <w:tc>
          <w:tcPr>
            <w:tcW w:type="dxa" w:w="145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Bearish</w:t>
            </w:r>
          </w:p>
        </w:tc>
        <w:tc>
          <w:tcPr>
            <w:tcW w:type="dxa" w:w="16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"Analysts maintain a bearish outlook, expecting gold to decline"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OCBC Bank (Institutional)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late Jul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End-2026 gold outlook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Bearish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"expects gold prices to decline through the end of 2026"</w:t>
            </w:r>
          </w:p>
        </w:tc>
      </w:tr>
      <w:tr>
        <w:tc>
          <w:tcPr>
            <w:tcW w:type="dxa" w:w="15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World Gold Council (Institutional)</w:t>
            </w:r>
          </w:p>
        </w:tc>
        <w:tc>
          <w:tcPr>
            <w:tcW w:type="dxa" w:w="115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late Jul</w:t>
            </w:r>
          </w:p>
        </w:tc>
        <w:tc>
          <w:tcPr>
            <w:tcW w:type="dxa" w:w="36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Reserve-manager survey</w:t>
            </w:r>
          </w:p>
        </w:tc>
        <w:tc>
          <w:tcPr>
            <w:tcW w:type="dxa" w:w="145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Bullish</w:t>
            </w:r>
          </w:p>
        </w:tc>
        <w:tc>
          <w:tcPr>
            <w:tcW w:type="dxa" w:w="16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"89% ... believe global official gold holdings will increase"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FXStreet (Trade Press)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early wk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Daily technical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Bearish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"maintaining a bearish near-term bias ... beneath all major SMAs"</w:t>
            </w:r>
          </w:p>
        </w:tc>
      </w:tr>
    </w:tbl>
    <w:p>
      <w:pPr>
        <w:pStyle w:val="Heading2"/>
        <w:spacing w:after="90" w:before="180"/>
      </w:pPr>
      <w:r>
        <w:rPr>
          <w:b/>
          <w:bCs/>
          <w:color w:val="1F3A5F"/>
          <w:sz w:val="23"/>
          <w:szCs w:val="23"/>
        </w:rPr>
        <w:t xml:space="preserve">§13b  Aggregate Sentiment Summary</w:t>
      </w:r>
    </w:p>
    <w:p>
      <w:pPr>
        <w:spacing w:after="120" w:line="276"/>
      </w:pPr>
      <w:r>
        <w:rPr>
          <w:b/>
          <w:bCs/>
          <w:sz w:val="20"/>
          <w:szCs w:val="20"/>
        </w:rPr>
        <w:t xml:space="preserve">Counts: </w:t>
      </w:r>
      <w:r>
        <w:rPr>
          <w:sz w:val="20"/>
          <w:szCs w:val="20"/>
        </w:rPr>
        <w:t xml:space="preserve">3 Bullish (1 institutional, 2 media), 4 Bearish (1 institutional, 1 media, 2 trade press) = </w:t>
      </w:r>
      <w:r>
        <w:rPr>
          <w:b/>
          <w:bCs/>
          <w:sz w:val="20"/>
          <w:szCs w:val="20"/>
        </w:rPr>
        <w:t xml:space="preserve">Mixed / mildly bearish. </w:t>
      </w:r>
      <w:r>
        <w:rPr>
          <w:b/>
          <w:bCs/>
          <w:sz w:val="20"/>
          <w:szCs w:val="20"/>
        </w:rPr>
        <w:t xml:space="preserve">Numeric tilt = </w:t>
      </w:r>
      <w:r>
        <w:rPr>
          <w:b/>
          <w:bCs/>
          <w:color w:val="B4232A"/>
          <w:sz w:val="20"/>
          <w:szCs w:val="20"/>
        </w:rPr>
        <w:t xml:space="preserve">−0.18</w:t>
      </w:r>
      <w:r>
        <w:rPr>
          <w:sz w:val="20"/>
          <w:szCs w:val="20"/>
        </w:rPr>
        <w:t xml:space="preserve"> (source-class-weighted). Reported as: </w:t>
      </w:r>
      <w:r>
        <w:rPr>
          <w:b/>
          <w:bCs/>
          <w:sz w:val="20"/>
          <w:szCs w:val="20"/>
        </w:rPr>
        <w:t xml:space="preserve">Mixed (tilt = −0.18).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sz w:val="20"/>
          <w:szCs w:val="20"/>
        </w:rPr>
        <w:t xml:space="preserve">Divergence flag: </w:t>
      </w:r>
      <w:r>
        <w:rPr>
          <w:sz w:val="20"/>
          <w:szCs w:val="20"/>
        </w:rPr>
        <w:t xml:space="preserve">Sentiment (mildly bearish) broadly agrees with the transitional-bearish regime, but current price action popped higher on the Fed relief and dollar softness — a short-term price/sentiment tension. The regime read (§9) takes precedence: the tilt is mild and the tape is ranging.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sz w:val="20"/>
          <w:szCs w:val="20"/>
        </w:rPr>
        <w:t xml:space="preserve">Confidence: </w:t>
      </w:r>
      <w:r>
        <w:rPr>
          <w:sz w:val="20"/>
          <w:szCs w:val="20"/>
        </w:rPr>
        <w:t xml:space="preserve">Seven articles — not low-confidence — but conviction is modest because institutional voices split (OCBC bearish vs WGC-implied structural bid).</w:t>
      </w:r>
    </w:p>
    <w:p>
      <w:pPr>
        <w:pStyle w:val="Heading2"/>
        <w:spacing w:after="90" w:before="180"/>
      </w:pPr>
      <w:r>
        <w:rPr>
          <w:b/>
          <w:bCs/>
          <w:color w:val="1F3A5F"/>
          <w:sz w:val="23"/>
          <w:szCs w:val="23"/>
        </w:rPr>
        <w:t xml:space="preserve">§13c  News Calendar — Previous 5 Sessions</w:t>
      </w:r>
    </w:p>
    <w:tbl>
      <w:tblPr>
        <w:tblW w:type="dxa" w:w="936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DDDDDD" w:sz="1"/>
          <w:insideV w:val="single" w:color="DDDDDD" w:sz="1"/>
        </w:tblBorders>
      </w:tblPr>
      <w:tblGrid>
        <w:gridCol w:w="1250"/>
        <w:gridCol w:w="2400"/>
        <w:gridCol w:w="2400"/>
        <w:gridCol w:w="900"/>
        <w:gridCol w:w="2410"/>
      </w:tblGrid>
      <w:tr>
        <w:trPr>
          <w:tblHeader/>
        </w:trPr>
        <w:tc>
          <w:tcPr>
            <w:tcW w:type="dxa" w:w="125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4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 / context</w:t>
            </w:r>
          </w:p>
        </w:tc>
        <w:tc>
          <w:tcPr>
            <w:tcW w:type="dxa" w:w="9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41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Implication for gold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Wed 29 Jul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FOMC decision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Held 3.50–3.75%; 3 dissents for a hike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24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Relief pop then fade; hawkish dissents cap upside, hike odds → ~60–67% Sep</w:t>
            </w:r>
          </w:p>
        </w:tc>
      </w:tr>
      <w:tr>
        <w:tc>
          <w:tcPr>
            <w:tcW w:type="dxa" w:w="125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29–30 Jul</w:t>
            </w:r>
          </w:p>
        </w:tc>
        <w:tc>
          <w:tcPr>
            <w:tcW w:type="dxa" w:w="24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Middle-East escalation</w:t>
            </w:r>
          </w:p>
        </w:tc>
        <w:tc>
          <w:tcPr>
            <w:tcW w:type="dxa" w:w="24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US strikes IRGC; Iran hits US forces</w:t>
            </w:r>
          </w:p>
        </w:tc>
        <w:tc>
          <w:tcPr>
            <w:tcW w:type="dxa" w:w="9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241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Safe-haven bid + oil up; floor under $4,000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30 Jul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US Q2 GDP / jobless claims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GDP ~2.1% annualized expected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24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Firm data supports higher-for-longer, mild headwind</w:t>
            </w:r>
          </w:p>
        </w:tc>
      </w:tr>
      <w:tr>
        <w:tc>
          <w:tcPr>
            <w:tcW w:type="dxa" w:w="125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through Jul</w:t>
            </w:r>
          </w:p>
        </w:tc>
        <w:tc>
          <w:tcPr>
            <w:tcW w:type="dxa" w:w="24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WGC / central-bank buying</w:t>
            </w:r>
          </w:p>
        </w:tc>
        <w:tc>
          <w:tcPr>
            <w:tcW w:type="dxa" w:w="24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Net 244 t bought Q1 2026</w:t>
            </w:r>
          </w:p>
        </w:tc>
        <w:tc>
          <w:tcPr>
            <w:tcW w:type="dxa" w:w="9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241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Structural demand — the persistent $4,000 floor</w:t>
            </w:r>
          </w:p>
        </w:tc>
      </w:tr>
    </w:tbl>
    <w:p>
      <w:pPr>
        <w:pStyle w:val="Heading2"/>
        <w:spacing w:after="90" w:before="180"/>
      </w:pPr>
      <w:r>
        <w:rPr>
          <w:b/>
          <w:bCs/>
          <w:color w:val="1F3A5F"/>
          <w:sz w:val="23"/>
          <w:szCs w:val="23"/>
        </w:rPr>
        <w:t xml:space="preserve">§13d  News Calendar — Upcoming (Next 5 Sessions)</w:t>
      </w:r>
    </w:p>
    <w:tbl>
      <w:tblPr>
        <w:tblW w:type="dxa" w:w="936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DDDDDD" w:sz="1"/>
          <w:insideV w:val="single" w:color="DDDDDD" w:sz="1"/>
        </w:tblBorders>
      </w:tblPr>
      <w:tblGrid>
        <w:gridCol w:w="1250"/>
        <w:gridCol w:w="2400"/>
        <w:gridCol w:w="2400"/>
        <w:gridCol w:w="900"/>
        <w:gridCol w:w="2410"/>
      </w:tblGrid>
      <w:tr>
        <w:trPr>
          <w:tblHeader/>
        </w:trPr>
        <w:tc>
          <w:tcPr>
            <w:tcW w:type="dxa" w:w="125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4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9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41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Implication (beat / miss)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Fri 31 Jul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Chicago PMI + UMich inflation expectations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First post-Fed data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High</w:t>
            </w:r>
          </w:p>
        </w:tc>
        <w:tc>
          <w:tcPr>
            <w:tcW w:type="dxa" w:w="24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Hot inflation → Sep-hike odds rise, gold pressured toward $4,000; soft → dollar eases, gold toward $4,120</w:t>
            </w:r>
          </w:p>
        </w:tc>
      </w:tr>
      <w:tr>
        <w:tc>
          <w:tcPr>
            <w:tcW w:type="dxa" w:w="125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Early Aug</w:t>
            </w:r>
          </w:p>
        </w:tc>
        <w:tc>
          <w:tcPr>
            <w:tcW w:type="dxa" w:w="24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Core PCE</w:t>
            </w:r>
          </w:p>
        </w:tc>
        <w:tc>
          <w:tcPr>
            <w:tcW w:type="dxa" w:w="24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Fed's preferred gauge</w:t>
            </w:r>
          </w:p>
        </w:tc>
        <w:tc>
          <w:tcPr>
            <w:tcW w:type="dxa" w:w="9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241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Above-consensus PCE is the clearest bearish trigger via real yields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Early Aug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US jobless claims / ISM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Labour + activity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24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Weak labour softens hike odds → gold-supportive</w:t>
            </w:r>
          </w:p>
        </w:tc>
      </w:tr>
      <w:tr>
        <w:tc>
          <w:tcPr>
            <w:tcW w:type="dxa" w:w="125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Ongoing</w:t>
            </w:r>
          </w:p>
        </w:tc>
        <w:tc>
          <w:tcPr>
            <w:tcW w:type="dxa" w:w="24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Middle-East flow</w:t>
            </w:r>
          </w:p>
        </w:tc>
        <w:tc>
          <w:tcPr>
            <w:tcW w:type="dxa" w:w="24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Escalation risk</w:t>
            </w:r>
          </w:p>
        </w:tc>
        <w:tc>
          <w:tcPr>
            <w:tcW w:type="dxa" w:w="9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241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Any escalation adds haven premium; de-escalation removes it</w:t>
            </w:r>
          </w:p>
        </w:tc>
      </w:tr>
    </w:tbl>
    <w:p>
      <w:pPr>
        <w:shd w:fill="FBF6E8" w:color="auto" w:val="clear"/>
        <w:spacing w:after="120" w:before="60"/>
      </w:pPr>
      <w:r>
        <w:rPr>
          <w:i/>
          <w:iCs/>
          <w:color w:val="5A4A15"/>
          <w:sz w:val="18"/>
          <w:szCs w:val="18"/>
        </w:rPr>
        <w:t xml:space="preserve">Highest-impact upcoming event: 31 July Chicago PMI + UMich inflation expectations — a hot inflation-expectations print would harden September-hike pricing and can push gold back toward the $4,000 floor; a soft print eases the dollar and opens $4,120.</w:t>
      </w:r>
    </w:p>
    <w:p>
      <w:pPr>
        <w:pStyle w:val="Heading1"/>
        <w:spacing w:after="120" w:before="260"/>
      </w:pPr>
      <w:r>
        <w:rPr>
          <w:b/>
          <w:bCs/>
          <w:color w:val="1F3A5F"/>
          <w:sz w:val="26"/>
          <w:szCs w:val="26"/>
        </w:rPr>
        <w:t xml:space="preserve">§14  Macro Context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sz w:val="20"/>
          <w:szCs w:val="20"/>
        </w:rPr>
        <w:t xml:space="preserve">Rates / policy: </w:t>
      </w:r>
      <w:r>
        <w:rPr>
          <w:sz w:val="20"/>
          <w:szCs w:val="20"/>
        </w:rPr>
        <w:t xml:space="preserve">Fed at 3.50–3.75%, hawkish hold, three dissents; ~60–67% odds of a September hike. Higher-for-longer real yields are the core structural headwind. (Cross-ref §10 S&amp;P 500 risk-on.)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sz w:val="20"/>
          <w:szCs w:val="20"/>
        </w:rPr>
        <w:t xml:space="preserve">Inflation: </w:t>
      </w:r>
      <w:r>
        <w:rPr>
          <w:sz w:val="20"/>
          <w:szCs w:val="20"/>
        </w:rPr>
        <w:t xml:space="preserve">US CPI 3.5% (Jun), still above target; Middle-East oil spike is a fresh upside inflation risk — ambiguous for gold (inflation hedge vs rate-hike fear). Net neutral-to-supportive.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sz w:val="20"/>
          <w:szCs w:val="20"/>
        </w:rPr>
        <w:t xml:space="preserve">Liquidity / FX: </w:t>
      </w:r>
      <w:r>
        <w:rPr>
          <w:sz w:val="20"/>
          <w:szCs w:val="20"/>
        </w:rPr>
        <w:t xml:space="preserve">USDX ~100.0 and easing (see §10) — the dominant near-term support; a break of 100 would open more gold upside.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sz w:val="20"/>
          <w:szCs w:val="20"/>
        </w:rPr>
        <w:t xml:space="preserve">Energy: </w:t>
      </w:r>
      <w:r>
        <w:rPr>
          <w:sz w:val="20"/>
          <w:szCs w:val="20"/>
        </w:rPr>
        <w:t xml:space="preserve">WTI ~$80, Brent ~$85–89, lifted by Gulf strikes — reinforces the inflation channel and the haven bid.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sz w:val="20"/>
          <w:szCs w:val="20"/>
        </w:rPr>
        <w:t xml:space="preserve">Positioning: </w:t>
      </w:r>
      <w:r>
        <w:rPr>
          <w:sz w:val="20"/>
          <w:szCs w:val="20"/>
        </w:rPr>
        <w:t xml:space="preserve">Post-record-high de-gross; gold has corrected ~25% from the Jan $5,602 all-time high, leaving positioning lighter and the $4,000 shelf well-defended by central-bank demand.</w:t>
      </w:r>
    </w:p>
    <w:p>
      <w:pPr>
        <w:pStyle w:val="Heading1"/>
        <w:spacing w:after="120" w:before="260"/>
      </w:pPr>
      <w:r>
        <w:rPr>
          <w:b/>
          <w:bCs/>
          <w:color w:val="1F3A5F"/>
          <w:sz w:val="26"/>
          <w:szCs w:val="26"/>
        </w:rPr>
        <w:t xml:space="preserve">§15  Bull / Bear Balance</w:t>
      </w:r>
    </w:p>
    <w:tbl>
      <w:tblPr>
        <w:tblW w:type="dxa" w:w="936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DDDDDD" w:sz="1"/>
          <w:insideV w:val="single" w:color="DDDDDD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Upside risks (bullish)</w:t>
            </w:r>
          </w:p>
        </w:tc>
        <w:tc>
          <w:tcPr>
            <w:tcW w:type="dxa" w:w="468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Downside risks (bearish)</w:t>
            </w:r>
          </w:p>
        </w:tc>
      </w:tr>
      <w:tr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Softer dollar (USDX &lt; 100) — §10 contradiction flag</w:t>
            </w:r>
          </w:p>
        </w:tc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Hawkish Fed; ~60–67% September-hike odds (§12, §14)</w:t>
            </w:r>
          </w:p>
        </w:tc>
      </w:tr>
      <w:tr>
        <w:tc>
          <w:tcPr>
            <w:tcW w:type="dxa" w:w="468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Middle-East escalation → haven premium (§12)</w:t>
            </w:r>
          </w:p>
        </w:tc>
        <w:tc>
          <w:tcPr>
            <w:tcW w:type="dxa" w:w="468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Hot 31 Jul inflation data hardens hike pricing (§13d)</w:t>
            </w:r>
          </w:p>
        </w:tc>
      </w:tr>
      <w:tr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Central-bank structural demand defends $4,000 (§12)</w:t>
            </w:r>
          </w:p>
        </w:tc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Risk-on equities (S&amp;P, DAX rising) cap haven demand (§10)</w:t>
            </w:r>
          </w:p>
        </w:tc>
      </w:tr>
      <w:tr>
        <w:tc>
          <w:tcPr>
            <w:tcW w:type="dxa" w:w="468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Silver outperformance signals sector bid (§10)</w:t>
            </w:r>
          </w:p>
        </w:tc>
        <w:tc>
          <w:tcPr>
            <w:tcW w:type="dxa" w:w="468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Above-consensus core PCE via real-yield channel (§13d)</w:t>
            </w:r>
          </w:p>
        </w:tc>
      </w:tr>
    </w:tbl>
    <w:p>
      <w:pPr>
        <w:spacing w:after="40" w:line="276"/>
      </w:pPr>
      <w:r>
        <w:rPr>
          <w:b/>
          <w:bCs/>
          <w:sz w:val="20"/>
          <w:szCs w:val="20"/>
        </w:rPr>
        <w:t xml:space="preserve">Balance: </w:t>
      </w:r>
      <w:r>
        <w:rPr>
          <w:sz w:val="20"/>
          <w:szCs w:val="20"/>
        </w:rPr>
        <w:t xml:space="preserve">Two-sided and event-driven. Price is pinned at the daily/weekly pivot cluster (§11) with the softer dollar defending the downside and the hawkish Fed capping the upside. The 31 July data (§13d) is the swing factor.</w:t>
      </w:r>
    </w:p>
    <w:p>
      <w:pPr>
        <w:pStyle w:val="Heading1"/>
        <w:spacing w:after="120" w:before="260"/>
      </w:pPr>
      <w:r>
        <w:rPr>
          <w:b/>
          <w:bCs/>
          <w:color w:val="1F3A5F"/>
          <w:sz w:val="26"/>
          <w:szCs w:val="26"/>
        </w:rPr>
        <w:t xml:space="preserve">§16  Forward View</w:t>
      </w:r>
    </w:p>
    <w:p>
      <w:pPr>
        <w:spacing w:after="120" w:line="276"/>
      </w:pPr>
      <w:r>
        <w:rPr>
          <w:b/>
          <w:bCs/>
          <w:sz w:val="20"/>
          <w:szCs w:val="20"/>
        </w:rPr>
        <w:t xml:space="preserve">Expected direction: </w:t>
      </w:r>
      <w:r>
        <w:rPr>
          <w:sz w:val="20"/>
          <w:szCs w:val="20"/>
        </w:rPr>
        <w:t xml:space="preserve">range-bound with a mild downside skew over the next five sessions, respecting the transitional regime (§9). Base-case trading range </w:t>
      </w:r>
      <w:r>
        <w:rPr>
          <w:b/>
          <w:bCs/>
          <w:sz w:val="20"/>
          <w:szCs w:val="20"/>
        </w:rPr>
        <w:t xml:space="preserve">$4,000 – $4,120</w:t>
      </w:r>
      <w:r>
        <w:rPr>
          <w:sz w:val="20"/>
          <w:szCs w:val="20"/>
        </w:rPr>
        <w:t xml:space="preserve">, pivoting around the $4,055–$4,070 cluster. A soft 31 July inflation read and a sub-100 dollar would open $4,120 → $4,160; a hot read and firmer dollar would retest $4,019 → $4,000, with a daily close below $3,996 opening $3,970 (daily S2). </w:t>
      </w:r>
      <w:r>
        <w:rPr>
          <w:b/>
          <w:bCs/>
          <w:sz w:val="20"/>
          <w:szCs w:val="20"/>
        </w:rPr>
        <w:t xml:space="preserve">Base-case invalidation: </w:t>
      </w:r>
      <w:r>
        <w:rPr>
          <w:sz w:val="20"/>
          <w:szCs w:val="20"/>
        </w:rPr>
        <w:t xml:space="preserve">a decisive daily close above $4,120 (bullish break of the 5-day swing high and R1 confluence) or below $3,996 (bearish break of the 5-day swing low). This view respects — and does not contradict — the §9 regime.</w:t>
      </w:r>
    </w:p>
    <w:p>
      <w:pPr>
        <w:pStyle w:val="Heading1"/>
        <w:spacing w:after="120" w:before="260"/>
      </w:pPr>
      <w:r>
        <w:rPr>
          <w:b/>
          <w:bCs/>
          <w:color w:val="1F3A5F"/>
          <w:sz w:val="26"/>
          <w:szCs w:val="26"/>
        </w:rPr>
        <w:t xml:space="preserve">§17  Forecast</w:t>
      </w:r>
    </w:p>
    <w:p>
      <w:pPr>
        <w:shd w:fill="E8EDF3" w:color="auto" w:val="clear"/>
        <w:spacing w:after="120"/>
      </w:pPr>
      <w:r>
        <w:rPr>
          <w:b/>
          <w:bCs/>
          <w:color w:val="1F3A5F"/>
          <w:sz w:val="21"/>
          <w:szCs w:val="21"/>
        </w:rPr>
        <w:t xml:space="preserve">Gold holds a choppy $4,000–$4,120 range around the $4,066 pivot cluster with a mild downside skew, biased lower if the 31 July inflation data hardens September-hike odds and firmer if the dollar stays below 100.</w:t>
      </w:r>
    </w:p>
    <w:p>
      <w:pPr>
        <w:pStyle w:val="Heading1"/>
        <w:spacing w:after="120" w:before="260"/>
      </w:pPr>
      <w:r>
        <w:rPr>
          <w:b/>
          <w:bCs/>
          <w:color w:val="1F3A5F"/>
          <w:sz w:val="26"/>
          <w:szCs w:val="26"/>
        </w:rPr>
        <w:t xml:space="preserve">§18  Final Analyst Judgement</w:t>
      </w:r>
    </w:p>
    <w:p>
      <w:pPr>
        <w:spacing w:after="120" w:line="276"/>
      </w:pPr>
      <w:r>
        <w:rPr>
          <w:b/>
          <w:bCs/>
          <w:sz w:val="20"/>
          <w:szCs w:val="20"/>
        </w:rPr>
        <w:t xml:space="preserve">Consensus: </w:t>
      </w:r>
      <w:r>
        <w:rPr>
          <w:sz w:val="20"/>
          <w:szCs w:val="20"/>
        </w:rPr>
        <w:t xml:space="preserve">$4,066/oz (range $4,022–$4,100), Medium confidence, balanced-to-cautious tone. </w:t>
      </w:r>
      <w:r>
        <w:rPr>
          <w:b/>
          <w:bCs/>
          <w:sz w:val="20"/>
          <w:szCs w:val="20"/>
        </w:rPr>
        <w:t xml:space="preserve">Three reasons: </w:t>
      </w:r>
      <w:r>
        <w:rPr>
          <w:sz w:val="20"/>
          <w:szCs w:val="20"/>
        </w:rPr>
        <w:t xml:space="preserve">(1) a hawkish Fed hold with live September-hike risk caps the metal; (2) a softer dollar and Middle-East haven bid defend the $4,000 floor; (3) the tape is ranging/low-efficiency at a pivot-cluster balance point. </w:t>
      </w:r>
      <w:r>
        <w:rPr>
          <w:b/>
          <w:bCs/>
          <w:sz w:val="20"/>
          <w:szCs w:val="20"/>
        </w:rPr>
        <w:t xml:space="preserve">Single watch item: </w:t>
      </w:r>
      <w:r>
        <w:rPr>
          <w:sz w:val="20"/>
          <w:szCs w:val="20"/>
        </w:rPr>
        <w:t xml:space="preserve">the 31 July Chicago PMI and University of Michigan inflation expectations.</w:t>
      </w:r>
    </w:p>
    <w:p>
      <w:pPr>
        <w:pStyle w:val="Heading1"/>
        <w:spacing w:after="120" w:before="260"/>
      </w:pPr>
      <w:r>
        <w:rPr>
          <w:b/>
          <w:bCs/>
          <w:color w:val="1F3A5F"/>
          <w:sz w:val="26"/>
          <w:szCs w:val="26"/>
        </w:rPr>
        <w:t xml:space="preserve">§19  Source Discipline Note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sz w:val="20"/>
          <w:szCs w:val="20"/>
        </w:rPr>
        <w:t xml:space="preserve">Live vs indicative: </w:t>
      </w:r>
      <w:r>
        <w:rPr>
          <w:sz w:val="20"/>
          <w:szCs w:val="20"/>
        </w:rPr>
        <w:t xml:space="preserve">Current spot ($4,031–$4,102 on 30 Jul) is corroborated in-band across ≥6 independent approved sources. Individual daily O/H/L/C for the five-session block is SINGLE-SOURCE INDICATIVE — provider dispersion (spot vs GC=F futures vs CFD) exceeds the $0.50 gold tolerance.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sz w:val="20"/>
          <w:szCs w:val="20"/>
        </w:rPr>
        <w:t xml:space="preserve">Pivot corroboration: </w:t>
      </w:r>
      <w:r>
        <w:rPr>
          <w:sz w:val="20"/>
          <w:szCs w:val="20"/>
        </w:rPr>
        <w:t xml:space="preserve">Daily, weekly and monthly pivots derive from indicative prior-period H/L/C and therefore carry the SINGLE-SOURCE INDICATIVE flag. Under standard discipline this would suppress the pivot-based trade; per the operator's explicit override, strategies are produced with the flag disclosed (see §20, §21).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sz w:val="20"/>
          <w:szCs w:val="20"/>
        </w:rPr>
        <w:t xml:space="preserve">Data gaps: </w:t>
      </w:r>
      <w:r>
        <w:rPr>
          <w:sz w:val="20"/>
          <w:szCs w:val="20"/>
        </w:rPr>
        <w:t xml:space="preserve">The Investing.com historical table returned corroborated data only through 15 Jul; the 24–30 Jul block was reconstructed from the live day-range plus narrative provider reads. Approved-source programmatic feeds (Stooq, Twelve Data) were unreachable from the execution environment this session.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sz w:val="20"/>
          <w:szCs w:val="20"/>
        </w:rPr>
        <w:t xml:space="preserve">Normalization: </w:t>
      </w:r>
      <w:r>
        <w:rPr>
          <w:sz w:val="20"/>
          <w:szCs w:val="20"/>
        </w:rPr>
        <w:t xml:space="preserve">All values USD/oz spot loco London. Silver normalized to XAG/USD spot. No futures/physical/retail blending in the consensus build.</w:t>
      </w:r>
    </w:p>
    <w:p>
      <w:pPr>
        <w:pStyle w:val="Heading1"/>
        <w:spacing w:after="120" w:before="260"/>
      </w:pPr>
      <w:r>
        <w:rPr>
          <w:b/>
          <w:bCs/>
          <w:color w:val="1F3A5F"/>
          <w:sz w:val="26"/>
          <w:szCs w:val="26"/>
        </w:rPr>
        <w:t xml:space="preserve">§20  Agent Log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sz w:val="20"/>
          <w:szCs w:val="20"/>
        </w:rPr>
        <w:t xml:space="preserve">Sources attempted: </w:t>
      </w:r>
      <w:r>
        <w:rPr>
          <w:sz w:val="20"/>
          <w:szCs w:val="20"/>
        </w:rPr>
        <w:t xml:space="preserve">Investing.com (rank 1, historical + live — corroborated current, indicative recent), TradingEconomics (rank 23 — CFD benchmark), TradingView (rank 5), FXStreet/FXLeaders/RoboForex/Vantage/USAGold (news + price colour). Stooq (rank 3) and Twelve Data (rank 4) not reachable programmatically this session — logged as failed (network).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sz w:val="20"/>
          <w:szCs w:val="20"/>
        </w:rPr>
        <w:t xml:space="preserve">Validation method: </w:t>
      </w:r>
      <w:r>
        <w:rPr>
          <w:sz w:val="20"/>
          <w:szCs w:val="20"/>
        </w:rPr>
        <w:t xml:space="preserve">Current spot cross-checked across ≥6 sources within an in-band cluster; RSI2, ATR(14), KER(13), pivots and swings computed deterministically from the validated/indicative series.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sz w:val="20"/>
          <w:szCs w:val="20"/>
        </w:rPr>
        <w:t xml:space="preserve">Sentiment derivation: </w:t>
      </w:r>
      <w:r>
        <w:rPr>
          <w:sz w:val="20"/>
          <w:szCs w:val="20"/>
        </w:rPr>
        <w:t xml:space="preserve">7 articles, source-class weighted (institutional 1.0 / trade press 0.7 / media 0.5); tilt = −0.18 (Mixed). Each classification carries a ≤15-word derivation quote (§13a).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sz w:val="20"/>
          <w:szCs w:val="20"/>
        </w:rPr>
        <w:t xml:space="preserve">Direction score (weights basis: defaults): </w:t>
      </w:r>
      <w:r>
        <w:rPr>
          <w:sz w:val="20"/>
          <w:szCs w:val="20"/>
        </w:rPr>
        <w:t xml:space="preserve">short-term technical bias (§8) +0.50×; medium regime (§9) −0.50×; VOLator −0.30×; Kaufman −0.10×; sentiment (§13b) −0.18×; cross-asset (§10) −0.30×. Aggregate = −0.09 → NEUTRAL (|score| &lt; 0.25 conviction threshold). Weights unchanged from the v2.1 baseline (session within the 20-session lock).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sz w:val="20"/>
          <w:szCs w:val="20"/>
        </w:rPr>
        <w:t xml:space="preserve">Overrides applied (operator): </w:t>
      </w:r>
      <w:r>
        <w:rPr>
          <w:sz w:val="20"/>
          <w:szCs w:val="20"/>
        </w:rPr>
        <w:t xml:space="preserve">(1) Daily-open anchor overridden from the M1 value to 07:00 UK for the 31 Jul session (Trade 1 entry timestamp). (2) Strategy-suppression override: Trade 1 (score NEUTRAL) and pivot/breakout trades that would otherwise be suppressed on single-source-indicative levels or absence of a confirmed break are produced as actionable cards with the indicative flag disclosed. Both deviations logged here per protocol.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sz w:val="20"/>
          <w:szCs w:val="20"/>
        </w:rPr>
        <w:t xml:space="preserve">Regime label: </w:t>
      </w:r>
      <w:r>
        <w:rPr>
          <w:sz w:val="20"/>
          <w:szCs w:val="20"/>
        </w:rPr>
        <w:t xml:space="preserve">TRANSITION (Step-4 transitional-bearish; KER ranging |0.10|&lt;0.13; VOLator slope ≤ 0). Dual-gate RANGE not asserted, so no SurfaceContractError.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sz w:val="20"/>
          <w:szCs w:val="20"/>
        </w:rPr>
        <w:t xml:space="preserve">Backtest reconstruction: </w:t>
      </w:r>
      <w:r>
        <w:rPr>
          <w:sz w:val="20"/>
          <w:szCs w:val="20"/>
        </w:rPr>
        <w:t xml:space="preserve">5 sessions replayed at each t−1 close; sentiment frozen at t−1; ATR/swings/pivots recomputed per row; conservative SL-first tick priority. Directional sanity-check only.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sz w:val="20"/>
          <w:szCs w:val="20"/>
        </w:rPr>
        <w:t xml:space="preserve">Timestamp: </w:t>
      </w:r>
      <w:r>
        <w:rPr>
          <w:sz w:val="20"/>
          <w:szCs w:val="20"/>
        </w:rPr>
        <w:t xml:space="preserve">Generated 31 Jul 2026, Europe/London.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F3A5F"/>
          <w:sz w:val="26"/>
          <w:szCs w:val="26"/>
        </w:rPr>
        <w:t xml:space="preserve">§21  Strategy Recommendations</w:t>
      </w:r>
    </w:p>
    <w:p>
      <w:pPr>
        <w:shd w:fill="FBF6E8" w:color="auto" w:val="clear"/>
        <w:spacing w:after="120" w:before="60"/>
      </w:pPr>
      <w:r>
        <w:rPr>
          <w:i/>
          <w:iCs/>
          <w:color w:val="5A4A15"/>
          <w:sz w:val="18"/>
          <w:szCs w:val="18"/>
        </w:rPr>
        <w:t xml:space="preserve">Produced under the operator's explicit strategy-override. Strict discipline would suppress Trade 1 (NEUTRAL score) and flag the pivot levels as single-source indicative; cards are shown with actionable levels and the indicative caveat disclosed. Daily-open anchor overridden to 07:00 UK. Not investment advice.</w:t>
      </w:r>
    </w:p>
    <w:p>
      <w:pPr>
        <w:pStyle w:val="Heading2"/>
        <w:spacing w:after="90" w:before="180"/>
      </w:pPr>
      <w:r>
        <w:rPr>
          <w:b/>
          <w:bCs/>
          <w:color w:val="1F3A5F"/>
          <w:sz w:val="23"/>
          <w:szCs w:val="23"/>
        </w:rPr>
        <w:t xml:space="preserve">§21a  Directional Conviction</w:t>
      </w:r>
    </w:p>
    <w:p>
      <w:pPr>
        <w:spacing w:after="120" w:line="276"/>
      </w:pPr>
      <w:r>
        <w:rPr>
          <w:b/>
          <w:bCs/>
          <w:sz w:val="20"/>
          <w:szCs w:val="20"/>
        </w:rPr>
        <w:t xml:space="preserve">Direction: </w:t>
      </w:r>
      <w:r>
        <w:rPr>
          <w:b/>
          <w:bCs/>
          <w:color w:val="666666"/>
          <w:sz w:val="20"/>
          <w:szCs w:val="20"/>
        </w:rPr>
        <w:t xml:space="preserve">NEUTRAL</w:t>
      </w:r>
      <w:r>
        <w:rPr>
          <w:sz w:val="20"/>
          <w:szCs w:val="20"/>
        </w:rPr>
        <w:t xml:space="preserve"> (score −0.09, defaults basis). The three highest-weighted contributors are short-term technical bias (§8) +0.13, medium-term regime (§9) −0.10, and cross-asset (§10) −0.045. The near-zero score reflects a genuine tug-of-war: a softer dollar and haven bid against a hawkish Fed and risk-on equities. </w:t>
      </w:r>
      <w:r>
        <w:rPr>
          <w:b/>
          <w:bCs/>
          <w:sz w:val="20"/>
          <w:szCs w:val="20"/>
        </w:rPr>
        <w:t xml:space="preserve">Conflict flag: </w:t>
      </w:r>
      <w:r>
        <w:rPr>
          <w:sz w:val="20"/>
          <w:szCs w:val="20"/>
        </w:rPr>
        <w:t xml:space="preserve">the NEUTRAL score is consistent with the §17 range forecast — no directional conflict to resolve; the trade cards below express range/breakout structure rather than a strong directional bet.</w:t>
      </w:r>
    </w:p>
    <w:p>
      <w:pPr>
        <w:pStyle w:val="Heading2"/>
        <w:spacing w:after="90" w:before="180"/>
      </w:pPr>
      <w:r>
        <w:rPr>
          <w:b/>
          <w:bCs/>
          <w:color w:val="1F3A5F"/>
          <w:sz w:val="23"/>
          <w:szCs w:val="23"/>
        </w:rPr>
        <w:t xml:space="preserve">§21b  Trade Cards</w:t>
      </w:r>
    </w:p>
    <w:p>
      <w:pPr>
        <w:spacing w:after="40" w:line="276"/>
      </w:pPr>
      <w:r>
        <w:rPr>
          <w:b/>
          <w:bCs/>
          <w:color w:val="1F3A5F"/>
          <w:sz w:val="20"/>
          <w:szCs w:val="20"/>
        </w:rPr>
        <w:t xml:space="preserve">Trade 1 — Daily Directional (long bias, override-produced)</w:t>
      </w:r>
    </w:p>
    <w:tbl>
      <w:tblPr>
        <w:tblW w:type="dxa" w:w="936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DDDDDD" w:sz="1"/>
          <w:insideV w:val="single" w:color="DDDDDD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Direction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LONG — mild bullish daily skew (dollar-soft, haven bid). Strict rule: SUPPRESSED (score NEUTRAL); produced under override.</w:t>
            </w:r>
          </w:p>
        </w:tc>
      </w:tr>
      <w:tr>
        <w:tc>
          <w:tcPr>
            <w:tcW w:type="dxa" w:w="26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Entry</w:t>
            </w:r>
          </w:p>
        </w:tc>
        <w:tc>
          <w:tcPr>
            <w:tcW w:type="dxa" w:w="67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Market at 07:00 UK (overridden anchor) ≈ $4,066 (open-anchor proxy)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Stop loss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$3,995 — 71 USD / 7,100 ticks below entry. Anchor: 5-day swing low $3,996 + 0.25×ATR buffer (ATR≈$95); within the 3.5×ATR cap ($332)</w:t>
            </w:r>
          </w:p>
        </w:tc>
      </w:tr>
      <w:tr>
        <w:tc>
          <w:tcPr>
            <w:tcW w:type="dxa" w:w="26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Risk (R)</w:t>
            </w:r>
          </w:p>
        </w:tc>
        <w:tc>
          <w:tcPr>
            <w:tcW w:type="dxa" w:w="67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$71 / 7,100 ticks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TP1 (Unit 1)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$4,137 (+1R). Confluence: daily R1.5 $4,142 (strong)</w:t>
            </w:r>
          </w:p>
        </w:tc>
      </w:tr>
      <w:tr>
        <w:tc>
          <w:tcPr>
            <w:tcW w:type="dxa" w:w="26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TP2 (Unit 2)</w:t>
            </w:r>
          </w:p>
        </w:tc>
        <w:tc>
          <w:tcPr>
            <w:tcW w:type="dxa" w:w="67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$4,208 (+2R). On fill, Unit 3 SL → entry +0.2R = $4,080. Flag: TP2 ambitious for a daily horizon (&gt;3×ATR)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TP3 (Unit 3, runner)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Time-stop at session close or 3×ATR ($4,350) cap, whichever first</w:t>
            </w:r>
          </w:p>
        </w:tc>
      </w:tr>
      <w:tr>
        <w:tc>
          <w:tcPr>
            <w:tcW w:type="dxa" w:w="26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Tranche mgmt</w:t>
            </w:r>
          </w:p>
        </w:tc>
        <w:tc>
          <w:tcPr>
            <w:tcW w:type="dxa" w:w="67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3 equal units; U1→TP1, U2→TP2; on U2 fill U3 SL→entry+0.2R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Confluences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Entry at daily/weekly P cluster ($4,055–$4,070); TP1 at R1/R1.5 confluence ($4,112–$4,142)</w:t>
            </w:r>
          </w:p>
        </w:tc>
      </w:tr>
      <w:tr>
        <w:tc>
          <w:tcPr>
            <w:tcW w:type="dxa" w:w="26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67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Daily close below $3,996 (5-day swing low). Coincides ~ with SL.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Caveats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single-source-indicative pivots; override-produced (score NEUTRAL); wide-stop flag</w:t>
            </w:r>
          </w:p>
        </w:tc>
      </w:tr>
    </w:tbl>
    <w:p>
      <w:pPr>
        <w:spacing w:after="40" w:line="276"/>
      </w:pPr>
      <w:r>
        <w:rPr>
          <w:b/>
          <w:bCs/>
          <w:color w:val="1F3A5F"/>
          <w:sz w:val="20"/>
          <w:szCs w:val="20"/>
        </w:rPr>
        <w:t xml:space="preserve">Trade 2 — Pivot, regime-aware (TRANSITION → breakout side)</w:t>
      </w:r>
    </w:p>
    <w:tbl>
      <w:tblPr>
        <w:tblW w:type="dxa" w:w="936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DDDDDD" w:sz="1"/>
          <w:insideV w:val="single" w:color="DDDDDD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Direction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Breakout-side long only (TRANSITION). Buy-stop above the pivot on confirmed strength.</w:t>
            </w:r>
          </w:p>
        </w:tc>
      </w:tr>
      <w:tr>
        <w:tc>
          <w:tcPr>
            <w:tcW w:type="dxa" w:w="26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Entry</w:t>
            </w:r>
          </w:p>
        </w:tc>
        <w:tc>
          <w:tcPr>
            <w:tcW w:type="dxa" w:w="67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Buy stop at $4,074 = P + 0.10×(R1−P) [$4,069.59 + 0.10×47.36]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Stop loss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$4,029 = P − 0.8×(P − S1). Distance 45 USD / 4,500 ticks. Confluence: just above daily S1 $4,019</w:t>
            </w:r>
          </w:p>
        </w:tc>
      </w:tr>
      <w:tr>
        <w:tc>
          <w:tcPr>
            <w:tcW w:type="dxa" w:w="26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Risk (R)</w:t>
            </w:r>
          </w:p>
        </w:tc>
        <w:tc>
          <w:tcPr>
            <w:tcW w:type="dxa" w:w="67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$45 / 4,500 ticks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TP1 (Unit 1)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R1 $4,117 (+~1R). Strong confluence with weekly R1 $4,112</w:t>
            </w:r>
          </w:p>
        </w:tc>
      </w:tr>
      <w:tr>
        <w:tc>
          <w:tcPr>
            <w:tcW w:type="dxa" w:w="26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TP2 (Unit 2)</w:t>
            </w:r>
          </w:p>
        </w:tc>
        <w:tc>
          <w:tcPr>
            <w:tcW w:type="dxa" w:w="67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R1.5 $4,142. On fill, U3 SL → entry +0.2R = $4,083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TP3 (Unit 3, runner)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R2 $4,168 → trail toward the $4,160 weekly high</w:t>
            </w:r>
          </w:p>
        </w:tc>
      </w:tr>
      <w:tr>
        <w:tc>
          <w:tcPr>
            <w:tcW w:type="dxa" w:w="26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Tranche mgmt</w:t>
            </w:r>
          </w:p>
        </w:tc>
        <w:tc>
          <w:tcPr>
            <w:tcW w:type="dxa" w:w="67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3 equal units; universal BE+0.2R on U2 fill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Confluences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R1/weekly-R1 (strong); entry above pivot cluster</w:t>
            </w:r>
          </w:p>
        </w:tc>
      </w:tr>
      <w:tr>
        <w:tc>
          <w:tcPr>
            <w:tcW w:type="dxa" w:w="26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67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Daily close back below P $4,069.59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Caveats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single-source-indicative pivots; TRANSITION breakout — counter-side limit suppressed</w:t>
            </w:r>
          </w:p>
        </w:tc>
      </w:tr>
    </w:tbl>
    <w:p>
      <w:pPr>
        <w:spacing w:after="40" w:line="276"/>
      </w:pPr>
      <w:r>
        <w:rPr>
          <w:b/>
          <w:bCs/>
          <w:color w:val="1F3A5F"/>
          <w:sz w:val="20"/>
          <w:szCs w:val="20"/>
        </w:rPr>
        <w:t xml:space="preserve">Trade 3 — Momentum-Breakout (3C, TRANSITION regime)</w:t>
      </w:r>
    </w:p>
    <w:tbl>
      <w:tblPr>
        <w:tblW w:type="dxa" w:w="936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DDDDDD" w:sz="1"/>
          <w:insideV w:val="single" w:color="DDDDDD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Variant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Trade 3C — Momentum-Breakout. 25-day range: low $3,944.23 / high $4,382.85, width $438.62</w:t>
            </w:r>
          </w:p>
        </w:tc>
      </w:tr>
      <w:tr>
        <w:tc>
          <w:tcPr>
            <w:tcW w:type="dxa" w:w="26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Direction trigger</w:t>
            </w:r>
          </w:p>
        </w:tc>
        <w:tc>
          <w:tcPr>
            <w:tcW w:type="dxa" w:w="67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Awaiting confirmed break. Bias defaults to the side that closes beyond the boundary by ≥0.25×ATR ($23.64)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Confirmed break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Upside: daily close &gt; $4,406.49. Downside: daily close &lt; $3,920.59. Price $4,066 is INSIDE the range — not yet eligible; card is a standing plan.</w:t>
            </w:r>
          </w:p>
        </w:tc>
      </w:tr>
      <w:tr>
        <w:tc>
          <w:tcPr>
            <w:tcW w:type="dxa" w:w="26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Entry (if upside)</w:t>
            </w:r>
          </w:p>
        </w:tc>
        <w:tc>
          <w:tcPr>
            <w:tcW w:type="dxa" w:w="67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At breakout candle close beyond $4,406, or next session open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Stop loss (upside)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$4,119 = range_low + 0.40×width (generous post-fakeout stop, just below mid $4,163)</w:t>
            </w:r>
          </w:p>
        </w:tc>
      </w:tr>
      <w:tr>
        <w:tc>
          <w:tcPr>
            <w:tcW w:type="dxa" w:w="26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TP1 (Unit 1)</w:t>
            </w:r>
          </w:p>
        </w:tc>
        <w:tc>
          <w:tcPr>
            <w:tcW w:type="dxa" w:w="67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Measured move: broken high + 1.0×width ≈ $4,821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TP2 (Unit 2)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1.5×MM ≈ $5,040. On fill, U3 SL → broken boundary $4,383</w:t>
            </w:r>
          </w:p>
        </w:tc>
      </w:tr>
      <w:tr>
        <w:tc>
          <w:tcPr>
            <w:tcW w:type="dxa" w:w="26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TP3 (Unit 3, runner)</w:t>
            </w:r>
          </w:p>
        </w:tc>
        <w:tc>
          <w:tcPr>
            <w:tcW w:type="dxa" w:w="67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Discretionary trail beyond 1.5×MM on subsequent swing structure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Daily close back inside range past midpoint $4,163</w:t>
            </w:r>
          </w:p>
        </w:tc>
      </w:tr>
      <w:tr>
        <w:tc>
          <w:tcPr>
            <w:tcW w:type="dxa" w:w="26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Caveats</w:t>
            </w:r>
          </w:p>
        </w:tc>
        <w:tc>
          <w:tcPr>
            <w:tcW w:type="dxa" w:w="676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Not yet triggered (no confirmed break); wide 25-day range; single-source-indicative boundaries</w:t>
            </w:r>
          </w:p>
        </w:tc>
      </w:tr>
    </w:tbl>
    <w:p>
      <w:pPr>
        <w:pStyle w:val="Heading2"/>
        <w:spacing w:after="90" w:before="180"/>
      </w:pPr>
      <w:r>
        <w:rPr>
          <w:b/>
          <w:bCs/>
          <w:color w:val="1F3A5F"/>
          <w:sz w:val="23"/>
          <w:szCs w:val="23"/>
        </w:rPr>
        <w:t xml:space="preserve">§21c  5-Session No-Leakage Backtest</w:t>
      </w:r>
    </w:p>
    <w:tbl>
      <w:tblPr>
        <w:tblW w:type="dxa" w:w="936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DDDDDD" w:sz="1"/>
          <w:insideV w:val="single" w:color="DDDDDD" w:sz="1"/>
        </w:tblBorders>
      </w:tblPr>
      <w:tblGrid>
        <w:gridCol w:w="1450"/>
        <w:gridCol w:w="1150"/>
        <w:gridCol w:w="1150"/>
        <w:gridCol w:w="1150"/>
        <w:gridCol w:w="1900"/>
        <w:gridCol w:w="1250"/>
        <w:gridCol w:w="1310"/>
      </w:tblGrid>
      <w:tr>
        <w:trPr>
          <w:tblHeader/>
        </w:trPr>
        <w:tc>
          <w:tcPr>
            <w:tcW w:type="dxa" w:w="145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 (t−N)</w:t>
            </w:r>
          </w:p>
        </w:tc>
        <w:tc>
          <w:tcPr>
            <w:tcW w:type="dxa" w:w="115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115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115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Triggered</w:t>
            </w:r>
          </w:p>
        </w:tc>
        <w:tc>
          <w:tcPr>
            <w:tcW w:type="dxa" w:w="19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Entry / Exit</w:t>
            </w:r>
          </w:p>
        </w:tc>
        <w:tc>
          <w:tcPr>
            <w:tcW w:type="dxa" w:w="125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Outcome (R)</w:t>
            </w:r>
          </w:p>
        </w:tc>
        <w:tc>
          <w:tcPr>
            <w:tcW w:type="dxa" w:w="131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</w:tr>
      <w:tr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24 Jul (t−5)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Trade 1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LONG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4158 / 3998 (SL)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−1.0R</w:t>
            </w:r>
          </w:p>
        </w:tc>
        <w:tc>
          <w:tcPr>
            <w:tcW w:type="dxa" w:w="13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5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24 Jul (t−5)</w:t>
            </w:r>
          </w:p>
        </w:tc>
        <w:tc>
          <w:tcPr>
            <w:tcW w:type="dxa" w:w="115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Trade 2</w:t>
            </w:r>
          </w:p>
        </w:tc>
        <w:tc>
          <w:tcPr>
            <w:tcW w:type="dxa" w:w="115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brk-long</w:t>
            </w:r>
          </w:p>
        </w:tc>
        <w:tc>
          <w:tcPr>
            <w:tcW w:type="dxa" w:w="115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9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limit not reached</w:t>
            </w:r>
          </w:p>
        </w:tc>
        <w:tc>
          <w:tcPr>
            <w:tcW w:type="dxa" w:w="125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31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24 Jul (t−5)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Trade 3C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inside range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3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27 Jul (t−4)</w:t>
            </w:r>
          </w:p>
        </w:tc>
        <w:tc>
          <w:tcPr>
            <w:tcW w:type="dxa" w:w="115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Trade 1</w:t>
            </w:r>
          </w:p>
        </w:tc>
        <w:tc>
          <w:tcPr>
            <w:tcW w:type="dxa" w:w="115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LONG</w:t>
            </w:r>
          </w:p>
        </w:tc>
        <w:tc>
          <w:tcPr>
            <w:tcW w:type="dxa" w:w="115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4006 / 4092 (TP1+)</w:t>
            </w:r>
          </w:p>
        </w:tc>
        <w:tc>
          <w:tcPr>
            <w:tcW w:type="dxa" w:w="125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+1.0R</w:t>
            </w:r>
          </w:p>
        </w:tc>
        <w:tc>
          <w:tcPr>
            <w:tcW w:type="dxa" w:w="131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27 Jul (t−4)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Trade 2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brk-long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~4030 / 4092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+1.0R</w:t>
            </w:r>
          </w:p>
        </w:tc>
        <w:tc>
          <w:tcPr>
            <w:tcW w:type="dxa" w:w="13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5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28 Jul (t−3)</w:t>
            </w:r>
          </w:p>
        </w:tc>
        <w:tc>
          <w:tcPr>
            <w:tcW w:type="dxa" w:w="115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Trade 1</w:t>
            </w:r>
          </w:p>
        </w:tc>
        <w:tc>
          <w:tcPr>
            <w:tcW w:type="dxa" w:w="115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SHORT</w:t>
            </w:r>
          </w:p>
        </w:tc>
        <w:tc>
          <w:tcPr>
            <w:tcW w:type="dxa" w:w="115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4092 / 4009</w:t>
            </w:r>
          </w:p>
        </w:tc>
        <w:tc>
          <w:tcPr>
            <w:tcW w:type="dxa" w:w="125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+1.0R</w:t>
            </w:r>
          </w:p>
        </w:tc>
        <w:tc>
          <w:tcPr>
            <w:tcW w:type="dxa" w:w="131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28 Jul (t−3)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Trade 2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brk-long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reversed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−0.6R</w:t>
            </w:r>
          </w:p>
        </w:tc>
        <w:tc>
          <w:tcPr>
            <w:tcW w:type="dxa" w:w="13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5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29 Jul (t−2)</w:t>
            </w:r>
          </w:p>
        </w:tc>
        <w:tc>
          <w:tcPr>
            <w:tcW w:type="dxa" w:w="115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Trade 1</w:t>
            </w:r>
          </w:p>
        </w:tc>
        <w:tc>
          <w:tcPr>
            <w:tcW w:type="dxa" w:w="115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LONG</w:t>
            </w:r>
          </w:p>
        </w:tc>
        <w:tc>
          <w:tcPr>
            <w:tcW w:type="dxa" w:w="115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4009 / 4053</w:t>
            </w:r>
          </w:p>
        </w:tc>
        <w:tc>
          <w:tcPr>
            <w:tcW w:type="dxa" w:w="125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+0.6R</w:t>
            </w:r>
          </w:p>
        </w:tc>
        <w:tc>
          <w:tcPr>
            <w:tcW w:type="dxa" w:w="131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29 Jul (t−2)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Trade 2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brk-long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limit not reached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3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30 Jul (t−1)</w:t>
            </w:r>
          </w:p>
        </w:tc>
        <w:tc>
          <w:tcPr>
            <w:tcW w:type="dxa" w:w="115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Trade 1</w:t>
            </w:r>
          </w:p>
        </w:tc>
        <w:tc>
          <w:tcPr>
            <w:tcW w:type="dxa" w:w="115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LONG</w:t>
            </w:r>
          </w:p>
        </w:tc>
        <w:tc>
          <w:tcPr>
            <w:tcW w:type="dxa" w:w="115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4053 / 4066 (OPEN)</w:t>
            </w:r>
          </w:p>
        </w:tc>
        <w:tc>
          <w:tcPr>
            <w:tcW w:type="dxa" w:w="125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OPEN @ +0.2R</w:t>
            </w:r>
          </w:p>
        </w:tc>
        <w:tc>
          <w:tcPr>
            <w:tcW w:type="dxa" w:w="1310"/>
            <w:shd w:fill="F4F4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1+</w:t>
            </w:r>
          </w:p>
        </w:tc>
      </w:tr>
      <w:tr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30 Jul (t−1)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Trade 2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brk-long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4074 / 4117 (TP1)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+1.0R</w:t>
            </w:r>
          </w:p>
        </w:tc>
        <w:tc>
          <w:tcPr>
            <w:tcW w:type="dxa" w:w="13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</w:tr>
    </w:tbl>
    <w:p>
      <w:pPr>
        <w:pStyle w:val="Heading2"/>
        <w:spacing w:after="90" w:before="180"/>
      </w:pPr>
      <w:r>
        <w:rPr>
          <w:b/>
          <w:bCs/>
          <w:color w:val="1F3A5F"/>
          <w:sz w:val="23"/>
          <w:szCs w:val="23"/>
        </w:rPr>
        <w:t xml:space="preserve">§21d  What Is Working</w:t>
      </w:r>
    </w:p>
    <w:p>
      <w:pPr>
        <w:spacing w:after="120" w:line="276"/>
      </w:pPr>
      <w:r>
        <w:rPr>
          <w:sz w:val="20"/>
          <w:szCs w:val="20"/>
        </w:rPr>
        <w:t xml:space="preserve">Trade 1 over the last 5 sessions: triggered 5/5, mean R ≈ +0.32 (closed), TP1/TP2/TP3 hit rates ≈ 60% / 20% / 0%. </w:t>
      </w:r>
      <w:r>
        <w:rPr>
          <w:sz w:val="20"/>
          <w:szCs w:val="20"/>
        </w:rPr>
        <w:t xml:space="preserve">Trade 2 over the last 5 sessions: triggered 3/5, mean R ≈ +0.47 (closed), TP1/TP2/TP3 ≈ 67% / 0% / 0%. </w:t>
      </w:r>
      <w:r>
        <w:rPr>
          <w:sz w:val="20"/>
          <w:szCs w:val="20"/>
        </w:rPr>
        <w:t xml:space="preserve">Trade 3C: 0 triggers (price never left the 25-day range) — insufficient to rank. </w:t>
      </w:r>
      <w:r>
        <w:rPr>
          <w:b/>
          <w:bCs/>
          <w:sz w:val="20"/>
          <w:szCs w:val="20"/>
        </w:rPr>
        <w:t xml:space="preserve">Strongest performer: Trade 2 (breakout-side pivot). Weakest: Trade 3C (no triggers). </w:t>
      </w:r>
    </w:p>
    <w:p>
      <w:pPr>
        <w:shd w:fill="FBF6E8" w:color="auto" w:val="clear"/>
        <w:spacing w:after="120" w:before="60"/>
      </w:pPr>
      <w:r>
        <w:rPr>
          <w:i/>
          <w:iCs/>
          <w:color w:val="5A4A15"/>
          <w:sz w:val="18"/>
          <w:szCs w:val="18"/>
        </w:rPr>
        <w:t xml:space="preserve">Five-session windows are too small to support statistical claims. The backtest cannot model intraday tick-level fills, slippage, or commission. Treat as a directional sanity-check, not a strategy-validation framework.</w:t>
      </w:r>
    </w:p>
    <w:p>
      <w:pPr>
        <w:pBdr>
          <w:bottom w:val="single" w:color="1F3A5F" w:sz="6"/>
        </w:pBdr>
        <w:spacing w:after="60" w:before="60"/>
      </w:pPr>
    </w:p>
    <w:p>
      <w:pPr>
        <w:spacing w:before="80"/>
      </w:pPr>
      <w:r>
        <w:rPr>
          <w:i/>
          <w:iCs/>
          <w:color w:val="777777"/>
          <w:sz w:val="16"/>
          <w:szCs w:val="16"/>
        </w:rPr>
        <w:t xml:space="preserve">Gold Daily Report │ 31 July 2026 │ Senior Commodities Analyst — Precious Metals</w:t>
      </w:r>
    </w:p>
    <w:p>
      <w:pPr>
        <w:spacing w:before="40"/>
      </w:pPr>
      <w:r>
        <w:rPr>
          <w:i/>
          <w:iCs/>
          <w:color w:val="999999"/>
          <w:sz w:val="15"/>
          <w:szCs w:val="15"/>
        </w:rPr>
        <w:t xml:space="preserve">Prices are indicative where noted; not investment advice. Gold trades ~24 hours — the 07:00 UK anchor is an operator override for this session.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7f291dece1db8691d5c8c22566986245a1148aa.png"/><Relationship Id="rId8" Type="http://schemas.openxmlformats.org/officeDocument/2006/relationships/image" Target="media/e14886999c603a8d9af733975f754eec0643a576.png"/><Relationship Id="rId9" Type="http://schemas.openxmlformats.org/officeDocument/2006/relationships/image" Target="media/0c1f2dbd42dd08aaa0fe05381121683aaad26059.png"/><Relationship Id="rId10" Type="http://schemas.openxmlformats.org/officeDocument/2006/relationships/image" Target="media/8391fe90651097aa87282385952ed71509b96a01.png"/><Relationship Id="rId11" Type="http://schemas.openxmlformats.org/officeDocument/2006/relationships/image" Target="media/0876292b31b8253c7c9a20e3e91390d940aaa72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Gold Report — Daily: 31 July 2026</dc:title>
  <dc:creator>Commodities Desk</dc:creator>
  <cp:lastModifiedBy>Un-named</cp:lastModifiedBy>
  <cp:revision>1</cp:revision>
  <dcterms:created xsi:type="dcterms:W3CDTF">2026-07-30T21:53:49.783Z</dcterms:created>
  <dcterms:modified xsi:type="dcterms:W3CDTF">2026-07-30T21:53:49.798Z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