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2332"/>
          <w:sz w:val="40"/>
          <w:szCs w:val="40"/>
        </w:rPr>
        <w:t xml:space="preserve">S&amp;P 500 Report — Daily: 06 July 2026</w:t>
      </w:r>
    </w:p>
    <w:p>
      <w:pPr>
        <w:spacing w:after="60"/>
      </w:pPr>
      <w:r>
        <w:rPr>
          <w:rFonts w:ascii="Calibri" w:cs="Calibri" w:eastAsia="Calibri" w:hAnsi="Calibri"/>
          <w:i/>
          <w:iCs/>
          <w:color w:val="1f4e79"/>
          <w:sz w:val="22"/>
          <w:szCs w:val="22"/>
        </w:rPr>
        <w:t xml:space="preserve">With reference to: USDX · VIX · DAX 40</w:t>
      </w:r>
    </w:p>
    <w:p>
      <w:pPr>
        <w:pBdr>
          <w:bottom w:val="single" w:color="1f4e79" w:sz="6"/>
        </w:pBdr>
        <w:spacing w:after="120" w:before="40"/>
      </w:pPr>
    </w:p>
    <w:p>
      <w:pPr>
        <w:pStyle w:val="Heading1"/>
        <w:spacing w:after="120" w:before="260"/>
      </w:pPr>
      <w:r>
        <w:rPr>
          <w:rFonts w:ascii="Calibri" w:cs="Calibri" w:eastAsia="Calibri" w:hAnsi="Calibri"/>
          <w:b/>
          <w:bCs/>
          <w:color w:val="1f3864"/>
          <w:sz w:val="26"/>
          <w:szCs w:val="26"/>
        </w:rPr>
        <w:t xml:space="preserve">1 · Executive Snapshot</w:t>
      </w:r>
    </w:p>
    <w:p>
      <w:pPr>
        <w:spacing w:after="120" w:before="0" w:line="276"/>
      </w:pPr>
      <w:r>
        <w:rPr>
          <w:rFonts w:ascii="Calibri" w:cs="Calibri" w:eastAsia="Calibri" w:hAnsi="Calibri"/>
          <w:sz w:val="21"/>
          <w:szCs w:val="21"/>
        </w:rPr>
        <w:t xml:space="preserve">The S&amp;P 500 cash index closed at </w:t>
      </w:r>
      <w:r>
        <w:rPr>
          <w:rFonts w:ascii="Calibri" w:cs="Calibri" w:eastAsia="Calibri" w:hAnsi="Calibri"/>
          <w:b/>
          <w:bCs/>
          <w:sz w:val="21"/>
          <w:szCs w:val="21"/>
        </w:rPr>
        <w:t xml:space="preserve">7,483.24</w:t>
      </w:r>
      <w:r>
        <w:rPr>
          <w:rFonts w:ascii="Calibri" w:cs="Calibri" w:eastAsia="Calibri" w:hAnsi="Calibri"/>
          <w:sz w:val="21"/>
          <w:szCs w:val="21"/>
        </w:rPr>
        <w:t xml:space="preserve"> on 02 July 2026 — the last completed session before the Independence Day closure (Fri 03 Jul) and the 06 July reopen that anchors this report. Consensus tone is </w:t>
      </w:r>
      <w:r>
        <w:rPr>
          <w:rFonts w:ascii="Calibri" w:cs="Calibri" w:eastAsia="Calibri" w:hAnsi="Calibri"/>
          <w:b/>
          <w:bCs/>
          <w:color w:val="9c6500"/>
          <w:sz w:val="21"/>
          <w:szCs w:val="21"/>
        </w:rPr>
        <w:t xml:space="preserve">balanced</w:t>
      </w:r>
      <w:r>
        <w:rPr>
          <w:rFonts w:ascii="Calibri" w:cs="Calibri" w:eastAsia="Calibri" w:hAnsi="Calibri"/>
          <w:sz w:val="21"/>
          <w:szCs w:val="21"/>
        </w:rPr>
        <w:t xml:space="preserve">. Three drivers dominate: (i) a soft June payrolls print that firmed the market's read on Fed easing, (ii) a rotation out of mega-cap semiconductors (Micron −5.5%, Intel −5.3%, Tesla −7.5%) capping index upside even as breadth held, and (iii) a calm volatility backdrop (VIX mid-16s, well below the 20 elevated line). Short-term structure is </w:t>
      </w:r>
      <w:r>
        <w:rPr>
          <w:rFonts w:ascii="Calibri" w:cs="Calibri" w:eastAsia="Calibri" w:hAnsi="Calibri"/>
          <w:b/>
          <w:bCs/>
          <w:sz w:val="21"/>
          <w:szCs w:val="21"/>
        </w:rPr>
        <w:t xml:space="preserve">Ranging — Mixed</w:t>
      </w:r>
      <w:r>
        <w:rPr>
          <w:rFonts w:ascii="Calibri" w:cs="Calibri" w:eastAsia="Calibri" w:hAnsi="Calibri"/>
          <w:sz w:val="21"/>
          <w:szCs w:val="21"/>
        </w:rPr>
        <w:t xml:space="preserve">; the medium-term 25-session regime is </w:t>
      </w:r>
      <w:r>
        <w:rPr>
          <w:rFonts w:ascii="Calibri" w:cs="Calibri" w:eastAsia="Calibri" w:hAnsi="Calibri"/>
          <w:b/>
          <w:bCs/>
          <w:sz w:val="21"/>
          <w:szCs w:val="21"/>
        </w:rPr>
        <w:t xml:space="preserve">Ranging with a mild top bias</w:t>
      </w:r>
      <w:r>
        <w:rPr>
          <w:rFonts w:ascii="Calibri" w:cs="Calibri" w:eastAsia="Calibri" w:hAnsi="Calibri"/>
          <w:sz w:val="21"/>
          <w:szCs w:val="21"/>
        </w:rPr>
        <w:t xml:space="preserve"> (close at the 67th percentile of the 25-day range). The Kaufman efficiency read classifies as </w:t>
      </w:r>
      <w:r>
        <w:rPr>
          <w:rFonts w:ascii="Calibri" w:cs="Calibri" w:eastAsia="Calibri" w:hAnsi="Calibri"/>
          <w:b/>
          <w:bCs/>
          <w:sz w:val="21"/>
          <w:szCs w:val="21"/>
        </w:rPr>
        <w:t xml:space="preserve">Ranging — Upward Bias</w:t>
      </w:r>
      <w:r>
        <w:rPr>
          <w:rFonts w:ascii="Calibri" w:cs="Calibri" w:eastAsia="Calibri" w:hAnsi="Calibri"/>
          <w:sz w:val="21"/>
          <w:szCs w:val="21"/>
        </w:rPr>
        <w:t xml:space="preserve">, agreeing with the range synthesis. Directional conviction is NEUTRAL (score +0.06), so the daily directional trade is stood down while the regime-aware pivot and mean-reversion cards carry the book. Single most important watch item: the </w:t>
      </w:r>
      <w:r>
        <w:rPr>
          <w:rFonts w:ascii="Calibri" w:cs="Calibri" w:eastAsia="Calibri" w:hAnsi="Calibri"/>
          <w:b/>
          <w:bCs/>
          <w:sz w:val="21"/>
          <w:szCs w:val="21"/>
        </w:rPr>
        <w:t xml:space="preserve">06 July reopen gap</w:t>
      </w:r>
      <w:r>
        <w:rPr>
          <w:rFonts w:ascii="Calibri" w:cs="Calibri" w:eastAsia="Calibri" w:hAnsi="Calibri"/>
          <w:sz w:val="21"/>
          <w:szCs w:val="21"/>
        </w:rPr>
        <w:t xml:space="preserve"> — Sunday-evening futures pricing sets the open before cash trades.</w:t>
      </w:r>
    </w:p>
    <w:p>
      <w:pPr>
        <w:pStyle w:val="Heading1"/>
        <w:spacing w:after="120" w:before="260"/>
      </w:pPr>
      <w:r>
        <w:rPr>
          <w:rFonts w:ascii="Calibri" w:cs="Calibri" w:eastAsia="Calibri" w:hAnsi="Calibri"/>
          <w:b/>
          <w:bCs/>
          <w:color w:val="1f3864"/>
          <w:sz w:val="26"/>
          <w:szCs w:val="26"/>
        </w:rPr>
        <w:t xml:space="preserve">2 · Market Definition</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2400"/>
        <w:gridCol w:w="6960"/>
      </w:tblGrid>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Asset</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S&amp;P 500 cash index (large-cap US equity benchmark, 503 constituents)</w:t>
            </w:r>
          </w:p>
        </w:tc>
      </w:tr>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Specification</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Standardised S&amp;P Dow Jones index methodology, rebalanced quarterly</w:t>
            </w:r>
          </w:p>
        </w:tc>
      </w:tr>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Scope</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Global / US — headline US benchmark, global investor base</w:t>
            </w:r>
          </w:p>
        </w:tc>
      </w:tr>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Delivery basis</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NYSE/NASDAQ regular cash session 09:30–16:00 ET (pre-/after-market excluded)</w:t>
            </w:r>
          </w:p>
        </w:tc>
      </w:tr>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Price basis</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Continuous cash index level (not ES futures)</w:t>
            </w:r>
          </w:p>
        </w:tc>
      </w:tr>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Unit / Currency</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Index points · USD · tick 0.01</w:t>
            </w:r>
          </w:p>
        </w:tc>
      </w:tr>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As-of date</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06 July 2026 (America/New_York) — daily-open anchor overridden to this date per instruction</w:t>
            </w:r>
          </w:p>
        </w:tc>
      </w:tr>
      <w:tr>
        <w:tc>
          <w:tcPr>
            <w:tcW w:type="dxa" w:w="24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Lookback window</w:t>
            </w:r>
          </w:p>
        </w:tc>
        <w:tc>
          <w:tcPr>
            <w:tcW w:type="dxa" w:w="6960"/>
            <w:tcMar>
              <w:top w:type="dxa" w:w="60"/>
              <w:left w:type="dxa" w:w="90"/>
              <w:bottom w:type="dxa" w:w="60"/>
              <w:right w:type="dxa" w:w="90"/>
            </w:tcMar>
          </w:tcPr>
          <w:p>
            <w:pPr>
              <w:spacing w:after="0" w:line="252"/>
            </w:pPr>
            <w:r>
              <w:rPr>
                <w:rFonts w:ascii="Calibri" w:cs="Calibri" w:eastAsia="Calibri" w:hAnsi="Calibri"/>
                <w:sz w:val="19"/>
                <w:szCs w:val="19"/>
              </w:rPr>
              <w:t xml:space="preserve">5 sessions (execution) · 25 sessions (regime)</w:t>
            </w:r>
          </w:p>
        </w:tc>
      </w:tr>
    </w:tbl>
    <w:p>
      <w:pPr>
        <w:spacing w:after="100" w:before="0" w:line="276"/>
      </w:pPr>
      <w:r>
        <w:rPr>
          <w:rFonts w:ascii="Calibri" w:cs="Calibri" w:eastAsia="Calibri" w:hAnsi="Calibri"/>
          <w:b/>
          <w:bCs/>
          <w:i/>
          <w:iCs/>
          <w:sz w:val="19"/>
          <w:szCs w:val="19"/>
        </w:rPr>
        <w:t xml:space="preserve">Note: </w:t>
      </w:r>
      <w:r>
        <w:rPr>
          <w:rFonts w:ascii="Calibri" w:cs="Calibri" w:eastAsia="Calibri" w:hAnsi="Calibri"/>
          <w:i/>
          <w:iCs/>
          <w:color w:val="555555"/>
          <w:sz w:val="19"/>
          <w:szCs w:val="19"/>
        </w:rPr>
        <w:t xml:space="preserve">the daily-open anchor value carried in the instance was overridden to 06 July 2026. Because 03 July was an exchange holiday and 04–05 July fell on the weekend, the last completed validated session is 02 July 2026; all 5-day and 25-day blocks terminate there.</w:t>
      </w:r>
    </w:p>
    <w:p>
      <w:pPr>
        <w:pStyle w:val="Heading1"/>
        <w:spacing w:after="120" w:before="260"/>
      </w:pPr>
      <w:r>
        <w:rPr>
          <w:rFonts w:ascii="Calibri" w:cs="Calibri" w:eastAsia="Calibri" w:hAnsi="Calibri"/>
          <w:b/>
          <w:bCs/>
          <w:color w:val="1f3864"/>
          <w:sz w:val="26"/>
          <w:szCs w:val="26"/>
        </w:rPr>
        <w:t xml:space="preserve">3 · Consensus Price Call</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2200"/>
        <w:gridCol w:w="2200"/>
        <w:gridCol w:w="2400"/>
        <w:gridCol w:w="2560"/>
      </w:tblGrid>
      <w:tr>
        <w:trPr>
          <w:tblHeader/>
        </w:trPr>
        <w:tc>
          <w:tcPr>
            <w:tcW w:type="dxa" w:w="22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Consensus level</w:t>
            </w:r>
          </w:p>
        </w:tc>
        <w:tc>
          <w:tcPr>
            <w:tcW w:type="dxa" w:w="22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Range</w:t>
            </w:r>
          </w:p>
        </w:tc>
        <w:tc>
          <w:tcPr>
            <w:tcW w:type="dxa" w:w="2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Confidence / Tone</w:t>
            </w:r>
          </w:p>
        </w:tc>
        <w:tc>
          <w:tcPr>
            <w:tcW w:type="dxa" w:w="25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Rationale</w:t>
            </w:r>
          </w:p>
        </w:tc>
      </w:tr>
      <w:tr>
        <w:tc>
          <w:tcPr>
            <w:tcW w:type="dxa" w:w="2200"/>
            <w:tcMar>
              <w:top w:type="dxa" w:w="60"/>
              <w:left w:type="dxa" w:w="90"/>
              <w:bottom w:type="dxa" w:w="60"/>
              <w:right w:type="dxa" w:w="90"/>
            </w:tcMar>
          </w:tcPr>
          <w:p>
            <w:pPr>
              <w:spacing w:after="0" w:line="252"/>
            </w:pPr>
            <w:r>
              <w:rPr>
                <w:rFonts w:ascii="Calibri" w:cs="Calibri" w:eastAsia="Calibri" w:hAnsi="Calibri"/>
                <w:sz w:val="19"/>
                <w:szCs w:val="19"/>
              </w:rPr>
              <w:t xml:space="preserve">7,483.24 pts</w:t>
            </w:r>
          </w:p>
        </w:tc>
        <w:tc>
          <w:tcPr>
            <w:tcW w:type="dxa" w:w="2200"/>
            <w:tcMar>
              <w:top w:type="dxa" w:w="60"/>
              <w:left w:type="dxa" w:w="90"/>
              <w:bottom w:type="dxa" w:w="60"/>
              <w:right w:type="dxa" w:w="90"/>
            </w:tcMar>
          </w:tcPr>
          <w:p>
            <w:pPr>
              <w:spacing w:after="0" w:line="252"/>
            </w:pPr>
            <w:r>
              <w:rPr>
                <w:rFonts w:ascii="Calibri" w:cs="Calibri" w:eastAsia="Calibri" w:hAnsi="Calibri"/>
                <w:sz w:val="19"/>
                <w:szCs w:val="19"/>
              </w:rPr>
              <w:t xml:space="preserve">7,427 – 7,541 pts</w:t>
            </w:r>
          </w:p>
        </w:tc>
        <w:tc>
          <w:tcPr>
            <w:tcW w:type="dxa" w:w="2400"/>
            <w:tcMar>
              <w:top w:type="dxa" w:w="60"/>
              <w:left w:type="dxa" w:w="90"/>
              <w:bottom w:type="dxa" w:w="60"/>
              <w:right w:type="dxa" w:w="90"/>
            </w:tcMar>
          </w:tcPr>
          <w:p>
            <w:pPr>
              <w:spacing w:after="0" w:line="252"/>
            </w:pPr>
            <w:r>
              <w:rPr>
                <w:rFonts w:ascii="Calibri" w:cs="Calibri" w:eastAsia="Calibri" w:hAnsi="Calibri"/>
                <w:b/>
                <w:bCs/>
                <w:color w:val="9c6500"/>
                <w:sz w:val="19"/>
                <w:szCs w:val="19"/>
              </w:rPr>
              <w:t xml:space="preserve">Medium · Balanced</w:t>
            </w:r>
          </w:p>
        </w:tc>
        <w:tc>
          <w:tcPr>
            <w:tcW w:type="dxa" w:w="2560"/>
            <w:tcMar>
              <w:top w:type="dxa" w:w="60"/>
              <w:left w:type="dxa" w:w="90"/>
              <w:bottom w:type="dxa" w:w="60"/>
              <w:right w:type="dxa" w:w="90"/>
            </w:tcMar>
          </w:tcPr>
          <w:p>
            <w:pPr>
              <w:spacing w:after="0" w:line="252"/>
            </w:pPr>
            <w:r>
              <w:rPr>
                <w:rFonts w:ascii="Calibri" w:cs="Calibri" w:eastAsia="Calibri" w:hAnsi="Calibri"/>
                <w:sz w:val="19"/>
                <w:szCs w:val="19"/>
              </w:rPr>
              <w:t xml:space="preserve">Last validated cash close; two providers agree to the cent. Prior-session range frames the near-term band.</w:t>
            </w:r>
          </w:p>
        </w:tc>
      </w:tr>
    </w:tbl>
    <w:p>
      <w:pPr>
        <w:spacing w:after="120" w:before="0" w:line="276"/>
      </w:pPr>
      <w:r>
        <w:rPr>
          <w:rFonts w:ascii="Calibri" w:cs="Calibri" w:eastAsia="Calibri" w:hAnsi="Calibri"/>
          <w:sz w:val="20"/>
          <w:szCs w:val="20"/>
        </w:rPr>
        <w:t xml:space="preserve">The consensus price is the 02 July official cash close. It is the most defensible current level because the two independent OHLC providers reconciled to a zero delta on the close, and no session has printed since (holiday + weekend). It is an </w:t>
      </w:r>
      <w:r>
        <w:rPr>
          <w:rFonts w:ascii="Calibri" w:cs="Calibri" w:eastAsia="Calibri" w:hAnsi="Calibri"/>
          <w:i/>
          <w:iCs/>
          <w:sz w:val="20"/>
          <w:szCs w:val="20"/>
        </w:rPr>
        <w:t xml:space="preserve">as-of-last-close</w:t>
      </w:r>
      <w:r>
        <w:rPr>
          <w:rFonts w:ascii="Calibri" w:cs="Calibri" w:eastAsia="Calibri" w:hAnsi="Calibri"/>
          <w:sz w:val="20"/>
          <w:szCs w:val="20"/>
        </w:rPr>
        <w:t xml:space="preserve"> figure, not a live quote — the 06 July open will re-price against Sunday-night futures.</w:t>
      </w:r>
    </w:p>
    <w:p>
      <w:pPr>
        <w:pStyle w:val="Heading1"/>
        <w:spacing w:after="120" w:before="260"/>
      </w:pPr>
      <w:r>
        <w:rPr>
          <w:rFonts w:ascii="Calibri" w:cs="Calibri" w:eastAsia="Calibri" w:hAnsi="Calibri"/>
          <w:b/>
          <w:bCs/>
          <w:color w:val="1f3864"/>
          <w:sz w:val="26"/>
          <w:szCs w:val="26"/>
        </w:rPr>
        <w:t xml:space="preserve">4 · Price Evidence Table</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1500"/>
        <w:gridCol w:w="1150"/>
        <w:gridCol w:w="1350"/>
        <w:gridCol w:w="1350"/>
        <w:gridCol w:w="1500"/>
        <w:gridCol w:w="1200"/>
        <w:gridCol w:w="1310"/>
      </w:tblGrid>
      <w:tr>
        <w:trPr>
          <w:tblHeader/>
        </w:trPr>
        <w:tc>
          <w:tcPr>
            <w:tcW w:type="dxa" w:w="15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Source</w:t>
            </w:r>
          </w:p>
        </w:tc>
        <w:tc>
          <w:tcPr>
            <w:tcW w:type="dxa" w:w="11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Date</w:t>
            </w:r>
          </w:p>
        </w:tc>
        <w:tc>
          <w:tcPr>
            <w:tcW w:type="dxa" w:w="13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Raw close</w:t>
            </w:r>
          </w:p>
        </w:tc>
        <w:tc>
          <w:tcPr>
            <w:tcW w:type="dxa" w:w="13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Normalized</w:t>
            </w:r>
          </w:p>
        </w:tc>
        <w:tc>
          <w:tcPr>
            <w:tcW w:type="dxa" w:w="15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Basis</w:t>
            </w:r>
          </w:p>
        </w:tc>
        <w:tc>
          <w:tcPr>
            <w:tcW w:type="dxa" w:w="12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Class.</w:t>
            </w:r>
          </w:p>
        </w:tc>
        <w:tc>
          <w:tcPr>
            <w:tcW w:type="dxa" w:w="131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Notes</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Investing.com</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02 Jul 26</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7,483.24</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7,483.24</w:t>
            </w:r>
          </w:p>
        </w:tc>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Cash idx</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Core</w:t>
            </w:r>
          </w:p>
        </w:tc>
        <w:tc>
          <w:tcPr>
            <w:tcW w:type="dxa" w:w="1310"/>
            <w:tcMar>
              <w:top w:type="dxa" w:w="60"/>
              <w:left w:type="dxa" w:w="90"/>
              <w:bottom w:type="dxa" w:w="60"/>
              <w:right w:type="dxa" w:w="90"/>
            </w:tcMar>
          </w:tcPr>
          <w:p>
            <w:pPr>
              <w:spacing w:after="0" w:line="252"/>
            </w:pPr>
            <w:r>
              <w:rPr>
                <w:rFonts w:ascii="Calibri" w:cs="Calibri" w:eastAsia="Calibri" w:hAnsi="Calibri"/>
                <w:sz w:val="19"/>
                <w:szCs w:val="19"/>
              </w:rPr>
              <w:t xml:space="preserve">Full OHLC provider</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Yahoo/^GSPC (via Motley Fool)</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02 Jul 26</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7,483.24</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7,483.24</w:t>
            </w:r>
          </w:p>
        </w:tc>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Cash idx</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Core</w:t>
            </w:r>
          </w:p>
        </w:tc>
        <w:tc>
          <w:tcPr>
            <w:tcW w:type="dxa" w:w="1310"/>
            <w:tcMar>
              <w:top w:type="dxa" w:w="60"/>
              <w:left w:type="dxa" w:w="90"/>
              <w:bottom w:type="dxa" w:w="60"/>
              <w:right w:type="dxa" w:w="90"/>
            </w:tcMar>
          </w:tcPr>
          <w:p>
            <w:pPr>
              <w:spacing w:after="0" w:line="252"/>
            </w:pPr>
            <w:r>
              <w:rPr>
                <w:rFonts w:ascii="Calibri" w:cs="Calibri" w:eastAsia="Calibri" w:hAnsi="Calibri"/>
                <w:sz w:val="19"/>
                <w:szCs w:val="19"/>
              </w:rPr>
              <w:t xml:space="preserve">Close + 52wk range match exactly</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CNBC .SPX</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02 Jul 26</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≈7,483</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7,483.24</w:t>
            </w:r>
          </w:p>
        </w:tc>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Cash idx</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Direct.</w:t>
            </w:r>
          </w:p>
        </w:tc>
        <w:tc>
          <w:tcPr>
            <w:tcW w:type="dxa" w:w="1310"/>
            <w:tcMar>
              <w:top w:type="dxa" w:w="60"/>
              <w:left w:type="dxa" w:w="90"/>
              <w:bottom w:type="dxa" w:w="60"/>
              <w:right w:type="dxa" w:w="90"/>
            </w:tcMar>
          </w:tcPr>
          <w:p>
            <w:pPr>
              <w:spacing w:after="0" w:line="252"/>
            </w:pPr>
            <w:r>
              <w:rPr>
                <w:rFonts w:ascii="Calibri" w:cs="Calibri" w:eastAsia="Calibri" w:hAnsi="Calibri"/>
                <w:sz w:val="19"/>
                <w:szCs w:val="19"/>
              </w:rPr>
              <w:t xml:space="preserve">Live ticker confirmation</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Multpl</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02 Jul 26</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7,524.59</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w:t>
            </w:r>
          </w:p>
        </w:tc>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Mixed</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Excl.</w:t>
            </w:r>
          </w:p>
        </w:tc>
        <w:tc>
          <w:tcPr>
            <w:tcW w:type="dxa" w:w="1310"/>
            <w:tcMar>
              <w:top w:type="dxa" w:w="60"/>
              <w:left w:type="dxa" w:w="90"/>
              <w:bottom w:type="dxa" w:w="60"/>
              <w:right w:type="dxa" w:w="90"/>
            </w:tcMar>
          </w:tcPr>
          <w:p>
            <w:pPr>
              <w:spacing w:after="0" w:line="252"/>
            </w:pPr>
            <w:r>
              <w:rPr>
                <w:rFonts w:ascii="Calibri" w:cs="Calibri" w:eastAsia="Calibri" w:hAnsi="Calibri"/>
                <w:sz w:val="19"/>
                <w:szCs w:val="19"/>
              </w:rPr>
              <w:t xml:space="preserve">Intraday/alt-basis snapshot; excluded from close</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S&amp;P DJI (official)</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02 Jul 26</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Official close basis</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7,483.24</w:t>
            </w:r>
          </w:p>
        </w:tc>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Cash idx</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Core</w:t>
            </w:r>
          </w:p>
        </w:tc>
        <w:tc>
          <w:tcPr>
            <w:tcW w:type="dxa" w:w="1310"/>
            <w:tcMar>
              <w:top w:type="dxa" w:w="60"/>
              <w:left w:type="dxa" w:w="90"/>
              <w:bottom w:type="dxa" w:w="60"/>
              <w:right w:type="dxa" w:w="90"/>
            </w:tcMar>
          </w:tcPr>
          <w:p>
            <w:pPr>
              <w:spacing w:after="0" w:line="252"/>
            </w:pPr>
            <w:r>
              <w:rPr>
                <w:rFonts w:ascii="Calibri" w:cs="Calibri" w:eastAsia="Calibri" w:hAnsi="Calibri"/>
                <w:sz w:val="19"/>
                <w:szCs w:val="19"/>
              </w:rPr>
              <w:t xml:space="preserve">Index calculator of record</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CME ES futures</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02 Jul 26</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7,499.1 (US500 cash CFD)</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w:t>
            </w:r>
          </w:p>
        </w:tc>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Futures/CFD</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Excl.</w:t>
            </w:r>
          </w:p>
        </w:tc>
        <w:tc>
          <w:tcPr>
            <w:tcW w:type="dxa" w:w="1310"/>
            <w:tcMar>
              <w:top w:type="dxa" w:w="60"/>
              <w:left w:type="dxa" w:w="90"/>
              <w:bottom w:type="dxa" w:w="60"/>
              <w:right w:type="dxa" w:w="90"/>
            </w:tcMar>
          </w:tcPr>
          <w:p>
            <w:pPr>
              <w:spacing w:after="0" w:line="252"/>
            </w:pPr>
            <w:r>
              <w:rPr>
                <w:rFonts w:ascii="Calibri" w:cs="Calibri" w:eastAsia="Calibri" w:hAnsi="Calibri"/>
                <w:sz w:val="19"/>
                <w:szCs w:val="19"/>
              </w:rPr>
              <w:t xml:space="preserve">Confirmation only; not used for OHLC</w:t>
            </w:r>
          </w:p>
        </w:tc>
      </w:tr>
    </w:tbl>
    <w:p>
      <w:pPr>
        <w:spacing w:after="100" w:before="0" w:line="276"/>
      </w:pPr>
      <w:r>
        <w:rPr>
          <w:rFonts w:ascii="Calibri" w:cs="Calibri" w:eastAsia="Calibri" w:hAnsi="Calibri"/>
          <w:b/>
          <w:bCs/>
          <w:sz w:val="19"/>
          <w:szCs w:val="19"/>
        </w:rPr>
        <w:t xml:space="preserve">Corroboration outcome: </w:t>
      </w:r>
      <w:r>
        <w:rPr>
          <w:rFonts w:ascii="Calibri" w:cs="Calibri" w:eastAsia="Calibri" w:hAnsi="Calibri"/>
          <w:sz w:val="19"/>
          <w:szCs w:val="19"/>
        </w:rPr>
        <w:t xml:space="preserve">CORROBORATED — Investing.com × Yahoo(^GSPC), delta 0.00 pts on the close, inside the ±0.10 pt equity-index tolerance.</w:t>
      </w:r>
    </w:p>
    <w:p>
      <w:pPr>
        <w:pStyle w:val="Heading1"/>
        <w:spacing w:after="120" w:before="260"/>
      </w:pPr>
      <w:r>
        <w:rPr>
          <w:rFonts w:ascii="Calibri" w:cs="Calibri" w:eastAsia="Calibri" w:hAnsi="Calibri"/>
          <w:b/>
          <w:bCs/>
          <w:color w:val="1f3864"/>
          <w:sz w:val="26"/>
          <w:szCs w:val="26"/>
        </w:rPr>
        <w:t xml:space="preserve">5 · Consensus Build Explanation</w:t>
      </w:r>
    </w:p>
    <w:p>
      <w:pPr>
        <w:spacing w:after="120" w:before="0" w:line="276"/>
      </w:pPr>
      <w:r>
        <w:rPr>
          <w:rFonts w:ascii="Calibri" w:cs="Calibri" w:eastAsia="Calibri" w:hAnsi="Calibri"/>
          <w:sz w:val="21"/>
          <w:szCs w:val="21"/>
        </w:rPr>
        <w:t xml:space="preserve">All observations were taken on the same cash-index basis in index points, so no FX or unit conversion applied. The two full-history providers returned an identical 02 July close (7,483.24) and an identical 52-week range (6,201.00–7,620.90), which is strong evidence they are drawing from the same official S&amp;P DJI calculation. The Multpl reading of 7,524.59 was excluded as an alternative-basis / intraday snapshot that did not reconcile with the two OHLC providers, and the US500 CFD (7,499.1) was excluded as a derived contract per the restriction against blending futures/CFD quotes into cash OHLC. Weighting therefore rests on the two corroborating cash sources; the final number is the most defensible because it is the exchange-of-record close and carries a zero inter-source delta.</w:t>
      </w:r>
    </w:p>
    <w:p>
      <w:pPr>
        <w:pStyle w:val="Heading1"/>
        <w:spacing w:after="120" w:before="260"/>
      </w:pPr>
      <w:r>
        <w:rPr>
          <w:rFonts w:ascii="Calibri" w:cs="Calibri" w:eastAsia="Calibri" w:hAnsi="Calibri"/>
          <w:b/>
          <w:bCs/>
          <w:color w:val="1f3864"/>
          <w:sz w:val="26"/>
          <w:szCs w:val="26"/>
        </w:rPr>
        <w:t xml:space="preserve">6 · Validated OHLC + RSI2 (5 Sessions)</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1150"/>
        <w:gridCol w:w="1150"/>
        <w:gridCol w:w="1150"/>
        <w:gridCol w:w="1150"/>
        <w:gridCol w:w="1150"/>
        <w:gridCol w:w="900"/>
        <w:gridCol w:w="1050"/>
        <w:gridCol w:w="1660"/>
      </w:tblGrid>
      <w:tr>
        <w:trPr>
          <w:tblHeader/>
        </w:trPr>
        <w:tc>
          <w:tcPr>
            <w:tcW w:type="dxa" w:w="11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Date</w:t>
            </w:r>
          </w:p>
        </w:tc>
        <w:tc>
          <w:tcPr>
            <w:tcW w:type="dxa" w:w="11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Open</w:t>
            </w:r>
          </w:p>
        </w:tc>
        <w:tc>
          <w:tcPr>
            <w:tcW w:type="dxa" w:w="11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High</w:t>
            </w:r>
          </w:p>
        </w:tc>
        <w:tc>
          <w:tcPr>
            <w:tcW w:type="dxa" w:w="11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Low</w:t>
            </w:r>
          </w:p>
        </w:tc>
        <w:tc>
          <w:tcPr>
            <w:tcW w:type="dxa" w:w="11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Close</w:t>
            </w:r>
          </w:p>
        </w:tc>
        <w:tc>
          <w:tcPr>
            <w:tcW w:type="dxa" w:w="9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RSI2</w:t>
            </w:r>
          </w:p>
        </w:tc>
        <w:tc>
          <w:tcPr>
            <w:tcW w:type="dxa" w:w="10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Trend</w:t>
            </w:r>
          </w:p>
        </w:tc>
        <w:tc>
          <w:tcPr>
            <w:tcW w:type="dxa" w:w="16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Validation</w:t>
            </w:r>
          </w:p>
        </w:tc>
      </w:tr>
      <w:tr>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26 Jun</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7,312.74</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7,392.95</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7,294.18</w:t>
            </w:r>
          </w:p>
        </w:tc>
        <w:tc>
          <w:tcPr>
            <w:tcW w:type="dxa" w:w="1150"/>
            <w:tcMar>
              <w:top w:type="dxa" w:w="60"/>
              <w:left w:type="dxa" w:w="90"/>
              <w:bottom w:type="dxa" w:w="60"/>
              <w:right w:type="dxa" w:w="90"/>
            </w:tcMar>
          </w:tcPr>
          <w:p>
            <w:pPr>
              <w:spacing w:after="0" w:line="252"/>
            </w:pPr>
            <w:r>
              <w:rPr>
                <w:rFonts w:ascii="Calibri" w:cs="Calibri" w:eastAsia="Calibri" w:hAnsi="Calibri"/>
                <w:b/>
                <w:bCs/>
                <w:sz w:val="19"/>
                <w:szCs w:val="19"/>
              </w:rPr>
              <w:t xml:space="preserve">7,354.02</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0.0</w:t>
            </w:r>
          </w:p>
        </w:tc>
        <w:tc>
          <w:tcPr>
            <w:tcW w:type="dxa" w:w="1050"/>
            <w:tcMar>
              <w:top w:type="dxa" w:w="60"/>
              <w:left w:type="dxa" w:w="90"/>
              <w:bottom w:type="dxa" w:w="60"/>
              <w:right w:type="dxa" w:w="90"/>
            </w:tcMar>
          </w:tcPr>
          <w:p>
            <w:pPr>
              <w:spacing w:after="0" w:line="252"/>
            </w:pPr>
            <w:r>
              <w:rPr>
                <w:rFonts w:ascii="Calibri" w:cs="Calibri" w:eastAsia="Calibri" w:hAnsi="Calibri"/>
                <w:color w:val="9c6500"/>
                <w:sz w:val="19"/>
                <w:szCs w:val="19"/>
              </w:rPr>
              <w:t xml:space="preserve">Neutral</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CORROBORATED Δ0.00</w:t>
            </w:r>
          </w:p>
        </w:tc>
      </w:tr>
      <w:tr>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29 Jun</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7,391.88</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7,444.32</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7,348.88</w:t>
            </w:r>
          </w:p>
        </w:tc>
        <w:tc>
          <w:tcPr>
            <w:tcW w:type="dxa" w:w="1150"/>
            <w:tcMar>
              <w:top w:type="dxa" w:w="60"/>
              <w:left w:type="dxa" w:w="90"/>
              <w:bottom w:type="dxa" w:w="60"/>
              <w:right w:type="dxa" w:w="90"/>
            </w:tcMar>
          </w:tcPr>
          <w:p>
            <w:pPr>
              <w:spacing w:after="0" w:line="252"/>
            </w:pPr>
            <w:r>
              <w:rPr>
                <w:rFonts w:ascii="Calibri" w:cs="Calibri" w:eastAsia="Calibri" w:hAnsi="Calibri"/>
                <w:b/>
                <w:bCs/>
                <w:sz w:val="19"/>
                <w:szCs w:val="19"/>
              </w:rPr>
              <w:t xml:space="preserve">7,440.43</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96.1</w:t>
            </w:r>
          </w:p>
        </w:tc>
        <w:tc>
          <w:tcPr>
            <w:tcW w:type="dxa" w:w="105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Bullish</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CORROBORATED Δ0.00</w:t>
            </w:r>
          </w:p>
        </w:tc>
      </w:tr>
      <w:tr>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30 Jun</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7,441.27</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7,508.29</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7,438.04</w:t>
            </w:r>
          </w:p>
        </w:tc>
        <w:tc>
          <w:tcPr>
            <w:tcW w:type="dxa" w:w="1150"/>
            <w:tcMar>
              <w:top w:type="dxa" w:w="60"/>
              <w:left w:type="dxa" w:w="90"/>
              <w:bottom w:type="dxa" w:w="60"/>
              <w:right w:type="dxa" w:w="90"/>
            </w:tcMar>
          </w:tcPr>
          <w:p>
            <w:pPr>
              <w:spacing w:after="0" w:line="252"/>
            </w:pPr>
            <w:r>
              <w:rPr>
                <w:rFonts w:ascii="Calibri" w:cs="Calibri" w:eastAsia="Calibri" w:hAnsi="Calibri"/>
                <w:b/>
                <w:bCs/>
                <w:sz w:val="19"/>
                <w:szCs w:val="19"/>
              </w:rPr>
              <w:t xml:space="preserve">7,499.36</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100.0</w:t>
            </w:r>
          </w:p>
        </w:tc>
        <w:tc>
          <w:tcPr>
            <w:tcW w:type="dxa" w:w="105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Bullish</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CORROBORATED Δ0.00</w:t>
            </w:r>
          </w:p>
        </w:tc>
      </w:tr>
      <w:tr>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01 Jul</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7,478.84</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7,521.81</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7,449.63</w:t>
            </w:r>
          </w:p>
        </w:tc>
        <w:tc>
          <w:tcPr>
            <w:tcW w:type="dxa" w:w="1150"/>
            <w:tcMar>
              <w:top w:type="dxa" w:w="60"/>
              <w:left w:type="dxa" w:w="90"/>
              <w:bottom w:type="dxa" w:w="60"/>
              <w:right w:type="dxa" w:w="90"/>
            </w:tcMar>
          </w:tcPr>
          <w:p>
            <w:pPr>
              <w:spacing w:after="0" w:line="252"/>
            </w:pPr>
            <w:r>
              <w:rPr>
                <w:rFonts w:ascii="Calibri" w:cs="Calibri" w:eastAsia="Calibri" w:hAnsi="Calibri"/>
                <w:b/>
                <w:bCs/>
                <w:sz w:val="19"/>
                <w:szCs w:val="19"/>
              </w:rPr>
              <w:t xml:space="preserve">7,483.23</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78.5</w:t>
            </w:r>
          </w:p>
        </w:tc>
        <w:tc>
          <w:tcPr>
            <w:tcW w:type="dxa" w:w="1050"/>
            <w:tcMar>
              <w:top w:type="dxa" w:w="60"/>
              <w:left w:type="dxa" w:w="90"/>
              <w:bottom w:type="dxa" w:w="60"/>
              <w:right w:type="dxa" w:w="90"/>
            </w:tcMar>
          </w:tcPr>
          <w:p>
            <w:pPr>
              <w:spacing w:after="0" w:line="252"/>
            </w:pPr>
            <w:r>
              <w:rPr>
                <w:rFonts w:ascii="Calibri" w:cs="Calibri" w:eastAsia="Calibri" w:hAnsi="Calibri"/>
                <w:color w:val="9c6500"/>
                <w:sz w:val="19"/>
                <w:szCs w:val="19"/>
              </w:rPr>
              <w:t xml:space="preserve">Neutral</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CORROBORATED Δ0.00</w:t>
            </w:r>
          </w:p>
        </w:tc>
      </w:tr>
      <w:tr>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02 Jul</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7,495.14</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7,540.75</w:t>
            </w:r>
          </w:p>
        </w:tc>
        <w:tc>
          <w:tcPr>
            <w:tcW w:type="dxa" w:w="1150"/>
            <w:tcMar>
              <w:top w:type="dxa" w:w="60"/>
              <w:left w:type="dxa" w:w="90"/>
              <w:bottom w:type="dxa" w:w="60"/>
              <w:right w:type="dxa" w:w="90"/>
            </w:tcMar>
          </w:tcPr>
          <w:p>
            <w:pPr>
              <w:spacing w:after="0" w:line="252"/>
            </w:pPr>
            <w:r>
              <w:rPr>
                <w:rFonts w:ascii="Calibri" w:cs="Calibri" w:eastAsia="Calibri" w:hAnsi="Calibri"/>
                <w:sz w:val="19"/>
                <w:szCs w:val="19"/>
              </w:rPr>
              <w:t xml:space="preserve">7,427.55</w:t>
            </w:r>
          </w:p>
        </w:tc>
        <w:tc>
          <w:tcPr>
            <w:tcW w:type="dxa" w:w="1150"/>
            <w:tcMar>
              <w:top w:type="dxa" w:w="60"/>
              <w:left w:type="dxa" w:w="90"/>
              <w:bottom w:type="dxa" w:w="60"/>
              <w:right w:type="dxa" w:w="90"/>
            </w:tcMar>
          </w:tcPr>
          <w:p>
            <w:pPr>
              <w:spacing w:after="0" w:line="252"/>
            </w:pPr>
            <w:r>
              <w:rPr>
                <w:rFonts w:ascii="Calibri" w:cs="Calibri" w:eastAsia="Calibri" w:hAnsi="Calibri"/>
                <w:b/>
                <w:bCs/>
                <w:sz w:val="19"/>
                <w:szCs w:val="19"/>
              </w:rPr>
              <w:t xml:space="preserve">7,483.24</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0.1</w:t>
            </w:r>
          </w:p>
        </w:tc>
        <w:tc>
          <w:tcPr>
            <w:tcW w:type="dxa" w:w="1050"/>
            <w:tcMar>
              <w:top w:type="dxa" w:w="60"/>
              <w:left w:type="dxa" w:w="90"/>
              <w:bottom w:type="dxa" w:w="60"/>
              <w:right w:type="dxa" w:w="90"/>
            </w:tcMar>
          </w:tcPr>
          <w:p>
            <w:pPr>
              <w:spacing w:after="0" w:line="252"/>
            </w:pPr>
            <w:r>
              <w:rPr>
                <w:rFonts w:ascii="Calibri" w:cs="Calibri" w:eastAsia="Calibri" w:hAnsi="Calibri"/>
                <w:color w:val="9c6500"/>
                <w:sz w:val="19"/>
                <w:szCs w:val="19"/>
              </w:rPr>
              <w:t xml:space="preserve">Neutral</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CORROBORATED Δ0.00</w:t>
            </w:r>
          </w:p>
        </w:tc>
      </w:tr>
    </w:tbl>
    <w:p>
      <w:pPr>
        <w:spacing w:after="80" w:before="0" w:line="276"/>
      </w:pPr>
      <w:r>
        <w:rPr>
          <w:rFonts w:ascii="Calibri" w:cs="Calibri" w:eastAsia="Calibri" w:hAnsi="Calibri"/>
          <w:i/>
          <w:iCs/>
          <w:color w:val="555555"/>
          <w:sz w:val="19"/>
          <w:szCs w:val="19"/>
        </w:rPr>
        <w:t xml:space="preserve">RSI2 is period-2 on the validated close sequence. The whipsaw from 96→100→78→0.1 across the last four sessions is itself the signature of a range: momentum saturates and empties without follow-through.</w:t>
      </w:r>
    </w:p>
    <w:p>
      <w:pPr>
        <w:pStyle w:val="Heading1"/>
        <w:spacing w:after="120" w:before="260"/>
      </w:pPr>
      <w:r>
        <w:rPr>
          <w:rFonts w:ascii="Calibri" w:cs="Calibri" w:eastAsia="Calibri" w:hAnsi="Calibri"/>
          <w:b/>
          <w:bCs/>
          <w:color w:val="1f3864"/>
          <w:sz w:val="26"/>
          <w:szCs w:val="26"/>
        </w:rPr>
        <w:t xml:space="preserve">7 · Charts</w:t>
      </w:r>
    </w:p>
    <w:p>
      <w:pPr>
        <w:pStyle w:val="Heading2"/>
        <w:spacing w:after="90" w:before="180"/>
      </w:pPr>
      <w:r>
        <w:rPr>
          <w:rFonts w:ascii="Calibri" w:cs="Calibri" w:eastAsia="Calibri" w:hAnsi="Calibri"/>
          <w:b/>
          <w:bCs/>
          <w:color w:val="1f4e79"/>
          <w:sz w:val="22"/>
          <w:szCs w:val="22"/>
        </w:rPr>
        <w:t xml:space="preserve">7.1 · Five-Session Candlestick</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pStyle w:val="Heading2"/>
        <w:spacing w:after="90" w:before="180"/>
      </w:pPr>
      <w:r>
        <w:rPr>
          <w:rFonts w:ascii="Calibri" w:cs="Calibri" w:eastAsia="Calibri" w:hAnsi="Calibri"/>
          <w:b/>
          <w:bCs/>
          <w:color w:val="1f4e79"/>
          <w:sz w:val="22"/>
          <w:szCs w:val="22"/>
        </w:rPr>
        <w:t xml:space="preserve">7.2 · Distance from 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pStyle w:val="Heading2"/>
        <w:spacing w:after="90" w:before="180"/>
      </w:pPr>
      <w:r>
        <w:rPr>
          <w:rFonts w:ascii="Calibri" w:cs="Calibri" w:eastAsia="Calibri" w:hAnsi="Calibri"/>
          <w:b/>
          <w:bCs/>
          <w:color w:val="1f4e79"/>
          <w:sz w:val="22"/>
          <w:szCs w:val="22"/>
        </w:rPr>
        <w:t xml:space="preserve">7.3 · 25-Session Structure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90" w:before="180"/>
      </w:pPr>
      <w:r>
        <w:rPr>
          <w:rFonts w:ascii="Calibri" w:cs="Calibri" w:eastAsia="Calibri" w:hAnsi="Calibri"/>
          <w:b/>
          <w:bCs/>
          <w:color w:val="1f4e79"/>
          <w:sz w:val="22"/>
          <w:szCs w:val="22"/>
        </w:rPr>
        <w:t xml:space="preserve">7.4 · Comparative Volatility (VOLator)</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r>
        <w:br w:type="page"/>
      </w:r>
    </w:p>
    <w:p>
      <w:pPr>
        <w:pStyle w:val="Heading2"/>
        <w:spacing w:after="90" w:before="180"/>
      </w:pPr>
      <w:r>
        <w:rPr>
          <w:rFonts w:ascii="Calibri" w:cs="Calibri" w:eastAsia="Calibri" w:hAnsi="Calibri"/>
          <w:b/>
          <w:bCs/>
          <w:color w:val="1f4e79"/>
          <w:sz w:val="22"/>
          <w:szCs w:val="22"/>
        </w:rPr>
        <w:t xml:space="preserve">7.5 · Pivot Structure</w:t>
      </w:r>
    </w:p>
    <w:p>
      <w:pPr>
        <w:spacing w:after="120" w:before="80"/>
        <w:jc w:val="center"/>
      </w:pPr>
      <w:r>
        <w:drawing>
          <wp:inline distT="0" distB="0" distL="0" distR="0">
            <wp:extent cx="52101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3771900"/>
                    </a:xfrm>
                    <a:prstGeom prst="rect">
                      <a:avLst/>
                    </a:prstGeom>
                  </pic:spPr>
                </pic:pic>
              </a:graphicData>
            </a:graphic>
          </wp:inline>
        </w:drawing>
      </w:r>
    </w:p>
    <w:p>
      <w:pPr>
        <w:spacing w:after="60" w:before="0" w:line="276"/>
      </w:pPr>
      <w:r>
        <w:rPr>
          <w:rFonts w:ascii="Calibri" w:cs="Calibri" w:eastAsia="Calibri" w:hAnsi="Calibri"/>
          <w:i/>
          <w:iCs/>
          <w:color w:val="777777"/>
          <w:sz w:val="18"/>
          <w:szCs w:val="18"/>
        </w:rPr>
        <w:t xml:space="preserve">Counter volatility series on the VOLator chart are marked indicative — the primary S&amp;P 500 series is computed from corroborated OHLC; USDX/VIX/DAX series are directional representations pending full dual-source counter OHLC (see §19).</w:t>
      </w:r>
    </w:p>
    <w:p>
      <w:pPr>
        <w:pStyle w:val="Heading1"/>
        <w:spacing w:after="120" w:before="260"/>
      </w:pPr>
      <w:r>
        <w:rPr>
          <w:rFonts w:ascii="Calibri" w:cs="Calibri" w:eastAsia="Calibri" w:hAnsi="Calibri"/>
          <w:b/>
          <w:bCs/>
          <w:color w:val="1f3864"/>
          <w:sz w:val="26"/>
          <w:szCs w:val="26"/>
        </w:rPr>
        <w:t xml:space="preserve">8 · Short-Term Technical Analysis</w:t>
      </w:r>
    </w:p>
    <w:p>
      <w:pPr>
        <w:pStyle w:val="ListParagraph"/>
        <w:numPr>
          <w:ilvl w:val="0"/>
          <w:numId w:val="1"/>
        </w:numPr>
        <w:spacing w:after="70" w:line="264"/>
      </w:pPr>
      <w:r>
        <w:rPr>
          <w:rFonts w:ascii="Calibri" w:cs="Calibri" w:eastAsia="Calibri" w:hAnsi="Calibri"/>
          <w:b/>
          <w:bCs/>
          <w:color w:val="1a7a4c"/>
          <w:sz w:val="21"/>
          <w:szCs w:val="21"/>
        </w:rPr>
        <w:t xml:space="preserve">26 Jun: </w:t>
      </w:r>
      <w:r>
        <w:rPr>
          <w:rFonts w:ascii="Calibri" w:cs="Calibri" w:eastAsia="Calibri" w:hAnsi="Calibri"/>
          <w:sz w:val="21"/>
          <w:szCs w:val="21"/>
        </w:rPr>
        <w:t xml:space="preserve">green body, close near range top but RSI2 pinned at 0 after the prior slide — a bounce off demand, not yet a reversal signal (see §6).</w:t>
      </w:r>
    </w:p>
    <w:p>
      <w:pPr>
        <w:pStyle w:val="ListParagraph"/>
        <w:numPr>
          <w:ilvl w:val="0"/>
          <w:numId w:val="1"/>
        </w:numPr>
        <w:spacing w:after="70" w:line="264"/>
      </w:pPr>
      <w:r>
        <w:rPr>
          <w:rFonts w:ascii="Calibri" w:cs="Calibri" w:eastAsia="Calibri" w:hAnsi="Calibri"/>
          <w:b/>
          <w:bCs/>
          <w:color w:val="1a7a4c"/>
          <w:sz w:val="21"/>
          <w:szCs w:val="21"/>
        </w:rPr>
        <w:t xml:space="preserve">29 Jun: </w:t>
      </w:r>
      <w:r>
        <w:rPr>
          <w:rFonts w:ascii="Calibri" w:cs="Calibri" w:eastAsia="Calibri" w:hAnsi="Calibri"/>
          <w:sz w:val="21"/>
          <w:szCs w:val="21"/>
        </w:rPr>
        <w:t xml:space="preserve">strong bullish body, close ~96% of range, RSI2 96.1 — the up-leg's cleanest session.</w:t>
      </w:r>
    </w:p>
    <w:p>
      <w:pPr>
        <w:pStyle w:val="ListParagraph"/>
        <w:numPr>
          <w:ilvl w:val="0"/>
          <w:numId w:val="1"/>
        </w:numPr>
        <w:spacing w:after="70" w:line="264"/>
      </w:pPr>
      <w:r>
        <w:rPr>
          <w:rFonts w:ascii="Calibri" w:cs="Calibri" w:eastAsia="Calibri" w:hAnsi="Calibri"/>
          <w:b/>
          <w:bCs/>
          <w:color w:val="1a7a4c"/>
          <w:sz w:val="21"/>
          <w:szCs w:val="21"/>
        </w:rPr>
        <w:t xml:space="preserve">30 Jun: </w:t>
      </w:r>
      <w:r>
        <w:rPr>
          <w:rFonts w:ascii="Calibri" w:cs="Calibri" w:eastAsia="Calibri" w:hAnsi="Calibri"/>
          <w:sz w:val="21"/>
          <w:szCs w:val="21"/>
        </w:rPr>
        <w:t xml:space="preserve">bullish continuation, RSI2 100, close ~87% of range — momentum peak.</w:t>
      </w:r>
    </w:p>
    <w:p>
      <w:pPr>
        <w:pStyle w:val="ListParagraph"/>
        <w:numPr>
          <w:ilvl w:val="0"/>
          <w:numId w:val="1"/>
        </w:numPr>
        <w:spacing w:after="70" w:line="264"/>
      </w:pPr>
      <w:r>
        <w:rPr>
          <w:rFonts w:ascii="Calibri" w:cs="Calibri" w:eastAsia="Calibri" w:hAnsi="Calibri"/>
          <w:b/>
          <w:bCs/>
          <w:color w:val="1a7a4c"/>
          <w:sz w:val="21"/>
          <w:szCs w:val="21"/>
        </w:rPr>
        <w:t xml:space="preserve">01 Jul: </w:t>
      </w:r>
      <w:r>
        <w:rPr>
          <w:rFonts w:ascii="Calibri" w:cs="Calibri" w:eastAsia="Calibri" w:hAnsi="Calibri"/>
          <w:sz w:val="21"/>
          <w:szCs w:val="21"/>
        </w:rPr>
        <w:t xml:space="preserve">inside-ish session, close ~47% of range, RSI2 cooling to 78.5 — first sign of stall.</w:t>
      </w:r>
    </w:p>
    <w:p>
      <w:pPr>
        <w:pStyle w:val="ListParagraph"/>
        <w:numPr>
          <w:ilvl w:val="0"/>
          <w:numId w:val="1"/>
        </w:numPr>
        <w:spacing w:after="70" w:line="264"/>
      </w:pPr>
      <w:r>
        <w:rPr>
          <w:rFonts w:ascii="Calibri" w:cs="Calibri" w:eastAsia="Calibri" w:hAnsi="Calibri"/>
          <w:b/>
          <w:bCs/>
          <w:color w:val="1a7a4c"/>
          <w:sz w:val="21"/>
          <w:szCs w:val="21"/>
        </w:rPr>
        <w:t xml:space="preserve">02 Jul: </w:t>
      </w:r>
      <w:r>
        <w:rPr>
          <w:rFonts w:ascii="Calibri" w:cs="Calibri" w:eastAsia="Calibri" w:hAnsi="Calibri"/>
          <w:sz w:val="21"/>
          <w:szCs w:val="21"/>
        </w:rPr>
        <w:t xml:space="preserve">wide range, close in the lower third (~49% but well off the high), RSI2 collapse to 0.1 — momentum emptied into the holiday; a bearish-tilt doji-to-body.</w:t>
      </w:r>
    </w:p>
    <w:p>
      <w:pPr>
        <w:spacing w:after="120" w:before="0" w:line="276"/>
      </w:pPr>
      <w:r>
        <w:rPr>
          <w:rFonts w:ascii="Calibri" w:cs="Calibri" w:eastAsia="Calibri" w:hAnsi="Calibri"/>
          <w:b/>
          <w:bCs/>
          <w:sz w:val="21"/>
          <w:szCs w:val="21"/>
        </w:rPr>
        <w:t xml:space="preserve">Sequence assessment: </w:t>
      </w:r>
      <w:r>
        <w:rPr>
          <w:rFonts w:ascii="Calibri" w:cs="Calibri" w:eastAsia="Calibri" w:hAnsi="Calibri"/>
          <w:sz w:val="21"/>
          <w:szCs w:val="21"/>
        </w:rPr>
        <w:t xml:space="preserve">Compression / Indecision. </w:t>
      </w:r>
      <w:r>
        <w:rPr>
          <w:rFonts w:ascii="Calibri" w:cs="Calibri" w:eastAsia="Calibri" w:hAnsi="Calibri"/>
          <w:sz w:val="21"/>
          <w:szCs w:val="21"/>
        </w:rPr>
        <w:t xml:space="preserve">The 26–30 Jun rally gave way to two stalling sessions with the RSI2 oscillating full-scale — closes stopped travelling in one direction and the last bar rejected the high. Nearest resistance 7,540.75 (02 Jul high); nearest support 7,427.55 (02 Jul low), then 7,294.18 (26 Jun low). </w:t>
      </w:r>
      <w:r>
        <w:rPr>
          <w:rFonts w:ascii="Calibri" w:cs="Calibri" w:eastAsia="Calibri" w:hAnsi="Calibri"/>
          <w:b/>
          <w:bCs/>
          <w:color w:val="9c6500"/>
          <w:sz w:val="21"/>
          <w:szCs w:val="21"/>
        </w:rPr>
        <w:t xml:space="preserve">Judgement label: Indecision. </w:t>
      </w:r>
      <w:r>
        <w:rPr>
          <w:rFonts w:ascii="Calibri" w:cs="Calibri" w:eastAsia="Calibri" w:hAnsi="Calibri"/>
          <w:sz w:val="21"/>
          <w:szCs w:val="21"/>
        </w:rPr>
        <w:t xml:space="preserve">This is consistent with the §9 ranging regime.</w:t>
      </w:r>
    </w:p>
    <w:p>
      <w:pPr>
        <w:pStyle w:val="Heading1"/>
        <w:spacing w:after="120" w:before="260"/>
      </w:pPr>
      <w:r>
        <w:rPr>
          <w:rFonts w:ascii="Calibri" w:cs="Calibri" w:eastAsia="Calibri" w:hAnsi="Calibri"/>
          <w:b/>
          <w:bCs/>
          <w:color w:val="1f3864"/>
          <w:sz w:val="26"/>
          <w:szCs w:val="26"/>
        </w:rPr>
        <w:t xml:space="preserve">9 · Medium-Term Regime &amp; VOLator</w:t>
      </w:r>
    </w:p>
    <w:p>
      <w:pPr>
        <w:pStyle w:val="ListParagraph"/>
        <w:numPr>
          <w:ilvl w:val="0"/>
          <w:numId w:val="1"/>
        </w:numPr>
        <w:spacing w:after="70" w:line="264"/>
      </w:pPr>
      <w:r>
        <w:rPr>
          <w:rFonts w:ascii="Calibri" w:cs="Calibri" w:eastAsia="Calibri" w:hAnsi="Calibri"/>
          <w:b/>
          <w:bCs/>
          <w:color w:val="1f4e79"/>
          <w:sz w:val="21"/>
          <w:szCs w:val="21"/>
        </w:rPr>
        <w:t xml:space="preserve">Regime: Ranging. </w:t>
      </w:r>
      <w:r>
        <w:rPr>
          <w:rFonts w:ascii="Calibri" w:cs="Calibri" w:eastAsia="Calibri" w:hAnsi="Calibri"/>
          <w:sz w:val="21"/>
          <w:szCs w:val="21"/>
        </w:rPr>
        <w:t xml:space="preserve">Overlap ratio 0.57 (&gt;0.55, range-bound), directional persistence 0.47 (&lt;0.50, non-trending), absolute directional mean ~0.0004 (negligible drift).</w:t>
      </w:r>
    </w:p>
    <w:p>
      <w:pPr>
        <w:pStyle w:val="ListParagraph"/>
        <w:numPr>
          <w:ilvl w:val="0"/>
          <w:numId w:val="1"/>
        </w:numPr>
        <w:spacing w:after="70" w:line="264"/>
      </w:pPr>
      <w:r>
        <w:rPr>
          <w:rFonts w:ascii="Calibri" w:cs="Calibri" w:eastAsia="Calibri" w:hAnsi="Calibri"/>
          <w:b/>
          <w:bCs/>
          <w:color w:val="1a7a4c"/>
          <w:sz w:val="21"/>
          <w:szCs w:val="21"/>
        </w:rPr>
        <w:t xml:space="preserve">Bias: Neutral-to-mild-bullish. </w:t>
      </w:r>
      <w:r>
        <w:rPr>
          <w:rFonts w:ascii="Calibri" w:cs="Calibri" w:eastAsia="Calibri" w:hAnsi="Calibri"/>
          <w:sz w:val="21"/>
          <w:szCs w:val="21"/>
        </w:rPr>
        <w:t xml:space="preserve">Most recent close sits at the 66.8th percentile of the 25-session range — a top-of-range position within the range.</w:t>
      </w:r>
    </w:p>
    <w:p>
      <w:pPr>
        <w:pStyle w:val="ListParagraph"/>
        <w:numPr>
          <w:ilvl w:val="0"/>
          <w:numId w:val="1"/>
        </w:numPr>
        <w:spacing w:after="70" w:line="264"/>
      </w:pPr>
      <w:r>
        <w:rPr>
          <w:rFonts w:ascii="Calibri" w:cs="Calibri" w:eastAsia="Calibri" w:hAnsi="Calibri"/>
          <w:b/>
          <w:bCs/>
          <w:color w:val="1f4e79"/>
          <w:sz w:val="21"/>
          <w:szCs w:val="21"/>
        </w:rPr>
        <w:t xml:space="preserve">VOLator: </w:t>
      </w:r>
      <w:r>
        <w:rPr>
          <w:rFonts w:ascii="Calibri" w:cs="Calibri" w:eastAsia="Calibri" w:hAnsi="Calibri"/>
          <w:sz w:val="21"/>
          <w:szCs w:val="21"/>
        </w:rPr>
        <w:t xml:space="preserve">S&amp;P 500 scaled volatility −1.00 (bottom of its own 25-day band) with a negative slope (−0.40 over the last 10 obs) — volatility is contracting, the ranging signature.</w:t>
      </w:r>
    </w:p>
    <w:p>
      <w:pPr>
        <w:pStyle w:val="ListParagraph"/>
        <w:numPr>
          <w:ilvl w:val="0"/>
          <w:numId w:val="1"/>
        </w:numPr>
        <w:spacing w:after="70" w:line="264"/>
      </w:pPr>
      <w:r>
        <w:rPr>
          <w:rFonts w:ascii="Calibri" w:cs="Calibri" w:eastAsia="Calibri" w:hAnsi="Calibri"/>
          <w:b/>
          <w:bCs/>
          <w:color w:val="1f4e79"/>
          <w:sz w:val="21"/>
          <w:szCs w:val="21"/>
        </w:rPr>
        <w:t xml:space="preserve">Preferred protocol: </w:t>
      </w:r>
      <w:r>
        <w:rPr>
          <w:rFonts w:ascii="Calibri" w:cs="Calibri" w:eastAsia="Calibri" w:hAnsi="Calibri"/>
          <w:sz w:val="21"/>
          <w:szCs w:val="21"/>
        </w:rPr>
        <w:t xml:space="preserve">Range fade at validated extremes; buy low / sell high rather than chase breakouts (short-term indecision + medium-term range agree).</w:t>
      </w:r>
    </w:p>
    <w:p>
      <w:pPr>
        <w:pStyle w:val="ListParagraph"/>
        <w:numPr>
          <w:ilvl w:val="0"/>
          <w:numId w:val="1"/>
        </w:numPr>
        <w:spacing w:after="70" w:line="264"/>
      </w:pPr>
      <w:r>
        <w:rPr>
          <w:rFonts w:ascii="Calibri" w:cs="Calibri" w:eastAsia="Calibri" w:hAnsi="Calibri"/>
          <w:b/>
          <w:bCs/>
          <w:color w:val="1f4e79"/>
          <w:sz w:val="21"/>
          <w:szCs w:val="21"/>
        </w:rPr>
        <w:t xml:space="preserve">Kaufman confirmation: </w:t>
      </w:r>
      <w:r>
        <w:rPr>
          <w:rFonts w:ascii="Calibri" w:cs="Calibri" w:eastAsia="Calibri" w:hAnsi="Calibri"/>
          <w:sz w:val="21"/>
          <w:szCs w:val="21"/>
        </w:rPr>
        <w:t xml:space="preserve">Smoothed KER +0.107, inside the +0.09/+0.13 inner band → Ranging — Upward Bias, and falling. This agrees with the range synthesis and adds a slight upward lean.</w:t>
      </w:r>
    </w:p>
    <w:p>
      <w:pPr>
        <w:pStyle w:val="Heading1"/>
        <w:spacing w:after="120" w:before="260"/>
      </w:pPr>
      <w:r>
        <w:rPr>
          <w:rFonts w:ascii="Calibri" w:cs="Calibri" w:eastAsia="Calibri" w:hAnsi="Calibri"/>
          <w:b/>
          <w:bCs/>
          <w:color w:val="1f3864"/>
          <w:sz w:val="26"/>
          <w:szCs w:val="26"/>
        </w:rPr>
        <w:t xml:space="preserve">10 · Cross-Asset Analysis</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1500"/>
        <w:gridCol w:w="1400"/>
        <w:gridCol w:w="3400"/>
        <w:gridCol w:w="1400"/>
        <w:gridCol w:w="1660"/>
      </w:tblGrid>
      <w:tr>
        <w:trPr>
          <w:tblHeader/>
        </w:trPr>
        <w:tc>
          <w:tcPr>
            <w:tcW w:type="dxa" w:w="15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Counter</w:t>
            </w:r>
          </w:p>
        </w:tc>
        <w:tc>
          <w:tcPr>
            <w:tcW w:type="dxa" w:w="1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5-day dir.</w:t>
            </w:r>
          </w:p>
        </w:tc>
        <w:tc>
          <w:tcPr>
            <w:tcW w:type="dxa" w:w="3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Mechanism</w:t>
            </w:r>
          </w:p>
        </w:tc>
        <w:tc>
          <w:tcPr>
            <w:tcW w:type="dxa" w:w="1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Confirm?</w:t>
            </w:r>
          </w:p>
        </w:tc>
        <w:tc>
          <w:tcPr>
            <w:tcW w:type="dxa" w:w="16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Implication</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USDX (Dollar Index)</w:t>
            </w:r>
          </w:p>
        </w:tc>
        <w:tc>
          <w:tcPr>
            <w:tcW w:type="dxa" w:w="1400"/>
            <w:tcMar>
              <w:top w:type="dxa" w:w="60"/>
              <w:left w:type="dxa" w:w="90"/>
              <w:bottom w:type="dxa" w:w="60"/>
              <w:right w:type="dxa" w:w="90"/>
            </w:tcMar>
          </w:tcPr>
          <w:p>
            <w:pPr>
              <w:spacing w:after="0" w:line="252"/>
            </w:pPr>
            <w:r>
              <w:rPr>
                <w:rFonts w:ascii="Calibri" w:cs="Calibri" w:eastAsia="Calibri" w:hAnsi="Calibri"/>
                <w:sz w:val="19"/>
                <w:szCs w:val="19"/>
              </w:rPr>
              <w:t xml:space="preserve">Falling (~100.5, easing)</w:t>
            </w:r>
          </w:p>
        </w:tc>
        <w:tc>
          <w:tcPr>
            <w:tcW w:type="dxa" w:w="3400"/>
            <w:tcMar>
              <w:top w:type="dxa" w:w="60"/>
              <w:left w:type="dxa" w:w="90"/>
              <w:bottom w:type="dxa" w:w="60"/>
              <w:right w:type="dxa" w:w="90"/>
            </w:tcMar>
          </w:tcPr>
          <w:p>
            <w:pPr>
              <w:spacing w:after="0" w:line="252"/>
            </w:pPr>
            <w:r>
              <w:rPr>
                <w:rFonts w:ascii="Calibri" w:cs="Calibri" w:eastAsia="Calibri" w:hAnsi="Calibri"/>
                <w:sz w:val="19"/>
                <w:szCs w:val="19"/>
              </w:rPr>
              <w:t xml:space="preserve">Softer dollar eases global financial conditions and lifts S&amp;P multinational earnings translation</w:t>
            </w:r>
          </w:p>
        </w:tc>
        <w:tc>
          <w:tcPr>
            <w:tcW w:type="dxa" w:w="1400"/>
            <w:tcMar>
              <w:top w:type="dxa" w:w="60"/>
              <w:left w:type="dxa" w:w="90"/>
              <w:bottom w:type="dxa" w:w="60"/>
              <w:right w:type="dxa" w:w="90"/>
            </w:tcMar>
          </w:tcPr>
          <w:p>
            <w:pPr>
              <w:spacing w:after="0" w:line="252"/>
            </w:pPr>
            <w:r>
              <w:rPr>
                <w:rFonts w:ascii="Calibri" w:cs="Calibri" w:eastAsia="Calibri" w:hAnsi="Calibri"/>
                <w:sz w:val="19"/>
                <w:szCs w:val="19"/>
              </w:rPr>
              <w:t xml:space="preserve">Confirms</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Supportive backdrop for the range's upper half</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VIX</w:t>
            </w:r>
          </w:p>
        </w:tc>
        <w:tc>
          <w:tcPr>
            <w:tcW w:type="dxa" w:w="1400"/>
            <w:tcMar>
              <w:top w:type="dxa" w:w="60"/>
              <w:left w:type="dxa" w:w="90"/>
              <w:bottom w:type="dxa" w:w="60"/>
              <w:right w:type="dxa" w:w="90"/>
            </w:tcMar>
          </w:tcPr>
          <w:p>
            <w:pPr>
              <w:spacing w:after="0" w:line="252"/>
            </w:pPr>
            <w:r>
              <w:rPr>
                <w:rFonts w:ascii="Calibri" w:cs="Calibri" w:eastAsia="Calibri" w:hAnsi="Calibri"/>
                <w:sz w:val="19"/>
                <w:szCs w:val="19"/>
              </w:rPr>
              <w:t xml:space="preserve">Falling (mid-16s)</w:t>
            </w:r>
          </w:p>
        </w:tc>
        <w:tc>
          <w:tcPr>
            <w:tcW w:type="dxa" w:w="3400"/>
            <w:tcMar>
              <w:top w:type="dxa" w:w="60"/>
              <w:left w:type="dxa" w:w="90"/>
              <w:bottom w:type="dxa" w:w="60"/>
              <w:right w:type="dxa" w:w="90"/>
            </w:tcMar>
          </w:tcPr>
          <w:p>
            <w:pPr>
              <w:spacing w:after="0" w:line="252"/>
            </w:pPr>
            <w:r>
              <w:rPr>
                <w:rFonts w:ascii="Calibri" w:cs="Calibri" w:eastAsia="Calibri" w:hAnsi="Calibri"/>
                <w:sz w:val="19"/>
                <w:szCs w:val="19"/>
              </w:rPr>
              <w:t xml:space="preserve">Low implied vol = risk-on / calm; below the 20 elevated line</w:t>
            </w:r>
          </w:p>
        </w:tc>
        <w:tc>
          <w:tcPr>
            <w:tcW w:type="dxa" w:w="1400"/>
            <w:tcMar>
              <w:top w:type="dxa" w:w="60"/>
              <w:left w:type="dxa" w:w="90"/>
              <w:bottom w:type="dxa" w:w="60"/>
              <w:right w:type="dxa" w:w="90"/>
            </w:tcMar>
          </w:tcPr>
          <w:p>
            <w:pPr>
              <w:spacing w:after="0" w:line="252"/>
            </w:pPr>
            <w:r>
              <w:rPr>
                <w:rFonts w:ascii="Calibri" w:cs="Calibri" w:eastAsia="Calibri" w:hAnsi="Calibri"/>
                <w:sz w:val="19"/>
                <w:szCs w:val="19"/>
              </w:rPr>
              <w:t xml:space="preserve">Confirms</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Range holds; no stress premium being paid</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DAX 40</w:t>
            </w:r>
          </w:p>
        </w:tc>
        <w:tc>
          <w:tcPr>
            <w:tcW w:type="dxa" w:w="1400"/>
            <w:tcMar>
              <w:top w:type="dxa" w:w="60"/>
              <w:left w:type="dxa" w:w="90"/>
              <w:bottom w:type="dxa" w:w="60"/>
              <w:right w:type="dxa" w:w="90"/>
            </w:tcMar>
          </w:tcPr>
          <w:p>
            <w:pPr>
              <w:spacing w:after="0" w:line="252"/>
            </w:pPr>
            <w:r>
              <w:rPr>
                <w:rFonts w:ascii="Calibri" w:cs="Calibri" w:eastAsia="Calibri" w:hAnsi="Calibri"/>
                <w:sz w:val="19"/>
                <w:szCs w:val="19"/>
              </w:rPr>
              <w:t xml:space="preserve">Flat-to-firm</w:t>
            </w:r>
          </w:p>
        </w:tc>
        <w:tc>
          <w:tcPr>
            <w:tcW w:type="dxa" w:w="3400"/>
            <w:tcMar>
              <w:top w:type="dxa" w:w="60"/>
              <w:left w:type="dxa" w:w="90"/>
              <w:bottom w:type="dxa" w:w="60"/>
              <w:right w:type="dxa" w:w="90"/>
            </w:tcMar>
          </w:tcPr>
          <w:p>
            <w:pPr>
              <w:spacing w:after="0" w:line="252"/>
            </w:pPr>
            <w:r>
              <w:rPr>
                <w:rFonts w:ascii="Calibri" w:cs="Calibri" w:eastAsia="Calibri" w:hAnsi="Calibri"/>
                <w:sz w:val="19"/>
                <w:szCs w:val="19"/>
              </w:rPr>
              <w:t xml:space="preserve">European risk proxy; common global-risk factor with US equity</w:t>
            </w:r>
          </w:p>
        </w:tc>
        <w:tc>
          <w:tcPr>
            <w:tcW w:type="dxa" w:w="1400"/>
            <w:tcMar>
              <w:top w:type="dxa" w:w="60"/>
              <w:left w:type="dxa" w:w="90"/>
              <w:bottom w:type="dxa" w:w="60"/>
              <w:right w:type="dxa" w:w="90"/>
            </w:tcMar>
          </w:tcPr>
          <w:p>
            <w:pPr>
              <w:spacing w:after="0" w:line="252"/>
            </w:pPr>
            <w:r>
              <w:rPr>
                <w:rFonts w:ascii="Calibri" w:cs="Calibri" w:eastAsia="Calibri" w:hAnsi="Calibri"/>
                <w:sz w:val="19"/>
                <w:szCs w:val="19"/>
              </w:rPr>
              <w:t xml:space="preserve">Neutral</w:t>
            </w:r>
          </w:p>
        </w:tc>
        <w:tc>
          <w:tcPr>
            <w:tcW w:type="dxa" w:w="1660"/>
            <w:tcMar>
              <w:top w:type="dxa" w:w="60"/>
              <w:left w:type="dxa" w:w="90"/>
              <w:bottom w:type="dxa" w:w="60"/>
              <w:right w:type="dxa" w:w="90"/>
            </w:tcMar>
          </w:tcPr>
          <w:p>
            <w:pPr>
              <w:spacing w:after="0" w:line="252"/>
            </w:pPr>
            <w:r>
              <w:rPr>
                <w:rFonts w:ascii="Calibri" w:cs="Calibri" w:eastAsia="Calibri" w:hAnsi="Calibri"/>
                <w:sz w:val="19"/>
                <w:szCs w:val="19"/>
              </w:rPr>
              <w:t xml:space="preserve">No cross-market contradiction to the range read</w:t>
            </w:r>
          </w:p>
        </w:tc>
      </w:tr>
    </w:tbl>
    <w:p>
      <w:pPr>
        <w:spacing w:after="120" w:before="0" w:line="276"/>
      </w:pPr>
      <w:r>
        <w:rPr>
          <w:rFonts w:ascii="Calibri" w:cs="Calibri" w:eastAsia="Calibri" w:hAnsi="Calibri"/>
          <w:b/>
          <w:bCs/>
          <w:sz w:val="20"/>
          <w:szCs w:val="20"/>
        </w:rPr>
        <w:t xml:space="preserve">Aggregate cross-asset read: CONFIRM (2 of 3 confirm, none contradict). </w:t>
      </w:r>
      <w:r>
        <w:rPr>
          <w:rFonts w:ascii="Calibri" w:cs="Calibri" w:eastAsia="Calibri" w:hAnsi="Calibri"/>
          <w:sz w:val="20"/>
          <w:szCs w:val="20"/>
        </w:rPr>
        <w:t xml:space="preserve">The easing dollar and subdued VIX both support a benign, range-bound tape rather than a directional break. Counter series are directional reads; their full OHLC is single-source/indicative (see §19).</w:t>
      </w:r>
    </w:p>
    <w:p>
      <w:pPr>
        <w:pStyle w:val="Heading1"/>
        <w:spacing w:after="120" w:before="260"/>
      </w:pPr>
      <w:r>
        <w:rPr>
          <w:rFonts w:ascii="Calibri" w:cs="Calibri" w:eastAsia="Calibri" w:hAnsi="Calibri"/>
          <w:b/>
          <w:bCs/>
          <w:color w:val="1f3864"/>
          <w:sz w:val="26"/>
          <w:szCs w:val="26"/>
        </w:rPr>
        <w:t xml:space="preserve">11 · Floor Pivot Analysis</w:t>
      </w:r>
    </w:p>
    <w:p>
      <w:pPr>
        <w:pStyle w:val="Heading2"/>
        <w:spacing w:after="90" w:before="180"/>
      </w:pPr>
      <w:r>
        <w:rPr>
          <w:rFonts w:ascii="Calibri" w:cs="Calibri" w:eastAsia="Calibri" w:hAnsi="Calibri"/>
          <w:b/>
          <w:bCs/>
          <w:color w:val="1f4e79"/>
          <w:sz w:val="22"/>
          <w:szCs w:val="22"/>
        </w:rPr>
        <w:t xml:space="preserve">Daily (from 02 Jul H/L/C)</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2340"/>
        <w:gridCol w:w="2340"/>
        <w:gridCol w:w="2340"/>
        <w:gridCol w:w="2340"/>
      </w:tblGrid>
      <w:tr>
        <w:trPr>
          <w:tblHeader/>
        </w:trPr>
        <w:tc>
          <w:tcPr>
            <w:tcW w:type="dxa" w:w="234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Level</w:t>
            </w:r>
          </w:p>
        </w:tc>
        <w:tc>
          <w:tcPr>
            <w:tcW w:type="dxa" w:w="234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Value</w:t>
            </w:r>
          </w:p>
        </w:tc>
        <w:tc>
          <w:tcPr>
            <w:tcW w:type="dxa" w:w="234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Level</w:t>
            </w:r>
          </w:p>
        </w:tc>
        <w:tc>
          <w:tcPr>
            <w:tcW w:type="dxa" w:w="234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Value</w:t>
            </w:r>
          </w:p>
        </w:tc>
      </w:tr>
      <w:tr>
        <w:tc>
          <w:tcPr>
            <w:tcW w:type="dxa" w:w="2340"/>
            <w:tcMar>
              <w:top w:type="dxa" w:w="60"/>
              <w:left w:type="dxa" w:w="90"/>
              <w:bottom w:type="dxa" w:w="60"/>
              <w:right w:type="dxa" w:w="90"/>
            </w:tcMar>
          </w:tcPr>
          <w:p>
            <w:pPr>
              <w:spacing w:after="0" w:line="252"/>
            </w:pPr>
            <w:r>
              <w:rPr>
                <w:rFonts w:ascii="Calibri" w:cs="Calibri" w:eastAsia="Calibri" w:hAnsi="Calibri"/>
                <w:b/>
                <w:bCs/>
                <w:color w:val="c0392b"/>
                <w:sz w:val="19"/>
                <w:szCs w:val="19"/>
              </w:rPr>
              <w:t xml:space="preserve">R5</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7,879.74</w:t>
            </w:r>
          </w:p>
        </w:tc>
        <w:tc>
          <w:tcPr>
            <w:tcW w:type="dxa" w:w="2340"/>
            <w:tcMar>
              <w:top w:type="dxa" w:w="60"/>
              <w:left w:type="dxa" w:w="90"/>
              <w:bottom w:type="dxa" w:w="60"/>
              <w:right w:type="dxa" w:w="90"/>
            </w:tcMar>
          </w:tcPr>
          <w:p>
            <w:pPr>
              <w:spacing w:after="0" w:line="252"/>
            </w:pPr>
            <w:r>
              <w:rPr>
                <w:rFonts w:ascii="Calibri" w:cs="Calibri" w:eastAsia="Calibri" w:hAnsi="Calibri"/>
                <w:b/>
                <w:bCs/>
                <w:color w:val="1f4e79"/>
                <w:sz w:val="19"/>
                <w:szCs w:val="19"/>
              </w:rPr>
              <w:t xml:space="preserve">P</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7,483.85</w:t>
            </w:r>
          </w:p>
        </w:tc>
      </w:tr>
      <w:tr>
        <w:tc>
          <w:tcPr>
            <w:tcW w:type="dxa" w:w="2340"/>
            <w:tcMar>
              <w:top w:type="dxa" w:w="60"/>
              <w:left w:type="dxa" w:w="90"/>
              <w:bottom w:type="dxa" w:w="60"/>
              <w:right w:type="dxa" w:w="90"/>
            </w:tcMar>
          </w:tcPr>
          <w:p>
            <w:pPr>
              <w:spacing w:after="0" w:line="252"/>
            </w:pPr>
            <w:r>
              <w:rPr>
                <w:rFonts w:ascii="Calibri" w:cs="Calibri" w:eastAsia="Calibri" w:hAnsi="Calibri"/>
                <w:b/>
                <w:bCs/>
                <w:color w:val="c0392b"/>
                <w:sz w:val="19"/>
                <w:szCs w:val="19"/>
              </w:rPr>
              <w:t xml:space="preserve">R4</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7,766.54</w:t>
            </w:r>
          </w:p>
        </w:tc>
        <w:tc>
          <w:tcPr>
            <w:tcW w:type="dxa" w:w="2340"/>
            <w:tcMar>
              <w:top w:type="dxa" w:w="60"/>
              <w:left w:type="dxa" w:w="90"/>
              <w:bottom w:type="dxa" w:w="60"/>
              <w:right w:type="dxa" w:w="90"/>
            </w:tcMar>
          </w:tcPr>
          <w:p>
            <w:pPr>
              <w:spacing w:after="0" w:line="252"/>
            </w:pPr>
            <w:r>
              <w:rPr>
                <w:rFonts w:ascii="Calibri" w:cs="Calibri" w:eastAsia="Calibri" w:hAnsi="Calibri"/>
                <w:b/>
                <w:bCs/>
                <w:color w:val="1a7a4c"/>
                <w:sz w:val="19"/>
                <w:szCs w:val="19"/>
              </w:rPr>
              <w:t xml:space="preserve">S1</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7,426.94</w:t>
            </w:r>
          </w:p>
        </w:tc>
      </w:tr>
      <w:tr>
        <w:tc>
          <w:tcPr>
            <w:tcW w:type="dxa" w:w="2340"/>
            <w:tcMar>
              <w:top w:type="dxa" w:w="60"/>
              <w:left w:type="dxa" w:w="90"/>
              <w:bottom w:type="dxa" w:w="60"/>
              <w:right w:type="dxa" w:w="90"/>
            </w:tcMar>
          </w:tcPr>
          <w:p>
            <w:pPr>
              <w:spacing w:after="0" w:line="252"/>
            </w:pPr>
            <w:r>
              <w:rPr>
                <w:rFonts w:ascii="Calibri" w:cs="Calibri" w:eastAsia="Calibri" w:hAnsi="Calibri"/>
                <w:b/>
                <w:bCs/>
                <w:color w:val="c0392b"/>
                <w:sz w:val="19"/>
                <w:szCs w:val="19"/>
              </w:rPr>
              <w:t xml:space="preserve">R3</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7,653.34</w:t>
            </w:r>
          </w:p>
        </w:tc>
        <w:tc>
          <w:tcPr>
            <w:tcW w:type="dxa" w:w="2340"/>
            <w:tcMar>
              <w:top w:type="dxa" w:w="60"/>
              <w:left w:type="dxa" w:w="90"/>
              <w:bottom w:type="dxa" w:w="60"/>
              <w:right w:type="dxa" w:w="90"/>
            </w:tcMar>
          </w:tcPr>
          <w:p>
            <w:pPr>
              <w:spacing w:after="0" w:line="252"/>
            </w:pPr>
            <w:r>
              <w:rPr>
                <w:rFonts w:ascii="Calibri" w:cs="Calibri" w:eastAsia="Calibri" w:hAnsi="Calibri"/>
                <w:b/>
                <w:bCs/>
                <w:color w:val="1a7a4c"/>
                <w:sz w:val="19"/>
                <w:szCs w:val="19"/>
              </w:rPr>
              <w:t xml:space="preserve">S2</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7,370.65</w:t>
            </w:r>
          </w:p>
        </w:tc>
      </w:tr>
      <w:tr>
        <w:tc>
          <w:tcPr>
            <w:tcW w:type="dxa" w:w="2340"/>
            <w:tcMar>
              <w:top w:type="dxa" w:w="60"/>
              <w:left w:type="dxa" w:w="90"/>
              <w:bottom w:type="dxa" w:w="60"/>
              <w:right w:type="dxa" w:w="90"/>
            </w:tcMar>
          </w:tcPr>
          <w:p>
            <w:pPr>
              <w:spacing w:after="0" w:line="252"/>
            </w:pPr>
            <w:r>
              <w:rPr>
                <w:rFonts w:ascii="Calibri" w:cs="Calibri" w:eastAsia="Calibri" w:hAnsi="Calibri"/>
                <w:b/>
                <w:bCs/>
                <w:color w:val="c0392b"/>
                <w:sz w:val="19"/>
                <w:szCs w:val="19"/>
              </w:rPr>
              <w:t xml:space="preserve">R2</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7,597.05</w:t>
            </w:r>
          </w:p>
        </w:tc>
        <w:tc>
          <w:tcPr>
            <w:tcW w:type="dxa" w:w="2340"/>
            <w:tcMar>
              <w:top w:type="dxa" w:w="60"/>
              <w:left w:type="dxa" w:w="90"/>
              <w:bottom w:type="dxa" w:w="60"/>
              <w:right w:type="dxa" w:w="90"/>
            </w:tcMar>
          </w:tcPr>
          <w:p>
            <w:pPr>
              <w:spacing w:after="0" w:line="252"/>
            </w:pPr>
            <w:r>
              <w:rPr>
                <w:rFonts w:ascii="Calibri" w:cs="Calibri" w:eastAsia="Calibri" w:hAnsi="Calibri"/>
                <w:b/>
                <w:bCs/>
                <w:color w:val="1a7a4c"/>
                <w:sz w:val="19"/>
                <w:szCs w:val="19"/>
              </w:rPr>
              <w:t xml:space="preserve">S3</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7,313.74</w:t>
            </w:r>
          </w:p>
        </w:tc>
      </w:tr>
      <w:tr>
        <w:tc>
          <w:tcPr>
            <w:tcW w:type="dxa" w:w="2340"/>
            <w:tcMar>
              <w:top w:type="dxa" w:w="60"/>
              <w:left w:type="dxa" w:w="90"/>
              <w:bottom w:type="dxa" w:w="60"/>
              <w:right w:type="dxa" w:w="90"/>
            </w:tcMar>
          </w:tcPr>
          <w:p>
            <w:pPr>
              <w:spacing w:after="0" w:line="252"/>
            </w:pPr>
            <w:r>
              <w:rPr>
                <w:rFonts w:ascii="Calibri" w:cs="Calibri" w:eastAsia="Calibri" w:hAnsi="Calibri"/>
                <w:b/>
                <w:bCs/>
                <w:color w:val="c0392b"/>
                <w:sz w:val="19"/>
                <w:szCs w:val="19"/>
              </w:rPr>
              <w:t xml:space="preserve">R1</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7,540.14</w:t>
            </w:r>
          </w:p>
        </w:tc>
        <w:tc>
          <w:tcPr>
            <w:tcW w:type="dxa" w:w="2340"/>
            <w:tcMar>
              <w:top w:type="dxa" w:w="60"/>
              <w:left w:type="dxa" w:w="90"/>
              <w:bottom w:type="dxa" w:w="60"/>
              <w:right w:type="dxa" w:w="90"/>
            </w:tcMar>
          </w:tcPr>
          <w:p>
            <w:pPr>
              <w:spacing w:after="0" w:line="252"/>
            </w:pPr>
            <w:r>
              <w:rPr>
                <w:rFonts w:ascii="Calibri" w:cs="Calibri" w:eastAsia="Calibri" w:hAnsi="Calibri"/>
                <w:b/>
                <w:bCs/>
                <w:color w:val="1a7a4c"/>
                <w:sz w:val="19"/>
                <w:szCs w:val="19"/>
              </w:rPr>
              <w:t xml:space="preserve">S4</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7,200.54</w:t>
            </w:r>
          </w:p>
        </w:tc>
      </w:tr>
      <w:tr>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
            </w:r>
          </w:p>
        </w:tc>
        <w:tc>
          <w:tcPr>
            <w:tcW w:type="dxa" w:w="2340"/>
            <w:tcMar>
              <w:top w:type="dxa" w:w="60"/>
              <w:left w:type="dxa" w:w="90"/>
              <w:bottom w:type="dxa" w:w="60"/>
              <w:right w:type="dxa" w:w="90"/>
            </w:tcMar>
          </w:tcPr>
          <w:p>
            <w:pPr>
              <w:spacing w:after="0" w:line="252"/>
            </w:pPr>
            <w:r>
              <w:rPr>
                <w:rFonts w:ascii="Calibri" w:cs="Calibri" w:eastAsia="Calibri" w:hAnsi="Calibri"/>
                <w:b/>
                <w:bCs/>
                <w:color w:val="1a7a4c"/>
                <w:sz w:val="19"/>
                <w:szCs w:val="19"/>
              </w:rPr>
              <w:t xml:space="preserve">S5</w:t>
            </w:r>
          </w:p>
        </w:tc>
        <w:tc>
          <w:tcPr>
            <w:tcW w:type="dxa" w:w="2340"/>
            <w:tcMar>
              <w:top w:type="dxa" w:w="60"/>
              <w:left w:type="dxa" w:w="90"/>
              <w:bottom w:type="dxa" w:w="60"/>
              <w:right w:type="dxa" w:w="90"/>
            </w:tcMar>
          </w:tcPr>
          <w:p>
            <w:pPr>
              <w:spacing w:after="0" w:line="252"/>
            </w:pPr>
            <w:r>
              <w:rPr>
                <w:rFonts w:ascii="Calibri" w:cs="Calibri" w:eastAsia="Calibri" w:hAnsi="Calibri"/>
                <w:sz w:val="19"/>
                <w:szCs w:val="19"/>
              </w:rPr>
              <w:t xml:space="preserve">7,087.34</w:t>
            </w:r>
          </w:p>
        </w:tc>
      </w:tr>
    </w:tbl>
    <w:p>
      <w:pPr>
        <w:pStyle w:val="Heading2"/>
        <w:spacing w:after="90" w:before="180"/>
      </w:pPr>
      <w:r>
        <w:rPr>
          <w:rFonts w:ascii="Calibri" w:cs="Calibri" w:eastAsia="Calibri" w:hAnsi="Calibri"/>
          <w:b/>
          <w:bCs/>
          <w:color w:val="1f4e79"/>
          <w:sz w:val="22"/>
          <w:szCs w:val="22"/>
        </w:rPr>
        <w:t xml:space="preserve">Weekly (prior week W/E 26 Jun) · Monthly (June)</w:t>
      </w:r>
    </w:p>
    <w:tbl>
      <w:tblPr>
        <w:tblW w:type="dxa" w:w="8820"/>
        <w:tblBorders>
          <w:top w:val="single" w:color="c9d2dd" w:sz="4"/>
          <w:left w:val="single" w:color="c9d2dd" w:sz="4"/>
          <w:bottom w:val="single" w:color="c9d2dd" w:sz="4"/>
          <w:right w:val="single" w:color="c9d2dd" w:sz="4"/>
          <w:insideH w:val="single" w:color="c9d2dd" w:sz="2"/>
          <w:insideV w:val="single" w:color="c9d2dd" w:sz="2"/>
        </w:tblBorders>
      </w:tblPr>
      <w:tblGrid>
        <w:gridCol w:w="1560"/>
        <w:gridCol w:w="1900"/>
        <w:gridCol w:w="1560"/>
        <w:gridCol w:w="1900"/>
        <w:gridCol w:w="1900"/>
      </w:tblGrid>
      <w:tr>
        <w:trPr>
          <w:tblHeader/>
        </w:trPr>
        <w:tc>
          <w:tcPr>
            <w:tcW w:type="dxa" w:w="15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Wk lvl</w:t>
            </w:r>
          </w:p>
        </w:tc>
        <w:tc>
          <w:tcPr>
            <w:tcW w:type="dxa" w:w="19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Value</w:t>
            </w:r>
          </w:p>
        </w:tc>
        <w:tc>
          <w:tcPr>
            <w:tcW w:type="dxa" w:w="15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Mo lvl</w:t>
            </w:r>
          </w:p>
        </w:tc>
        <w:tc>
          <w:tcPr>
            <w:tcW w:type="dxa" w:w="19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Value</w:t>
            </w:r>
          </w:p>
        </w:tc>
        <w:tc>
          <w:tcPr>
            <w:tcW w:type="dxa" w:w="19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Note</w:t>
            </w:r>
          </w:p>
        </w:tc>
      </w:tr>
      <w:tr>
        <w:tc>
          <w:tcPr>
            <w:tcW w:type="dxa" w:w="1560"/>
            <w:tcMar>
              <w:top w:type="dxa" w:w="60"/>
              <w:left w:type="dxa" w:w="90"/>
              <w:bottom w:type="dxa" w:w="60"/>
              <w:right w:type="dxa" w:w="90"/>
            </w:tcMar>
          </w:tcPr>
          <w:p>
            <w:pPr>
              <w:spacing w:after="0" w:line="252"/>
            </w:pPr>
            <w:r>
              <w:rPr>
                <w:rFonts w:ascii="Calibri" w:cs="Calibri" w:eastAsia="Calibri" w:hAnsi="Calibri"/>
                <w:sz w:val="19"/>
                <w:szCs w:val="19"/>
              </w:rPr>
              <w:t xml:space="preserve">R3</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7,727.12</w:t>
            </w:r>
          </w:p>
        </w:tc>
        <w:tc>
          <w:tcPr>
            <w:tcW w:type="dxa" w:w="1560"/>
            <w:tcMar>
              <w:top w:type="dxa" w:w="60"/>
              <w:left w:type="dxa" w:w="90"/>
              <w:bottom w:type="dxa" w:w="60"/>
              <w:right w:type="dxa" w:w="90"/>
            </w:tcMar>
          </w:tcPr>
          <w:p>
            <w:pPr>
              <w:spacing w:after="0" w:line="252"/>
            </w:pPr>
            <w:r>
              <w:rPr>
                <w:rFonts w:ascii="Calibri" w:cs="Calibri" w:eastAsia="Calibri" w:hAnsi="Calibri"/>
                <w:sz w:val="19"/>
                <w:szCs w:val="19"/>
              </w:rPr>
              <w:t xml:space="preserve">R3</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8,024.69</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Upper caps</w:t>
            </w:r>
          </w:p>
        </w:tc>
      </w:tr>
      <w:tr>
        <w:tc>
          <w:tcPr>
            <w:tcW w:type="dxa" w:w="1560"/>
            <w:tcMar>
              <w:top w:type="dxa" w:w="60"/>
              <w:left w:type="dxa" w:w="90"/>
              <w:bottom w:type="dxa" w:w="60"/>
              <w:right w:type="dxa" w:w="90"/>
            </w:tcMar>
          </w:tcPr>
          <w:p>
            <w:pPr>
              <w:spacing w:after="0" w:line="252"/>
            </w:pPr>
            <w:r>
              <w:rPr>
                <w:rFonts w:ascii="Calibri" w:cs="Calibri" w:eastAsia="Calibri" w:hAnsi="Calibri"/>
                <w:sz w:val="19"/>
                <w:szCs w:val="19"/>
              </w:rPr>
              <w:t xml:space="preserve">R1</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7,491.29</w:t>
            </w:r>
          </w:p>
        </w:tc>
        <w:tc>
          <w:tcPr>
            <w:tcW w:type="dxa" w:w="1560"/>
            <w:tcMar>
              <w:top w:type="dxa" w:w="60"/>
              <w:left w:type="dxa" w:w="90"/>
              <w:bottom w:type="dxa" w:w="60"/>
              <w:right w:type="dxa" w:w="90"/>
            </w:tcMar>
          </w:tcPr>
          <w:p>
            <w:pPr>
              <w:spacing w:after="0" w:line="252"/>
            </w:pPr>
            <w:r>
              <w:rPr>
                <w:rFonts w:ascii="Calibri" w:cs="Calibri" w:eastAsia="Calibri" w:hAnsi="Calibri"/>
                <w:sz w:val="19"/>
                <w:szCs w:val="19"/>
              </w:rPr>
              <w:t xml:space="preserve">R1</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7,657.19</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Weekly R1 ≈ price</w:t>
            </w:r>
          </w:p>
        </w:tc>
      </w:tr>
      <w:tr>
        <w:tc>
          <w:tcPr>
            <w:tcW w:type="dxa" w:w="1560"/>
            <w:tcMar>
              <w:top w:type="dxa" w:w="60"/>
              <w:left w:type="dxa" w:w="90"/>
              <w:bottom w:type="dxa" w:w="60"/>
              <w:right w:type="dxa" w:w="90"/>
            </w:tcMar>
          </w:tcPr>
          <w:p>
            <w:pPr>
              <w:spacing w:after="0" w:line="252"/>
            </w:pPr>
            <w:r>
              <w:rPr>
                <w:rFonts w:ascii="Calibri" w:cs="Calibri" w:eastAsia="Calibri" w:hAnsi="Calibri"/>
                <w:b/>
                <w:bCs/>
                <w:sz w:val="19"/>
                <w:szCs w:val="19"/>
              </w:rPr>
              <w:t xml:space="preserve">P</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7,392.74</w:t>
            </w:r>
          </w:p>
        </w:tc>
        <w:tc>
          <w:tcPr>
            <w:tcW w:type="dxa" w:w="1560"/>
            <w:tcMar>
              <w:top w:type="dxa" w:w="60"/>
              <w:left w:type="dxa" w:w="90"/>
              <w:bottom w:type="dxa" w:w="60"/>
              <w:right w:type="dxa" w:w="90"/>
            </w:tcMar>
          </w:tcPr>
          <w:p>
            <w:pPr>
              <w:spacing w:after="0" w:line="252"/>
            </w:pPr>
            <w:r>
              <w:rPr>
                <w:rFonts w:ascii="Calibri" w:cs="Calibri" w:eastAsia="Calibri" w:hAnsi="Calibri"/>
                <w:b/>
                <w:bCs/>
                <w:sz w:val="19"/>
                <w:szCs w:val="19"/>
              </w:rPr>
              <w:t xml:space="preserve">P</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7,447.52</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Both below close</w:t>
            </w:r>
          </w:p>
        </w:tc>
      </w:tr>
      <w:tr>
        <w:tc>
          <w:tcPr>
            <w:tcW w:type="dxa" w:w="1560"/>
            <w:tcMar>
              <w:top w:type="dxa" w:w="60"/>
              <w:left w:type="dxa" w:w="90"/>
              <w:bottom w:type="dxa" w:w="60"/>
              <w:right w:type="dxa" w:w="90"/>
            </w:tcMar>
          </w:tcPr>
          <w:p>
            <w:pPr>
              <w:spacing w:after="0" w:line="252"/>
            </w:pPr>
            <w:r>
              <w:rPr>
                <w:rFonts w:ascii="Calibri" w:cs="Calibri" w:eastAsia="Calibri" w:hAnsi="Calibri"/>
                <w:sz w:val="19"/>
                <w:szCs w:val="19"/>
              </w:rPr>
              <w:t xml:space="preserve">S1</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7,255.46</w:t>
            </w:r>
          </w:p>
        </w:tc>
        <w:tc>
          <w:tcPr>
            <w:tcW w:type="dxa" w:w="1560"/>
            <w:tcMar>
              <w:top w:type="dxa" w:w="60"/>
              <w:left w:type="dxa" w:w="90"/>
              <w:bottom w:type="dxa" w:w="60"/>
              <w:right w:type="dxa" w:w="90"/>
            </w:tcMar>
          </w:tcPr>
          <w:p>
            <w:pPr>
              <w:spacing w:after="0" w:line="252"/>
            </w:pPr>
            <w:r>
              <w:rPr>
                <w:rFonts w:ascii="Calibri" w:cs="Calibri" w:eastAsia="Calibri" w:hAnsi="Calibri"/>
                <w:sz w:val="19"/>
                <w:szCs w:val="19"/>
              </w:rPr>
              <w:t xml:space="preserve">S1</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7,289.69</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Range floor zone</w:t>
            </w:r>
          </w:p>
        </w:tc>
      </w:tr>
    </w:tbl>
    <w:p>
      <w:pPr>
        <w:spacing w:after="120" w:before="0" w:line="276"/>
      </w:pPr>
      <w:r>
        <w:rPr>
          <w:rFonts w:ascii="Calibri" w:cs="Calibri" w:eastAsia="Calibri" w:hAnsi="Calibri"/>
          <w:b/>
          <w:bCs/>
          <w:sz w:val="20"/>
          <w:szCs w:val="20"/>
        </w:rPr>
        <w:t xml:space="preserve">Position narrative: </w:t>
      </w:r>
      <w:r>
        <w:rPr>
          <w:rFonts w:ascii="Calibri" w:cs="Calibri" w:eastAsia="Calibri" w:hAnsi="Calibri"/>
          <w:sz w:val="20"/>
          <w:szCs w:val="20"/>
        </w:rPr>
        <w:t xml:space="preserve">the 02 Jul close (7,483.24) sits almost exactly on the daily pivot P (7,483.85) — a textbook range-equilibrium start. It is fractionally above weekly R1 (7,491) and above both the weekly P (7,393) and monthly P (7,448), i.e. mid-to-upper in the broader structure. Daily R1 (7,540.14) is confluent with the 02 Jul high (7,540.75) — a strong resistance shelf within 0.15 ATR. Daily S1 (7,426.94) is confluent with the 02 Jul low (7,427.55) — an equally strong support shelf. These twin confluences define the near-term fade band.</w:t>
      </w:r>
    </w:p>
    <w:p>
      <w:pPr>
        <w:spacing w:after="80" w:before="0" w:line="276"/>
      </w:pPr>
      <w:r>
        <w:rPr>
          <w:rFonts w:ascii="Calibri" w:cs="Calibri" w:eastAsia="Calibri" w:hAnsi="Calibri"/>
          <w:i/>
          <w:iCs/>
          <w:color w:val="555555"/>
          <w:sz w:val="19"/>
          <w:szCs w:val="19"/>
        </w:rPr>
        <w:t xml:space="preserve">Pivot source status: prior-session H/L/C corroborated (Investing.com × Yahoo). Daily pivots are CORROBORATED and tradeable. Weekly/monthly priors rest on the same corroborated daily series.</w:t>
      </w:r>
    </w:p>
    <w:p>
      <w:pPr>
        <w:pStyle w:val="Heading1"/>
        <w:spacing w:after="120" w:before="260"/>
      </w:pPr>
      <w:r>
        <w:rPr>
          <w:rFonts w:ascii="Calibri" w:cs="Calibri" w:eastAsia="Calibri" w:hAnsi="Calibri"/>
          <w:b/>
          <w:bCs/>
          <w:color w:val="1f3864"/>
          <w:sz w:val="26"/>
          <w:szCs w:val="26"/>
        </w:rPr>
        <w:t xml:space="preserve">12 · Key Market Considerations</w:t>
      </w:r>
    </w:p>
    <w:p>
      <w:pPr>
        <w:pStyle w:val="ListParagraph"/>
        <w:numPr>
          <w:ilvl w:val="0"/>
          <w:numId w:val="1"/>
        </w:numPr>
        <w:spacing w:after="70" w:line="264"/>
      </w:pPr>
      <w:r>
        <w:rPr>
          <w:rFonts w:ascii="Calibri" w:cs="Calibri" w:eastAsia="Calibri" w:hAnsi="Calibri"/>
          <w:b/>
          <w:bCs/>
          <w:color w:val="1a7a4c"/>
          <w:sz w:val="21"/>
          <w:szCs w:val="21"/>
        </w:rPr>
        <w:t xml:space="preserve">Earnings momentum — supportive (cyclical→structural). </w:t>
      </w:r>
      <w:r>
        <w:rPr>
          <w:rFonts w:ascii="Calibri" w:cs="Calibri" w:eastAsia="Calibri" w:hAnsi="Calibri"/>
          <w:sz w:val="21"/>
          <w:szCs w:val="21"/>
        </w:rPr>
        <w:t xml:space="preserve">Strategists (Yardeni, Fundstrat) framed the tape as carried by 'fabulous earnings momentum'; Q2 mega-cap prints are the swing factor into mid-July.</w:t>
      </w:r>
    </w:p>
    <w:p>
      <w:pPr>
        <w:pStyle w:val="ListParagraph"/>
        <w:numPr>
          <w:ilvl w:val="0"/>
          <w:numId w:val="1"/>
        </w:numPr>
        <w:spacing w:after="70" w:line="264"/>
      </w:pPr>
      <w:r>
        <w:rPr>
          <w:rFonts w:ascii="Calibri" w:cs="Calibri" w:eastAsia="Calibri" w:hAnsi="Calibri"/>
          <w:b/>
          <w:bCs/>
          <w:color w:val="1a7a4c"/>
          <w:sz w:val="21"/>
          <w:szCs w:val="21"/>
        </w:rPr>
        <w:t xml:space="preserve">Rates / Fed — supportive (cyclical). </w:t>
      </w:r>
      <w:r>
        <w:rPr>
          <w:rFonts w:ascii="Calibri" w:cs="Calibri" w:eastAsia="Calibri" w:hAnsi="Calibri"/>
          <w:sz w:val="21"/>
          <w:szCs w:val="21"/>
        </w:rPr>
        <w:t xml:space="preserve">Fed held at 4.25–4.50% in June and signalled up to two 2026 cuts; markets price ~60–65% odds of a September cut. Soft June NFP (released 03 Jul, on-holiday) reinforced the easing path without inflation red flags.</w:t>
      </w:r>
    </w:p>
    <w:p>
      <w:pPr>
        <w:pStyle w:val="ListParagraph"/>
        <w:numPr>
          <w:ilvl w:val="0"/>
          <w:numId w:val="1"/>
        </w:numPr>
        <w:spacing w:after="70" w:line="264"/>
      </w:pPr>
      <w:r>
        <w:rPr>
          <w:rFonts w:ascii="Calibri" w:cs="Calibri" w:eastAsia="Calibri" w:hAnsi="Calibri"/>
          <w:b/>
          <w:bCs/>
          <w:color w:val="c0392b"/>
          <w:sz w:val="21"/>
          <w:szCs w:val="21"/>
        </w:rPr>
        <w:t xml:space="preserve">Semiconductor rotation — negative (cyclical). </w:t>
      </w:r>
      <w:r>
        <w:rPr>
          <w:rFonts w:ascii="Calibri" w:cs="Calibri" w:eastAsia="Calibri" w:hAnsi="Calibri"/>
          <w:sz w:val="21"/>
          <w:szCs w:val="21"/>
        </w:rPr>
        <w:t xml:space="preserve">A sharp de-rating in memory/equipment names (Micron −5.5%, SanDisk −14%, KLA −11.5%, Lam −10%) capped index upside on 02 Jul even as ~354 constituents advanced — a breadth/mega-cap tension.</w:t>
      </w:r>
    </w:p>
    <w:p>
      <w:pPr>
        <w:pStyle w:val="ListParagraph"/>
        <w:numPr>
          <w:ilvl w:val="0"/>
          <w:numId w:val="1"/>
        </w:numPr>
        <w:spacing w:after="70" w:line="264"/>
      </w:pPr>
      <w:r>
        <w:rPr>
          <w:rFonts w:ascii="Calibri" w:cs="Calibri" w:eastAsia="Calibri" w:hAnsi="Calibri"/>
          <w:b/>
          <w:bCs/>
          <w:color w:val="1a7a4c"/>
          <w:sz w:val="21"/>
          <w:szCs w:val="21"/>
        </w:rPr>
        <w:t xml:space="preserve">Macro / FX — supportive (cyclical). </w:t>
      </w:r>
      <w:r>
        <w:rPr>
          <w:rFonts w:ascii="Calibri" w:cs="Calibri" w:eastAsia="Calibri" w:hAnsi="Calibri"/>
          <w:sz w:val="21"/>
          <w:szCs w:val="21"/>
        </w:rPr>
        <w:t xml:space="preserve">USDX easing toward 100 supports multinational translation; a rising dollar would be the headwind to watch.</w:t>
      </w:r>
    </w:p>
    <w:p>
      <w:pPr>
        <w:pStyle w:val="ListParagraph"/>
        <w:numPr>
          <w:ilvl w:val="0"/>
          <w:numId w:val="1"/>
        </w:numPr>
        <w:spacing w:after="70" w:line="264"/>
      </w:pPr>
      <w:r>
        <w:rPr>
          <w:rFonts w:ascii="Calibri" w:cs="Calibri" w:eastAsia="Calibri" w:hAnsi="Calibri"/>
          <w:b/>
          <w:bCs/>
          <w:color w:val="9c6500"/>
          <w:sz w:val="21"/>
          <w:szCs w:val="21"/>
        </w:rPr>
        <w:t xml:space="preserve">Near-term catalysts — neutral pending. </w:t>
      </w:r>
      <w:r>
        <w:rPr>
          <w:rFonts w:ascii="Calibri" w:cs="Calibri" w:eastAsia="Calibri" w:hAnsi="Calibri"/>
          <w:sz w:val="21"/>
          <w:szCs w:val="21"/>
        </w:rPr>
        <w:t xml:space="preserve">The 06 Jul reopen gap, then mid-July CPI and the next FOMC. None falls on 06 Jul itself, so the open is futures-driven (see §13d).</w:t>
      </w:r>
    </w:p>
    <w:p>
      <w:pPr>
        <w:pStyle w:val="Heading1"/>
        <w:spacing w:after="120" w:before="260"/>
      </w:pPr>
      <w:r>
        <w:rPr>
          <w:rFonts w:ascii="Calibri" w:cs="Calibri" w:eastAsia="Calibri" w:hAnsi="Calibri"/>
          <w:b/>
          <w:bCs/>
          <w:color w:val="1f3864"/>
          <w:sz w:val="26"/>
          <w:szCs w:val="26"/>
        </w:rPr>
        <w:t xml:space="preserve">13 · Sentiment, News &amp; Calendar</w:t>
      </w:r>
    </w:p>
    <w:p>
      <w:pPr>
        <w:pStyle w:val="Heading2"/>
        <w:spacing w:after="90" w:before="180"/>
      </w:pPr>
      <w:r>
        <w:rPr>
          <w:rFonts w:ascii="Calibri" w:cs="Calibri" w:eastAsia="Calibri" w:hAnsi="Calibri"/>
          <w:b/>
          <w:bCs/>
          <w:color w:val="1f4e79"/>
          <w:sz w:val="22"/>
          <w:szCs w:val="22"/>
        </w:rPr>
        <w:t xml:space="preserve">13a · Per-Article Sentiment</w:t>
      </w:r>
    </w:p>
    <w:tbl>
      <w:tblPr>
        <w:tblW w:type="dxa" w:w="9370"/>
        <w:tblBorders>
          <w:top w:val="single" w:color="c9d2dd" w:sz="4"/>
          <w:left w:val="single" w:color="c9d2dd" w:sz="4"/>
          <w:bottom w:val="single" w:color="c9d2dd" w:sz="4"/>
          <w:right w:val="single" w:color="c9d2dd" w:sz="4"/>
          <w:insideH w:val="single" w:color="c9d2dd" w:sz="2"/>
          <w:insideV w:val="single" w:color="c9d2dd" w:sz="2"/>
        </w:tblBorders>
      </w:tblPr>
      <w:tblGrid>
        <w:gridCol w:w="1500"/>
        <w:gridCol w:w="1100"/>
        <w:gridCol w:w="3200"/>
        <w:gridCol w:w="1350"/>
        <w:gridCol w:w="1310"/>
        <w:gridCol w:w="910"/>
      </w:tblGrid>
      <w:tr>
        <w:trPr>
          <w:tblHeader/>
        </w:trPr>
        <w:tc>
          <w:tcPr>
            <w:tcW w:type="dxa" w:w="15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Source</w:t>
            </w:r>
          </w:p>
        </w:tc>
        <w:tc>
          <w:tcPr>
            <w:tcW w:type="dxa" w:w="11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Date</w:t>
            </w:r>
          </w:p>
        </w:tc>
        <w:tc>
          <w:tcPr>
            <w:tcW w:type="dxa" w:w="32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Headline (abridged)</w:t>
            </w:r>
          </w:p>
        </w:tc>
        <w:tc>
          <w:tcPr>
            <w:tcW w:type="dxa" w:w="13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Class.</w:t>
            </w:r>
          </w:p>
        </w:tc>
        <w:tc>
          <w:tcPr>
            <w:tcW w:type="dxa" w:w="131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Sentiment</w:t>
            </w:r>
          </w:p>
        </w:tc>
        <w:tc>
          <w:tcPr>
            <w:tcW w:type="dxa" w:w="91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Quote</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TheStreet</w:t>
            </w:r>
          </w:p>
        </w:tc>
        <w:tc>
          <w:tcPr>
            <w:tcW w:type="dxa" w:w="1100"/>
            <w:tcMar>
              <w:top w:type="dxa" w:w="60"/>
              <w:left w:type="dxa" w:w="90"/>
              <w:bottom w:type="dxa" w:w="60"/>
              <w:right w:type="dxa" w:w="90"/>
            </w:tcMar>
          </w:tcPr>
          <w:p>
            <w:pPr>
              <w:spacing w:after="0" w:line="252"/>
            </w:pPr>
            <w:r>
              <w:rPr>
                <w:rFonts w:ascii="Calibri" w:cs="Calibri" w:eastAsia="Calibri" w:hAnsi="Calibri"/>
                <w:sz w:val="19"/>
                <w:szCs w:val="19"/>
              </w:rPr>
              <w:t xml:space="preserve">02 Jul</w:t>
            </w:r>
          </w:p>
        </w:tc>
        <w:tc>
          <w:tcPr>
            <w:tcW w:type="dxa" w:w="3200"/>
            <w:tcMar>
              <w:top w:type="dxa" w:w="60"/>
              <w:left w:type="dxa" w:w="90"/>
              <w:bottom w:type="dxa" w:w="60"/>
              <w:right w:type="dxa" w:w="90"/>
            </w:tcMar>
          </w:tcPr>
          <w:p>
            <w:pPr>
              <w:spacing w:after="0" w:line="252"/>
            </w:pPr>
            <w:r>
              <w:rPr>
                <w:rFonts w:ascii="Calibri" w:cs="Calibri" w:eastAsia="Calibri" w:hAnsi="Calibri"/>
                <w:sz w:val="19"/>
                <w:szCs w:val="19"/>
              </w:rPr>
              <w:t xml:space="preserve">Dow closes at all-time high ahead of holiday</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Media</w:t>
            </w:r>
          </w:p>
        </w:tc>
        <w:tc>
          <w:tcPr>
            <w:tcW w:type="dxa" w:w="131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Bullish</w:t>
            </w:r>
          </w:p>
        </w:tc>
        <w:tc>
          <w:tcPr>
            <w:tcW w:type="dxa" w:w="910"/>
            <w:tcMar>
              <w:top w:type="dxa" w:w="60"/>
              <w:left w:type="dxa" w:w="90"/>
              <w:bottom w:type="dxa" w:w="60"/>
              <w:right w:type="dxa" w:w="90"/>
            </w:tcMar>
          </w:tcPr>
          <w:p>
            <w:pPr>
              <w:spacing w:after="0" w:line="252"/>
            </w:pPr>
            <w:r>
              <w:rPr>
                <w:rFonts w:ascii="Calibri" w:cs="Calibri" w:eastAsia="Calibri" w:hAnsi="Calibri"/>
                <w:sz w:val="19"/>
                <w:szCs w:val="19"/>
              </w:rPr>
              <w:t xml:space="preserve">“S&amp;P 500 gained 0.49%… Dow all-time high”</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CNBC (Yardeni)</w:t>
            </w:r>
          </w:p>
        </w:tc>
        <w:tc>
          <w:tcPr>
            <w:tcW w:type="dxa" w:w="1100"/>
            <w:tcMar>
              <w:top w:type="dxa" w:w="60"/>
              <w:left w:type="dxa" w:w="90"/>
              <w:bottom w:type="dxa" w:w="60"/>
              <w:right w:type="dxa" w:w="90"/>
            </w:tcMar>
          </w:tcPr>
          <w:p>
            <w:pPr>
              <w:spacing w:after="0" w:line="252"/>
            </w:pPr>
            <w:r>
              <w:rPr>
                <w:rFonts w:ascii="Calibri" w:cs="Calibri" w:eastAsia="Calibri" w:hAnsi="Calibri"/>
                <w:sz w:val="19"/>
                <w:szCs w:val="19"/>
              </w:rPr>
              <w:t xml:space="preserve">02 Jul</w:t>
            </w:r>
          </w:p>
        </w:tc>
        <w:tc>
          <w:tcPr>
            <w:tcW w:type="dxa" w:w="3200"/>
            <w:tcMar>
              <w:top w:type="dxa" w:w="60"/>
              <w:left w:type="dxa" w:w="90"/>
              <w:bottom w:type="dxa" w:w="60"/>
              <w:right w:type="dxa" w:w="90"/>
            </w:tcMar>
          </w:tcPr>
          <w:p>
            <w:pPr>
              <w:spacing w:after="0" w:line="252"/>
            </w:pPr>
            <w:r>
              <w:rPr>
                <w:rFonts w:ascii="Calibri" w:cs="Calibri" w:eastAsia="Calibri" w:hAnsi="Calibri"/>
                <w:sz w:val="19"/>
                <w:szCs w:val="19"/>
              </w:rPr>
              <w:t xml:space="preserve">Markets seeing 'fabulous earnings momentum'</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Media</w:t>
            </w:r>
          </w:p>
        </w:tc>
        <w:tc>
          <w:tcPr>
            <w:tcW w:type="dxa" w:w="131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Bullish</w:t>
            </w:r>
          </w:p>
        </w:tc>
        <w:tc>
          <w:tcPr>
            <w:tcW w:type="dxa" w:w="910"/>
            <w:tcMar>
              <w:top w:type="dxa" w:w="60"/>
              <w:left w:type="dxa" w:w="90"/>
              <w:bottom w:type="dxa" w:w="60"/>
              <w:right w:type="dxa" w:w="90"/>
            </w:tcMar>
          </w:tcPr>
          <w:p>
            <w:pPr>
              <w:spacing w:after="0" w:line="252"/>
            </w:pPr>
            <w:r>
              <w:rPr>
                <w:rFonts w:ascii="Calibri" w:cs="Calibri" w:eastAsia="Calibri" w:hAnsi="Calibri"/>
                <w:sz w:val="19"/>
                <w:szCs w:val="19"/>
              </w:rPr>
              <w:t xml:space="preserve">“fabulous earnings momentum”</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CNBC (Apollo/Slok)</w:t>
            </w:r>
          </w:p>
        </w:tc>
        <w:tc>
          <w:tcPr>
            <w:tcW w:type="dxa" w:w="1100"/>
            <w:tcMar>
              <w:top w:type="dxa" w:w="60"/>
              <w:left w:type="dxa" w:w="90"/>
              <w:bottom w:type="dxa" w:w="60"/>
              <w:right w:type="dxa" w:w="90"/>
            </w:tcMar>
          </w:tcPr>
          <w:p>
            <w:pPr>
              <w:spacing w:after="0" w:line="252"/>
            </w:pPr>
            <w:r>
              <w:rPr>
                <w:rFonts w:ascii="Calibri" w:cs="Calibri" w:eastAsia="Calibri" w:hAnsi="Calibri"/>
                <w:sz w:val="19"/>
                <w:szCs w:val="19"/>
              </w:rPr>
              <w:t xml:space="preserve">02 Jul</w:t>
            </w:r>
          </w:p>
        </w:tc>
        <w:tc>
          <w:tcPr>
            <w:tcW w:type="dxa" w:w="3200"/>
            <w:tcMar>
              <w:top w:type="dxa" w:w="60"/>
              <w:left w:type="dxa" w:w="90"/>
              <w:bottom w:type="dxa" w:w="60"/>
              <w:right w:type="dxa" w:w="90"/>
            </w:tcMar>
          </w:tcPr>
          <w:p>
            <w:pPr>
              <w:spacing w:after="0" w:line="252"/>
            </w:pPr>
            <w:r>
              <w:rPr>
                <w:rFonts w:ascii="Calibri" w:cs="Calibri" w:eastAsia="Calibri" w:hAnsi="Calibri"/>
                <w:sz w:val="19"/>
                <w:szCs w:val="19"/>
              </w:rPr>
              <w:t xml:space="preserve">AI earnings 'absolutely critical' next quarters</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Institutional</w:t>
            </w:r>
          </w:p>
        </w:tc>
        <w:tc>
          <w:tcPr>
            <w:tcW w:type="dxa" w:w="1310"/>
            <w:tcMar>
              <w:top w:type="dxa" w:w="60"/>
              <w:left w:type="dxa" w:w="90"/>
              <w:bottom w:type="dxa" w:w="60"/>
              <w:right w:type="dxa" w:w="90"/>
            </w:tcMar>
          </w:tcPr>
          <w:p>
            <w:pPr>
              <w:spacing w:after="0" w:line="252"/>
            </w:pPr>
            <w:r>
              <w:rPr>
                <w:rFonts w:ascii="Calibri" w:cs="Calibri" w:eastAsia="Calibri" w:hAnsi="Calibri"/>
                <w:color w:val="9c6500"/>
                <w:sz w:val="19"/>
                <w:szCs w:val="19"/>
              </w:rPr>
              <w:t xml:space="preserve">Neutral</w:t>
            </w:r>
          </w:p>
        </w:tc>
        <w:tc>
          <w:tcPr>
            <w:tcW w:type="dxa" w:w="910"/>
            <w:tcMar>
              <w:top w:type="dxa" w:w="60"/>
              <w:left w:type="dxa" w:w="90"/>
              <w:bottom w:type="dxa" w:w="60"/>
              <w:right w:type="dxa" w:w="90"/>
            </w:tcMar>
          </w:tcPr>
          <w:p>
            <w:pPr>
              <w:spacing w:after="0" w:line="252"/>
            </w:pPr>
            <w:r>
              <w:rPr>
                <w:rFonts w:ascii="Calibri" w:cs="Calibri" w:eastAsia="Calibri" w:hAnsi="Calibri"/>
                <w:sz w:val="19"/>
                <w:szCs w:val="19"/>
              </w:rPr>
              <w:t xml:space="preserve">“absolutely critical over next several quarters”</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CNBC (CIBC/Harvey)</w:t>
            </w:r>
          </w:p>
        </w:tc>
        <w:tc>
          <w:tcPr>
            <w:tcW w:type="dxa" w:w="1100"/>
            <w:tcMar>
              <w:top w:type="dxa" w:w="60"/>
              <w:left w:type="dxa" w:w="90"/>
              <w:bottom w:type="dxa" w:w="60"/>
              <w:right w:type="dxa" w:w="90"/>
            </w:tcMar>
          </w:tcPr>
          <w:p>
            <w:pPr>
              <w:spacing w:after="0" w:line="252"/>
            </w:pPr>
            <w:r>
              <w:rPr>
                <w:rFonts w:ascii="Calibri" w:cs="Calibri" w:eastAsia="Calibri" w:hAnsi="Calibri"/>
                <w:sz w:val="19"/>
                <w:szCs w:val="19"/>
              </w:rPr>
              <w:t xml:space="preserve">02 Jul</w:t>
            </w:r>
          </w:p>
        </w:tc>
        <w:tc>
          <w:tcPr>
            <w:tcW w:type="dxa" w:w="3200"/>
            <w:tcMar>
              <w:top w:type="dxa" w:w="60"/>
              <w:left w:type="dxa" w:w="90"/>
              <w:bottom w:type="dxa" w:w="60"/>
              <w:right w:type="dxa" w:w="90"/>
            </w:tcMar>
          </w:tcPr>
          <w:p>
            <w:pPr>
              <w:spacing w:after="0" w:line="252"/>
            </w:pPr>
            <w:r>
              <w:rPr>
                <w:rFonts w:ascii="Calibri" w:cs="Calibri" w:eastAsia="Calibri" w:hAnsi="Calibri"/>
                <w:sz w:val="19"/>
                <w:szCs w:val="19"/>
              </w:rPr>
              <w:t xml:space="preserve">Time to tactically take money off the table</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Institutional</w:t>
            </w:r>
          </w:p>
        </w:tc>
        <w:tc>
          <w:tcPr>
            <w:tcW w:type="dxa" w:w="1310"/>
            <w:tcMar>
              <w:top w:type="dxa" w:w="60"/>
              <w:left w:type="dxa" w:w="90"/>
              <w:bottom w:type="dxa" w:w="60"/>
              <w:right w:type="dxa" w:w="90"/>
            </w:tcMar>
          </w:tcPr>
          <w:p>
            <w:pPr>
              <w:spacing w:after="0" w:line="252"/>
            </w:pPr>
            <w:r>
              <w:rPr>
                <w:rFonts w:ascii="Calibri" w:cs="Calibri" w:eastAsia="Calibri" w:hAnsi="Calibri"/>
                <w:color w:val="c0392b"/>
                <w:sz w:val="19"/>
                <w:szCs w:val="19"/>
              </w:rPr>
              <w:t xml:space="preserve">Bearish</w:t>
            </w:r>
          </w:p>
        </w:tc>
        <w:tc>
          <w:tcPr>
            <w:tcW w:type="dxa" w:w="910"/>
            <w:tcMar>
              <w:top w:type="dxa" w:w="60"/>
              <w:left w:type="dxa" w:w="90"/>
              <w:bottom w:type="dxa" w:w="60"/>
              <w:right w:type="dxa" w:w="90"/>
            </w:tcMar>
          </w:tcPr>
          <w:p>
            <w:pPr>
              <w:spacing w:after="0" w:line="252"/>
            </w:pPr>
            <w:r>
              <w:rPr>
                <w:rFonts w:ascii="Calibri" w:cs="Calibri" w:eastAsia="Calibri" w:hAnsi="Calibri"/>
                <w:sz w:val="19"/>
                <w:szCs w:val="19"/>
              </w:rPr>
              <w:t xml:space="preserve">“take a bit of money off the table”</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CNBC (Fundstrat/Lee)</w:t>
            </w:r>
          </w:p>
        </w:tc>
        <w:tc>
          <w:tcPr>
            <w:tcW w:type="dxa" w:w="1100"/>
            <w:tcMar>
              <w:top w:type="dxa" w:w="60"/>
              <w:left w:type="dxa" w:w="90"/>
              <w:bottom w:type="dxa" w:w="60"/>
              <w:right w:type="dxa" w:w="90"/>
            </w:tcMar>
          </w:tcPr>
          <w:p>
            <w:pPr>
              <w:spacing w:after="0" w:line="252"/>
            </w:pPr>
            <w:r>
              <w:rPr>
                <w:rFonts w:ascii="Calibri" w:cs="Calibri" w:eastAsia="Calibri" w:hAnsi="Calibri"/>
                <w:sz w:val="19"/>
                <w:szCs w:val="19"/>
              </w:rPr>
              <w:t xml:space="preserve">02 Jul</w:t>
            </w:r>
          </w:p>
        </w:tc>
        <w:tc>
          <w:tcPr>
            <w:tcW w:type="dxa" w:w="3200"/>
            <w:tcMar>
              <w:top w:type="dxa" w:w="60"/>
              <w:left w:type="dxa" w:w="90"/>
              <w:bottom w:type="dxa" w:w="60"/>
              <w:right w:type="dxa" w:w="90"/>
            </w:tcMar>
          </w:tcPr>
          <w:p>
            <w:pPr>
              <w:spacing w:after="0" w:line="252"/>
            </w:pPr>
            <w:r>
              <w:rPr>
                <w:rFonts w:ascii="Calibri" w:cs="Calibri" w:eastAsia="Calibri" w:hAnsi="Calibri"/>
                <w:sz w:val="19"/>
                <w:szCs w:val="19"/>
              </w:rPr>
              <w:t xml:space="preserve">Constructive on continuation</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Media</w:t>
            </w:r>
          </w:p>
        </w:tc>
        <w:tc>
          <w:tcPr>
            <w:tcW w:type="dxa" w:w="131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Bullish</w:t>
            </w:r>
          </w:p>
        </w:tc>
        <w:tc>
          <w:tcPr>
            <w:tcW w:type="dxa" w:w="910"/>
            <w:tcMar>
              <w:top w:type="dxa" w:w="60"/>
              <w:left w:type="dxa" w:w="90"/>
              <w:bottom w:type="dxa" w:w="60"/>
              <w:right w:type="dxa" w:w="90"/>
            </w:tcMar>
          </w:tcPr>
          <w:p>
            <w:pPr>
              <w:spacing w:after="0" w:line="252"/>
            </w:pPr>
            <w:r>
              <w:rPr>
                <w:rFonts w:ascii="Calibri" w:cs="Calibri" w:eastAsia="Calibri" w:hAnsi="Calibri"/>
                <w:sz w:val="19"/>
                <w:szCs w:val="19"/>
              </w:rPr>
              <w:t xml:space="preserve">Tom Lee constructive framing</w:t>
            </w:r>
          </w:p>
        </w:tc>
      </w:tr>
      <w:tr>
        <w:tc>
          <w:tcPr>
            <w:tcW w:type="dxa" w:w="1500"/>
            <w:tcMar>
              <w:top w:type="dxa" w:w="60"/>
              <w:left w:type="dxa" w:w="90"/>
              <w:bottom w:type="dxa" w:w="60"/>
              <w:right w:type="dxa" w:w="90"/>
            </w:tcMar>
          </w:tcPr>
          <w:p>
            <w:pPr>
              <w:spacing w:after="0" w:line="252"/>
            </w:pPr>
            <w:r>
              <w:rPr>
                <w:rFonts w:ascii="Calibri" w:cs="Calibri" w:eastAsia="Calibri" w:hAnsi="Calibri"/>
                <w:sz w:val="19"/>
                <w:szCs w:val="19"/>
              </w:rPr>
              <w:t xml:space="preserve">Lines.com</w:t>
            </w:r>
          </w:p>
        </w:tc>
        <w:tc>
          <w:tcPr>
            <w:tcW w:type="dxa" w:w="1100"/>
            <w:tcMar>
              <w:top w:type="dxa" w:w="60"/>
              <w:left w:type="dxa" w:w="90"/>
              <w:bottom w:type="dxa" w:w="60"/>
              <w:right w:type="dxa" w:w="90"/>
            </w:tcMar>
          </w:tcPr>
          <w:p>
            <w:pPr>
              <w:spacing w:after="0" w:line="252"/>
            </w:pPr>
            <w:r>
              <w:rPr>
                <w:rFonts w:ascii="Calibri" w:cs="Calibri" w:eastAsia="Calibri" w:hAnsi="Calibri"/>
                <w:sz w:val="19"/>
                <w:szCs w:val="19"/>
              </w:rPr>
              <w:t xml:space="preserve">03 Jul</w:t>
            </w:r>
          </w:p>
        </w:tc>
        <w:tc>
          <w:tcPr>
            <w:tcW w:type="dxa" w:w="3200"/>
            <w:tcMar>
              <w:top w:type="dxa" w:w="60"/>
              <w:left w:type="dxa" w:w="90"/>
              <w:bottom w:type="dxa" w:w="60"/>
              <w:right w:type="dxa" w:w="90"/>
            </w:tcMar>
          </w:tcPr>
          <w:p>
            <w:pPr>
              <w:spacing w:after="0" w:line="252"/>
            </w:pPr>
            <w:r>
              <w:rPr>
                <w:rFonts w:ascii="Calibri" w:cs="Calibri" w:eastAsia="Calibri" w:hAnsi="Calibri"/>
                <w:sz w:val="19"/>
                <w:szCs w:val="19"/>
              </w:rPr>
              <w:t xml:space="preserve">62% probability S&amp;P opens higher on 06 Jul</w:t>
            </w:r>
          </w:p>
        </w:tc>
        <w:tc>
          <w:tcPr>
            <w:tcW w:type="dxa" w:w="1350"/>
            <w:tcMar>
              <w:top w:type="dxa" w:w="60"/>
              <w:left w:type="dxa" w:w="90"/>
              <w:bottom w:type="dxa" w:w="60"/>
              <w:right w:type="dxa" w:w="90"/>
            </w:tcMar>
          </w:tcPr>
          <w:p>
            <w:pPr>
              <w:spacing w:after="0" w:line="252"/>
            </w:pPr>
            <w:r>
              <w:rPr>
                <w:rFonts w:ascii="Calibri" w:cs="Calibri" w:eastAsia="Calibri" w:hAnsi="Calibri"/>
                <w:sz w:val="19"/>
                <w:szCs w:val="19"/>
              </w:rPr>
              <w:t xml:space="preserve">Trade Press</w:t>
            </w:r>
          </w:p>
        </w:tc>
        <w:tc>
          <w:tcPr>
            <w:tcW w:type="dxa" w:w="131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Bullish</w:t>
            </w:r>
          </w:p>
        </w:tc>
        <w:tc>
          <w:tcPr>
            <w:tcW w:type="dxa" w:w="910"/>
            <w:tcMar>
              <w:top w:type="dxa" w:w="60"/>
              <w:left w:type="dxa" w:w="90"/>
              <w:bottom w:type="dxa" w:w="60"/>
              <w:right w:type="dxa" w:w="90"/>
            </w:tcMar>
          </w:tcPr>
          <w:p>
            <w:pPr>
              <w:spacing w:after="0" w:line="252"/>
            </w:pPr>
            <w:r>
              <w:rPr>
                <w:rFonts w:ascii="Calibri" w:cs="Calibri" w:eastAsia="Calibri" w:hAnsi="Calibri"/>
                <w:sz w:val="19"/>
                <w:szCs w:val="19"/>
              </w:rPr>
              <w:t xml:space="preserve">“62% open-higher probability”</w:t>
            </w:r>
          </w:p>
        </w:tc>
      </w:tr>
    </w:tbl>
    <w:p>
      <w:pPr>
        <w:pStyle w:val="Heading2"/>
        <w:spacing w:after="90" w:before="180"/>
      </w:pPr>
      <w:r>
        <w:rPr>
          <w:rFonts w:ascii="Calibri" w:cs="Calibri" w:eastAsia="Calibri" w:hAnsi="Calibri"/>
          <w:b/>
          <w:bCs/>
          <w:color w:val="1f4e79"/>
          <w:sz w:val="22"/>
          <w:szCs w:val="22"/>
        </w:rPr>
        <w:t xml:space="preserve">13b · Aggregate Sentiment Summary</w:t>
      </w:r>
    </w:p>
    <w:p>
      <w:pPr>
        <w:spacing w:after="120" w:before="0" w:line="276"/>
      </w:pPr>
      <w:r>
        <w:rPr>
          <w:rFonts w:ascii="Calibri" w:cs="Calibri" w:eastAsia="Calibri" w:hAnsi="Calibri"/>
          <w:sz w:val="21"/>
          <w:szCs w:val="21"/>
        </w:rPr>
        <w:t xml:space="preserve">Counts: 4 Bullish (3 media, 1 trade press), 1 Bearish (institutional), 1 Neutral (institutional) = </w:t>
      </w:r>
      <w:r>
        <w:rPr>
          <w:rFonts w:ascii="Calibri" w:cs="Calibri" w:eastAsia="Calibri" w:hAnsi="Calibri"/>
          <w:b/>
          <w:bCs/>
          <w:color w:val="1a7a4c"/>
          <w:sz w:val="21"/>
          <w:szCs w:val="21"/>
        </w:rPr>
        <w:t xml:space="preserve">Predominantly Bullish (tilt = +0.29)</w:t>
      </w:r>
      <w:r>
        <w:rPr>
          <w:rFonts w:ascii="Calibri" w:cs="Calibri" w:eastAsia="Calibri" w:hAnsi="Calibri"/>
          <w:sz w:val="21"/>
          <w:szCs w:val="21"/>
        </w:rPr>
        <w:t xml:space="preserve">. The single Bearish read (CIBC) carries full institutional weight, which pulls the numeric tilt below what the raw bullish count would suggest.</w:t>
      </w:r>
    </w:p>
    <w:p>
      <w:pPr>
        <w:pStyle w:val="ListParagraph"/>
        <w:numPr>
          <w:ilvl w:val="0"/>
          <w:numId w:val="1"/>
        </w:numPr>
        <w:spacing w:after="70" w:line="264"/>
      </w:pPr>
      <w:r>
        <w:rPr>
          <w:rFonts w:ascii="Calibri" w:cs="Calibri" w:eastAsia="Calibri" w:hAnsi="Calibri"/>
          <w:b/>
          <w:bCs/>
          <w:color w:val="1f4e79"/>
          <w:sz w:val="21"/>
          <w:szCs w:val="21"/>
        </w:rPr>
        <w:t xml:space="preserve">Divergence: </w:t>
      </w:r>
      <w:r>
        <w:rPr>
          <w:rFonts w:ascii="Calibri" w:cs="Calibri" w:eastAsia="Calibri" w:hAnsi="Calibri"/>
          <w:sz w:val="21"/>
          <w:szCs w:val="21"/>
        </w:rPr>
        <w:t xml:space="preserve">sentiment is bullish while price is ranging/indecisive — a mild sentiment/price divergence. Given the contracting-volatility range regime (§9), the technical range read takes precedence over the sentiment lean for execution.</w:t>
      </w:r>
    </w:p>
    <w:p>
      <w:pPr>
        <w:pStyle w:val="Heading2"/>
        <w:spacing w:after="90" w:before="180"/>
      </w:pPr>
      <w:r>
        <w:rPr>
          <w:rFonts w:ascii="Calibri" w:cs="Calibri" w:eastAsia="Calibri" w:hAnsi="Calibri"/>
          <w:b/>
          <w:bCs/>
          <w:color w:val="1f4e79"/>
          <w:sz w:val="22"/>
          <w:szCs w:val="22"/>
        </w:rPr>
        <w:t xml:space="preserve">13c · News Calendar — Previous Period</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1200"/>
        <w:gridCol w:w="2400"/>
        <w:gridCol w:w="2400"/>
        <w:gridCol w:w="900"/>
        <w:gridCol w:w="2460"/>
      </w:tblGrid>
      <w:tr>
        <w:trPr>
          <w:tblHeader/>
        </w:trPr>
        <w:tc>
          <w:tcPr>
            <w:tcW w:type="dxa" w:w="12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Date</w:t>
            </w:r>
          </w:p>
        </w:tc>
        <w:tc>
          <w:tcPr>
            <w:tcW w:type="dxa" w:w="2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Event</w:t>
            </w:r>
          </w:p>
        </w:tc>
        <w:tc>
          <w:tcPr>
            <w:tcW w:type="dxa" w:w="2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Prior / Context</w:t>
            </w:r>
          </w:p>
        </w:tc>
        <w:tc>
          <w:tcPr>
            <w:tcW w:type="dxa" w:w="9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Impact</w:t>
            </w:r>
          </w:p>
        </w:tc>
        <w:tc>
          <w:tcPr>
            <w:tcW w:type="dxa" w:w="24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Implication for S&amp;P 500</w:t>
            </w:r>
          </w:p>
        </w:tc>
      </w:tr>
      <w:tr>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30 Jun</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Quarter-end / best quarter since 2020</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Q2 close</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Med</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Momentum into July; supportive</w:t>
            </w:r>
          </w:p>
        </w:tc>
      </w:tr>
      <w:tr>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01 Jul</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Q3 start; comms &amp; financials lead</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Rotation</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Low</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Breadth broadened; index +? held</w:t>
            </w:r>
          </w:p>
        </w:tc>
      </w:tr>
      <w:tr>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02 Jul</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Pre-holiday session; semis sell off</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Mega-cap chips −5–14%</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High</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Capped upside; index flat despite 354 advancers</w:t>
            </w:r>
          </w:p>
        </w:tc>
      </w:tr>
      <w:tr>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03 Jul</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June NFP (released, market closed)</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Fewer jobs than expected, revisions lower</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High</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Reinforced Fed-easing read; supportive on reopen</w:t>
            </w:r>
          </w:p>
        </w:tc>
      </w:tr>
    </w:tbl>
    <w:p>
      <w:pPr>
        <w:pStyle w:val="Heading2"/>
        <w:spacing w:after="90" w:before="180"/>
      </w:pPr>
      <w:r>
        <w:rPr>
          <w:rFonts w:ascii="Calibri" w:cs="Calibri" w:eastAsia="Calibri" w:hAnsi="Calibri"/>
          <w:b/>
          <w:bCs/>
          <w:color w:val="1f4e79"/>
          <w:sz w:val="22"/>
          <w:szCs w:val="22"/>
        </w:rPr>
        <w:t xml:space="preserve">13d · News Calendar — Upcoming Period</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1200"/>
        <w:gridCol w:w="2400"/>
        <w:gridCol w:w="2400"/>
        <w:gridCol w:w="900"/>
        <w:gridCol w:w="2460"/>
      </w:tblGrid>
      <w:tr>
        <w:trPr>
          <w:tblHeader/>
        </w:trPr>
        <w:tc>
          <w:tcPr>
            <w:tcW w:type="dxa" w:w="12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Date</w:t>
            </w:r>
          </w:p>
        </w:tc>
        <w:tc>
          <w:tcPr>
            <w:tcW w:type="dxa" w:w="2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Event</w:t>
            </w:r>
          </w:p>
        </w:tc>
        <w:tc>
          <w:tcPr>
            <w:tcW w:type="dxa" w:w="24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Context</w:t>
            </w:r>
          </w:p>
        </w:tc>
        <w:tc>
          <w:tcPr>
            <w:tcW w:type="dxa" w:w="9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Impact</w:t>
            </w:r>
          </w:p>
        </w:tc>
        <w:tc>
          <w:tcPr>
            <w:tcW w:type="dxa" w:w="24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Implication for S&amp;P 500</w:t>
            </w:r>
          </w:p>
        </w:tc>
      </w:tr>
      <w:tr>
        <w:tc>
          <w:tcPr>
            <w:tcW w:type="dxa" w:w="1200"/>
            <w:tcMar>
              <w:top w:type="dxa" w:w="60"/>
              <w:left w:type="dxa" w:w="90"/>
              <w:bottom w:type="dxa" w:w="60"/>
              <w:right w:type="dxa" w:w="90"/>
            </w:tcMar>
          </w:tcPr>
          <w:p>
            <w:pPr>
              <w:spacing w:after="0" w:line="252"/>
            </w:pPr>
            <w:r>
              <w:rPr>
                <w:rFonts w:ascii="Calibri" w:cs="Calibri" w:eastAsia="Calibri" w:hAnsi="Calibri"/>
                <w:b/>
                <w:bCs/>
                <w:sz w:val="19"/>
                <w:szCs w:val="19"/>
              </w:rPr>
              <w:t xml:space="preserve">06 Jul</w:t>
            </w:r>
          </w:p>
        </w:tc>
        <w:tc>
          <w:tcPr>
            <w:tcW w:type="dxa" w:w="2400"/>
            <w:tcMar>
              <w:top w:type="dxa" w:w="60"/>
              <w:left w:type="dxa" w:w="90"/>
              <w:bottom w:type="dxa" w:w="60"/>
              <w:right w:type="dxa" w:w="90"/>
            </w:tcMar>
          </w:tcPr>
          <w:p>
            <w:pPr>
              <w:spacing w:after="0" w:line="252"/>
            </w:pPr>
            <w:r>
              <w:rPr>
                <w:rFonts w:ascii="Calibri" w:cs="Calibri" w:eastAsia="Calibri" w:hAnsi="Calibri"/>
                <w:b/>
                <w:bCs/>
                <w:sz w:val="19"/>
                <w:szCs w:val="19"/>
              </w:rPr>
              <w:t xml:space="preserve">US market reopen</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Post-holiday gap; futures-set open</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High</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Beat futures → gap up through daily R1; miss → gap toward daily S1</w:t>
            </w:r>
          </w:p>
        </w:tc>
      </w:tr>
      <w:tr>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~10 Jul</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Mega-cap earnings run-in</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AAPL/MSFT/NVDA/GOOGL/META/AMZN</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High</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Beats extend range top; misses press range floor</w:t>
            </w:r>
          </w:p>
        </w:tc>
      </w:tr>
      <w:tr>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mid-Jul</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June CPI</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Inflation trajectory</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High</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Cooler → cut odds rise, supportive; hot → range break lower risk</w:t>
            </w:r>
          </w:p>
        </w:tc>
      </w:tr>
      <w:tr>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late-Jul</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Next FOMC</w:t>
            </w:r>
          </w:p>
        </w:tc>
        <w:tc>
          <w:tcPr>
            <w:tcW w:type="dxa" w:w="2400"/>
            <w:tcMar>
              <w:top w:type="dxa" w:w="60"/>
              <w:left w:type="dxa" w:w="90"/>
              <w:bottom w:type="dxa" w:w="60"/>
              <w:right w:type="dxa" w:w="90"/>
            </w:tcMar>
          </w:tcPr>
          <w:p>
            <w:pPr>
              <w:spacing w:after="0" w:line="252"/>
            </w:pPr>
            <w:r>
              <w:rPr>
                <w:rFonts w:ascii="Calibri" w:cs="Calibri" w:eastAsia="Calibri" w:hAnsi="Calibri"/>
                <w:sz w:val="19"/>
                <w:szCs w:val="19"/>
              </w:rPr>
              <w:t xml:space="preserve">Rate path</w:t>
            </w:r>
          </w:p>
        </w:tc>
        <w:tc>
          <w:tcPr>
            <w:tcW w:type="dxa" w:w="900"/>
            <w:tcMar>
              <w:top w:type="dxa" w:w="60"/>
              <w:left w:type="dxa" w:w="90"/>
              <w:bottom w:type="dxa" w:w="60"/>
              <w:right w:type="dxa" w:w="90"/>
            </w:tcMar>
          </w:tcPr>
          <w:p>
            <w:pPr>
              <w:spacing w:after="0" w:line="252"/>
            </w:pPr>
            <w:r>
              <w:rPr>
                <w:rFonts w:ascii="Calibri" w:cs="Calibri" w:eastAsia="Calibri" w:hAnsi="Calibri"/>
                <w:sz w:val="19"/>
                <w:szCs w:val="19"/>
              </w:rPr>
              <w:t xml:space="preserve">High</w:t>
            </w:r>
          </w:p>
        </w:tc>
        <w:tc>
          <w:tcPr>
            <w:tcW w:type="dxa" w:w="2460"/>
            <w:tcMar>
              <w:top w:type="dxa" w:w="60"/>
              <w:left w:type="dxa" w:w="90"/>
              <w:bottom w:type="dxa" w:w="60"/>
              <w:right w:type="dxa" w:w="90"/>
            </w:tcMar>
          </w:tcPr>
          <w:p>
            <w:pPr>
              <w:spacing w:after="0" w:line="252"/>
            </w:pPr>
            <w:r>
              <w:rPr>
                <w:rFonts w:ascii="Calibri" w:cs="Calibri" w:eastAsia="Calibri" w:hAnsi="Calibri"/>
                <w:sz w:val="19"/>
                <w:szCs w:val="19"/>
              </w:rPr>
              <w:t xml:space="preserve">Dovish hold supportive; hawkish surprise negative</w:t>
            </w:r>
          </w:p>
        </w:tc>
      </w:tr>
    </w:tbl>
    <w:p>
      <w:pPr>
        <w:spacing w:after="120" w:before="0" w:line="276"/>
      </w:pPr>
      <w:r>
        <w:rPr>
          <w:rFonts w:ascii="Calibri" w:cs="Calibri" w:eastAsia="Calibri" w:hAnsi="Calibri"/>
          <w:b/>
          <w:bCs/>
          <w:sz w:val="20"/>
          <w:szCs w:val="20"/>
        </w:rPr>
        <w:t xml:space="preserve">Highest-impact upcoming event: </w:t>
      </w:r>
      <w:r>
        <w:rPr>
          <w:rFonts w:ascii="Calibri" w:cs="Calibri" w:eastAsia="Calibri" w:hAnsi="Calibri"/>
          <w:b/>
          <w:bCs/>
          <w:sz w:val="20"/>
          <w:szCs w:val="20"/>
        </w:rPr>
        <w:t xml:space="preserve">the 06 July reopen — because Sunday-evening ES futures set the cash open before any 06 Jul data, a weekend geopolitical or trade surprise is the primary swing factor for the first print.</w:t>
      </w:r>
    </w:p>
    <w:p>
      <w:pPr>
        <w:pStyle w:val="Heading1"/>
        <w:spacing w:after="120" w:before="260"/>
      </w:pPr>
      <w:r>
        <w:rPr>
          <w:rFonts w:ascii="Calibri" w:cs="Calibri" w:eastAsia="Calibri" w:hAnsi="Calibri"/>
          <w:b/>
          <w:bCs/>
          <w:color w:val="1f3864"/>
          <w:sz w:val="26"/>
          <w:szCs w:val="26"/>
        </w:rPr>
        <w:t xml:space="preserve">14 · Macro Context</w:t>
      </w:r>
    </w:p>
    <w:p>
      <w:pPr>
        <w:pStyle w:val="ListParagraph"/>
        <w:numPr>
          <w:ilvl w:val="0"/>
          <w:numId w:val="1"/>
        </w:numPr>
        <w:spacing w:after="70" w:line="264"/>
      </w:pPr>
      <w:r>
        <w:rPr>
          <w:rFonts w:ascii="Calibri" w:cs="Calibri" w:eastAsia="Calibri" w:hAnsi="Calibri"/>
          <w:b/>
          <w:bCs/>
          <w:color w:val="1a7a4c"/>
          <w:sz w:val="21"/>
          <w:szCs w:val="21"/>
        </w:rPr>
        <w:t xml:space="preserve">Rates &amp; policy — supportive. </w:t>
      </w:r>
      <w:r>
        <w:rPr>
          <w:rFonts w:ascii="Calibri" w:cs="Calibri" w:eastAsia="Calibri" w:hAnsi="Calibri"/>
          <w:sz w:val="21"/>
          <w:szCs w:val="21"/>
        </w:rPr>
        <w:t xml:space="preserve">Fed on hold at 4.25–4.50% with a two-cut 2026 bias; cross-referencing the §10 VIX read (falling, mid-16s), the market is pricing an easing path with little stress premium.</w:t>
      </w:r>
    </w:p>
    <w:p>
      <w:pPr>
        <w:pStyle w:val="ListParagraph"/>
        <w:numPr>
          <w:ilvl w:val="0"/>
          <w:numId w:val="1"/>
        </w:numPr>
        <w:spacing w:after="70" w:line="264"/>
      </w:pPr>
      <w:r>
        <w:rPr>
          <w:rFonts w:ascii="Calibri" w:cs="Calibri" w:eastAsia="Calibri" w:hAnsi="Calibri"/>
          <w:b/>
          <w:bCs/>
          <w:color w:val="9c6500"/>
          <w:sz w:val="21"/>
          <w:szCs w:val="21"/>
        </w:rPr>
        <w:t xml:space="preserve">Inflation — neutral-to-supportive. </w:t>
      </w:r>
      <w:r>
        <w:rPr>
          <w:rFonts w:ascii="Calibri" w:cs="Calibri" w:eastAsia="Calibri" w:hAnsi="Calibri"/>
          <w:sz w:val="21"/>
          <w:szCs w:val="21"/>
        </w:rPr>
        <w:t xml:space="preserve">Soft June payrolls shifted focus to the employment mandate; mid-July CPI is the confirming data (§13d watch item).</w:t>
      </w:r>
    </w:p>
    <w:p>
      <w:pPr>
        <w:pStyle w:val="ListParagraph"/>
        <w:numPr>
          <w:ilvl w:val="0"/>
          <w:numId w:val="1"/>
        </w:numPr>
        <w:spacing w:after="70" w:line="264"/>
      </w:pPr>
      <w:r>
        <w:rPr>
          <w:rFonts w:ascii="Calibri" w:cs="Calibri" w:eastAsia="Calibri" w:hAnsi="Calibri"/>
          <w:b/>
          <w:bCs/>
          <w:color w:val="1a7a4c"/>
          <w:sz w:val="21"/>
          <w:szCs w:val="21"/>
        </w:rPr>
        <w:t xml:space="preserve">Liquidity &amp; FX — supportive. </w:t>
      </w:r>
      <w:r>
        <w:rPr>
          <w:rFonts w:ascii="Calibri" w:cs="Calibri" w:eastAsia="Calibri" w:hAnsi="Calibri"/>
          <w:sz w:val="21"/>
          <w:szCs w:val="21"/>
        </w:rPr>
        <w:t xml:space="preserve">Per §10, USDX easing toward 100 loosens conditions and aids multinational earnings translation.</w:t>
      </w:r>
    </w:p>
    <w:p>
      <w:pPr>
        <w:pStyle w:val="ListParagraph"/>
        <w:numPr>
          <w:ilvl w:val="0"/>
          <w:numId w:val="1"/>
        </w:numPr>
        <w:spacing w:after="70" w:line="264"/>
      </w:pPr>
      <w:r>
        <w:rPr>
          <w:rFonts w:ascii="Calibri" w:cs="Calibri" w:eastAsia="Calibri" w:hAnsi="Calibri"/>
          <w:b/>
          <w:bCs/>
          <w:color w:val="1f4e79"/>
          <w:sz w:val="21"/>
          <w:szCs w:val="21"/>
        </w:rPr>
        <w:t xml:space="preserve">Positioning — calm. </w:t>
      </w:r>
      <w:r>
        <w:rPr>
          <w:rFonts w:ascii="Calibri" w:cs="Calibri" w:eastAsia="Calibri" w:hAnsi="Calibri"/>
          <w:sz w:val="21"/>
          <w:szCs w:val="21"/>
        </w:rPr>
        <w:t xml:space="preserve">VIX mid-16s (52-wk low 13.38, high 35.30) sits in the lower quartile — light hedging demand, consistent with the contracting-volatility range.</w:t>
      </w:r>
    </w:p>
    <w:p>
      <w:pPr>
        <w:pStyle w:val="Heading1"/>
        <w:spacing w:after="120" w:before="260"/>
      </w:pPr>
      <w:r>
        <w:rPr>
          <w:rFonts w:ascii="Calibri" w:cs="Calibri" w:eastAsia="Calibri" w:hAnsi="Calibri"/>
          <w:b/>
          <w:bCs/>
          <w:color w:val="1f3864"/>
          <w:sz w:val="26"/>
          <w:szCs w:val="26"/>
        </w:rPr>
        <w:t xml:space="preserve">15 · Bull / Bear Balance</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4680"/>
        <w:gridCol w:w="4680"/>
      </w:tblGrid>
      <w:tr>
        <w:trPr>
          <w:tblHeader/>
        </w:trPr>
        <w:tc>
          <w:tcPr>
            <w:tcW w:type="dxa" w:w="468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Upside risks</w:t>
            </w:r>
          </w:p>
        </w:tc>
        <w:tc>
          <w:tcPr>
            <w:tcW w:type="dxa" w:w="468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Downside risks</w:t>
            </w:r>
          </w:p>
        </w:tc>
      </w:tr>
      <w:tr>
        <w:tc>
          <w:tcPr>
            <w:tcW w:type="dxa" w:w="468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Fed-easing tailwind + earnings momentum; a strong mega-cap earnings run could push a range-top break above daily R1 / 02 Jul high (7,540).</w:t>
            </w:r>
          </w:p>
        </w:tc>
        <w:tc>
          <w:tcPr>
            <w:tcW w:type="dxa" w:w="4680"/>
            <w:tcMar>
              <w:top w:type="dxa" w:w="60"/>
              <w:left w:type="dxa" w:w="90"/>
              <w:bottom w:type="dxa" w:w="60"/>
              <w:right w:type="dxa" w:w="90"/>
            </w:tcMar>
          </w:tcPr>
          <w:p>
            <w:pPr>
              <w:spacing w:after="0" w:line="252"/>
            </w:pPr>
            <w:r>
              <w:rPr>
                <w:rFonts w:ascii="Calibri" w:cs="Calibri" w:eastAsia="Calibri" w:hAnsi="Calibri"/>
                <w:color w:val="c0392b"/>
                <w:sz w:val="19"/>
                <w:szCs w:val="19"/>
              </w:rPr>
              <w:t xml:space="preserve">Semiconductor de-rating deepens and drags mega-cap weights; a break of daily S1 (7,427) opens weekly S1 (7,255).</w:t>
            </w:r>
          </w:p>
        </w:tc>
      </w:tr>
      <w:tr>
        <w:tc>
          <w:tcPr>
            <w:tcW w:type="dxa" w:w="4680"/>
            <w:tcMar>
              <w:top w:type="dxa" w:w="60"/>
              <w:left w:type="dxa" w:w="90"/>
              <w:bottom w:type="dxa" w:w="60"/>
              <w:right w:type="dxa" w:w="90"/>
            </w:tcMar>
          </w:tcPr>
          <w:p>
            <w:pPr>
              <w:spacing w:after="0" w:line="252"/>
            </w:pPr>
            <w:r>
              <w:rPr>
                <w:rFonts w:ascii="Calibri" w:cs="Calibri" w:eastAsia="Calibri" w:hAnsi="Calibri"/>
                <w:color w:val="1a7a4c"/>
                <w:sz w:val="19"/>
                <w:szCs w:val="19"/>
              </w:rPr>
              <w:t xml:space="preserve">Easing USDX + subdued VIX support risk appetite and the range's upper half.</w:t>
            </w:r>
          </w:p>
        </w:tc>
        <w:tc>
          <w:tcPr>
            <w:tcW w:type="dxa" w:w="4680"/>
            <w:tcMar>
              <w:top w:type="dxa" w:w="60"/>
              <w:left w:type="dxa" w:w="90"/>
              <w:bottom w:type="dxa" w:w="60"/>
              <w:right w:type="dxa" w:w="90"/>
            </w:tcMar>
          </w:tcPr>
          <w:p>
            <w:pPr>
              <w:spacing w:after="0" w:line="252"/>
            </w:pPr>
            <w:r>
              <w:rPr>
                <w:rFonts w:ascii="Calibri" w:cs="Calibri" w:eastAsia="Calibri" w:hAnsi="Calibri"/>
                <w:color w:val="c0392b"/>
                <w:sz w:val="19"/>
                <w:szCs w:val="19"/>
              </w:rPr>
              <w:t xml:space="preserve">Hot mid-July CPI reverses cut expectations; weekend gap risk on the 06 Jul reopen (highest-impact §13d event).</w:t>
            </w:r>
          </w:p>
        </w:tc>
      </w:tr>
    </w:tbl>
    <w:p>
      <w:pPr>
        <w:spacing w:after="120" w:before="0" w:line="276"/>
      </w:pPr>
      <w:r>
        <w:rPr>
          <w:rFonts w:ascii="Calibri" w:cs="Calibri" w:eastAsia="Calibri" w:hAnsi="Calibri"/>
          <w:sz w:val="20"/>
          <w:szCs w:val="20"/>
        </w:rPr>
        <w:t xml:space="preserve">Balance is symmetric around the daily pivot (7,483.85), where price closed. The §13d reopen gap and the mega-cap earnings run are the two events most able to resolve the range.</w:t>
      </w:r>
    </w:p>
    <w:p>
      <w:pPr>
        <w:pStyle w:val="Heading1"/>
        <w:spacing w:after="120" w:before="260"/>
      </w:pPr>
      <w:r>
        <w:rPr>
          <w:rFonts w:ascii="Calibri" w:cs="Calibri" w:eastAsia="Calibri" w:hAnsi="Calibri"/>
          <w:b/>
          <w:bCs/>
          <w:color w:val="1f3864"/>
          <w:sz w:val="26"/>
          <w:szCs w:val="26"/>
        </w:rPr>
        <w:t xml:space="preserve">16 · Forward View</w:t>
      </w:r>
    </w:p>
    <w:p>
      <w:pPr>
        <w:spacing w:after="120" w:before="0" w:line="276"/>
      </w:pPr>
      <w:r>
        <w:rPr>
          <w:rFonts w:ascii="Calibri" w:cs="Calibri" w:eastAsia="Calibri" w:hAnsi="Calibri"/>
          <w:b/>
          <w:bCs/>
          <w:sz w:val="21"/>
          <w:szCs w:val="21"/>
        </w:rPr>
        <w:t xml:space="preserve">Expected direction (next 5 sessions): </w:t>
      </w:r>
      <w:r>
        <w:rPr>
          <w:rFonts w:ascii="Calibri" w:cs="Calibri" w:eastAsia="Calibri" w:hAnsi="Calibri"/>
          <w:sz w:val="21"/>
          <w:szCs w:val="21"/>
        </w:rPr>
        <w:t xml:space="preserve">range-bound with a mild upward lean. </w:t>
      </w:r>
      <w:r>
        <w:rPr>
          <w:rFonts w:ascii="Calibri" w:cs="Calibri" w:eastAsia="Calibri" w:hAnsi="Calibri"/>
          <w:sz w:val="21"/>
          <w:szCs w:val="21"/>
        </w:rPr>
        <w:t xml:space="preserve">Base-case trading band 7,427 – 7,541 (the twin daily-pivot/prior-session confluences), with the 25-day range envelope 7,238 – 7,605 as the outer bound. The regime (§9) is ranging with contracting volatility, so the base case is fade-the-edges, not chase-the-break. Invalidation: two consecutive daily closes above 7,541 flip the bias to breakout-continuation (test weekly R2 7,629 / monthly R1 7,657); two closes below 7,427 open the weekly S1 7,255 support. This respects the §9 regime; it does not contradict it.</w:t>
      </w:r>
    </w:p>
    <w:p>
      <w:pPr>
        <w:pStyle w:val="Heading1"/>
        <w:spacing w:after="120" w:before="260"/>
      </w:pPr>
      <w:r>
        <w:rPr>
          <w:rFonts w:ascii="Calibri" w:cs="Calibri" w:eastAsia="Calibri" w:hAnsi="Calibri"/>
          <w:b/>
          <w:bCs/>
          <w:color w:val="1f3864"/>
          <w:sz w:val="26"/>
          <w:szCs w:val="26"/>
        </w:rPr>
        <w:t xml:space="preserve">17 · Forecast</w:t>
      </w:r>
    </w:p>
    <w:p>
      <w:pPr>
        <w:pBdr>
          <w:left w:val="single" w:color="1f4e79" w:sz="18" w:space="12"/>
        </w:pBdr>
        <w:spacing w:after="140" w:before="40"/>
        <w:ind w:left="180"/>
      </w:pPr>
      <w:r>
        <w:rPr>
          <w:rFonts w:ascii="Calibri" w:cs="Calibri" w:eastAsia="Calibri" w:hAnsi="Calibri"/>
          <w:b/>
          <w:bCs/>
          <w:i/>
          <w:iCs/>
          <w:color w:val="1a2332"/>
          <w:sz w:val="23"/>
          <w:szCs w:val="23"/>
        </w:rPr>
        <w:t xml:space="preserve">The S&amp;P 500 opens 06 July inside a contracting-volatility range and is most likely to oscillate between 7,427 support and 7,541 resistance with a mild upward bias, resolving directionally only on the reopen gap or the mega-cap earnings run.</w:t>
      </w:r>
    </w:p>
    <w:p>
      <w:pPr>
        <w:pStyle w:val="Heading1"/>
        <w:spacing w:after="120" w:before="260"/>
      </w:pPr>
      <w:r>
        <w:rPr>
          <w:rFonts w:ascii="Calibri" w:cs="Calibri" w:eastAsia="Calibri" w:hAnsi="Calibri"/>
          <w:b/>
          <w:bCs/>
          <w:color w:val="1f3864"/>
          <w:sz w:val="26"/>
          <w:szCs w:val="26"/>
        </w:rPr>
        <w:t xml:space="preserve">18 · Final Analyst Judgement</w:t>
      </w:r>
    </w:p>
    <w:p>
      <w:pPr>
        <w:pStyle w:val="ListParagraph"/>
        <w:numPr>
          <w:ilvl w:val="0"/>
          <w:numId w:val="1"/>
        </w:numPr>
        <w:spacing w:after="70" w:line="264"/>
      </w:pPr>
      <w:r>
        <w:rPr>
          <w:rFonts w:ascii="Calibri" w:cs="Calibri" w:eastAsia="Calibri" w:hAnsi="Calibri"/>
          <w:b/>
          <w:bCs/>
          <w:color w:val="1f4e79"/>
          <w:sz w:val="21"/>
          <w:szCs w:val="21"/>
        </w:rPr>
        <w:t xml:space="preserve">Consensus price: </w:t>
      </w:r>
      <w:r>
        <w:rPr>
          <w:rFonts w:ascii="Calibri" w:cs="Calibri" w:eastAsia="Calibri" w:hAnsi="Calibri"/>
          <w:sz w:val="21"/>
          <w:szCs w:val="21"/>
        </w:rPr>
        <w:t xml:space="preserve">7,483.24 pts (last validated cash close, 02 Jul).</w:t>
      </w:r>
    </w:p>
    <w:p>
      <w:pPr>
        <w:pStyle w:val="ListParagraph"/>
        <w:numPr>
          <w:ilvl w:val="0"/>
          <w:numId w:val="1"/>
        </w:numPr>
        <w:spacing w:after="70" w:line="264"/>
      </w:pPr>
      <w:r>
        <w:rPr>
          <w:rFonts w:ascii="Calibri" w:cs="Calibri" w:eastAsia="Calibri" w:hAnsi="Calibri"/>
          <w:b/>
          <w:bCs/>
          <w:color w:val="1f4e79"/>
          <w:sz w:val="21"/>
          <w:szCs w:val="21"/>
        </w:rPr>
        <w:t xml:space="preserve">Confidence: </w:t>
      </w:r>
      <w:r>
        <w:rPr>
          <w:rFonts w:ascii="Calibri" w:cs="Calibri" w:eastAsia="Calibri" w:hAnsi="Calibri"/>
          <w:sz w:val="21"/>
          <w:szCs w:val="21"/>
        </w:rPr>
        <w:t xml:space="preserve">Medium — data corroborated, but the anchor is a pre-holiday close and the 06 Jul open is futures-set.</w:t>
      </w:r>
    </w:p>
    <w:p>
      <w:pPr>
        <w:pStyle w:val="ListParagraph"/>
        <w:numPr>
          <w:ilvl w:val="0"/>
          <w:numId w:val="1"/>
        </w:numPr>
        <w:spacing w:after="70" w:line="264"/>
      </w:pPr>
      <w:r>
        <w:rPr>
          <w:rFonts w:ascii="Calibri" w:cs="Calibri" w:eastAsia="Calibri" w:hAnsi="Calibri"/>
          <w:b/>
          <w:bCs/>
          <w:color w:val="1f4e79"/>
          <w:sz w:val="21"/>
          <w:szCs w:val="21"/>
        </w:rPr>
        <w:t xml:space="preserve">Three key reasons: </w:t>
      </w:r>
      <w:r>
        <w:rPr>
          <w:rFonts w:ascii="Calibri" w:cs="Calibri" w:eastAsia="Calibri" w:hAnsi="Calibri"/>
          <w:sz w:val="21"/>
          <w:szCs w:val="21"/>
        </w:rPr>
        <w:t xml:space="preserve">(1) ranging regime confirmed by overlap/persistence + KER + contracting VOLator; (2) supportive macro (Fed easing bias, soft NFP, easing USDX, low VIX); (3) semiconductor rotation capping upside and holding the tape mid-range.</w:t>
      </w:r>
    </w:p>
    <w:p>
      <w:pPr>
        <w:pStyle w:val="ListParagraph"/>
        <w:numPr>
          <w:ilvl w:val="0"/>
          <w:numId w:val="1"/>
        </w:numPr>
        <w:spacing w:after="70" w:line="264"/>
      </w:pPr>
      <w:r>
        <w:rPr>
          <w:rFonts w:ascii="Calibri" w:cs="Calibri" w:eastAsia="Calibri" w:hAnsi="Calibri"/>
          <w:b/>
          <w:bCs/>
          <w:color w:val="1f4e79"/>
          <w:sz w:val="21"/>
          <w:szCs w:val="21"/>
        </w:rPr>
        <w:t xml:space="preserve">Single watch item: </w:t>
      </w:r>
      <w:r>
        <w:rPr>
          <w:rFonts w:ascii="Calibri" w:cs="Calibri" w:eastAsia="Calibri" w:hAnsi="Calibri"/>
          <w:sz w:val="21"/>
          <w:szCs w:val="21"/>
        </w:rPr>
        <w:t xml:space="preserve">the 06 July reopen gap.</w:t>
      </w:r>
    </w:p>
    <w:p>
      <w:pPr>
        <w:pStyle w:val="Heading1"/>
        <w:spacing w:after="120" w:before="260"/>
      </w:pPr>
      <w:r>
        <w:rPr>
          <w:rFonts w:ascii="Calibri" w:cs="Calibri" w:eastAsia="Calibri" w:hAnsi="Calibri"/>
          <w:b/>
          <w:bCs/>
          <w:color w:val="1f3864"/>
          <w:sz w:val="26"/>
          <w:szCs w:val="26"/>
        </w:rPr>
        <w:t xml:space="preserve">19 · Source Discipline Note</w:t>
      </w:r>
    </w:p>
    <w:p>
      <w:pPr>
        <w:pStyle w:val="ListParagraph"/>
        <w:numPr>
          <w:ilvl w:val="0"/>
          <w:numId w:val="1"/>
        </w:numPr>
        <w:spacing w:after="70" w:line="264"/>
      </w:pPr>
      <w:r>
        <w:rPr>
          <w:rFonts w:ascii="Calibri" w:cs="Calibri" w:eastAsia="Calibri" w:hAnsi="Calibri"/>
          <w:b/>
          <w:bCs/>
          <w:color w:val="1f4e79"/>
          <w:sz w:val="21"/>
          <w:szCs w:val="21"/>
        </w:rPr>
        <w:t xml:space="preserve">Live vs indicative: </w:t>
      </w:r>
      <w:r>
        <w:rPr>
          <w:rFonts w:ascii="Calibri" w:cs="Calibri" w:eastAsia="Calibri" w:hAnsi="Calibri"/>
          <w:sz w:val="21"/>
          <w:szCs w:val="21"/>
        </w:rPr>
        <w:t xml:space="preserve">the S&amp;P 500 cash OHLC is a validated last-close series (02 Jul), not a live 06 Jul quote — markets were shut 03–05 Jul.</w:t>
      </w:r>
    </w:p>
    <w:p>
      <w:pPr>
        <w:pStyle w:val="ListParagraph"/>
        <w:numPr>
          <w:ilvl w:val="0"/>
          <w:numId w:val="1"/>
        </w:numPr>
        <w:spacing w:after="70" w:line="264"/>
      </w:pPr>
      <w:r>
        <w:rPr>
          <w:rFonts w:ascii="Calibri" w:cs="Calibri" w:eastAsia="Calibri" w:hAnsi="Calibri"/>
          <w:b/>
          <w:bCs/>
          <w:color w:val="1f4e79"/>
          <w:sz w:val="21"/>
          <w:szCs w:val="21"/>
        </w:rPr>
        <w:t xml:space="preserve">Corroboration per instrument: </w:t>
      </w:r>
      <w:r>
        <w:rPr>
          <w:rFonts w:ascii="Calibri" w:cs="Calibri" w:eastAsia="Calibri" w:hAnsi="Calibri"/>
          <w:sz w:val="21"/>
          <w:szCs w:val="21"/>
        </w:rPr>
        <w:t xml:space="preserve">S&amp;P 500 — CORROBORATED (Investing.com × Yahoo/^GSPC, Δ0.00 on close, within ±0.10 pt tolerance). Daily pivots CORROBORATED. USDX / VIX / DAX counters — SINGLE-SOURCE / INDICATIVE at the OHLC level (directional reads only); this flag is propagated and consumed by the §21 suppression logic.</w:t>
      </w:r>
    </w:p>
    <w:p>
      <w:pPr>
        <w:pStyle w:val="ListParagraph"/>
        <w:numPr>
          <w:ilvl w:val="0"/>
          <w:numId w:val="1"/>
        </w:numPr>
        <w:spacing w:after="70" w:line="264"/>
      </w:pPr>
      <w:r>
        <w:rPr>
          <w:rFonts w:ascii="Calibri" w:cs="Calibri" w:eastAsia="Calibri" w:hAnsi="Calibri"/>
          <w:b/>
          <w:bCs/>
          <w:color w:val="1f4e79"/>
          <w:sz w:val="21"/>
          <w:szCs w:val="21"/>
        </w:rPr>
        <w:t xml:space="preserve">Data gaps: </w:t>
      </w:r>
      <w:r>
        <w:rPr>
          <w:rFonts w:ascii="Calibri" w:cs="Calibri" w:eastAsia="Calibri" w:hAnsi="Calibri"/>
          <w:sz w:val="21"/>
          <w:szCs w:val="21"/>
        </w:rPr>
        <w:t xml:space="preserve">full dual-source counter OHLC not established within the source pass; per the instruction to remain lenient on corroboration so a strategy can be produced, counters are used at the directional level and trade cards are built on the corroborated primary series and its corroborated daily pivots.</w:t>
      </w:r>
    </w:p>
    <w:p>
      <w:pPr>
        <w:pStyle w:val="ListParagraph"/>
        <w:numPr>
          <w:ilvl w:val="0"/>
          <w:numId w:val="1"/>
        </w:numPr>
        <w:spacing w:after="70" w:line="264"/>
      </w:pPr>
      <w:r>
        <w:rPr>
          <w:rFonts w:ascii="Calibri" w:cs="Calibri" w:eastAsia="Calibri" w:hAnsi="Calibri"/>
          <w:b/>
          <w:bCs/>
          <w:color w:val="1f4e79"/>
          <w:sz w:val="21"/>
          <w:szCs w:val="21"/>
        </w:rPr>
        <w:t xml:space="preserve">Normalization: </w:t>
      </w:r>
      <w:r>
        <w:rPr>
          <w:rFonts w:ascii="Calibri" w:cs="Calibri" w:eastAsia="Calibri" w:hAnsi="Calibri"/>
          <w:sz w:val="21"/>
          <w:szCs w:val="21"/>
        </w:rPr>
        <w:t xml:space="preserve">none required — single cash-index basis in index points; futures/CFD and alt-basis snapshots excluded.</w:t>
      </w:r>
    </w:p>
    <w:p>
      <w:pPr>
        <w:pStyle w:val="Heading1"/>
        <w:spacing w:after="120" w:before="260"/>
      </w:pPr>
      <w:r>
        <w:rPr>
          <w:rFonts w:ascii="Calibri" w:cs="Calibri" w:eastAsia="Calibri" w:hAnsi="Calibri"/>
          <w:b/>
          <w:bCs/>
          <w:color w:val="1f3864"/>
          <w:sz w:val="26"/>
          <w:szCs w:val="26"/>
        </w:rPr>
        <w:t xml:space="preserve">20 · Agent Log</w:t>
      </w:r>
    </w:p>
    <w:p>
      <w:pPr>
        <w:pStyle w:val="ListParagraph"/>
        <w:numPr>
          <w:ilvl w:val="0"/>
          <w:numId w:val="1"/>
        </w:numPr>
        <w:spacing w:after="70" w:line="264"/>
      </w:pPr>
      <w:r>
        <w:rPr>
          <w:rFonts w:ascii="Calibri" w:cs="Calibri" w:eastAsia="Calibri" w:hAnsi="Calibri"/>
          <w:b/>
          <w:bCs/>
          <w:color w:val="1f4e79"/>
          <w:sz w:val="21"/>
          <w:szCs w:val="21"/>
        </w:rPr>
        <w:t xml:space="preserve">Sources attempted: </w:t>
      </w:r>
      <w:r>
        <w:rPr>
          <w:rFonts w:ascii="Calibri" w:cs="Calibri" w:eastAsia="Calibri" w:hAnsi="Calibri"/>
          <w:sz w:val="20"/>
          <w:szCs w:val="20"/>
        </w:rPr>
        <w:t xml:space="preserve">Stooq (network-blocked), FRED (close-only, stale cache), Investing.com (OHLC obtained), Yahoo/^GSPC via secondary (close corroboration), CNBC (ticker confirm), Multpl (excluded), CME/US500 CFD (excluded). Corroborated pair: Investing.com × Yahoo, delta 0.00 pts.</w:t>
      </w:r>
    </w:p>
    <w:p>
      <w:pPr>
        <w:pStyle w:val="ListParagraph"/>
        <w:numPr>
          <w:ilvl w:val="0"/>
          <w:numId w:val="1"/>
        </w:numPr>
        <w:spacing w:after="70" w:line="264"/>
      </w:pPr>
      <w:r>
        <w:rPr>
          <w:rFonts w:ascii="Calibri" w:cs="Calibri" w:eastAsia="Calibri" w:hAnsi="Calibri"/>
          <w:b/>
          <w:bCs/>
          <w:color w:val="1f4e79"/>
          <w:sz w:val="21"/>
          <w:szCs w:val="21"/>
        </w:rPr>
        <w:t xml:space="preserve">Validation method: </w:t>
      </w:r>
      <w:r>
        <w:rPr>
          <w:rFonts w:ascii="Calibri" w:cs="Calibri" w:eastAsia="Calibri" w:hAnsi="Calibri"/>
          <w:sz w:val="20"/>
          <w:szCs w:val="20"/>
        </w:rPr>
        <w:t xml:space="preserve">two-source agreement within ±0.10 pt equity-index tolerance; weekend/holiday rows (03–05 Jul) rejected as non-trading; 5-day and 25-day blocks terminated at 02 Jul.</w:t>
      </w:r>
    </w:p>
    <w:p>
      <w:pPr>
        <w:pStyle w:val="ListParagraph"/>
        <w:numPr>
          <w:ilvl w:val="0"/>
          <w:numId w:val="1"/>
        </w:numPr>
        <w:spacing w:after="70" w:line="264"/>
      </w:pPr>
      <w:r>
        <w:rPr>
          <w:rFonts w:ascii="Calibri" w:cs="Calibri" w:eastAsia="Calibri" w:hAnsi="Calibri"/>
          <w:b/>
          <w:bCs/>
          <w:color w:val="1f4e79"/>
          <w:sz w:val="21"/>
          <w:szCs w:val="21"/>
        </w:rPr>
        <w:t xml:space="preserve">Anchor override: </w:t>
      </w:r>
      <w:r>
        <w:rPr>
          <w:rFonts w:ascii="Calibri" w:cs="Calibri" w:eastAsia="Calibri" w:hAnsi="Calibri"/>
          <w:sz w:val="20"/>
          <w:szCs w:val="20"/>
        </w:rPr>
        <w:t xml:space="preserve">daily-open anchor set to 06 Jul 2026 per instruction; last completed session remains 02 Jul (holiday-adjusted).</w:t>
      </w:r>
    </w:p>
    <w:p>
      <w:pPr>
        <w:pStyle w:val="ListParagraph"/>
        <w:numPr>
          <w:ilvl w:val="0"/>
          <w:numId w:val="1"/>
        </w:numPr>
        <w:spacing w:after="70" w:line="264"/>
      </w:pPr>
      <w:r>
        <w:rPr>
          <w:rFonts w:ascii="Calibri" w:cs="Calibri" w:eastAsia="Calibri" w:hAnsi="Calibri"/>
          <w:b/>
          <w:bCs/>
          <w:color w:val="1f4e79"/>
          <w:sz w:val="21"/>
          <w:szCs w:val="21"/>
        </w:rPr>
        <w:t xml:space="preserve">Direction-score weights basis: </w:t>
      </w:r>
      <w:r>
        <w:rPr>
          <w:rFonts w:ascii="Calibri" w:cs="Calibri" w:eastAsia="Calibri" w:hAnsi="Calibri"/>
          <w:sz w:val="20"/>
          <w:szCs w:val="20"/>
        </w:rPr>
        <w:t xml:space="preserve">DEFAULTS (v2.1 baseline, weights locked). Score +0.06 → NEUTRAL; Trade 1 suppressed on conviction threshold (|0.06| &lt; 0.25). Contributions: short-tech −0.025, medium-regime +0.020, VOLator −0.020, Kaufman +0.015, sentiment +0.043, cross-asset +0.022.</w:t>
      </w:r>
    </w:p>
    <w:p>
      <w:pPr>
        <w:pStyle w:val="ListParagraph"/>
        <w:numPr>
          <w:ilvl w:val="0"/>
          <w:numId w:val="1"/>
        </w:numPr>
        <w:spacing w:after="70" w:line="264"/>
      </w:pPr>
      <w:r>
        <w:rPr>
          <w:rFonts w:ascii="Calibri" w:cs="Calibri" w:eastAsia="Calibri" w:hAnsi="Calibri"/>
          <w:b/>
          <w:bCs/>
          <w:color w:val="1f4e79"/>
          <w:sz w:val="21"/>
          <w:szCs w:val="21"/>
        </w:rPr>
        <w:t xml:space="preserve">Sentiment derivation: </w:t>
      </w:r>
      <w:r>
        <w:rPr>
          <w:rFonts w:ascii="Calibri" w:cs="Calibri" w:eastAsia="Calibri" w:hAnsi="Calibri"/>
          <w:sz w:val="20"/>
          <w:szCs w:val="20"/>
        </w:rPr>
        <w:t xml:space="preserve">6 articles, source-class-weighted mean → tilt +0.29, Predominantly Bullish; each carries a ≤15-word derivation quote (§13a).</w:t>
      </w:r>
    </w:p>
    <w:p>
      <w:pPr>
        <w:pStyle w:val="ListParagraph"/>
        <w:numPr>
          <w:ilvl w:val="0"/>
          <w:numId w:val="1"/>
        </w:numPr>
        <w:spacing w:after="70" w:line="264"/>
      </w:pPr>
      <w:r>
        <w:rPr>
          <w:rFonts w:ascii="Calibri" w:cs="Calibri" w:eastAsia="Calibri" w:hAnsi="Calibri"/>
          <w:b/>
          <w:bCs/>
          <w:color w:val="1f4e79"/>
          <w:sz w:val="21"/>
          <w:szCs w:val="21"/>
        </w:rPr>
        <w:t xml:space="preserve">Backtest notes: </w:t>
      </w:r>
      <w:r>
        <w:rPr>
          <w:rFonts w:ascii="Calibri" w:cs="Calibri" w:eastAsia="Calibri" w:hAnsi="Calibri"/>
          <w:sz w:val="20"/>
          <w:szCs w:val="20"/>
        </w:rPr>
        <w:t xml:space="preserve">5 sessions reconstructed at each t−1 close, no forward leakage; sentiment/regime/ATR/pivots recomputed per session; SL-first tick priority applied.</w:t>
      </w:r>
    </w:p>
    <w:p>
      <w:pPr>
        <w:pStyle w:val="ListParagraph"/>
        <w:numPr>
          <w:ilvl w:val="0"/>
          <w:numId w:val="1"/>
        </w:numPr>
        <w:spacing w:after="70" w:line="264"/>
      </w:pPr>
      <w:r>
        <w:rPr>
          <w:rFonts w:ascii="Calibri" w:cs="Calibri" w:eastAsia="Calibri" w:hAnsi="Calibri"/>
          <w:b/>
          <w:bCs/>
          <w:color w:val="1f4e79"/>
          <w:sz w:val="21"/>
          <w:szCs w:val="21"/>
        </w:rPr>
        <w:t xml:space="preserve">Anomalies: </w:t>
      </w:r>
      <w:r>
        <w:rPr>
          <w:rFonts w:ascii="Calibri" w:cs="Calibri" w:eastAsia="Calibri" w:hAnsi="Calibri"/>
          <w:sz w:val="20"/>
          <w:szCs w:val="20"/>
        </w:rPr>
        <w:t xml:space="preserve">RSI2 full-scale whipsaw (96→100→78→0.1) flagged as range signature, not trend; counter OHLC single-source flagged; Multpl 7,524.59 vs cash 7,483.24 discrepancy resolved in favour of the two corroborating cash providers.</w:t>
      </w:r>
    </w:p>
    <w:p>
      <w:pPr>
        <w:spacing w:after="80" w:before="0" w:line="276"/>
      </w:pPr>
      <w:r>
        <w:rPr>
          <w:rFonts w:ascii="Calibri" w:cs="Calibri" w:eastAsia="Calibri" w:hAnsi="Calibri"/>
          <w:i/>
          <w:iCs/>
          <w:color w:val="555555"/>
          <w:sz w:val="19"/>
          <w:szCs w:val="19"/>
        </w:rPr>
        <w:t xml:space="preserve">Run timestamp: 05 Jul 2026 (UK), for 06 Jul 2026 as-of report.</w:t>
      </w:r>
    </w:p>
    <w:p>
      <w:pPr>
        <w:pStyle w:val="Heading1"/>
        <w:spacing w:after="120" w:before="260"/>
      </w:pPr>
      <w:r>
        <w:rPr>
          <w:rFonts w:ascii="Calibri" w:cs="Calibri" w:eastAsia="Calibri" w:hAnsi="Calibri"/>
          <w:b/>
          <w:bCs/>
          <w:color w:val="1f3864"/>
          <w:sz w:val="26"/>
          <w:szCs w:val="26"/>
        </w:rPr>
        <w:t xml:space="preserve">21 · Strategy Recommendations</w:t>
      </w:r>
    </w:p>
    <w:p>
      <w:pPr>
        <w:pStyle w:val="Heading2"/>
        <w:spacing w:after="90" w:before="180"/>
      </w:pPr>
      <w:r>
        <w:rPr>
          <w:rFonts w:ascii="Calibri" w:cs="Calibri" w:eastAsia="Calibri" w:hAnsi="Calibri"/>
          <w:b/>
          <w:bCs/>
          <w:color w:val="1f4e79"/>
          <w:sz w:val="22"/>
          <w:szCs w:val="22"/>
        </w:rPr>
        <w:t xml:space="preserve">21a · Directional Conviction</w:t>
      </w:r>
    </w:p>
    <w:p>
      <w:pPr>
        <w:spacing w:after="120" w:before="0" w:line="276"/>
      </w:pPr>
      <w:r>
        <w:rPr>
          <w:rFonts w:ascii="Calibri" w:cs="Calibri" w:eastAsia="Calibri" w:hAnsi="Calibri"/>
          <w:b/>
          <w:bCs/>
          <w:sz w:val="21"/>
          <w:szCs w:val="21"/>
        </w:rPr>
        <w:t xml:space="preserve">Direction: NEUTRAL. Score +0.06 (defaults). </w:t>
      </w:r>
      <w:r>
        <w:rPr>
          <w:rFonts w:ascii="Calibri" w:cs="Calibri" w:eastAsia="Calibri" w:hAnsi="Calibri"/>
          <w:sz w:val="21"/>
          <w:szCs w:val="21"/>
        </w:rPr>
        <w:t xml:space="preserve">The three highest-weighted contributors are sentiment tilt (§13b) +0.043, cross-asset confirmation (§10) +0.022, and medium-term regime (§9) +0.020, partly offset by short-term technical bias (§8) −0.025 and contracting VOLator −0.020. Because |0.06| is below the 0.25 conviction threshold, the daily directional trade (Trade 1) is stood down. Trades 2 and 3 are regime-driven and produce regardless. Conflict flag: the §17 forecast leans mildly upward while the direction score is flat — reported, not reconciled. Weights basis: defaults.</w:t>
      </w:r>
    </w:p>
    <w:p>
      <w:pPr>
        <w:pStyle w:val="Heading2"/>
        <w:spacing w:after="90" w:before="180"/>
      </w:pPr>
      <w:r>
        <w:rPr>
          <w:rFonts w:ascii="Calibri" w:cs="Calibri" w:eastAsia="Calibri" w:hAnsi="Calibri"/>
          <w:b/>
          <w:bCs/>
          <w:color w:val="1f4e79"/>
          <w:sz w:val="22"/>
          <w:szCs w:val="22"/>
        </w:rPr>
        <w:t xml:space="preserve">21b · Trade Cards</w:t>
      </w:r>
    </w:p>
    <w:p>
      <w:pPr>
        <w:spacing w:after="60" w:before="0" w:line="276"/>
      </w:pPr>
      <w:r>
        <w:rPr>
          <w:rFonts w:ascii="Calibri" w:cs="Calibri" w:eastAsia="Calibri" w:hAnsi="Calibri"/>
          <w:b/>
          <w:bCs/>
          <w:color w:val="1f4e79"/>
          <w:sz w:val="21"/>
          <w:szCs w:val="21"/>
        </w:rPr>
        <w:t xml:space="preserve">Trade 1 — Daily Directional</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2600"/>
        <w:gridCol w:w="6760"/>
      </w:tblGrid>
      <w:tr>
        <w:tc>
          <w:tcPr>
            <w:tcW w:type="dxa" w:w="2600"/>
            <w:shd w:fill="fbe9e7" w:color="auto" w:val="clear"/>
            <w:tcMar>
              <w:top w:type="dxa" w:w="60"/>
              <w:left w:type="dxa" w:w="90"/>
              <w:bottom w:type="dxa" w:w="60"/>
              <w:right w:type="dxa" w:w="90"/>
            </w:tcMar>
          </w:tcPr>
          <w:p>
            <w:pPr>
              <w:spacing w:after="0" w:line="252"/>
            </w:pPr>
            <w:r>
              <w:rPr>
                <w:rFonts w:ascii="Calibri" w:cs="Calibri" w:eastAsia="Calibri" w:hAnsi="Calibri"/>
                <w:b/>
                <w:bCs/>
                <w:color w:val="c0392b"/>
                <w:sz w:val="19"/>
                <w:szCs w:val="19"/>
              </w:rPr>
              <w:t xml:space="preserve">SUPPRESSED</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Direction score +0.06 is below the 0.25 conviction threshold. No directional edge — suppression is the output.</w:t>
            </w:r>
          </w:p>
        </w:tc>
      </w:tr>
    </w:tbl>
    <w:p>
      <w:pPr>
        <w:spacing w:after="60" w:before="120" w:line="276"/>
      </w:pPr>
      <w:r>
        <w:rPr>
          <w:rFonts w:ascii="Calibri" w:cs="Calibri" w:eastAsia="Calibri" w:hAnsi="Calibri"/>
          <w:b/>
          <w:bCs/>
          <w:color w:val="1f4e79"/>
          <w:sz w:val="21"/>
          <w:szCs w:val="21"/>
        </w:rPr>
        <w:t xml:space="preserve">Trade 2 — Pivot (Range-aware, RANGE regime)</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2600"/>
        <w:gridCol w:w="6760"/>
      </w:tblGrid>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Trade type</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Trade 2 — Pivot fade, RANGE regime</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Direction</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Dual-sided fade — SELL the R1 confluence / BUY the S1 confluence (range regime, price at daily P)</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Entry (short)</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Sell limit 7,540 (daily R1 7,540.14 ≈ 02 Jul high 7,540.75) — range-top confluence</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Entry (long)</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Buy limit 7,428 (daily S1 7,426.94 ≈ 02 Jul low 7,427.55) — range-floor confluence</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Stop loss (short)</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7,576 — 36 pts above entry (beyond the high shelf); anchor: 02 Jul high + ~0.35 ATR</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Stop loss (long)</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7,392 — 36 pts below entry (weekly P 7,392.74); anchor: weekly pivot</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Risk (R)</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≈36 points each side (0.37× ATR14 of 96.3 pts)</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TP1 (Unit 1)</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+1R → short 7,504 / long 7,464 (back toward daily P 7,483.85)</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TP2 (Unit 2)</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+2R → short 7,468 / long 7,500 (through P to opposite half)</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TP3 (runner)</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Opposite pivot: short → daily S1 7,427 / long → daily R1 7,540; runner exits at pivot P on stall</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Tranche mgmt</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3 equal units; U1 exits TP1, U2 exits TP2; on U2 fill, U3 stop → entry ± 0.2R (7 pts)</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Confluences</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Strong confluence both edges: daily R1 ≈ 02 Jul high (top); daily S1 ≈ 02 Jul low (floor) — within 0.15 ATR</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Invalidation</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Two daily closes beyond the fade edge (&gt;7,541 for the short / &lt;7,427 for the long) break the range thesis</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Caveats</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Regime-fade only — stand aside on a 06 Jul gap that opens beyond either edge; holding period collides with the 06 Jul reopen (§13d Tier-1)</w:t>
            </w:r>
          </w:p>
        </w:tc>
      </w:tr>
    </w:tbl>
    <w:p>
      <w:pPr>
        <w:spacing w:after="60" w:before="120" w:line="276"/>
      </w:pPr>
      <w:r>
        <w:rPr>
          <w:rFonts w:ascii="Calibri" w:cs="Calibri" w:eastAsia="Calibri" w:hAnsi="Calibri"/>
          <w:b/>
          <w:bCs/>
          <w:color w:val="1f4e79"/>
          <w:sz w:val="21"/>
          <w:szCs w:val="21"/>
        </w:rPr>
        <w:t xml:space="preserve">Trade 3 — Regime-driven → Fork 3B (Mean-Reversion)</w:t>
      </w:r>
    </w:p>
    <w:p>
      <w:pPr>
        <w:spacing w:after="60" w:before="0" w:line="276"/>
      </w:pPr>
      <w:r>
        <w:rPr>
          <w:rFonts w:ascii="Calibri" w:cs="Calibri" w:eastAsia="Calibri" w:hAnsi="Calibri"/>
          <w:i/>
          <w:iCs/>
          <w:color w:val="555555"/>
          <w:sz w:val="20"/>
          <w:szCs w:val="20"/>
        </w:rPr>
        <w:t xml:space="preserve">RANGE regime passes the dual gate (|KER| 0.107 &lt; 0.13 and VOLator slope −0.40 ≤ 0), so the Trade 3 fork resolves to 3B — Mean-Reversion.</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2600"/>
        <w:gridCol w:w="6760"/>
      </w:tblGrid>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Trade type</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Trade 3B — Mean-Reversion to range mid</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Direction</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LONG bias from the lower half — BUY weakness toward S1, target range mid (mild upward lean per KER)</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Entry</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Buy limit 7,440 — between daily S1 (7,427) and the 29 Jun demand shelf (7,440)</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Stop loss</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7,392 — 48 pts below entry at weekly P 7,392.74 (structural range boundary)</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Risk (R)</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≈48 points (0.50× ATR14)</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TP1 (Unit 1)</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Range mid 7,484 (daily P) — +0.9R structural target</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TP2 (Unit 2)</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7,512 — mid-to-upper range (+1.5R), toward weekly R1 7,491 / 30 Jun close zone</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TP3 (runner)</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Range top 7,540 (daily R1 / 02 Jul high); exit on range-top rejection or breakout</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Tranche mgmt</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3 equal units; U1 exits TP1, U2 exits TP2; on U2 fill, U3 stop → entry ± 0.2R (10 pts)</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Confluences</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Entry near 29 Jun demand + daily S1; target at daily P; strong confluence at 7,540 top</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Invalidation</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Daily close below weekly P 7,392.74 voids the mean-reversion thesis (range floor lost)</w:t>
            </w:r>
          </w:p>
        </w:tc>
      </w:tr>
      <w:tr>
        <w:tc>
          <w:tcPr>
            <w:tcW w:type="dxa" w:w="2600"/>
            <w:shd w:fill="eef2f7"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Caveats</w:t>
            </w:r>
          </w:p>
        </w:tc>
        <w:tc>
          <w:tcPr>
            <w:tcW w:type="dxa" w:w="6760"/>
            <w:tcMar>
              <w:top w:type="dxa" w:w="60"/>
              <w:left w:type="dxa" w:w="90"/>
              <w:bottom w:type="dxa" w:w="60"/>
              <w:right w:type="dxa" w:w="90"/>
            </w:tcMar>
          </w:tcPr>
          <w:p>
            <w:pPr>
              <w:spacing w:after="0" w:line="252"/>
            </w:pPr>
            <w:r>
              <w:rPr>
                <w:rFonts w:ascii="Calibri" w:cs="Calibri" w:eastAsia="Calibri" w:hAnsi="Calibri"/>
                <w:sz w:val="19"/>
                <w:szCs w:val="19"/>
              </w:rPr>
              <w:t xml:space="preserve">Low-conviction sentiment offset by one institutional bearish read; 06 Jul gap risk; counters indicative</w:t>
            </w:r>
          </w:p>
        </w:tc>
      </w:tr>
    </w:tbl>
    <w:p>
      <w:pPr>
        <w:pStyle w:val="Heading2"/>
        <w:spacing w:after="90" w:before="180"/>
      </w:pPr>
      <w:r>
        <w:rPr>
          <w:rFonts w:ascii="Calibri" w:cs="Calibri" w:eastAsia="Calibri" w:hAnsi="Calibri"/>
          <w:b/>
          <w:bCs/>
          <w:color w:val="1f4e79"/>
          <w:sz w:val="22"/>
          <w:szCs w:val="22"/>
        </w:rPr>
        <w:t xml:space="preserve">21c · 5-Session No-Leakage Backtest</w:t>
      </w:r>
    </w:p>
    <w:tbl>
      <w:tblPr>
        <w:tblW w:type="dxa" w:w="9360"/>
        <w:tblBorders>
          <w:top w:val="single" w:color="c9d2dd" w:sz="4"/>
          <w:left w:val="single" w:color="c9d2dd" w:sz="4"/>
          <w:bottom w:val="single" w:color="c9d2dd" w:sz="4"/>
          <w:right w:val="single" w:color="c9d2dd" w:sz="4"/>
          <w:insideH w:val="single" w:color="c9d2dd" w:sz="2"/>
          <w:insideV w:val="single" w:color="c9d2dd" w:sz="2"/>
        </w:tblBorders>
      </w:tblPr>
      <w:tblGrid>
        <w:gridCol w:w="1550"/>
        <w:gridCol w:w="1250"/>
        <w:gridCol w:w="1200"/>
        <w:gridCol w:w="1050"/>
        <w:gridCol w:w="1900"/>
        <w:gridCol w:w="1250"/>
        <w:gridCol w:w="1160"/>
      </w:tblGrid>
      <w:tr>
        <w:trPr>
          <w:tblHeader/>
        </w:trPr>
        <w:tc>
          <w:tcPr>
            <w:tcW w:type="dxa" w:w="15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Date (t−N)</w:t>
            </w:r>
          </w:p>
        </w:tc>
        <w:tc>
          <w:tcPr>
            <w:tcW w:type="dxa" w:w="12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Strategy</w:t>
            </w:r>
          </w:p>
        </w:tc>
        <w:tc>
          <w:tcPr>
            <w:tcW w:type="dxa" w:w="12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Direction</w:t>
            </w:r>
          </w:p>
        </w:tc>
        <w:tc>
          <w:tcPr>
            <w:tcW w:type="dxa" w:w="10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Trig.</w:t>
            </w:r>
          </w:p>
        </w:tc>
        <w:tc>
          <w:tcPr>
            <w:tcW w:type="dxa" w:w="190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Entry→Exit</w:t>
            </w:r>
          </w:p>
        </w:tc>
        <w:tc>
          <w:tcPr>
            <w:tcW w:type="dxa" w:w="125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Outcome (R)</w:t>
            </w:r>
          </w:p>
        </w:tc>
        <w:tc>
          <w:tcPr>
            <w:tcW w:type="dxa" w:w="1160"/>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9"/>
                <w:szCs w:val="19"/>
              </w:rPr>
              <w:t xml:space="preserve">Days</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25 Jun (t−5)</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2</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Fade R1/S1</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S1 buy 7,325→P 7,357</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+1.0R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1</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25 Jun (t−5)</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3B</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LONG</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7,340→7,392</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+1.1R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2</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26 Jun (t−4)</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2</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Fade</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S-edge buy→mid</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+0.8R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2</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26 Jun (t−4)</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3B</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LONG</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7,354→7,440</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+1.8R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1</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29 Jun (t−3)</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2</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Fade R1</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R1 short 7,444→stop</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−1.0R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1</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29 Jun (t−3)</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3B</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LONG</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7,392→7,499</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OPEN @ +2.2R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2</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30 Jun (t−2)</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2</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Fade R1</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NO</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R1 not tagged</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30 Jun (t−2)</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3B</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LONG</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7,438→7,499</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+1.3R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1</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01 Jul (t−1)</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2</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Fade</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R-edge short 7,522→7,483</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+1.0R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1</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01 Jul (t−1)</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3B</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LONG</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YES</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7,449→7,483</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+0.7R</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1</w:t>
            </w:r>
          </w:p>
        </w:tc>
      </w:tr>
      <w:tr>
        <w:tc>
          <w:tcPr>
            <w:tcW w:type="dxa" w:w="1550"/>
            <w:tcMar>
              <w:top w:type="dxa" w:w="60"/>
              <w:left w:type="dxa" w:w="90"/>
              <w:bottom w:type="dxa" w:w="60"/>
              <w:right w:type="dxa" w:w="90"/>
            </w:tcMar>
          </w:tcPr>
          <w:p>
            <w:pPr>
              <w:spacing w:after="0" w:line="252"/>
            </w:pPr>
            <w:r>
              <w:rPr>
                <w:rFonts w:ascii="Calibri" w:cs="Calibri" w:eastAsia="Calibri" w:hAnsi="Calibri"/>
                <w:sz w:val="19"/>
                <w:szCs w:val="19"/>
              </w:rPr>
              <w:t xml:space="preserve">—</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Trade 1</w:t>
            </w:r>
          </w:p>
        </w:tc>
        <w:tc>
          <w:tcPr>
            <w:tcW w:type="dxa" w:w="1200"/>
            <w:tcMar>
              <w:top w:type="dxa" w:w="60"/>
              <w:left w:type="dxa" w:w="90"/>
              <w:bottom w:type="dxa" w:w="60"/>
              <w:right w:type="dxa" w:w="90"/>
            </w:tcMar>
          </w:tcPr>
          <w:p>
            <w:pPr>
              <w:spacing w:after="0" w:line="252"/>
            </w:pPr>
            <w:r>
              <w:rPr>
                <w:rFonts w:ascii="Calibri" w:cs="Calibri" w:eastAsia="Calibri" w:hAnsi="Calibri"/>
                <w:sz w:val="19"/>
                <w:szCs w:val="19"/>
              </w:rPr>
              <w:t xml:space="preserve">SUPPRESSED</w:t>
            </w:r>
          </w:p>
        </w:tc>
        <w:tc>
          <w:tcPr>
            <w:tcW w:type="dxa" w:w="1050"/>
            <w:tcMar>
              <w:top w:type="dxa" w:w="60"/>
              <w:left w:type="dxa" w:w="90"/>
              <w:bottom w:type="dxa" w:w="60"/>
              <w:right w:type="dxa" w:w="90"/>
            </w:tcMar>
          </w:tcPr>
          <w:p>
            <w:pPr>
              <w:spacing w:after="0" w:line="252"/>
            </w:pPr>
            <w:r>
              <w:rPr>
                <w:rFonts w:ascii="Calibri" w:cs="Calibri" w:eastAsia="Calibri" w:hAnsi="Calibri"/>
                <w:sz w:val="19"/>
                <w:szCs w:val="19"/>
              </w:rPr>
              <w:t xml:space="preserve">—</w:t>
            </w:r>
          </w:p>
        </w:tc>
        <w:tc>
          <w:tcPr>
            <w:tcW w:type="dxa" w:w="1900"/>
            <w:tcMar>
              <w:top w:type="dxa" w:w="60"/>
              <w:left w:type="dxa" w:w="90"/>
              <w:bottom w:type="dxa" w:w="60"/>
              <w:right w:type="dxa" w:w="90"/>
            </w:tcMar>
          </w:tcPr>
          <w:p>
            <w:pPr>
              <w:spacing w:after="0" w:line="252"/>
            </w:pPr>
            <w:r>
              <w:rPr>
                <w:rFonts w:ascii="Calibri" w:cs="Calibri" w:eastAsia="Calibri" w:hAnsi="Calibri"/>
                <w:sz w:val="19"/>
                <w:szCs w:val="19"/>
              </w:rPr>
              <w:t xml:space="preserve">conviction &lt; 0.25 each session</w:t>
            </w:r>
          </w:p>
        </w:tc>
        <w:tc>
          <w:tcPr>
            <w:tcW w:type="dxa" w:w="1250"/>
            <w:tcMar>
              <w:top w:type="dxa" w:w="60"/>
              <w:left w:type="dxa" w:w="90"/>
              <w:bottom w:type="dxa" w:w="60"/>
              <w:right w:type="dxa" w:w="90"/>
            </w:tcMar>
          </w:tcPr>
          <w:p>
            <w:pPr>
              <w:spacing w:after="0" w:line="252"/>
            </w:pPr>
            <w:r>
              <w:rPr>
                <w:rFonts w:ascii="Calibri" w:cs="Calibri" w:eastAsia="Calibri" w:hAnsi="Calibri"/>
                <w:sz w:val="19"/>
                <w:szCs w:val="19"/>
              </w:rPr>
              <w:t xml:space="preserve">—</w:t>
            </w:r>
          </w:p>
        </w:tc>
        <w:tc>
          <w:tcPr>
            <w:tcW w:type="dxa" w:w="1160"/>
            <w:tcMar>
              <w:top w:type="dxa" w:w="60"/>
              <w:left w:type="dxa" w:w="90"/>
              <w:bottom w:type="dxa" w:w="60"/>
              <w:right w:type="dxa" w:w="90"/>
            </w:tcMar>
          </w:tcPr>
          <w:p>
            <w:pPr>
              <w:spacing w:after="0" w:line="252"/>
            </w:pPr>
            <w:r>
              <w:rPr>
                <w:rFonts w:ascii="Calibri" w:cs="Calibri" w:eastAsia="Calibri" w:hAnsi="Calibri"/>
                <w:sz w:val="19"/>
                <w:szCs w:val="19"/>
              </w:rPr>
              <w:t xml:space="preserve">—</w:t>
            </w:r>
          </w:p>
        </w:tc>
      </w:tr>
    </w:tbl>
    <w:p>
      <w:pPr>
        <w:pStyle w:val="Heading2"/>
        <w:spacing w:after="90" w:before="180"/>
      </w:pPr>
      <w:r>
        <w:rPr>
          <w:rFonts w:ascii="Calibri" w:cs="Calibri" w:eastAsia="Calibri" w:hAnsi="Calibri"/>
          <w:b/>
          <w:bCs/>
          <w:color w:val="1f4e79"/>
          <w:sz w:val="22"/>
          <w:szCs w:val="22"/>
        </w:rPr>
        <w:t xml:space="preserve">21d · 'What Is Working'</w:t>
      </w:r>
    </w:p>
    <w:p>
      <w:pPr>
        <w:spacing w:after="120" w:before="0" w:line="276"/>
      </w:pPr>
      <w:r>
        <w:rPr>
          <w:rFonts w:ascii="Calibri" w:cs="Calibri" w:eastAsia="Calibri" w:hAnsi="Calibri"/>
          <w:sz w:val="21"/>
          <w:szCs w:val="21"/>
        </w:rPr>
        <w:t xml:space="preserve">Over the last 5 sessions: Trade 2 (Pivot fade) triggered 4/5, mean R ≈ +0.45 (one −1R stop on 29 Jun trend-day), TP1/TP2/TP3 hit ≈ 75% / 25% / 0%. Trade 3B (Mean-Reversion) triggered 5/5, mean R ≈ +1.2 on closed units with one runner open at +2.2R, TP1/TP2/TP3 ≈ 100% / 60% / 20%. Trade 1 suppressed every session. </w:t>
      </w:r>
      <w:r>
        <w:rPr>
          <w:rFonts w:ascii="Calibri" w:cs="Calibri" w:eastAsia="Calibri" w:hAnsi="Calibri"/>
          <w:b/>
          <w:bCs/>
          <w:sz w:val="21"/>
          <w:szCs w:val="21"/>
        </w:rPr>
        <w:t xml:space="preserve">Strongest performer: Trade 3B. Weakest: Trade 2 (the single trend-day stop). </w:t>
      </w:r>
    </w:p>
    <w:p>
      <w:pPr>
        <w:spacing w:after="120" w:before="0" w:line="276"/>
      </w:pPr>
      <w:r>
        <w:rPr>
          <w:rFonts w:ascii="Calibri" w:cs="Calibri" w:eastAsia="Calibri" w:hAnsi="Calibri"/>
          <w:i/>
          <w:iCs/>
          <w:color w:val="555555"/>
          <w:sz w:val="19"/>
          <w:szCs w:val="19"/>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1f4e79" w:sz="6"/>
        </w:pBdr>
        <w:spacing w:after="120" w:before="40"/>
      </w:pPr>
    </w:p>
    <w:p>
      <w:pPr>
        <w:spacing w:before="40"/>
        <w:jc w:val="center"/>
      </w:pPr>
      <w:r>
        <w:rPr>
          <w:rFonts w:ascii="Calibri" w:cs="Calibri" w:eastAsia="Calibri" w:hAnsi="Calibri"/>
          <w:i/>
          <w:iCs/>
          <w:color w:val="777777"/>
          <w:sz w:val="18"/>
          <w:szCs w:val="18"/>
        </w:rPr>
        <w:t xml:space="preserve">S&amp;P 500 Daily Report │ 06 July 2026 │ Senior US Equity Strategist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77ceee4ba0b638f00131930585fdb8af5adcf2.png"/><Relationship Id="rId8" Type="http://schemas.openxmlformats.org/officeDocument/2006/relationships/image" Target="media/62a47ec348ea407f9c62b7d286cb68724e90824a.png"/><Relationship Id="rId9" Type="http://schemas.openxmlformats.org/officeDocument/2006/relationships/image" Target="media/e8c4cd6f4d720175171b1acdb87fef3484628aa6.png"/><Relationship Id="rId10" Type="http://schemas.openxmlformats.org/officeDocument/2006/relationships/image" Target="media/b1ebf40f560b54944f3a16f929e90bdcb005bc88.png"/><Relationship Id="rId11" Type="http://schemas.openxmlformats.org/officeDocument/2006/relationships/image" Target="media/8fd3312502bfa1e76df3b3b03a4c2ee9d98a5e2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2026-07-05T21:46:13.835Z</dcterms:created>
  <dcterms:modified xsi:type="dcterms:W3CDTF">2026-07-05T21:46:13.835Z</dcterms:modified>
</cp:coreProperties>
</file>

<file path=docProps/custom.xml><?xml version="1.0" encoding="utf-8"?>
<Properties xmlns="http://schemas.openxmlformats.org/officeDocument/2006/custom-properties" xmlns:vt="http://schemas.openxmlformats.org/officeDocument/2006/docPropsVTypes"/>
</file>