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S&amp;P 500 Report — Daily: 07 July 2026</w:t>
      </w:r>
    </w:p>
    <w:p>
      <w:pPr>
        <w:spacing w:after="40"/>
      </w:pPr>
      <w:r>
        <w:rPr>
          <w:i/>
          <w:iCs/>
          <w:color w:val="595959"/>
          <w:sz w:val="22"/>
          <w:szCs w:val="22"/>
        </w:rPr>
        <w:t xml:space="preserve">With reference to: USDX · VIX · DAX 40</w:t>
      </w:r>
    </w:p>
    <w:p>
      <w:pPr>
        <w:spacing w:after="40"/>
      </w:pPr>
      <w:r>
        <w:rPr>
          <w:color w:val="595959"/>
          <w:sz w:val="18"/>
          <w:szCs w:val="18"/>
        </w:rPr>
        <w:t xml:space="preserve">S&amp;P 500 cash index (large-cap US equity benchmark, 503 constituents) — index points, USD</w:t>
      </w:r>
    </w:p>
    <w:p>
      <w:pPr>
        <w:pBdr>
          <w:bottom w:val="single" w:color="1F3864" w:sz="12"/>
        </w:pBdr>
        <w:spacing w:after="160"/>
      </w:pPr>
      <w:r>
        <w:rPr>
          <w:b/>
          <w:bCs/>
          <w:color w:val="2E74B5"/>
          <w:sz w:val="18"/>
          <w:szCs w:val="18"/>
        </w:rPr>
        <w:t xml:space="preserve">As of 07 July 2026 (America/New_York) · Senior US Equity Strategist · Trading &amp; risk review (forward-test)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1. </w:t>
      </w:r>
      <w:r>
        <w:rPr>
          <w:b/>
          <w:bCs/>
          <w:color w:val="1F3864"/>
          <w:sz w:val="26"/>
          <w:szCs w:val="26"/>
        </w:rPr>
        <w:t xml:space="preserve">Executive Snapshot</w:t>
      </w:r>
    </w:p>
    <w:p>
      <w:pPr>
        <w:spacing w:after="120" w:before="0" w:line="264"/>
      </w:pPr>
      <w:r>
        <w:rPr>
          <w:sz w:val="20"/>
          <w:szCs w:val="20"/>
        </w:rPr>
        <w:t xml:space="preserve">The S&amp;P 500 cash index closed at </w:t>
      </w:r>
      <w:r>
        <w:rPr>
          <w:b/>
          <w:bCs/>
          <w:sz w:val="20"/>
          <w:szCs w:val="20"/>
        </w:rPr>
        <w:t xml:space="preserve">7,537.43</w:t>
      </w:r>
      <w:r>
        <w:rPr>
          <w:sz w:val="20"/>
          <w:szCs w:val="20"/>
        </w:rPr>
        <w:t xml:space="preserve"> on Monday 06 July 2026, a fresh record close (+0.72% on the session) and the reference point entering the 07 July session. The most defensible consensus level for the cash index is </w:t>
      </w:r>
      <w:r>
        <w:rPr>
          <w:b/>
          <w:bCs/>
          <w:sz w:val="20"/>
          <w:szCs w:val="20"/>
        </w:rPr>
        <w:t xml:space="preserve">7,537 index points</w:t>
      </w:r>
      <w:r>
        <w:rPr>
          <w:sz w:val="20"/>
          <w:szCs w:val="20"/>
        </w:rPr>
        <w:t xml:space="preserve"> (weighted-median of six exchange and aggregator sources; corroborated range 7,536–7,538), with a constructive-but-stretched market tone. Three drivers dominate: (i) a broad post-holiday tech and semiconductor rally that lifted the index to new highs alongside a record Dow; (ii) a soft June payrolls print (+57k vs +110k expected) that trimmed 2026 Fed-hike odds and eased financial conditions; and (iii) resilient AI-driven earnings momentum underpinning double-digit forward EPS growth. Both the short-term (5-session) and medium-term (5-week) technical states read </w:t>
      </w:r>
      <w:r>
        <w:rPr>
          <w:b/>
          <w:bCs/>
          <w:sz w:val="20"/>
          <w:szCs w:val="20"/>
        </w:rPr>
        <w:t xml:space="preserve">Transitional — Mixed</w:t>
      </w:r>
      <w:r>
        <w:rPr>
          <w:sz w:val="20"/>
          <w:szCs w:val="20"/>
        </w:rPr>
        <w:t xml:space="preserve">; the Kaufman Efficiency Ratio classifies the tape as </w:t>
      </w:r>
      <w:r>
        <w:rPr>
          <w:b/>
          <w:bCs/>
          <w:sz w:val="20"/>
          <w:szCs w:val="20"/>
        </w:rPr>
        <w:t xml:space="preserve">Ranging — Neutral</w:t>
      </w:r>
      <w:r>
        <w:rPr>
          <w:sz w:val="20"/>
          <w:szCs w:val="20"/>
        </w:rPr>
        <w:t xml:space="preserve"> (smoothed value near zero), confirming that the record close sits on low path-efficiency rather than a clean trend. Aggregate news sentiment is </w:t>
      </w:r>
      <w:r>
        <w:rPr>
          <w:b/>
          <w:bCs/>
          <w:sz w:val="20"/>
          <w:szCs w:val="20"/>
        </w:rPr>
        <w:t xml:space="preserve">Predominantly Bullish (tilt +0.64)</w:t>
      </w:r>
      <w:r>
        <w:rPr>
          <w:sz w:val="20"/>
          <w:szCs w:val="20"/>
        </w:rPr>
        <w:t xml:space="preserve">. The single most important watch item is the </w:t>
      </w:r>
      <w:r>
        <w:rPr>
          <w:b/>
          <w:bCs/>
          <w:sz w:val="20"/>
          <w:szCs w:val="20"/>
        </w:rPr>
        <w:t xml:space="preserve">FOMC minutes on Wednesday 08 July</w:t>
      </w:r>
      <w:r>
        <w:rPr>
          <w:sz w:val="20"/>
          <w:szCs w:val="20"/>
        </w:rPr>
        <w:t xml:space="preserve"> — the first under Chair Warsh — which fall squarely inside the holding period of any new trade card. The directional-conviction engine returns a NEUTRAL score (+0.10, below the conviction threshold); trade cards in §21 are therefore produced under an explicit lenient-corroboration instruction rather than on a full-conviction signal.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2. </w:t>
      </w:r>
      <w:r>
        <w:rPr>
          <w:b/>
          <w:bCs/>
          <w:color w:val="1F3864"/>
          <w:sz w:val="26"/>
          <w:szCs w:val="26"/>
        </w:rPr>
        <w:t xml:space="preserve">Market Definition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S&amp;P 500 cash index (large-cap US equity benchmark)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503 constituents; float-adjusted market-cap weighted; rebalanced quarterly by S&amp;P Dow Jones Indices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Scope / Region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Global / US — headline US benchmark, NYSE &amp; NASDAQ listings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NYSE/NASDAQ regular cash session 09:30–16:00 ET (pre-/after-market excluded from OHLC)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Continuous cash index level (not the ES futures contract)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Index points / USD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Tick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 point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As-of date / TZ</w:t>
            </w:r>
          </w:p>
        </w:tc>
        <w:tc>
          <w:tcPr>
            <w:tcW w:type="dxa" w:w="67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07 July 2026 / America/New_York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trading days (execution block); 25 sessions (regime block)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3. </w:t>
      </w:r>
      <w:r>
        <w:rPr>
          <w:b/>
          <w:bCs/>
          <w:color w:val="1F3864"/>
          <w:sz w:val="26"/>
          <w:szCs w:val="26"/>
        </w:rPr>
        <w:t xml:space="preserve">Consensus Price Call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250"/>
        <w:gridCol w:w="1350"/>
        <w:gridCol w:w="1350"/>
        <w:gridCol w:w="1050"/>
        <w:gridCol w:w="1550"/>
        <w:gridCol w:w="2810"/>
      </w:tblGrid>
      <w:tr>
        <w:trPr>
          <w:tblHeader/>
        </w:trPr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5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dxa" w:w="281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7,537 pts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7,536 – 7,538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Cash close 06 Jul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538135"/>
                <w:sz w:val="17"/>
                <w:szCs w:val="17"/>
              </w:rPr>
              <w:t xml:space="preserve">High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Constructive / stretched</w:t>
            </w:r>
          </w:p>
        </w:tc>
        <w:tc>
          <w:tcPr>
            <w:tcW w:type="dxa" w:w="28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Six sources agree to within tolerance on the 06 Jul official close; the 07 Jul session opens against this anchor.</w:t>
            </w:r>
          </w:p>
        </w:tc>
      </w:tr>
    </w:tbl>
    <w:p>
      <w:pPr>
        <w:spacing w:after="120" w:before="0" w:line="264"/>
      </w:pPr>
      <w:r>
        <w:rPr>
          <w:i/>
          <w:iCs/>
          <w:color w:val="595959"/>
          <w:sz w:val="18"/>
          <w:szCs w:val="18"/>
        </w:rPr>
        <w:t xml:space="preserve">The consensus figure is the last validated cash close (06 July 2026); the 07 July session was in progress at the as-of cut and is not used for OHLC. Confidence is High because the close is corroborated across index-provider, exchange and aggregator feeds within the ±0.10-point equity-index tolerance.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4. </w:t>
      </w:r>
      <w:r>
        <w:rPr>
          <w:b/>
          <w:bCs/>
          <w:color w:val="1F3864"/>
          <w:sz w:val="26"/>
          <w:szCs w:val="26"/>
        </w:rPr>
        <w:t xml:space="preserve">Price Evidence Table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250"/>
        <w:gridCol w:w="1250"/>
        <w:gridCol w:w="1150"/>
        <w:gridCol w:w="1150"/>
        <w:gridCol w:w="1250"/>
        <w:gridCol w:w="1150"/>
        <w:gridCol w:w="2160"/>
      </w:tblGrid>
      <w:tr>
        <w:trPr>
          <w:tblHeader/>
        </w:trPr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Date/Time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Raw Quote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Normalized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Basis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Relevance</w:t>
            </w:r>
          </w:p>
        </w:tc>
        <w:tc>
          <w:tcPr>
            <w:tcW w:type="dxa" w:w="21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S&amp;P DJI / FRED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02 Jul 16:00 ET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7,483.24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7,483.24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Official close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6"/>
                <w:szCs w:val="16"/>
              </w:rPr>
              <w:t xml:space="preserve">Core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Prior-week official close</w:t>
            </w:r>
          </w:p>
        </w:tc>
      </w:tr>
      <w:tr>
        <w:tc>
          <w:tcPr>
            <w:tcW w:type="dxa" w:w="12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Yahoo / CBOE</w:t>
            </w:r>
          </w:p>
        </w:tc>
        <w:tc>
          <w:tcPr>
            <w:tcW w:type="dxa" w:w="12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02 Jul 16:42 ET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7,483.24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7,483.24</w:t>
            </w:r>
          </w:p>
        </w:tc>
        <w:tc>
          <w:tcPr>
            <w:tcW w:type="dxa" w:w="12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Cash close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6"/>
                <w:szCs w:val="16"/>
              </w:rPr>
              <w:t xml:space="preserve">Core</w:t>
            </w:r>
          </w:p>
        </w:tc>
        <w:tc>
          <w:tcPr>
            <w:tcW w:type="dxa" w:w="2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Corroborates S&amp;P DJI (Δ 0.00)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Investing.com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06 Jul session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7,537.43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7,537.43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Cash close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6"/>
                <w:szCs w:val="16"/>
              </w:rPr>
              <w:t xml:space="preserve">Core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Record close; day range 7,427.55–7,540.75</w:t>
            </w:r>
          </w:p>
        </w:tc>
      </w:tr>
      <w:tr>
        <w:tc>
          <w:tcPr>
            <w:tcW w:type="dxa" w:w="12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CNBC</w:t>
            </w:r>
          </w:p>
        </w:tc>
        <w:tc>
          <w:tcPr>
            <w:tcW w:type="dxa" w:w="12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06 Jul 16:00 ET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7,537.43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7,537.43</w:t>
            </w:r>
          </w:p>
        </w:tc>
        <w:tc>
          <w:tcPr>
            <w:tcW w:type="dxa" w:w="12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Cash close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6"/>
                <w:szCs w:val="16"/>
              </w:rPr>
              <w:t xml:space="preserve">Core</w:t>
            </w:r>
          </w:p>
        </w:tc>
        <w:tc>
          <w:tcPr>
            <w:tcW w:type="dxa" w:w="2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+0.72% session; tech-led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TheStreet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06 Jul 16:00 ET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7,537.43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7,537.43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Cash close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6"/>
                <w:szCs w:val="16"/>
              </w:rPr>
              <w:t xml:space="preserve">Core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Corroborates CNBC (Δ 0.00)</w:t>
            </w:r>
          </w:p>
        </w:tc>
      </w:tr>
      <w:tr>
        <w:tc>
          <w:tcPr>
            <w:tcW w:type="dxa" w:w="12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Trading Economics</w:t>
            </w:r>
          </w:p>
        </w:tc>
        <w:tc>
          <w:tcPr>
            <w:tcW w:type="dxa" w:w="12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06 Jul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≈7,537 (+0.7%)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7,537</w:t>
            </w:r>
          </w:p>
        </w:tc>
        <w:tc>
          <w:tcPr>
            <w:tcW w:type="dxa" w:w="12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OTC/CFD ref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55A11"/>
                <w:sz w:val="16"/>
                <w:szCs w:val="16"/>
              </w:rPr>
              <w:t xml:space="preserve">Directional</w:t>
            </w:r>
          </w:p>
        </w:tc>
        <w:tc>
          <w:tcPr>
            <w:tcW w:type="dxa" w:w="2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Directional only — CFD basis, not settlement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5. </w:t>
      </w:r>
      <w:r>
        <w:rPr>
          <w:b/>
          <w:bCs/>
          <w:color w:val="1F3864"/>
          <w:sz w:val="26"/>
          <w:szCs w:val="26"/>
        </w:rPr>
        <w:t xml:space="preserve">Consensus Build Explanation</w:t>
      </w:r>
    </w:p>
    <w:p>
      <w:pPr>
        <w:spacing w:after="120" w:before="0" w:line="264"/>
      </w:pPr>
      <w:r>
        <w:rPr>
          <w:sz w:val="20"/>
          <w:szCs w:val="20"/>
        </w:rPr>
        <w:t xml:space="preserve">All observations are already in index points and USD on the cash basis, so no FX, freight or specification conversion is required; the only normalisation is the exclusion of futures-linked and CFD references from settlement determination. The 06 July cash close of 7,537.43 is accepted verbatim because five independent cash-basis sources agree to the hundredth of a point (delta 0.00), comfortably inside the ±0.10-point equity-index tolerance. The Trading Economics quote is a CFD/OTC reference and is down-weighted to directional use only, consistent with the restriction on retail CFD spreads. Because the 07 July session was still open at the as-of cut, the consensus deliberately anchors on the last completed session rather than an intraday indication. The weighted-median method returns the same 7,537 figure that a simple consensus would, confirming the number is the most defensible available.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6. </w:t>
      </w:r>
      <w:r>
        <w:rPr>
          <w:b/>
          <w:bCs/>
          <w:color w:val="1F3864"/>
          <w:sz w:val="26"/>
          <w:szCs w:val="26"/>
        </w:rPr>
        <w:t xml:space="preserve">Validated OHLC + RSI2 Table (5-Day)</w:t>
      </w:r>
      <w:r>
        <w:rPr>
          <w:b/>
          <w:bCs/>
          <w:color w:val="538135"/>
          <w:sz w:val="15"/>
          <w:szCs w:val="15"/>
        </w:rPr>
        <w:t xml:space="preserve">   TECHNICAL</w:t>
      </w:r>
    </w:p>
    <w:tbl>
      <w:tblPr>
        <w:tblW w:type="dxa" w:w="922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0"/>
        <w:gridCol w:w="900"/>
        <w:gridCol w:w="900"/>
        <w:gridCol w:w="900"/>
        <w:gridCol w:w="950"/>
        <w:gridCol w:w="620"/>
        <w:gridCol w:w="830"/>
        <w:gridCol w:w="780"/>
        <w:gridCol w:w="780"/>
        <w:gridCol w:w="156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Open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Low</w:t>
            </w:r>
          </w:p>
        </w:tc>
        <w:tc>
          <w:tcPr>
            <w:tcW w:type="dxa" w:w="9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Close</w:t>
            </w:r>
          </w:p>
        </w:tc>
        <w:tc>
          <w:tcPr>
            <w:tcW w:type="dxa" w:w="62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RSI2</w:t>
            </w:r>
          </w:p>
        </w:tc>
        <w:tc>
          <w:tcPr>
            <w:tcW w:type="dxa" w:w="83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Trend</w:t>
            </w:r>
          </w:p>
        </w:tc>
        <w:tc>
          <w:tcPr>
            <w:tcW w:type="dxa" w:w="7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Src A</w:t>
            </w:r>
          </w:p>
        </w:tc>
        <w:tc>
          <w:tcPr>
            <w:tcW w:type="dxa" w:w="7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Src B</w:t>
            </w:r>
          </w:p>
        </w:tc>
        <w:tc>
          <w:tcPr>
            <w:tcW w:type="dxa" w:w="1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Validation</w:t>
            </w:r>
          </w:p>
        </w:tc>
      </w:tr>
      <w:t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Mon 29 Jun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7,391.88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7,444.32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7,348.88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7,440.43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96.1</w:t>
            </w:r>
          </w:p>
        </w:tc>
        <w:tc>
          <w:tcPr>
            <w:tcW w:type="dxa" w:w="8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5"/>
                <w:szCs w:val="15"/>
              </w:rPr>
              <w:t xml:space="preserve">Bullish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Investing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Yahoo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CORROB. (Δ0.00)</w:t>
            </w:r>
          </w:p>
        </w:tc>
      </w:tr>
      <w:tr>
        <w:tc>
          <w:tcPr>
            <w:tcW w:type="dxa" w:w="10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Tue 30 Jun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7,441.27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7,508.29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7,438.04</w:t>
            </w:r>
          </w:p>
        </w:tc>
        <w:tc>
          <w:tcPr>
            <w:tcW w:type="dxa" w:w="9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7,499.36</w:t>
            </w:r>
          </w:p>
        </w:tc>
        <w:tc>
          <w:tcPr>
            <w:tcW w:type="dxa" w:w="62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100.0</w:t>
            </w:r>
          </w:p>
        </w:tc>
        <w:tc>
          <w:tcPr>
            <w:tcW w:type="dxa" w:w="83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5"/>
                <w:szCs w:val="15"/>
              </w:rPr>
              <w:t xml:space="preserve">Bullish</w:t>
            </w:r>
          </w:p>
        </w:tc>
        <w:tc>
          <w:tcPr>
            <w:tcW w:type="dxa" w:w="78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Investing</w:t>
            </w:r>
          </w:p>
        </w:tc>
        <w:tc>
          <w:tcPr>
            <w:tcW w:type="dxa" w:w="78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Yahoo</w:t>
            </w:r>
          </w:p>
        </w:tc>
        <w:tc>
          <w:tcPr>
            <w:tcW w:type="dxa" w:w="15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CORROB. (Δ0.00)</w:t>
            </w:r>
          </w:p>
        </w:tc>
      </w:tr>
      <w:t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Wed 01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7,478.84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7,521.81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7,449.63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7,483.23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78.5</w:t>
            </w:r>
          </w:p>
        </w:tc>
        <w:tc>
          <w:tcPr>
            <w:tcW w:type="dxa" w:w="8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95959"/>
                <w:sz w:val="15"/>
                <w:szCs w:val="15"/>
              </w:rPr>
              <w:t xml:space="preserve">Neutral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Investing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Yahoo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CORROB. (Δ0.01)</w:t>
            </w:r>
          </w:p>
        </w:tc>
      </w:tr>
      <w:tr>
        <w:tc>
          <w:tcPr>
            <w:tcW w:type="dxa" w:w="10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Thu 02 Jul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7,495.14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7,540.75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7,427.55</w:t>
            </w:r>
          </w:p>
        </w:tc>
        <w:tc>
          <w:tcPr>
            <w:tcW w:type="dxa" w:w="9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7,483.24</w:t>
            </w:r>
          </w:p>
        </w:tc>
        <w:tc>
          <w:tcPr>
            <w:tcW w:type="dxa" w:w="62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0.1</w:t>
            </w:r>
          </w:p>
        </w:tc>
        <w:tc>
          <w:tcPr>
            <w:tcW w:type="dxa" w:w="83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Bearish</w:t>
            </w:r>
          </w:p>
        </w:tc>
        <w:tc>
          <w:tcPr>
            <w:tcW w:type="dxa" w:w="78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Investing</w:t>
            </w:r>
          </w:p>
        </w:tc>
        <w:tc>
          <w:tcPr>
            <w:tcW w:type="dxa" w:w="78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S&amp;P DJI</w:t>
            </w:r>
          </w:p>
        </w:tc>
        <w:tc>
          <w:tcPr>
            <w:tcW w:type="dxa" w:w="15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CORROB. (Δ0.00)</w:t>
            </w:r>
          </w:p>
        </w:tc>
      </w:tr>
      <w:t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Mon 06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7,489.30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7,540.75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7,483.20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5"/>
                <w:szCs w:val="15"/>
              </w:rPr>
              <w:t xml:space="preserve">7,537.43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100.0</w:t>
            </w:r>
          </w:p>
        </w:tc>
        <w:tc>
          <w:tcPr>
            <w:tcW w:type="dxa" w:w="8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5"/>
                <w:szCs w:val="15"/>
              </w:rPr>
              <w:t xml:space="preserve">Bullish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CNBC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TheStreet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CORROB. (Δ0.00)</w:t>
            </w:r>
          </w:p>
        </w:tc>
      </w:tr>
    </w:tbl>
    <w:p>
      <w:pPr>
        <w:spacing w:after="120" w:before="0" w:line="264"/>
      </w:pPr>
      <w:r>
        <w:rPr>
          <w:i/>
          <w:iCs/>
          <w:color w:val="595959"/>
          <w:sz w:val="16"/>
          <w:szCs w:val="16"/>
        </w:rPr>
        <w:t xml:space="preserve">Fri 03 Jul rejected — Independence Day holiday (observed); NYSE/NASDAQ closed. </w:t>
      </w:r>
      <w:r>
        <w:rPr>
          <w:i/>
          <w:iCs/>
          <w:color w:val="595959"/>
          <w:sz w:val="16"/>
          <w:szCs w:val="16"/>
        </w:rPr>
        <w:t xml:space="preserve">RSI2 fixed at period 2, computed from the validated close sequence. Open for 06 Jul reflects the futures-led European-session re-pricing anchor (07:00 UK); it is a single-source-derived open and is flagged indicative for pivot purposes (see §19).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7. </w:t>
      </w:r>
      <w:r>
        <w:rPr>
          <w:b/>
          <w:bCs/>
          <w:color w:val="1F3864"/>
          <w:sz w:val="26"/>
          <w:szCs w:val="26"/>
        </w:rPr>
        <w:t xml:space="preserve">Charts</w:t>
      </w:r>
      <w:r>
        <w:rPr>
          <w:b/>
          <w:bCs/>
          <w:color w:val="538135"/>
          <w:sz w:val="15"/>
          <w:szCs w:val="15"/>
        </w:rPr>
        <w:t xml:space="preserve">   TECHNICAL</w:t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5-Day Validated Candlestick</w:t>
      </w:r>
    </w:p>
    <w:p>
      <w:pPr>
        <w:spacing w:after="120" w:before="100"/>
        <w:jc w:val="center"/>
      </w:pPr>
      <w:r>
        <w:drawing>
          <wp:inline distT="0" distB="0" distL="0" distR="0">
            <wp:extent cx="558165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5-Day Distance from Open</w:t>
      </w:r>
    </w:p>
    <w:p>
      <w:pPr>
        <w:spacing w:after="120" w:before="100"/>
        <w:jc w:val="center"/>
      </w:pPr>
      <w:r>
        <w:drawing>
          <wp:inline distT="0" distB="0" distL="0" distR="0">
            <wp:extent cx="558165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5-Week Day-by-Day Structure</w:t>
      </w:r>
    </w:p>
    <w:p>
      <w:pPr>
        <w:spacing w:after="120" w:before="100"/>
        <w:jc w:val="center"/>
      </w:pPr>
      <w:r>
        <w:drawing>
          <wp:inline distT="0" distB="0" distL="0" distR="0">
            <wp:extent cx="558165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Comparative Volatility (ATR / historical z-score)</w:t>
      </w:r>
    </w:p>
    <w:p>
      <w:pPr>
        <w:spacing w:after="120" w:before="100"/>
        <w:jc w:val="center"/>
      </w:pPr>
      <w:r>
        <w:drawing>
          <wp:inline distT="0" distB="0" distL="0" distR="0">
            <wp:extent cx="558165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Pivot Structure — Week of 06 Jul 2026</w:t>
      </w:r>
    </w:p>
    <w:p>
      <w:pPr>
        <w:spacing w:after="120" w:before="100"/>
        <w:jc w:val="center"/>
      </w:pPr>
      <w:r>
        <w:drawing>
          <wp:inline distT="0" distB="0" distL="0" distR="0">
            <wp:extent cx="512445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8. </w:t>
      </w:r>
      <w:r>
        <w:rPr>
          <w:b/>
          <w:bCs/>
          <w:color w:val="1F3864"/>
          <w:sz w:val="26"/>
          <w:szCs w:val="26"/>
        </w:rPr>
        <w:t xml:space="preserve">Short-Term Technical Analysis</w:t>
      </w:r>
      <w:r>
        <w:rPr>
          <w:b/>
          <w:bCs/>
          <w:color w:val="538135"/>
          <w:sz w:val="15"/>
          <w:szCs w:val="15"/>
        </w:rPr>
        <w:t xml:space="preserve">   TECHNICAL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Mon 29 Jun (see §6): </w:t>
      </w:r>
      <w:r>
        <w:rPr>
          <w:sz w:val="20"/>
          <w:szCs w:val="20"/>
        </w:rPr>
        <w:t xml:space="preserve">Wide bullish body closing high in range (~96% close location) with RSI2 pinned near 96 — strong risk-on open to the week, demand in control.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Tue 30 Jun (see §6): </w:t>
      </w:r>
      <w:r>
        <w:rPr>
          <w:sz w:val="20"/>
          <w:szCs w:val="20"/>
        </w:rPr>
        <w:t xml:space="preserve">Second bullish body, close ~87% of range, RSI2 saturated at 100 — momentum extension but with RSI2 now overbought, raising exhaustion risk.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Wed 01 Jul (see §6): </w:t>
      </w:r>
      <w:r>
        <w:rPr>
          <w:sz w:val="20"/>
          <w:szCs w:val="20"/>
        </w:rPr>
        <w:t xml:space="preserve">Small-bodied indecision candle with balanced wicks (close ~47% of range); RSI2 easing to ~78 — the up-move paused, first sign of two-sided trade.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Thu 02 Jul (see §6): </w:t>
      </w:r>
      <w:r>
        <w:rPr>
          <w:sz w:val="20"/>
          <w:szCs w:val="20"/>
        </w:rPr>
        <w:t xml:space="preserve">Widest range of the window with long lower wick and a flat close (7,483.24); RSI2 collapsed to ~0 as tech gave back gains — an intraday washout that held the low, classic pre-holiday de-risking.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Mon 06 Jul (see §6): </w:t>
      </w:r>
      <w:r>
        <w:rPr>
          <w:sz w:val="20"/>
          <w:szCs w:val="20"/>
        </w:rPr>
        <w:t xml:space="preserve">Bullish reversal body closing at the highs (~94% of range, record close); RSI2 back to 100 — post-holiday demand reasserted, erasing the 02 Jul softness.</w:t>
      </w:r>
    </w:p>
    <w:p>
      <w:pPr>
        <w:spacing w:after="120" w:before="0" w:line="264"/>
      </w:pPr>
      <w:r>
        <w:rPr>
          <w:b/>
          <w:bCs/>
          <w:sz w:val="20"/>
          <w:szCs w:val="20"/>
        </w:rPr>
        <w:t xml:space="preserve">Sequence assessment: </w:t>
      </w:r>
      <w:r>
        <w:rPr>
          <w:sz w:val="20"/>
          <w:szCs w:val="20"/>
        </w:rPr>
        <w:t xml:space="preserve">Indecision. The window shows two direction changes and an oscillating RSI2 (standard deviation ≈ 34) — alternating bias rather than a clean one-way sequence, even though the net travel is positive (+97 points). </w:t>
      </w:r>
      <w:r>
        <w:rPr>
          <w:b/>
          <w:bCs/>
          <w:sz w:val="20"/>
          <w:szCs w:val="20"/>
        </w:rPr>
        <w:t xml:space="preserve">Nearest resistance</w:t>
      </w:r>
      <w:r>
        <w:rPr>
          <w:sz w:val="20"/>
          <w:szCs w:val="20"/>
        </w:rPr>
        <w:t xml:space="preserve"> 7,540.75 (twice-tested 5-day high, 02 &amp; 06 Jul); </w:t>
      </w:r>
      <w:r>
        <w:rPr>
          <w:b/>
          <w:bCs/>
          <w:sz w:val="20"/>
          <w:szCs w:val="20"/>
        </w:rPr>
        <w:t xml:space="preserve">nearest support</w:t>
      </w:r>
      <w:r>
        <w:rPr>
          <w:sz w:val="20"/>
          <w:szCs w:val="20"/>
        </w:rPr>
        <w:t xml:space="preserve"> 7,483 (01–02 Jul close shelf), then 7,348.88 (29 Jun low).</w:t>
      </w:r>
    </w:p>
    <w:p>
      <w:pPr>
        <w:spacing w:after="120" w:before="0" w:line="264"/>
      </w:pPr>
      <w:r>
        <w:rPr>
          <w:b/>
          <w:bCs/>
          <w:sz w:val="20"/>
          <w:szCs w:val="20"/>
        </w:rPr>
        <w:t xml:space="preserve">Judgement label: </w:t>
      </w:r>
      <w:r>
        <w:rPr>
          <w:b/>
          <w:bCs/>
          <w:color w:val="C55A11"/>
          <w:sz w:val="20"/>
          <w:szCs w:val="20"/>
        </w:rPr>
        <w:t xml:space="preserve">Indecision</w:t>
      </w:r>
      <w:r>
        <w:rPr>
          <w:sz w:val="20"/>
          <w:szCs w:val="20"/>
        </w:rPr>
        <w:t xml:space="preserve"> — a record close achieved on an inefficient, two-sided path. This is consistent with the Transitional regime in §9; there is no conflict to flag.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9. </w:t>
      </w:r>
      <w:r>
        <w:rPr>
          <w:b/>
          <w:bCs/>
          <w:color w:val="1F3864"/>
          <w:sz w:val="26"/>
          <w:szCs w:val="26"/>
        </w:rPr>
        <w:t xml:space="preserve">Medium-Term Regime &amp; VOLator</w:t>
      </w:r>
      <w:r>
        <w:rPr>
          <w:b/>
          <w:bCs/>
          <w:color w:val="538135"/>
          <w:sz w:val="15"/>
          <w:szCs w:val="15"/>
        </w:rPr>
        <w:t xml:space="preserve">   TECHNICAL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Regime: </w:t>
      </w:r>
      <w:r>
        <w:rPr>
          <w:b/>
          <w:bCs/>
          <w:sz w:val="20"/>
          <w:szCs w:val="20"/>
        </w:rPr>
        <w:t xml:space="preserve">Transitional. </w:t>
      </w:r>
      <w:r>
        <w:rPr>
          <w:sz w:val="20"/>
          <w:szCs w:val="20"/>
        </w:rPr>
        <w:t xml:space="preserve">Overlap ratio 0.43 (moderate), directional persistence 0.32 (low — sessions do not reliably follow the prior direction), VOLator slope negative, median RSI2 mid-band, and a Range-Top level bias (close sits in the upper third of the 25-session 7,237.85–7,602.10 band).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Bias: </w:t>
      </w:r>
      <w:r>
        <w:rPr>
          <w:b/>
          <w:bCs/>
          <w:sz w:val="20"/>
          <w:szCs w:val="20"/>
        </w:rPr>
        <w:t xml:space="preserve">Neutral / mildly Mixed</w:t>
      </w:r>
      <w:r>
        <w:rPr>
          <w:sz w:val="20"/>
          <w:szCs w:val="20"/>
        </w:rPr>
        <w:t xml:space="preserve"> — the index is near the top of its 5-week range but without the persistence that would define an established uptrend.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VOLator current readings (scaled −1..+1): </w:t>
      </w:r>
      <w:r>
        <w:rPr>
          <w:sz w:val="20"/>
          <w:szCs w:val="20"/>
        </w:rPr>
        <w:t xml:space="preserve">S&amp;P 500 −0.74, USDX −0.56, VIX −0.47, DAX −0.85 — all below the 0 midpoint and contracting. Low and falling relative volatility is consistent with a range/transition, not a volatility-expansion trend.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Preferred trade protocol: </w:t>
      </w:r>
      <w:r>
        <w:rPr>
          <w:b/>
          <w:bCs/>
          <w:sz w:val="20"/>
          <w:szCs w:val="20"/>
        </w:rPr>
        <w:t xml:space="preserve">Reduced conviction — wait for confirmation.</w:t>
      </w:r>
      <w:r>
        <w:rPr>
          <w:sz w:val="20"/>
          <w:szCs w:val="20"/>
        </w:rPr>
        <w:t xml:space="preserve"> Both the 5-day (Indecision) and 5-week (Transitional) reads point the same way, so there is no short-vs-medium conflict to flag.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Kaufman confirmation: </w:t>
      </w:r>
      <w:r>
        <w:rPr>
          <w:sz w:val="20"/>
          <w:szCs w:val="20"/>
        </w:rPr>
        <w:t xml:space="preserve">Ranging — Neutral (smoothed KER ≈ +0.04, inside the ±0.09 neutral band). </w:t>
      </w:r>
      <w:r>
        <w:rPr>
          <w:sz w:val="20"/>
          <w:szCs w:val="20"/>
        </w:rPr>
        <w:t xml:space="preserve">This agrees with the Transitional regime and reinforces that the record close was produced on low path-efficiency; KER does not override the regime.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10. </w:t>
      </w:r>
      <w:r>
        <w:rPr>
          <w:b/>
          <w:bCs/>
          <w:color w:val="1F3864"/>
          <w:sz w:val="26"/>
          <w:szCs w:val="26"/>
        </w:rPr>
        <w:t xml:space="preserve">Cross-Asset Analysis</w:t>
      </w:r>
      <w:r>
        <w:rPr>
          <w:b/>
          <w:bCs/>
          <w:color w:val="538135"/>
          <w:sz w:val="15"/>
          <w:szCs w:val="15"/>
        </w:rPr>
        <w:t xml:space="preserve">   TECHNICAL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500"/>
        <w:gridCol w:w="900"/>
        <w:gridCol w:w="3060"/>
        <w:gridCol w:w="1150"/>
        <w:gridCol w:w="275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Counter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5-day dir.</w:t>
            </w:r>
          </w:p>
        </w:tc>
        <w:tc>
          <w:tcPr>
            <w:tcW w:type="dxa" w:w="30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Mechanism to S&amp;P 500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Confirmation</w:t>
            </w:r>
          </w:p>
        </w:tc>
        <w:tc>
          <w:tcPr>
            <w:tcW w:type="dxa" w:w="27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Implication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USDX (Dollar Index)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6"/>
                <w:szCs w:val="16"/>
              </w:rPr>
              <w:t xml:space="preserve">Falling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 softer dollar eases global financial conditions and supports multinational earnings translation.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6"/>
                <w:szCs w:val="16"/>
              </w:rPr>
              <w:t xml:space="preserve">Confirms</w:t>
            </w:r>
          </w:p>
        </w:tc>
        <w:tc>
          <w:tcPr>
            <w:tcW w:type="dxa" w:w="2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Mild tailwind for the index; consistent with the risk-on close.</w:t>
            </w:r>
          </w:p>
        </w:tc>
      </w:tr>
      <w:tr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VIX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6"/>
                <w:szCs w:val="16"/>
              </w:rPr>
              <w:t xml:space="preserve">Falling</w:t>
            </w:r>
          </w:p>
        </w:tc>
        <w:tc>
          <w:tcPr>
            <w:tcW w:type="dxa" w:w="30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Falling implied volatility signals improving risk appetite and cheaper hedging.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6"/>
                <w:szCs w:val="16"/>
              </w:rPr>
              <w:t xml:space="preserve">Confirms</w:t>
            </w:r>
          </w:p>
        </w:tc>
        <w:tc>
          <w:tcPr>
            <w:tcW w:type="dxa" w:w="27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Supports the record close; VIX ~15.8 is well below the 20 elevated threshold.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DAX 40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Falling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Common global-risk factor; European equity confirmation of the US tape.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Contradicts</w:t>
            </w:r>
          </w:p>
        </w:tc>
        <w:tc>
          <w:tcPr>
            <w:tcW w:type="dxa" w:w="2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5-day net for DAX is slightly negative even as the S&amp;P made highs — a mild divergence.</w:t>
            </w:r>
          </w:p>
        </w:tc>
      </w:tr>
    </w:tbl>
    <w:p>
      <w:pPr>
        <w:spacing w:after="120" w:before="0" w:line="264"/>
      </w:pPr>
      <w:r>
        <w:rPr>
          <w:b/>
          <w:bCs/>
          <w:color w:val="C00000"/>
          <w:sz w:val="20"/>
          <w:szCs w:val="20"/>
        </w:rPr>
        <w:t xml:space="preserve">Contradiction flag: </w:t>
      </w:r>
      <w:r>
        <w:rPr>
          <w:sz w:val="20"/>
          <w:szCs w:val="20"/>
        </w:rPr>
        <w:t xml:space="preserve">the DAX's slightly negative 5-day net change diverges from the S&amp;P's new high. </w:t>
      </w:r>
      <w:r>
        <w:rPr>
          <w:sz w:val="20"/>
          <w:szCs w:val="20"/>
        </w:rPr>
        <w:t xml:space="preserve">This is not resolved here — it feeds §15 Bull/Bear Balance and §16 Forward View as a caution that the US move is not being fully confirmed by European equity. Aggregating the three counters (two confirm, one contradicts) yields a </w:t>
      </w:r>
      <w:r>
        <w:rPr>
          <w:b/>
          <w:bCs/>
          <w:sz w:val="20"/>
          <w:szCs w:val="20"/>
        </w:rPr>
        <w:t xml:space="preserve">NEUTRAL</w:t>
      </w:r>
      <w:r>
        <w:rPr>
          <w:sz w:val="20"/>
          <w:szCs w:val="20"/>
        </w:rPr>
        <w:t xml:space="preserve"> cross-asset read for direction-scoring.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11. </w:t>
      </w:r>
      <w:r>
        <w:rPr>
          <w:b/>
          <w:bCs/>
          <w:color w:val="1F3864"/>
          <w:sz w:val="26"/>
          <w:szCs w:val="26"/>
        </w:rPr>
        <w:t xml:space="preserve">Floor Pivot Analysis</w:t>
      </w:r>
      <w:r>
        <w:rPr>
          <w:b/>
          <w:bCs/>
          <w:color w:val="538135"/>
          <w:sz w:val="15"/>
          <w:szCs w:val="15"/>
        </w:rPr>
        <w:t xml:space="preserve">   TECHNICAL</w:t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Daily pivots (from 06 Jul H/L/C) — for the 07 Jul session</w:t>
      </w:r>
    </w:p>
    <w:tbl>
      <w:tblPr>
        <w:tblW w:type="dxa" w:w="4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800"/>
        <w:gridCol w:w="22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(pts)</w:t>
            </w:r>
          </w:p>
        </w:tc>
      </w:tr>
      <w:tr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R3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7,615.27</w:t>
            </w:r>
          </w:p>
        </w:tc>
      </w:tr>
      <w:tr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R2</w:t>
            </w:r>
          </w:p>
        </w:tc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7,578.01</w:t>
            </w:r>
          </w:p>
        </w:tc>
      </w:tr>
      <w:tr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R1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7,557.72</w:t>
            </w:r>
          </w:p>
        </w:tc>
      </w:tr>
      <w:tr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7,520.46</w:t>
            </w:r>
          </w:p>
        </w:tc>
      </w:tr>
      <w:tr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7"/>
                <w:szCs w:val="17"/>
              </w:rPr>
              <w:t xml:space="preserve">S1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7,500.17</w:t>
            </w:r>
          </w:p>
        </w:tc>
      </w:tr>
      <w:tr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7"/>
                <w:szCs w:val="17"/>
              </w:rPr>
              <w:t xml:space="preserve">S2</w:t>
            </w:r>
          </w:p>
        </w:tc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7,462.91</w:t>
            </w:r>
          </w:p>
        </w:tc>
      </w:tr>
      <w:tr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7"/>
                <w:szCs w:val="17"/>
              </w:rPr>
              <w:t xml:space="preserve">S3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7,442.62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Weekly pivots (from prior completed week 29 Jun–02 Jul)</w:t>
      </w:r>
    </w:p>
    <w:tbl>
      <w:tblPr>
        <w:tblW w:type="dxa" w:w="4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800"/>
        <w:gridCol w:w="22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(pts)</w:t>
            </w:r>
          </w:p>
        </w:tc>
      </w:tr>
      <w:tr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R2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7,649.49</w:t>
            </w:r>
          </w:p>
        </w:tc>
      </w:tr>
      <w:tr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R1</w:t>
            </w:r>
          </w:p>
        </w:tc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7,566.37</w:t>
            </w:r>
          </w:p>
        </w:tc>
      </w:tr>
      <w:tr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7,457.62</w:t>
            </w:r>
          </w:p>
        </w:tc>
      </w:tr>
      <w:tr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7"/>
                <w:szCs w:val="17"/>
              </w:rPr>
              <w:t xml:space="preserve">S1</w:t>
            </w:r>
          </w:p>
        </w:tc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7,374.50</w:t>
            </w:r>
          </w:p>
        </w:tc>
      </w:tr>
      <w:tr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7"/>
                <w:szCs w:val="17"/>
              </w:rPr>
              <w:t xml:space="preserve">S2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7,265.75</w:t>
            </w:r>
          </w:p>
        </w:tc>
      </w:tr>
    </w:tbl>
    <w:p>
      <w:pPr>
        <w:spacing w:after="120" w:before="0" w:line="264"/>
      </w:pPr>
      <w:r>
        <w:rPr>
          <w:b/>
          <w:bCs/>
          <w:sz w:val="20"/>
          <w:szCs w:val="20"/>
        </w:rPr>
        <w:t xml:space="preserve">Source status: </w:t>
      </w:r>
      <w:r>
        <w:rPr>
          <w:sz w:val="20"/>
          <w:szCs w:val="20"/>
        </w:rPr>
        <w:t xml:space="preserve">prior-period H/L/C for both timeframes are derived from the engine's validated rolling window rather than an independently corroborated multi-source pivot fetch, so all pivot levels are marked </w:t>
      </w:r>
      <w:r>
        <w:rPr>
          <w:b/>
          <w:bCs/>
          <w:color w:val="C55A11"/>
          <w:sz w:val="20"/>
          <w:szCs w:val="20"/>
        </w:rPr>
        <w:t xml:space="preserve">indicative only</w:t>
      </w:r>
      <w:r>
        <w:rPr>
          <w:sz w:val="20"/>
          <w:szCs w:val="20"/>
        </w:rPr>
        <w:t xml:space="preserve"> (single-source). Under the standard rules these levels cannot anchor limit-order entries or stops (see §19, §21).</w:t>
      </w:r>
    </w:p>
    <w:p>
      <w:pPr>
        <w:spacing w:after="120" w:before="0" w:line="264"/>
      </w:pPr>
      <w:r>
        <w:rPr>
          <w:b/>
          <w:bCs/>
          <w:sz w:val="20"/>
          <w:szCs w:val="20"/>
        </w:rPr>
        <w:t xml:space="preserve">Position narrative: </w:t>
      </w:r>
      <w:r>
        <w:rPr>
          <w:sz w:val="20"/>
          <w:szCs w:val="20"/>
        </w:rPr>
        <w:t xml:space="preserve">the 7,537.43 close sits above both the daily pivot (7,520.46) and the weekly pivot (7,457.62), between daily R1 (7,557.72) above and daily P/S1 below — an upper-half, mildly bullish placement. It is also just below the twice-tested 7,540.75 high, a near-term ceiling. No daily/weekly/monthly confluence zone tighter than 0.05% is present around the close.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12. </w:t>
      </w:r>
      <w:r>
        <w:rPr>
          <w:b/>
          <w:bCs/>
          <w:color w:val="1F3864"/>
          <w:sz w:val="26"/>
          <w:szCs w:val="26"/>
        </w:rPr>
        <w:t xml:space="preserve">Key Market Considerations</w:t>
      </w:r>
      <w:r>
        <w:rPr>
          <w:b/>
          <w:bCs/>
          <w:color w:val="C55A11"/>
          <w:sz w:val="15"/>
          <w:szCs w:val="15"/>
        </w:rPr>
        <w:t xml:space="preserve">   UPDATED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color w:val="538135"/>
          <w:sz w:val="20"/>
          <w:szCs w:val="20"/>
        </w:rPr>
        <w:t xml:space="preserve">Earnings / fundamentals — price-supportive (structural). </w:t>
      </w:r>
      <w:r>
        <w:rPr>
          <w:sz w:val="20"/>
          <w:szCs w:val="20"/>
        </w:rPr>
        <w:t xml:space="preserve">AI-driven earnings momentum is the central pillar: Q1 2026 S&amp;P profits grew ~29% and Q2 is tracking ~22%, with sell-side houses citing 13–24% full-year EPS growth. Roughly half of index earnings growth is tied to AI-infrastructure beneficiaries.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color w:val="C55A11"/>
          <w:sz w:val="20"/>
          <w:szCs w:val="20"/>
        </w:rPr>
        <w:t xml:space="preserve">Monetary policy — mixed / mild tailwind (cyclical). </w:t>
      </w:r>
      <w:r>
        <w:rPr>
          <w:sz w:val="20"/>
          <w:szCs w:val="20"/>
        </w:rPr>
        <w:t xml:space="preserve">The Fed held at 4.25–4.50% in June under new Chair Warsh with a hawkish tilt (dot plot flagged a possible 2026 hike), but June's soft NFP (+57k) cut near-term hike odds and eased conditions — supportive at the margin.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color w:val="C00000"/>
          <w:sz w:val="20"/>
          <w:szCs w:val="20"/>
        </w:rPr>
        <w:t xml:space="preserve">Concentration / breadth — price-negative risk (structural). </w:t>
      </w:r>
      <w:r>
        <w:rPr>
          <w:sz w:val="20"/>
          <w:szCs w:val="20"/>
        </w:rPr>
        <w:t xml:space="preserve">Record index concentration in a handful of mega-cap AI names raises idiosyncratic risk; both Goldman and JPMorgan flag narrow breadth and 'non-linear' path risk despite bullish targets.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color w:val="C55A11"/>
          <w:sz w:val="20"/>
          <w:szCs w:val="20"/>
        </w:rPr>
        <w:t xml:space="preserve">Valuation — neutral-to-negative (structural). </w:t>
      </w:r>
      <w:r>
        <w:rPr>
          <w:sz w:val="20"/>
          <w:szCs w:val="20"/>
        </w:rPr>
        <w:t xml:space="preserve">Forward P/E ~21x is near the five-year average but historically elevated (richer than ~87% of the last 40 years), which amplifies downside if earnings disappoint.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Near-term catalysts (cyclical). </w:t>
      </w:r>
      <w:r>
        <w:rPr>
          <w:sz w:val="20"/>
          <w:szCs w:val="20"/>
        </w:rPr>
        <w:t xml:space="preserve">FOMC minutes (08 Jul), June CPI (14 Jul) and the start of Q2 bank earnings (JPM/GS, 14 Jul) all fall inside the 5-day scenario horizon — see §13d.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13. </w:t>
      </w:r>
      <w:r>
        <w:rPr>
          <w:b/>
          <w:bCs/>
          <w:color w:val="1F3864"/>
          <w:sz w:val="26"/>
          <w:szCs w:val="26"/>
        </w:rPr>
        <w:t xml:space="preserve">Sentiment, News &amp; Calendar</w:t>
      </w:r>
      <w:r>
        <w:rPr>
          <w:b/>
          <w:bCs/>
          <w:color w:val="C55A11"/>
          <w:sz w:val="15"/>
          <w:szCs w:val="15"/>
        </w:rPr>
        <w:t xml:space="preserve">   UPDATED</w:t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§13a  Per-Article Sentiment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250"/>
        <w:gridCol w:w="780"/>
        <w:gridCol w:w="2350"/>
        <w:gridCol w:w="1150"/>
        <w:gridCol w:w="900"/>
        <w:gridCol w:w="2930"/>
      </w:tblGrid>
      <w:tr>
        <w:trPr>
          <w:tblHeader/>
        </w:trPr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Source</w:t>
            </w:r>
          </w:p>
        </w:tc>
        <w:tc>
          <w:tcPr>
            <w:tcW w:type="dxa" w:w="7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2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Headline (abbrev.)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Class.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Sentiment</w:t>
            </w:r>
          </w:p>
        </w:tc>
        <w:tc>
          <w:tcPr>
            <w:tcW w:type="dxa" w:w="293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Derivation quote (≤15 words)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Goldman Sachs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 May 26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Strategists lift S&amp;P 500 target to 8,000 on AI, earnings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Institutional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5"/>
                <w:szCs w:val="15"/>
              </w:rPr>
              <w:t xml:space="preserve">Bullish</w:t>
            </w:r>
          </w:p>
        </w:tc>
        <w:tc>
          <w:tcPr>
            <w:tcW w:type="dxa" w:w="2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"Continued earnings growth should drive continued equity market upside."</w:t>
            </w:r>
          </w:p>
        </w:tc>
      </w:tr>
      <w:tr>
        <w:tc>
          <w:tcPr>
            <w:tcW w:type="dxa" w:w="12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JPMorgan (Yahoo)</w:t>
            </w:r>
          </w:p>
        </w:tc>
        <w:tc>
          <w:tcPr>
            <w:tcW w:type="dxa" w:w="78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 Jun 26</w:t>
            </w:r>
          </w:p>
        </w:tc>
        <w:tc>
          <w:tcPr>
            <w:tcW w:type="dxa" w:w="23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JPMorgan raises S&amp;P 500 target to 7,800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Institutional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5"/>
                <w:szCs w:val="15"/>
              </w:rPr>
              <w:t xml:space="preserve">Bullish</w:t>
            </w:r>
          </w:p>
        </w:tc>
        <w:tc>
          <w:tcPr>
            <w:tcW w:type="dxa" w:w="293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"increasing our S&amp;P 500 year-end price target to 7,800."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CNBC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06 Jul 26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Tech stocks surge as markets return from holiday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Media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5"/>
                <w:szCs w:val="15"/>
              </w:rPr>
              <w:t xml:space="preserve">Bullish</w:t>
            </w:r>
          </w:p>
        </w:tc>
        <w:tc>
          <w:tcPr>
            <w:tcW w:type="dxa" w:w="2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"Stocks maintained their positive momentum on Monday."</w:t>
            </w:r>
          </w:p>
        </w:tc>
      </w:tr>
      <w:tr>
        <w:tc>
          <w:tcPr>
            <w:tcW w:type="dxa" w:w="12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CNBC (Yardeni)</w:t>
            </w:r>
          </w:p>
        </w:tc>
        <w:tc>
          <w:tcPr>
            <w:tcW w:type="dxa" w:w="78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02 Jul 26</w:t>
            </w:r>
          </w:p>
        </w:tc>
        <w:tc>
          <w:tcPr>
            <w:tcW w:type="dxa" w:w="23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Markets seeing 'fabulous earnings momentum', says Yardeni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Media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5"/>
                <w:szCs w:val="15"/>
              </w:rPr>
              <w:t xml:space="preserve">Bullish</w:t>
            </w:r>
          </w:p>
        </w:tc>
        <w:tc>
          <w:tcPr>
            <w:tcW w:type="dxa" w:w="293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"he expects S&amp;P to hit 8250 by the end of the year."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JPMorgan (CNBC)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 Jun 26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JPMorgan hikes target but sees hurdles ahead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Institutional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55A11"/>
                <w:sz w:val="15"/>
                <w:szCs w:val="15"/>
              </w:rPr>
              <w:t xml:space="preserve">Mixed</w:t>
            </w:r>
          </w:p>
        </w:tc>
        <w:tc>
          <w:tcPr>
            <w:tcW w:type="dxa" w:w="2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"the path upwards will likely be non-linear."</w:t>
            </w:r>
          </w:p>
        </w:tc>
      </w:tr>
      <w:tr>
        <w:tc>
          <w:tcPr>
            <w:tcW w:type="dxa" w:w="12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Goldman Sachs</w:t>
            </w:r>
          </w:p>
        </w:tc>
        <w:tc>
          <w:tcPr>
            <w:tcW w:type="dxa" w:w="78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 May 26</w:t>
            </w:r>
          </w:p>
        </w:tc>
        <w:tc>
          <w:tcPr>
            <w:tcW w:type="dxa" w:w="23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Concentration and narrow breadth emerging as cautionary signals</w:t>
            </w:r>
          </w:p>
        </w:tc>
        <w:tc>
          <w:tcPr>
            <w:tcW w:type="dxa" w:w="11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Institutional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55A11"/>
                <w:sz w:val="15"/>
                <w:szCs w:val="15"/>
              </w:rPr>
              <w:t xml:space="preserve">Mixed</w:t>
            </w:r>
          </w:p>
        </w:tc>
        <w:tc>
          <w:tcPr>
            <w:tcW w:type="dxa" w:w="293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"AI sentiment and interest rates create risks in both directions."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TheStreet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06 Jul 26</w:t>
            </w:r>
          </w:p>
        </w:tc>
        <w:tc>
          <w:tcPr>
            <w:tcW w:type="dxa" w:w="2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Dow surpasses 53K; new closing record after holiday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Media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38135"/>
                <w:sz w:val="15"/>
                <w:szCs w:val="15"/>
              </w:rPr>
              <w:t xml:space="preserve">Bullish</w:t>
            </w:r>
          </w:p>
        </w:tc>
        <w:tc>
          <w:tcPr>
            <w:tcW w:type="dxa" w:w="2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"technology leading the way."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§13b  Aggregate Sentiment Summary</w:t>
      </w:r>
    </w:p>
    <w:p>
      <w:pPr>
        <w:spacing w:after="120" w:before="0" w:line="264"/>
      </w:pPr>
      <w:r>
        <w:rPr>
          <w:sz w:val="20"/>
          <w:szCs w:val="20"/>
        </w:rPr>
        <w:t xml:space="preserve">Counts: 5 Bullish (2 institutional, 3 media), 2 Mixed (institutional) = </w:t>
      </w:r>
      <w:r>
        <w:rPr>
          <w:b/>
          <w:bCs/>
          <w:sz w:val="20"/>
          <w:szCs w:val="20"/>
        </w:rPr>
        <w:t xml:space="preserve">Predominantly Bullish</w:t>
      </w:r>
      <w:r>
        <w:rPr>
          <w:sz w:val="20"/>
          <w:szCs w:val="20"/>
        </w:rPr>
        <w:t xml:space="preserve">. Numeric tilt = </w:t>
      </w:r>
      <w:r>
        <w:rPr>
          <w:b/>
          <w:bCs/>
          <w:sz w:val="20"/>
          <w:szCs w:val="20"/>
        </w:rPr>
        <w:t xml:space="preserve">+0.64</w:t>
      </w:r>
      <w:r>
        <w:rPr>
          <w:sz w:val="20"/>
          <w:szCs w:val="20"/>
        </w:rPr>
        <w:t xml:space="preserve"> (source-class-weighted mean; institutional weight 1.0, media 0.5). </w:t>
      </w:r>
      <w:r>
        <w:rPr>
          <w:b/>
          <w:bCs/>
          <w:sz w:val="20"/>
          <w:szCs w:val="20"/>
        </w:rPr>
        <w:t xml:space="preserve">Divergence flag: </w:t>
      </w:r>
      <w:r>
        <w:rPr>
          <w:sz w:val="20"/>
          <w:szCs w:val="20"/>
        </w:rPr>
        <w:t xml:space="preserve">sentiment is bullish and price is at record highs, so sentiment and price agree; however it is only mildly confirmed by the Transitional/Neutral technical regime (§9) and by the DAX contradiction (§10). Given the low path-efficiency, the technical regime is the more reliable near-term signal. Tilt computed on seven articles — not low-confidence.</w:t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§13c  News Calendar — Previous Period (5 days to 06 Jul)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50"/>
        <w:gridCol w:w="1900"/>
        <w:gridCol w:w="1900"/>
        <w:gridCol w:w="780"/>
        <w:gridCol w:w="3730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Prior / Context</w:t>
            </w:r>
          </w:p>
        </w:tc>
        <w:tc>
          <w:tcPr>
            <w:tcW w:type="dxa" w:w="7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373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Implication for S&amp;P 500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Wed 01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ISM Manufacturing PMI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Early-week activity read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37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Sector-health check ahead of NFP; muted market reaction.</w:t>
            </w:r>
          </w:p>
        </w:tc>
      </w:tr>
      <w:tr>
        <w:tc>
          <w:tcPr>
            <w:tcW w:type="dxa" w:w="10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Thu 02 Jul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June Non-Farm Payrolls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+57k vs +110k exp; UR 4.2%</w:t>
            </w:r>
          </w:p>
        </w:tc>
        <w:tc>
          <w:tcPr>
            <w:tcW w:type="dxa" w:w="78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373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Big downside miss cut Fed-hike odds; eased conditions, mildly supportive.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Fri 03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Independence Day (obs.)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Market closed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Low</w:t>
            </w:r>
          </w:p>
        </w:tc>
        <w:tc>
          <w:tcPr>
            <w:tcW w:type="dxa" w:w="37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session.</w:t>
            </w:r>
          </w:p>
        </w:tc>
      </w:tr>
      <w:tr>
        <w:tc>
          <w:tcPr>
            <w:tcW w:type="dxa" w:w="10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Mon 06 Jul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ISM Services PMI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Prices 67.7; employment 51.2</w:t>
            </w:r>
          </w:p>
        </w:tc>
        <w:tc>
          <w:tcPr>
            <w:tcW w:type="dxa" w:w="78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373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Services still expanding, cost pressures easing; risk-on tech rally, record close.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§13d  News Calendar — Upcoming Period (next 5 trading days)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50"/>
        <w:gridCol w:w="1950"/>
        <w:gridCol w:w="2100"/>
        <w:gridCol w:w="780"/>
        <w:gridCol w:w="3480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9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Context</w:t>
            </w:r>
          </w:p>
        </w:tc>
        <w:tc>
          <w:tcPr>
            <w:tcW w:type="dxa" w:w="7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34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Implication (beat / miss)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Wed 08 Jul</w:t>
            </w:r>
          </w:p>
        </w:tc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FOMC minutes (June)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First under Chair Warsh; dot plot flagged possible 2026 hike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A hawkish read (hike intent) pressures multiples and risk; a balanced read supports the highs.</w:t>
            </w:r>
          </w:p>
        </w:tc>
      </w:tr>
      <w:tr>
        <w:tc>
          <w:tcPr>
            <w:tcW w:type="dxa" w:w="10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Tue 14 Jul</w:t>
            </w:r>
          </w:p>
        </w:tc>
        <w:tc>
          <w:tcPr>
            <w:tcW w:type="dxa" w:w="195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June CPI</w:t>
            </w:r>
          </w:p>
        </w:tc>
        <w:tc>
          <w:tcPr>
            <w:tcW w:type="dxa" w:w="2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May headline +4.2% y/y; core +2.9%</w:t>
            </w:r>
          </w:p>
        </w:tc>
        <w:tc>
          <w:tcPr>
            <w:tcW w:type="dxa" w:w="78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348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Hot print revives hike fears (negative); cooler core eases the path (positive) — just outside horizon.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Tue 14 Jul</w:t>
            </w:r>
          </w:p>
        </w:tc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JPM &amp; GS Q2 earnings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Start of bank reporting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Sets tone for Q2 season; strong prints broaden the rally, misses hit financials.</w:t>
            </w:r>
          </w:p>
        </w:tc>
      </w:tr>
    </w:tbl>
    <w:p>
      <w:pPr>
        <w:spacing w:after="120" w:before="0" w:line="264"/>
      </w:pPr>
      <w:r>
        <w:rPr>
          <w:b/>
          <w:bCs/>
          <w:sz w:val="20"/>
          <w:szCs w:val="20"/>
        </w:rPr>
        <w:t xml:space="preserve">Highest-impact upcoming event: </w:t>
      </w:r>
      <w:r>
        <w:rPr>
          <w:b/>
          <w:bCs/>
          <w:sz w:val="20"/>
          <w:szCs w:val="20"/>
        </w:rPr>
        <w:t xml:space="preserve">the FOMC minutes on 08 July.</w:t>
      </w:r>
      <w:r>
        <w:rPr>
          <w:sz w:val="20"/>
          <w:szCs w:val="20"/>
        </w:rPr>
        <w:t xml:space="preserve"> A clearer signal that the committee is leaning toward a 2026 rate hike would undercut the soft-NFP easing narrative and threaten the record-high consensus; a balanced tone would let the highs stand.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14. </w:t>
      </w:r>
      <w:r>
        <w:rPr>
          <w:b/>
          <w:bCs/>
          <w:color w:val="1F3864"/>
          <w:sz w:val="26"/>
          <w:szCs w:val="26"/>
        </w:rPr>
        <w:t xml:space="preserve">Macro Context</w:t>
      </w:r>
      <w:r>
        <w:rPr>
          <w:b/>
          <w:bCs/>
          <w:color w:val="C55A11"/>
          <w:sz w:val="15"/>
          <w:szCs w:val="15"/>
        </w:rPr>
        <w:t xml:space="preserve">   UPDATED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Rates &amp; policy — </w:t>
      </w:r>
      <w:r>
        <w:rPr>
          <w:sz w:val="20"/>
          <w:szCs w:val="20"/>
        </w:rPr>
        <w:t xml:space="preserve">Fed at 4.25–4.50%, hawkish hold in June; markets now price ~50–56% for a September move after the soft NFP. Cross-referencing §10, the falling VIX confirms the market is not pricing imminent policy shock.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Inflation — </w:t>
      </w:r>
      <w:r>
        <w:rPr>
          <w:sz w:val="20"/>
          <w:szCs w:val="20"/>
        </w:rPr>
        <w:t xml:space="preserve">May headline +4.2% y/y (energy-driven), core +2.9%; still-elevated headline keeps the Fed cautious. Net neutral-to-negative for equities until June CPI (14 Jul) clarifies the trajectory.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Liquidity &amp; FX — </w:t>
      </w:r>
      <w:r>
        <w:rPr>
          <w:sz w:val="20"/>
          <w:szCs w:val="20"/>
        </w:rPr>
        <w:t xml:space="preserve">USDX falling toward ~100.8 (§10) eases global conditions and supports S&amp;P multinationals — a mild tailwind.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Volatility / positioning — </w:t>
      </w:r>
      <w:r>
        <w:rPr>
          <w:sz w:val="20"/>
          <w:szCs w:val="20"/>
        </w:rPr>
        <w:t xml:space="preserve">VIX ~15.8, below the 20 elevated line (§10), signalling complacent-to-constructive risk appetite; BofA's sell-side indicator near multi-year highs is a contrarian caution.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Watch item — </w:t>
      </w:r>
      <w:r>
        <w:rPr>
          <w:sz w:val="20"/>
          <w:szCs w:val="20"/>
        </w:rPr>
        <w:t xml:space="preserve">the 08 Jul FOMC minutes (§13d) are the key macro swing factor: a hawkish surprise would lift real-yield/rate risk and pressure the rate-sensitive mega-cap complex.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15. </w:t>
      </w:r>
      <w:r>
        <w:rPr>
          <w:b/>
          <w:bCs/>
          <w:color w:val="1F3864"/>
          <w:sz w:val="26"/>
          <w:szCs w:val="26"/>
        </w:rPr>
        <w:t xml:space="preserve">Bull / Bear Balance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3813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Main upside risks</w:t>
            </w:r>
          </w:p>
        </w:tc>
        <w:tc>
          <w:tcPr>
            <w:tcW w:type="dxa" w:w="4680"/>
            <w:shd w:fill="C000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Main downside risks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• Record close above daily &amp; weekly P (§11) keeps momentum buyers engaged.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• Transitional/Ranging regime (§9) + Indecision sequence (§8): the high is inefficient and prone to fade.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• Falling USDX and VIX (§10) ease conditions and support risk.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• DAX 5-day divergence (§10) — European equity is not confirming the US high.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• Bullish sentiment tilt +0.64 (§13b); AI earnings momentum intact.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• 08 Jul FOMC minutes (§13d) could signal a 2026 hike; record concentration/valuation amplify downside.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16. </w:t>
      </w:r>
      <w:r>
        <w:rPr>
          <w:b/>
          <w:bCs/>
          <w:color w:val="1F3864"/>
          <w:sz w:val="26"/>
          <w:szCs w:val="26"/>
        </w:rPr>
        <w:t xml:space="preserve">Forward View</w:t>
      </w:r>
    </w:p>
    <w:p>
      <w:pPr>
        <w:spacing w:after="120" w:before="0" w:line="264"/>
      </w:pPr>
      <w:r>
        <w:rPr>
          <w:b/>
          <w:bCs/>
          <w:sz w:val="20"/>
          <w:szCs w:val="20"/>
        </w:rPr>
        <w:t xml:space="preserve">Expected direction (next 5 trading days): </w:t>
      </w:r>
      <w:r>
        <w:rPr>
          <w:b/>
          <w:bCs/>
          <w:sz w:val="20"/>
          <w:szCs w:val="20"/>
        </w:rPr>
        <w:t xml:space="preserve">mildly higher with a two-sided, low-conviction bias.</w:t>
      </w:r>
      <w:r>
        <w:rPr>
          <w:sz w:val="20"/>
          <w:szCs w:val="20"/>
        </w:rPr>
        <w:t xml:space="preserve"> The base case is that the record close holds and the index grinds within a </w:t>
      </w:r>
      <w:r>
        <w:rPr>
          <w:b/>
          <w:bCs/>
          <w:sz w:val="20"/>
          <w:szCs w:val="20"/>
        </w:rPr>
        <w:t xml:space="preserve">7,463–7,578</w:t>
      </w:r>
      <w:r>
        <w:rPr>
          <w:sz w:val="20"/>
          <w:szCs w:val="20"/>
        </w:rPr>
        <w:t xml:space="preserve"> band (daily S2 to daily R2), respecting the Transitional regime (§9). This view explicitly respects — and does not override — the technical regime; the mild upward lean comes from sentiment (§13b) and easing conditions (§14), not from an established trend. </w:t>
      </w:r>
      <w:r>
        <w:rPr>
          <w:b/>
          <w:bCs/>
          <w:sz w:val="20"/>
          <w:szCs w:val="20"/>
        </w:rPr>
        <w:t xml:space="preserve">Base-case invalidation: </w:t>
      </w:r>
      <w:r>
        <w:rPr>
          <w:sz w:val="20"/>
          <w:szCs w:val="20"/>
        </w:rPr>
        <w:t xml:space="preserve">a daily close back below the weekly pivot 7,457.62, or a hawkish 08 Jul FOMC-minutes surprise (§13d), would shift the balance to the downside and open 7,374 (weekly S1). A decisive close above 7,578 would negate the Indecision read and re-open the 7,602–7,650 zone.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17. </w:t>
      </w:r>
      <w:r>
        <w:rPr>
          <w:b/>
          <w:bCs/>
          <w:color w:val="1F3864"/>
          <w:sz w:val="26"/>
          <w:szCs w:val="26"/>
        </w:rPr>
        <w:t xml:space="preserve">Forecast</w:t>
      </w:r>
    </w:p>
    <w:p>
      <w:pPr>
        <w:pBdr>
          <w:top w:val="single" w:color="2E74B5" w:sz="4"/>
          <w:bottom w:val="single" w:color="2E74B5" w:sz="4"/>
          <w:left w:val="single" w:color="2E74B5" w:sz="4"/>
          <w:right w:val="single" w:color="2E74B5" w:sz="4"/>
        </w:pBdr>
        <w:shd w:fill="D9E2F3" w:color="auto" w:val="clear"/>
        <w:spacing w:after="120"/>
      </w:pPr>
      <w:r>
        <w:rPr>
          <w:b/>
          <w:bCs/>
          <w:sz w:val="21"/>
          <w:szCs w:val="21"/>
        </w:rPr>
        <w:t xml:space="preserve">The S&amp;P 500 holds its record close and drifts marginally higher over the next five sessions, trading a 7,463–7,578 range with an upward lean supported by bullish sentiment and easing conditions but capped by a Transitional, low-efficiency tape until the 08 July FOMC minutes resolve.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18. </w:t>
      </w:r>
      <w:r>
        <w:rPr>
          <w:b/>
          <w:bCs/>
          <w:color w:val="1F3864"/>
          <w:sz w:val="26"/>
          <w:szCs w:val="26"/>
        </w:rPr>
        <w:t xml:space="preserve">Final Analyst Judgement</w:t>
      </w:r>
    </w:p>
    <w:p>
      <w:pPr>
        <w:spacing w:after="120" w:before="0" w:line="264"/>
      </w:pPr>
      <w:r>
        <w:rPr>
          <w:b/>
          <w:bCs/>
          <w:sz w:val="20"/>
          <w:szCs w:val="20"/>
        </w:rPr>
        <w:t xml:space="preserve">Consensus price call: </w:t>
      </w:r>
      <w:r>
        <w:rPr>
          <w:sz w:val="20"/>
          <w:szCs w:val="20"/>
        </w:rPr>
        <w:t xml:space="preserve">7,537 index points (06 July cash close), confidence </w:t>
      </w:r>
      <w:r>
        <w:rPr>
          <w:b/>
          <w:bCs/>
          <w:color w:val="538135"/>
          <w:sz w:val="20"/>
          <w:szCs w:val="20"/>
        </w:rPr>
        <w:t xml:space="preserve">High</w:t>
      </w:r>
      <w:r>
        <w:rPr>
          <w:sz w:val="20"/>
          <w:szCs w:val="20"/>
        </w:rPr>
        <w:t xml:space="preserve"> on the price, </w:t>
      </w:r>
      <w:r>
        <w:rPr>
          <w:b/>
          <w:bCs/>
          <w:color w:val="C55A11"/>
          <w:sz w:val="20"/>
          <w:szCs w:val="20"/>
        </w:rPr>
        <w:t xml:space="preserve">Medium</w:t>
      </w:r>
      <w:r>
        <w:rPr>
          <w:sz w:val="20"/>
          <w:szCs w:val="20"/>
        </w:rPr>
        <w:t xml:space="preserve"> on the directional lean.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Most important reasons: </w:t>
      </w:r>
      <w:r>
        <w:rPr>
          <w:sz w:val="20"/>
          <w:szCs w:val="20"/>
        </w:rPr>
        <w:t xml:space="preserve">(1) corroborated record close above daily and weekly pivots; (2) bullish sentiment (tilt +0.64) and easing financial conditions after a soft NFP; (3) a Transitional/Ranging technical regime that caps conviction and warns the high is inefficient.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Single watch item: </w:t>
      </w:r>
      <w:r>
        <w:rPr>
          <w:sz w:val="20"/>
          <w:szCs w:val="20"/>
        </w:rPr>
        <w:t xml:space="preserve">the 08 July FOMC minutes — the swing factor for whether the record holds or fades.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19. </w:t>
      </w:r>
      <w:r>
        <w:rPr>
          <w:b/>
          <w:bCs/>
          <w:color w:val="1F3864"/>
          <w:sz w:val="26"/>
          <w:szCs w:val="26"/>
        </w:rPr>
        <w:t xml:space="preserve">Source Discipline Note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Live vs indicative: </w:t>
      </w:r>
      <w:r>
        <w:rPr>
          <w:sz w:val="20"/>
          <w:szCs w:val="20"/>
        </w:rPr>
        <w:t xml:space="preserve">all five validated OHLC closes (29 Jun–06 Jul) are CORROBORATED across two independent cash-basis sources within the ±0.10-point equity-index tolerance. The 06 Jul session Open is derived from the futures-led 07:00 UK anchor and is single-source — indicative only.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Pivot corroboration: </w:t>
      </w:r>
      <w:r>
        <w:rPr>
          <w:sz w:val="20"/>
          <w:szCs w:val="20"/>
        </w:rPr>
        <w:t xml:space="preserve">daily and weekly prior-period H/L/C are engine-window derived, not independently multi-source corroborated, so </w:t>
      </w:r>
      <w:r>
        <w:rPr>
          <w:b/>
          <w:bCs/>
          <w:color w:val="C55A11"/>
          <w:sz w:val="20"/>
          <w:szCs w:val="20"/>
        </w:rPr>
        <w:t xml:space="preserve">all pivot levels are SINGLE-SOURCE-INDICATIVE</w:t>
      </w:r>
      <w:r>
        <w:rPr>
          <w:sz w:val="20"/>
          <w:szCs w:val="20"/>
        </w:rPr>
        <w:t xml:space="preserve"> (the contract §21 reads).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Data gaps: </w:t>
      </w:r>
      <w:r>
        <w:rPr>
          <w:sz w:val="20"/>
          <w:szCs w:val="20"/>
        </w:rPr>
        <w:t xml:space="preserve">the medium-term regime window resolves on ~22 corroborated sessions rather than a full 25 (holiday-shortened calendar and source-agreement constraint); metrics are computed on available validated sessions and this is noted rather than back-filled.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Counters: </w:t>
      </w:r>
      <w:r>
        <w:rPr>
          <w:sz w:val="20"/>
          <w:szCs w:val="20"/>
        </w:rPr>
        <w:t xml:space="preserve">USDX, VIX and DAX closes are corroborated for directional use; VIX and USDX are directional counters (no pivots).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Normalization: </w:t>
      </w:r>
      <w:r>
        <w:rPr>
          <w:sz w:val="20"/>
          <w:szCs w:val="20"/>
        </w:rPr>
        <w:t xml:space="preserve">no FX/spec conversion required (all cash-basis, index points, USD); CFD/OTC references excluded from settlement per restrictions.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20. </w:t>
      </w:r>
      <w:r>
        <w:rPr>
          <w:b/>
          <w:bCs/>
          <w:color w:val="1F3864"/>
          <w:sz w:val="26"/>
          <w:szCs w:val="26"/>
        </w:rPr>
        <w:t xml:space="preserve">Agent Log</w:t>
      </w:r>
      <w:r>
        <w:rPr>
          <w:b/>
          <w:bCs/>
          <w:color w:val="C55A11"/>
          <w:sz w:val="15"/>
          <w:szCs w:val="15"/>
        </w:rPr>
        <w:t xml:space="preserve">   UPDATED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Sources attempted (OHLC): </w:t>
      </w:r>
      <w:r>
        <w:rPr>
          <w:sz w:val="20"/>
          <w:szCs w:val="20"/>
        </w:rPr>
        <w:t xml:space="preserve">Investing.com, Yahoo/CBOE, S&amp;P DJI/FRED, CNBC, TheStreet, Trading Economics. Corroboration achieved on all five sessions (primary pairs Investing×Yahoo and CNBC×TheStreet; deltas 0.00–0.01 pts).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Validation method: </w:t>
      </w:r>
      <w:r>
        <w:rPr>
          <w:sz w:val="20"/>
          <w:szCs w:val="20"/>
        </w:rPr>
        <w:t xml:space="preserve">two-source agreement within ±0.10 pts (equity index); weekend/holiday rejection applied (03 Jul removed).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Sentiment derivation: </w:t>
      </w:r>
      <w:r>
        <w:rPr>
          <w:sz w:val="20"/>
          <w:szCs w:val="20"/>
        </w:rPr>
        <w:t xml:space="preserve">7 articles scored per source-class weighting → tilt +0.64; every classification carries a ≤15-word derivation quote (§13a). Not low-confidence (≥3 articles).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Direction-score weights basis: </w:t>
      </w:r>
      <w:r>
        <w:rPr>
          <w:sz w:val="20"/>
          <w:szCs w:val="20"/>
        </w:rPr>
        <w:t xml:space="preserve">default (0.25 / 0.20 / 0.10 / 0.15 / 0.15 / 0.15); weights locked, forward-test session under 20 — no tuning applied.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Direction score: </w:t>
      </w:r>
      <w:r>
        <w:rPr>
          <w:sz w:val="20"/>
          <w:szCs w:val="20"/>
        </w:rPr>
        <w:t xml:space="preserve">+0.10 (below the 0.25 conviction threshold) → engine returns NEUTRAL. Top contributors: sentiment +0.64×0.15, Kaufman +0.04×0.15; short-tech, medium-regime, VOLator and cross-asset all ~0.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color w:val="C55A11"/>
          <w:sz w:val="20"/>
          <w:szCs w:val="20"/>
        </w:rPr>
        <w:t xml:space="preserve">Suppression note &amp; override: </w:t>
      </w:r>
      <w:r>
        <w:rPr>
          <w:sz w:val="20"/>
          <w:szCs w:val="20"/>
        </w:rPr>
        <w:t xml:space="preserve">under default gates all three trade cards would suppress (Trade 1: score below threshold; Trade 2: single-source-indicative pivots; Trade 3: no confirmed breakout). Per the explicit run instruction to produce a trading strategy with leniency on corroboration, §21 presents actionable cards built on the validated levels, with the corroboration status disclosed as a caveat on each card.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Backtest: </w:t>
      </w:r>
      <w:r>
        <w:rPr>
          <w:sz w:val="20"/>
          <w:szCs w:val="20"/>
        </w:rPr>
        <w:t xml:space="preserve">5-session no-leakage reconstruction not populated — insufficient corroborated history depth (holiday-shortened window) to satisfy the reconstruction contract without leakage; reported as a limitation rather than back-filled.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Forecast reasoning: </w:t>
      </w:r>
      <w:r>
        <w:rPr>
          <w:sz w:val="20"/>
          <w:szCs w:val="20"/>
        </w:rPr>
        <w:t xml:space="preserve">§17 derived from the seven-line technical judgement + §13b tilt, independent of the §21 card direction; no conflict (§21a direction aligns with the mild-long forecast lean).</w:t>
      </w:r>
    </w:p>
    <w:p>
      <w:pPr>
        <w:pStyle w:val="ListParagraph"/>
        <w:numPr>
          <w:ilvl w:val="0"/>
          <w:numId w:val="1"/>
        </w:numPr>
        <w:spacing w:after="70" w:line="258"/>
      </w:pPr>
      <w:r>
        <w:rPr>
          <w:b/>
          <w:bCs/>
          <w:sz w:val="20"/>
          <w:szCs w:val="20"/>
        </w:rPr>
        <w:t xml:space="preserve">Timestamp: </w:t>
      </w:r>
      <w:r>
        <w:rPr>
          <w:sz w:val="20"/>
          <w:szCs w:val="20"/>
        </w:rPr>
        <w:t xml:space="preserve">compiled 06 Jul 2026, 22:00 UK, for the 07 Jul 2026 session. Daily-open anchor 07:00 UK (S&amp;P cash pre-NY-open window).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21. </w:t>
      </w:r>
      <w:r>
        <w:rPr>
          <w:b/>
          <w:bCs/>
          <w:color w:val="1F3864"/>
          <w:sz w:val="26"/>
          <w:szCs w:val="26"/>
        </w:rPr>
        <w:t xml:space="preserve">Strategy Recommendations</w:t>
      </w:r>
      <w:r>
        <w:rPr>
          <w:b/>
          <w:bCs/>
          <w:color w:val="7B3F61"/>
          <w:sz w:val="15"/>
          <w:szCs w:val="15"/>
        </w:rPr>
        <w:t xml:space="preserve">   STRATEGY</w:t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§21a  Directional Conviction</w:t>
      </w:r>
    </w:p>
    <w:p>
      <w:pPr>
        <w:spacing w:after="120" w:before="0" w:line="264"/>
      </w:pPr>
      <w:r>
        <w:rPr>
          <w:b/>
          <w:bCs/>
          <w:sz w:val="20"/>
          <w:szCs w:val="20"/>
        </w:rPr>
        <w:t xml:space="preserve">Direction: </w:t>
      </w:r>
      <w:r>
        <w:rPr>
          <w:b/>
          <w:bCs/>
          <w:color w:val="538135"/>
          <w:sz w:val="20"/>
          <w:szCs w:val="20"/>
        </w:rPr>
        <w:t xml:space="preserve">LONG (low conviction).</w:t>
      </w:r>
      <w:r>
        <w:rPr>
          <w:sz w:val="20"/>
          <w:szCs w:val="20"/>
        </w:rPr>
        <w:t xml:space="preserve"> The raw direction score is </w:t>
      </w:r>
      <w:r>
        <w:rPr>
          <w:b/>
          <w:bCs/>
          <w:sz w:val="20"/>
          <w:szCs w:val="20"/>
        </w:rPr>
        <w:t xml:space="preserve">+0.10</w:t>
      </w:r>
      <w:r>
        <w:rPr>
          <w:sz w:val="20"/>
          <w:szCs w:val="20"/>
        </w:rPr>
        <w:t xml:space="preserve"> — below the 0.25 conviction threshold, so the engine's default output is NEUTRAL/suppressed. The three highest contributors are sentiment tilt (§13b) +0.64, Kaufman (§9) +0.04, and a neutral cross-asset read (§10) 0.00. Weights basis: defaults. </w:t>
      </w:r>
      <w:r>
        <w:rPr>
          <w:b/>
          <w:bCs/>
          <w:sz w:val="20"/>
          <w:szCs w:val="20"/>
        </w:rPr>
        <w:t xml:space="preserve">Conflict flag: </w:t>
      </w:r>
      <w:r>
        <w:rPr>
          <w:sz w:val="20"/>
          <w:szCs w:val="20"/>
        </w:rPr>
        <w:t xml:space="preserve">none — the §17 forecast's mild-upward lean is consistent with a low-conviction long. Per the explicit instruction to provide a trading strategy with leniency on corroboration, the cards below are produced despite the sub-threshold score and the single-source-indicative pivots; every card carries the corresponding caveat.</w:t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§21b  Trade Cards</w:t>
      </w:r>
    </w:p>
    <w:p>
      <w:pPr>
        <w:spacing w:after="40" w:before="120"/>
      </w:pPr>
      <w:r>
        <w:rPr>
          <w:b/>
          <w:bCs/>
          <w:color w:val="7B3F61"/>
          <w:sz w:val="21"/>
          <w:szCs w:val="21"/>
        </w:rPr>
        <w:t xml:space="preserve">Trade 1 — Daily Directional (LONG)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7B3F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shd w:fill="7B3F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Direction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LONG — mild post-record momentum with easing conditions; low conviction (score +0.10).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Market at 07:00 UK anchor, ≈ 7,537 pts (reference 06 Jul close).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7,443 pts — 94 points below entry (≈ 1× ATR(14); structural anchor: below daily S3 7,442.62 / 29 Jun swing 7,348.88 shelf).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Risk (R)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94 points.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7,631 pts — +1R (+94 pts). Just above daily R3 7,615.27.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7,725 pts — +2R (+188 pts).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TP3 (runner)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Trail; runner exit = session close + 3× ATR cap, or a daily close back below the weekly pivot 7,457.62.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 equal units; Unit 1 exits at TP1, Unit 2 at TP2; on Unit 2 fill, Unit 3 stop moves to entry +0.2R (≈ 7,556).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Entry near twice-tested 7,540.75 high (resistance shelf); TP1 clusters with daily R3.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Daily close below weekly pivot 7,457.62 breaks the mild-long narrative (distinct from the stop).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Caveats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Sub-threshold conviction score; produced under lenient-corroboration instruction; holding period collides with 08 Jul FOMC minutes (Tier-1).</w:t>
            </w:r>
          </w:p>
        </w:tc>
      </w:tr>
    </w:tbl>
    <w:p>
      <w:pPr>
        <w:spacing w:after="40" w:before="120"/>
      </w:pPr>
      <w:r>
        <w:rPr>
          <w:b/>
          <w:bCs/>
          <w:color w:val="7B3F61"/>
          <w:sz w:val="21"/>
          <w:szCs w:val="21"/>
        </w:rPr>
        <w:t xml:space="preserve">Trade 2 — Pivot, regime-aware (LONG pullback)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7B3F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shd w:fill="7B3F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Direction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LONG — buy a pullback toward pivot support in an upper-half, transitional tape.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Buy limit at 7,500 pts (daily S1 7,500.17).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7,462 pts — 38 points below entry (below daily S2 7,462.91).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Risk (R)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38 points.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7,538 pts — +1R; retest of the record close / 7,540.75 high.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7,576 pts — +2R; toward daily R2 7,578.01.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TP3 (runner)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Runner exit at daily P re-test on failure, or weekly R1 7,566.37 on strength.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 equal units; standard tranche rule; on Unit 2 fill, Unit 3 stop to entry +0.2R (≈ 7,508).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Entry at daily S1; TP1 at the 7,540 high; strong confluence of daily S1 and the round 7,500 level.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Daily close below 7,462.91 (daily S2) voids the pullback-long.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Caveats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Pivots are SINGLE-SOURCE-INDICATIVE (§11/§19) — limit placed against indicative levels only under the lenient-corroboration instruction; FOMC-minutes collision 08 Jul.</w:t>
            </w:r>
          </w:p>
        </w:tc>
      </w:tr>
    </w:tbl>
    <w:p>
      <w:pPr>
        <w:spacing w:after="40" w:before="120"/>
      </w:pPr>
      <w:r>
        <w:rPr>
          <w:b/>
          <w:bCs/>
          <w:color w:val="7B3F61"/>
          <w:sz w:val="21"/>
          <w:szCs w:val="21"/>
        </w:rPr>
        <w:t xml:space="preserve">Trade 3C — Momentum-Breakout (LONG)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7B3F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shd w:fill="7B3F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Direction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LONG — breakout continuation above the 5-day ceiling.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Stop entry at 7,545 pts on a confirmed break above the twice-tested 7,540.75 high.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7,497 pts — 48 points below entry (back inside the range, below daily S1).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Risk (R)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48 points.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7,593 pts — +1R; toward the 25-session high 7,602.10.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7,641 pts — +2R; measured-move toward weekly R2 7,649.49.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TP3 (runner)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Runner on a 100%+ extension / clean break of 7,602; exit on loss of momentum or session close + 3× ATR.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 equal units; standard rule; structural runner override on a 7,602 break (stop to halfway entry↔anchor).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Entry above 7,540.75 shelf; TP2 near weekly R2; 25-session high 7,602 as the key hurdle.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716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close back below 7,500 (daily S1) after entry negates the breakout.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Caveats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C55A11"/>
                <w:sz w:val="17"/>
                <w:szCs w:val="17"/>
              </w:rPr>
              <w:t xml:space="preserve">No confirmed breakout at the as-of cut (conditional stop-entry); pivots indicative; FOMC-minutes collision 08 Jul.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§21c  5-Session No-Leakage Backtest</w:t>
      </w:r>
    </w:p>
    <w:p>
      <w:pPr>
        <w:spacing w:after="120" w:before="0" w:line="264"/>
      </w:pPr>
      <w:r>
        <w:rPr>
          <w:b/>
          <w:bCs/>
          <w:sz w:val="20"/>
          <w:szCs w:val="20"/>
        </w:rPr>
        <w:t xml:space="preserve">Not populated. </w:t>
      </w:r>
      <w:r>
        <w:rPr>
          <w:sz w:val="20"/>
          <w:szCs w:val="20"/>
        </w:rPr>
        <w:t xml:space="preserve">The corroborated history depth available for this holiday-shortened window is insufficient to reconstruct five prior sessions under the same card logic without forward leakage. Rather than back-fill synthesised fills, the reconstruction is reported as a limitation (consistent with the no-synthesis discipline).</w:t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§21d  'What Is Working' Aggregate</w:t>
      </w:r>
    </w:p>
    <w:p>
      <w:pPr>
        <w:spacing w:after="120" w:before="0" w:line="264"/>
      </w:pPr>
      <w:r>
        <w:rPr>
          <w:sz w:val="20"/>
          <w:szCs w:val="20"/>
        </w:rPr>
        <w:t xml:space="preserve">With no completed backtest window, per-strategy hit rates cannot be ranked (insufficient triggers to rank). </w:t>
      </w:r>
      <w:r>
        <w:rPr>
          <w:b/>
          <w:bCs/>
          <w:i/>
          <w:iCs/>
          <w:sz w:val="20"/>
          <w:szCs w:val="20"/>
        </w:rPr>
        <w:t xml:space="preserve">Limitations: </w:t>
      </w:r>
      <w:r>
        <w:rPr>
          <w:i/>
          <w:iCs/>
          <w:sz w:val="20"/>
          <w:szCs w:val="20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4"/>
      </w:pBdr>
      <w:jc w:val="center"/>
    </w:pPr>
    <w:r>
      <w:rPr>
        <w:color w:val="595959"/>
        <w:sz w:val="15"/>
        <w:szCs w:val="15"/>
      </w:rPr>
      <w:t xml:space="preserve">S&amp;P 500 Daily Report │ 07 July 2026 │ Senior US Equity Strategist        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4"/>
      </w:pBdr>
      <w:jc w:val="right"/>
    </w:pPr>
    <w:r>
      <w:rPr>
        <w:color w:val="595959"/>
        <w:sz w:val="15"/>
        <w:szCs w:val="15"/>
      </w:rPr>
      <w:t xml:space="preserve">S&amp;P 500 — Daily Report · 07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eea4e1c2e0bd8b170deda20097eb4562c11b600.png"/><Relationship Id="rId10" Type="http://schemas.openxmlformats.org/officeDocument/2006/relationships/image" Target="media/d995e933c40f67fdc2e9b436986d447388806b83.png"/><Relationship Id="rId11" Type="http://schemas.openxmlformats.org/officeDocument/2006/relationships/image" Target="media/ceeb7ed22a6ec28fdc9545f713c4a84744d6af65.png"/><Relationship Id="rId12" Type="http://schemas.openxmlformats.org/officeDocument/2006/relationships/image" Target="media/9f6d003ed1671580fa2285d6484d4587a65b0307.png"/><Relationship Id="rId13" Type="http://schemas.openxmlformats.org/officeDocument/2006/relationships/image" Target="media/d9edc1b0d677d0d58bf562c7452b7c45cce9d02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S&amp;P 500 Report — Daily: 07 July 2026</dc:title>
  <dc:creator>Senior US Equity Strategist</dc:creator>
  <cp:lastModifiedBy>Un-named</cp:lastModifiedBy>
  <cp:revision>1</cp:revision>
  <dcterms:created xsi:type="dcterms:W3CDTF">2026-07-06T21:47:46.185Z</dcterms:created>
  <dcterms:modified xsi:type="dcterms:W3CDTF">2026-07-06T21:47:46.197Z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