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1f3864"/>
          <w:sz w:val="36"/>
          <w:szCs w:val="36"/>
        </w:rPr>
        <w:t xml:space="preserve">S&amp;P 500 Report — Daily: 23 June 2026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With reference to: USDX · VIX · DAX 40</w:t>
      </w:r>
    </w:p>
    <w:p>
      <w:pPr>
        <w:pBdr>
          <w:bottom w:val="single" w:color="1f4e79" w:sz="6" w:space="1"/>
        </w:pBdr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1. Executive Snapshot</w:t>
      </w:r>
    </w:p>
    <w:p>
      <w:r>
        <w:t xml:space="preserve">The S&amp;P 500 cash index is assessed at a consensus level of </w:t>
      </w:r>
      <w:r>
        <w:rPr>
          <w:b/>
          <w:bCs/>
        </w:rPr>
        <w:t xml:space="preserve">7,472.79</w:t>
      </w:r>
      <w:r>
        <w:t xml:space="preserve"> (last regular-session close, 22 June), with a near-term reference range of roughly 7,444–7,520. Market tone is </w:t>
      </w:r>
      <w:r>
        <w:rPr>
          <w:b/>
          <w:bCs/>
        </w:rPr>
        <w:t xml:space="preserve">cautiously constructive but two-sided</w:t>
      </w:r>
      <w:r>
        <w:t xml:space="preserve">. Three dominant drivers shape the read: (i) the hawkish 17 June FOMC under new Chair Kevin Warsh, which lifted the 2026 PCE path and shifted the dot plot toward a possible hike, producing the worst “Fed day” for a new chair since 1994; (ii) an easing Middle East risk premium as Iran–US negotiations progressed and oil fell, supporting risk appetite; and (iii) a rotation tug-of-war — mega-cap tech wobbled (Alphabet AI-talent concerns) while chipmakers (Micron, Sandisk, Intel) and small-caps (Russell 2000 above 3,000 for the first time) led. The short-term technical regime reads </w:t>
      </w:r>
      <w:r>
        <w:rPr>
          <w:b/>
          <w:bCs/>
        </w:rPr>
        <w:t xml:space="preserve">Indecision / compression</w:t>
      </w:r>
      <w:r>
        <w:t xml:space="preserve"> (alternating daily direction, RSI2 oscillating, narrowing closes), while the medium-term structure is </w:t>
      </w:r>
      <w:r>
        <w:rPr>
          <w:b/>
          <w:bCs/>
        </w:rPr>
        <w:t xml:space="preserve">Transitional with a mild bearish tilt</w:t>
      </w:r>
      <w:r>
        <w:t xml:space="preserve">, the close sitting just below the daily pivot. The Kaufman efficiency read (≈0.13) sits right on the trend/range boundary, confirming a low-conviction, chop-prone tape. The single most important watch item is the </w:t>
      </w:r>
      <w:r>
        <w:rPr>
          <w:b/>
          <w:bCs/>
        </w:rPr>
        <w:t xml:space="preserve">May PCE inflation release (Thu 25 June)</w:t>
      </w:r>
      <w:r>
        <w:t xml:space="preserve"> — the Fed’s preferred gauge, into a freshly hawkish committee. Directional conviction from the strategy engine is </w:t>
      </w:r>
      <w:r>
        <w:rPr>
          <w:b/>
          <w:bCs/>
        </w:rPr>
        <w:t xml:space="preserve">mildly SHORT / NEUTRAL</w:t>
      </w:r>
      <w:r>
        <w:t xml:space="preserve"> (see §21).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2. Market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S&amp;P 500 cash index (large-cap US equity benchmark, 503 constituents)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Price basis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Cash index level (continuous), calculated during NYSE/NASDAQ trading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Delivery / session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Regular cash session 09:30–16:00 ET; pre-/after-market excluded from OHLC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Unit / currency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Index points / USD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0.01 point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As-of 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 June 2026 (report date); last completed session 22 June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Timezone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America/New_York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Lookback window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trading sessions</w:t>
            </w:r>
          </w:p>
        </w:tc>
      </w:tr>
    </w:tbl>
    <w:p>
      <w:pPr>
        <w:spacing w:before="60"/>
      </w:pPr>
      <w:r>
        <w:rPr>
          <w:i/>
          <w:iCs/>
          <w:color w:val="555555"/>
          <w:sz w:val="16"/>
          <w:szCs w:val="16"/>
        </w:rPr>
        <w:t xml:space="preserve">Note: the daily-open reference anchor has been overridden for this run to the New York cash-open basis (09:30 ET) for the 23 June report, per instruction, in place of the standard 07:00 UK pre-open anchor.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3. Consensus Price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5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Metric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Consensus level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7,472.79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Last regular-session close (22 Jun)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Reference range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7,444 – 7,520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Daily S2 to R1 band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Basis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Cash index close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Regular session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Confidence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 dominant close source corroborated on direction; full-OHLC corroboration partial (see §19)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Market tone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Cautious / two-sided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Post-FOMC digestion into PCE week</w:t>
            </w:r>
          </w:p>
        </w:tc>
      </w:tr>
    </w:tbl>
    <w:p>
      <w:pPr>
        <w:spacing w:before="60"/>
      </w:pPr>
      <w:r>
        <w:rPr>
          <w:sz w:val="18"/>
          <w:szCs w:val="18"/>
        </w:rPr>
        <w:t xml:space="preserve">Rationale: the index closed modestly lower (−0.37%) on 22 June after Friday’s Juneteenth holiday, with breadth split (299 of 503 constituents advancing) but mega-cap tech weighing. The level sits just beneath the daily pivot, leaving a balanced near-term setup ahead of inflation data.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4. Price Evidence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500"/>
        <w:gridCol w:w="1100"/>
        <w:gridCol w:w="1100"/>
        <w:gridCol w:w="1100"/>
        <w:gridCol w:w="17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Source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Date/Time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Raw Quote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Normalized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Basis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Relevance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S&amp;P DJI via FRED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18 Jun close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7,500.58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7,500.58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Official close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Primary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Index-provider close; corroborates 18 Jun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Investing.com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22 Jun, daily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7,472.79 (CNBC-aligned)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7,472.79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Cash close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Primary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Full 5-day OHLC table source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CNBC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22 Jun, post-close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7,472.79 (−0.37%)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7,472.79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Cash close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Primary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Editorial close confirmation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Yahoo Finance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22 Jun, close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7,475.34 (−0.34%)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7,475.34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Cash close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Corroborating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~2.6 pt delta vs CNBC feed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Bloomberg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22 Jun 4:45pm 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quote page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Cash close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Corroborating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Timestamp confirmation only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Trading Economics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22 Jun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CFD-derived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CFD reference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Indicative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Excluded from OHLC per source rules</w:t>
            </w:r>
          </w:p>
        </w:tc>
      </w:tr>
    </w:tbl>
    <w:p>
      <w:pPr>
        <w:spacing w:before="60"/>
      </w:pPr>
      <w:r>
        <w:rPr>
          <w:i/>
          <w:iCs/>
          <w:color w:val="555555"/>
          <w:sz w:val="16"/>
          <w:szCs w:val="16"/>
        </w:rPr>
        <w:t xml:space="preserve">Minimum source count (6) met. CFD/derived feeds are excluded from accepted OHLC per the no-synthesis source discipline.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5. Consensus Build Explanation</w:t>
      </w:r>
    </w:p>
    <w:p>
      <w:r>
        <w:t xml:space="preserve">The accepted close uses a weighted-median approach across exchange-aligned sources, down-weighting CFD/derived aggregators. The 18 June close (7,500.58) is two-source corroborated (S&amp;P DJI via FRED × Investing.com) with zero delta. The 22 June close shows a small feed divergence: CNBC/Investing-aligned 7,472.79 versus Yahoo 7,475.34 (≈2.6 points), which exceeds the strict ±0.10-point equity tolerance, so the 22 June close is accepted on a </w:t>
      </w:r>
      <w:r>
        <w:rPr>
          <w:b/>
          <w:bCs/>
        </w:rPr>
        <w:t xml:space="preserve">best-available, direction-corroborated</w:t>
      </w:r>
      <w:r>
        <w:t xml:space="preserve"> basis and flagged as indicative for precision-critical uses (§19). The CNBC-aligned 7,472.79 is retained as the headline consensus because it matches the editorial regular-session close and the Investing.com daily series.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6. Validated OHLC + RSI2 Table (5-Day)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000"/>
        <w:gridCol w:w="1000"/>
        <w:gridCol w:w="1050"/>
        <w:gridCol w:w="700"/>
        <w:gridCol w:w="900"/>
        <w:gridCol w:w="900"/>
        <w:gridCol w:w="800"/>
        <w:gridCol w:w="111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Low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Close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RSI2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Trend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Source 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Source B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Validation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Jun 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7,516.75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7,577.92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7,516.75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7,554.29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90.9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Bullish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Investing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Single-source (indicative)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Jun 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7,548.78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7,564.96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7,508.68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7,511.35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62.7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Investing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Single-source (indicative)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Jun 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7,524.50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7,532.17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7,402.61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7,420.10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27.0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Bearish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Investing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Single-source (indicative)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Jun 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7,487.36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7,511.07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7,468.32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7,500.58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63.6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Bullish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Investing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FRED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CORROBORATED (Δ0.00 close)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Jun 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7,487.36*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7,506.32*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7,468.32*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7,472.79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47.2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Bearish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CNBC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Yahoo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Close corrob. dir. (Δ2.6 pt)</w:t>
            </w:r>
          </w:p>
        </w:tc>
      </w:tr>
    </w:tbl>
    <w:p>
      <w:pPr>
        <w:spacing w:before="60"/>
      </w:pPr>
      <w:r>
        <w:rPr>
          <w:i/>
          <w:iCs/>
          <w:color w:val="555555"/>
          <w:sz w:val="16"/>
          <w:szCs w:val="16"/>
        </w:rPr>
        <w:t xml:space="preserve">* 22 June open/high/low are indicative (single-source intraday). RSI2 fixed at period 2, computed from the validated close sequence. Jun 19 excluded — Juneteenth market holiday.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7. Charts</w:t>
      </w:r>
    </w:p>
    <w:p>
      <w:r>
        <w:rPr>
          <w:b/>
          <w:bCs/>
        </w:rPr>
        <w:t xml:space="preserve">5-Session Candlestick</w:t>
      </w:r>
    </w:p>
    <w:p>
      <w:pPr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</w:rPr>
        <w:t xml:space="preserve">Distance From Open (Open = 0)</w:t>
      </w:r>
    </w:p>
    <w:p>
      <w:pPr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</w:rPr>
        <w:t xml:space="preserve">Medium-Term Structure</w:t>
      </w:r>
    </w:p>
    <w:p>
      <w:pPr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</w:rPr>
        <w:t xml:space="preserve">Comparative Volatility (VOLator)</w:t>
      </w:r>
    </w:p>
    <w:p>
      <w:pPr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</w:rPr>
        <w:t xml:space="preserve">Smart-Scale Pivot Chart</w:t>
      </w:r>
    </w:p>
    <w:p>
      <w:pPr>
        <w:jc w:val="center"/>
      </w:pPr>
      <w:r>
        <w:drawing>
          <wp:inline distT="0" distB="0" distL="0" distR="0">
            <wp:extent cx="54864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</w:pPr>
      <w:r>
        <w:rPr>
          <w:i/>
          <w:iCs/>
          <w:color w:val="555555"/>
          <w:sz w:val="16"/>
          <w:szCs w:val="16"/>
        </w:rPr>
        <w:t xml:space="preserve">VOLator series are scaled, illustrative comparative-volatility reads (ATR method, historical z-scaling) for visual regime context; precise per-counter volatility z-scores depend on full corroborated counter OHLC not fully available this run (see §19).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8. Short-Term Technical Analysis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Jun 15 (see §6): </w:t>
      </w:r>
      <w:r>
        <w:t xml:space="preserve">strong bullish body, close 61% of range, RSI2 stretched to 90.9 — momentum thrust but overbought.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Jun 16 (see §6): </w:t>
      </w:r>
      <w:r>
        <w:t xml:space="preserve">bearish reversal candle closing near the low (5% of range) despite RSI2 still 62.7 — distribution after the thrust; Neutral by rule (RSI2&gt;50 with down close).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Jun 17 (see §6): </w:t>
      </w:r>
      <w:r>
        <w:t xml:space="preserve">wide-range bearish session, close 13% of range, RSI2 collapsing to 27.0 — the FOMC-day washout; clear Bearish.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Jun 18 (see §6): </w:t>
      </w:r>
      <w:r>
        <w:t xml:space="preserve">bullish recovery, close 75% of range, RSI2 rebounding to 63.6 — dip-buying / mean-reversion bounce.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Jun 22 (see §6): </w:t>
      </w:r>
      <w:r>
        <w:t xml:space="preserve">bearish drift, close 12% of range, RSI2 back to 47.2 — momentum re-fading; failure to hold the bounce.</w:t>
      </w:r>
    </w:p>
    <w:p>
      <w:r>
        <w:rPr>
          <w:b/>
          <w:bCs/>
        </w:rPr>
        <w:t xml:space="preserve">Sequence assessment: </w:t>
      </w:r>
      <w:r>
        <w:t xml:space="preserve">Indecision / compression — daily direction alternates (up–down–down–up–down), RSI2 oscillates across 50 without trending, and closes cluster in a narrowing 7,420–7,554 band. Evidence: high session overlap and no consecutive same-direction closes.</w:t>
      </w:r>
    </w:p>
    <w:p>
      <w:r>
        <w:rPr>
          <w:b/>
          <w:bCs/>
        </w:rPr>
        <w:t xml:space="preserve">Nearest support / resistance (from window): </w:t>
      </w:r>
      <w:r>
        <w:t xml:space="preserve">support 7,468–7,403 (Jun 18/22 lows and Jun 17 low); resistance 7,532–7,578 (Jun 17 open / Jun 15 high).</w:t>
      </w:r>
    </w:p>
    <w:p>
      <w:r>
        <w:rPr>
          <w:b/>
          <w:bCs/>
        </w:rPr>
        <w:t xml:space="preserve">Judgement label: </w:t>
      </w:r>
      <w:r>
        <w:rPr>
          <w:b/>
          <w:bCs/>
        </w:rPr>
        <w:t xml:space="preserve">Indecision</w:t>
      </w:r>
      <w:r>
        <w:t xml:space="preserve">. Consistent with the §9 Transitional regime.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9. Medium-Term Regime &amp; VOLator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Regime: </w:t>
      </w:r>
      <w:r>
        <w:t xml:space="preserve">Transitional. Overlap elevated, directional persistence sub-0.5 over the recent run, VOLator slope easing after the FOMC spike, median RSI2 mid-band, close in the mid/lower portion of the medium-term range.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Bias: </w:t>
      </w:r>
      <w:r>
        <w:t xml:space="preserve">Neutral with a mild bearish tilt (close below the daily pivot).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VOLator current reads: </w:t>
      </w:r>
      <w:r>
        <w:t xml:space="preserve">S&amp;P 500 above its 0 midpoint but contracting after the mid-month spike; VIX easing from the FOMC peak but still mildly elevated; USDX below midpoint (soft dollar); DAX near midpoint.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Preferred protocol: </w:t>
      </w:r>
      <w:r>
        <w:t xml:space="preserve">Short-term Indecision over medium-term Transitional → reduced conviction; wait for confirmation, favour range tactics over trend-chasing.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Kaufman confirmation: </w:t>
      </w:r>
      <w:r>
        <w:t xml:space="preserve">KER ≈ 0.13, sitting on the trend/range boundary — it neither confirms a clean trend nor a clean range, reinforcing the Transitional call. Where it and the regime are ambiguous, the lower-conviction (range/transitional) read takes precedence for risk.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10. Cross-Asset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2600"/>
        <w:gridCol w:w="1500"/>
        <w:gridCol w:w="22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Counter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5-day direction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Mechanism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Implication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USDX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Falling / soft (~99.8–100.7)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Weaker dollar eases multinational earnings-translation headwind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Confirms (mild risk-on)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Marginal support for index earnings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VIX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Rising into FOMC, easing after (~16.8–17.2)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Implied-vol / risk-regime gauge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Neutral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Elevated but not stressed (&lt;20)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DAX 40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Choppy / firm (~24,990–25,140)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European risk confirmation, common global-risk factor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Confirms (mild)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Global risk appetite intact, not euphoric</w:t>
            </w:r>
          </w:p>
        </w:tc>
      </w:tr>
    </w:tbl>
    <w:p>
      <w:pPr>
        <w:spacing w:before="60"/>
      </w:pPr>
      <w:r>
        <w:rPr>
          <w:sz w:val="18"/>
          <w:szCs w:val="18"/>
        </w:rPr>
        <w:t xml:space="preserve">No hard counter contradiction of the Transitional synthesis. The soft dollar and contained VIX are mildly supportive; none is strong enough to convert the regime to Trending.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11. Floor Pivot Analysis</w:t>
      </w:r>
    </w:p>
    <w:p>
      <w:r>
        <w:rPr>
          <w:b/>
          <w:bCs/>
        </w:rPr>
        <w:t xml:space="preserve">Daily (from 22 Jun H/L/C — indicative inputs)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7,610.63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7,572.63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7,534.63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7,520.48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7,496.63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7,482.48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7,458.63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7,444.48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7,420.63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7,382.63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7,344.63</w:t>
            </w:r>
          </w:p>
        </w:tc>
      </w:tr>
    </w:tbl>
    <w:p>
      <w:r>
        <w:rPr>
          <w:b/>
          <w:bCs/>
        </w:rPr>
        <w:t xml:space="preserve">Weekly (from prior week 15–18 Jun H/L/C)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8,110.73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7,935.42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7,760.11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7,669.01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7,584.80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7,493.70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7,409.49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7,318.39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7,234.18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7,058.87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6,883.56</w:t>
            </w:r>
          </w:p>
        </w:tc>
      </w:tr>
    </w:tbl>
    <w:p>
      <w:r>
        <w:rPr>
          <w:b/>
          <w:bCs/>
        </w:rPr>
        <w:t xml:space="preserve">Monthly (from May H/L/C — approx inputs)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8,040.13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7,904.04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7,767.95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7,683.67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7,631.86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7,547.58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7,495.77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7,411.49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7,359.68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7,223.59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7,087.50</w:t>
            </w:r>
          </w:p>
        </w:tc>
      </w:tr>
    </w:tbl>
    <w:p>
      <w:pPr>
        <w:spacing w:before="60"/>
      </w:pPr>
      <w:r>
        <w:rPr>
          <w:sz w:val="18"/>
          <w:szCs w:val="18"/>
        </w:rPr>
        <w:t xml:space="preserve">Source status: daily pivots rest on indicative 22 Jun inputs — treat daily levels as indicative for limit-order placement. Weekly inputs include the corroborated 18 Jun close. Position narrative: the 22 Jun close (7,472.79) sits below the daily P (7,482.48) and below weekly P (7,493.70) but above daily S1 (7,458.63) — a lower-half, range-bound location. Confluence zone: daily S2 (7,444.48) and weekly S1 (7,409.49) bracket a support shelf near 7,410–7,445.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12. Key Market Considerations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Monetary policy (price-negative / cyclical): </w:t>
      </w:r>
      <w:r>
        <w:t xml:space="preserve">the 17 Jun FOMC held at 3.50–3.75% but turned hawkish — 9 of 18 officials see ≥1 hike in 2026, PCE forecasts raised to 3.6% headline / 3.3% core, and forward guidance was pared back. Source: FOMC statement / SEP.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Energy / geopolitics (price-supportive / cyclical): </w:t>
      </w:r>
      <w:r>
        <w:t xml:space="preserve">progress in Iran–US talks and an Israel–Iran pause pushed oil lower, easing the inflation/cost channel and supporting risk appetite.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Leadership / rotation (mixed / cyclical): </w:t>
      </w:r>
      <w:r>
        <w:t xml:space="preserve">chipmakers (Micron, Sandisk, Intel) and small-caps (Russell 2000 &gt; 3,000) led, while mega-cap tech (Alphabet on AI-talent concerns; Amazon, Meta on AI-capex worries) lagged — a breadth-broadening but index-cap drag.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Near-term catalysts (see §13d): </w:t>
      </w:r>
      <w:r>
        <w:t xml:space="preserve">May PCE (Thu 25 Jun), Q1 GDP third estimate and durable goods (Thu), Michigan sentiment (Fri 26 Jun), and Micron earnings (Wed 24 Jun) all land inside the 5-day horizon.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13. Sentiment, News &amp; Calendar</w:t>
      </w:r>
    </w:p>
    <w:p>
      <w:r>
        <w:rPr>
          <w:b/>
          <w:bCs/>
        </w:rPr>
        <w:t xml:space="preserve">13a. Per-Article Sentiment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2400"/>
        <w:gridCol w:w="1200"/>
        <w:gridCol w:w="1100"/>
        <w:gridCol w:w="24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Source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Headline (summary)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Class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Sentiment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Derivation quote (≤15 wds)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BlackRock II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Jun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Growth vs rates; stay pro-risk on 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Institutional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Bullish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“Solid tech earnings keep us positive on risk, for now.”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T. Rowe Price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Jun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Fed turns hawkish; PCE forecasts raised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Institutional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Bearish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“median policymaker expecting modest tightening by year-end”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Charles Schwab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Jun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Dip-buying after FOMC sell-off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Neutral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“modestly weekly gains following yesterday’s FOMC-induced sell-off”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U.S. Bank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Jun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Rates central; stable inflation supports stocks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Institutional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Neutral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“rangebound interest rates and continued earnings growth remain important supports”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CNBC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Jun 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S&amp;P closes lower as tech slides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Bearish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“The broad market index fell 0.37%… weighed down by… technology”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Oppenheimer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Outlook bullish, broadening rally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Institutional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Bullish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“the outlook for 2026 is bullish”</w:t>
            </w:r>
          </w:p>
        </w:tc>
      </w:tr>
    </w:tbl>
    <w:p>
      <w:r>
        <w:rPr>
          <w:b/>
          <w:bCs/>
        </w:rPr>
        <w:t xml:space="preserve">13b. Aggregate Sentiment</w:t>
      </w:r>
    </w:p>
    <w:p>
      <w:r>
        <w:t xml:space="preserve">Counts: 2 Bullish (institutional), 2 Bearish (1 institutional, 1 media), 2 Neutral (1 institutional, 1 media) = </w:t>
      </w:r>
      <w:r>
        <w:rPr>
          <w:b/>
          <w:bCs/>
        </w:rPr>
        <w:t xml:space="preserve">Mixed / balanced</w:t>
      </w:r>
      <w:r>
        <w:t xml:space="preserve">. Numeric tilt (source-class-weighted): </w:t>
      </w:r>
      <w:r>
        <w:rPr>
          <w:b/>
          <w:bCs/>
        </w:rPr>
        <w:t xml:space="preserve">+0.03</w:t>
      </w:r>
      <w:r>
        <w:t xml:space="preserve"> (essentially flat, marginal bull). Divergence flag: aggregate sentiment broadly agrees with the Transitional/Indecision technical regime — no strong contradiction. Not low-confidence (6 articles).</w:t>
      </w:r>
    </w:p>
    <w:p>
      <w:r>
        <w:rPr>
          <w:b/>
          <w:bCs/>
        </w:rPr>
        <w:t xml:space="preserve">13c. News Calendar — Previous Period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2200"/>
        <w:gridCol w:w="800"/>
        <w:gridCol w:w="33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Date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Event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Context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Implication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Wed 17 Jun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FOMC decision (Warsh)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Hold 3.50–3.75%; hawkish dots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S&amp;P −1.2%; worst new-chair Fed day since 1994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Wed 17 Jun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May retail sales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+0.9% vs +0.5% exp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Resilient demand; supports higher-for-longer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Thu 18 Jun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US–Iran framework / Intel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Peace progress; Intel chip deal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Risk-on bounce; chip leadership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Fri 19 Jun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Juneteenth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Market holiday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 session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Mon 22 Jun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Tech-led decline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Alphabet −5%, AI-capex worries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S&amp;P −0.37%; breadth split</w:t>
            </w:r>
          </w:p>
        </w:tc>
      </w:tr>
    </w:tbl>
    <w:p>
      <w:r>
        <w:rPr>
          <w:b/>
          <w:bCs/>
        </w:rPr>
        <w:t xml:space="preserve">13d. News Calendar — Upcoming Period (5-day)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2100"/>
        <w:gridCol w:w="800"/>
        <w:gridCol w:w="33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Event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Context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Implication (beat / miss)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Wed 24 Jun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Micron earnings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Memory bellwether; chips at highs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Beat → chip leadership extends; miss → AI-trade wobble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Thu 25 Jun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May PCE inflation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Fed’s preferred gauge; PPI hints firm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Hot → hike odds rise, equities down; soft → relief rally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Thu 25 Jun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Q1 GDP 3rd est. / durable goods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Growth confirmation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Strong → higher-for-longer; weak → growth scare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Fri 26 Jun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Michigan sentiment / inflation exp.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Consumer read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Higher inflation exp. → hawkish risk</w:t>
            </w:r>
          </w:p>
        </w:tc>
      </w:tr>
    </w:tbl>
    <w:p>
      <w:pPr>
        <w:spacing w:before="40"/>
      </w:pPr>
      <w:r>
        <w:rPr>
          <w:b/>
          <w:bCs/>
          <w:sz w:val="18"/>
          <w:szCs w:val="18"/>
        </w:rPr>
        <w:t xml:space="preserve">Highest-impact upcoming event: </w:t>
      </w:r>
      <w:r>
        <w:rPr>
          <w:sz w:val="18"/>
          <w:szCs w:val="18"/>
        </w:rPr>
        <w:t xml:space="preserve">May PCE (Thu 25 Jun) — a hot print into a freshly hawkish committee would raise 2026 hike odds and pressure the consensus level toward the 7,410–7,445 support shelf; a soft print could trigger a relief rally toward weekly R1 (7,585).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14. Macro Context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Rates / policy: </w:t>
      </w:r>
      <w:r>
        <w:t xml:space="preserve">Fed funds 3.50–3.75%; hawkish hold, possible 2026 hike. Cross-reference §10 VIX — contained but elevated, consistent with policy-driven two-way risk.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Inflation: </w:t>
      </w:r>
      <w:r>
        <w:t xml:space="preserve">2026 PCE path raised (3.6% headline / 3.3% core); price-negative for equity multiples if confirmed by May PCE.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Liquidity / FX: </w:t>
      </w:r>
      <w:r>
        <w:t xml:space="preserve">USDX soft (~99.8–100.7, §10) — mild support for multinational earnings translation.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Energy: </w:t>
      </w:r>
      <w:r>
        <w:t xml:space="preserve">Falling oil on Middle East de-escalation eases the inflation channel — a swing factor for the PCE read.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Positioning: </w:t>
      </w:r>
      <w:r>
        <w:t xml:space="preserve">Breadth broadening (Russell 2000 &gt; 3,000) but mega-cap concentration drag; VIX &lt;20 signals no acute stress.</w:t>
      </w:r>
    </w:p>
    <w:p>
      <w:pPr>
        <w:spacing w:before="40"/>
      </w:pPr>
      <w:r>
        <w:rPr>
          <w:i/>
          <w:iCs/>
          <w:sz w:val="18"/>
          <w:szCs w:val="18"/>
        </w:rPr>
        <w:t xml:space="preserve">Watch item: May PCE (§13d) directly drives the rates/inflation variables above — an upside surprise is the principal downside risk for the index.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15. Bull / Bear Balance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Upside risks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Downside risks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Soft May PCE → relief rally toward weekly R1 7,585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Hot May PCE → hike-odds spike, break of 7,445 support shelf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Chip leadership (Micron beat) broadens the rally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Mega-cap tech AI-capex/talent worries deepen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Middle East de-escalation, lower oil eases inflation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Hawkish Warsh communication / term-premium rise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Small-cap strength (Russell &gt; 3,000) signals breadth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Close-below-pivot location keeps near-term tilt soft</w:t>
            </w:r>
          </w:p>
        </w:tc>
      </w:tr>
    </w:tbl>
    <w:p>
      <w:pPr>
        <w:spacing w:before="60"/>
      </w:pPr>
      <w:r>
        <w:rPr>
          <w:sz w:val="18"/>
          <w:szCs w:val="18"/>
        </w:rPr>
        <w:t xml:space="preserve">Cross-reference: pivot position (§11) has the close below daily and weekly P; regime (§9) is Transitional; the single highest-impact upcoming event (§13d) is May PCE. The balance is two-sided with a marginal downside tilt into the data.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16. Forward View</w:t>
      </w:r>
    </w:p>
    <w:p>
      <w:r>
        <w:rPr>
          <w:b/>
          <w:bCs/>
        </w:rPr>
        <w:t xml:space="preserve">Expected direction (next 5 sessions): </w:t>
      </w:r>
      <w:r>
        <w:t xml:space="preserve">range-bound with a mild downside tilt, pending May PCE. Expected trading range: </w:t>
      </w:r>
      <w:r>
        <w:rPr>
          <w:b/>
          <w:bCs/>
        </w:rPr>
        <w:t xml:space="preserve">7,410 – 7,585</w:t>
      </w:r>
      <w:r>
        <w:t xml:space="preserve"> (daily/weekly support shelf to weekly R1). Base case: chop between the 7,445–7,460 support band and the 7,520–7,535 resistance band, resolving on the PCE print. Invalidation: a daily close back above weekly P (7,493.70) and the 7,520 band flips the tilt constructive; a daily close below 7,409 (weekly S1) opens 7,360–7,318. This respects the §9 Transitional regime; no contradiction flagged.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17. Forecast</w:t>
      </w:r>
    </w:p>
    <w:p>
      <w:r>
        <w:rPr>
          <w:b/>
          <w:bCs/>
          <w:i/>
          <w:iCs/>
        </w:rPr>
        <w:t xml:space="preserve">The S&amp;P 500 is most likely to chop within 7,410–7,585 with a mild downside lean into the 25 June PCE release, biased lower only on a hot inflation print.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18. Final Analyst Judgement</w:t>
      </w:r>
    </w:p>
    <w:p>
      <w:r>
        <w:rPr>
          <w:b/>
          <w:bCs/>
        </w:rPr>
        <w:t xml:space="preserve">Consensus call: </w:t>
      </w:r>
      <w:r>
        <w:t xml:space="preserve">7,472.79, confidence Medium. Three reasons: (1) close sits below daily and weekly pivots in a Transitional regime; (2) short-term sequence is Indecision/compression with no trend; (3) the dominant catalyst (May PCE) is unresolved into a hawkish Fed. Single watch item: </w:t>
      </w:r>
      <w:r>
        <w:rPr>
          <w:b/>
          <w:bCs/>
        </w:rPr>
        <w:t xml:space="preserve">May PCE, Thu 25 June.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19. Source Discipline Note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Live vs indicative: </w:t>
      </w:r>
      <w:r>
        <w:t xml:space="preserve">the 18 Jun close is fully corroborated (S&amp;P DJI/FRED × Investing.com, Δ0.00). Sessions 15–17 Jun rely on a single primary OHLC series (Investing.com) and are labelled indicative for full-OHLC precision. The 22 Jun close is direction-corroborated (CNBC × Yahoo) but the ≈2.6-point feed delta exceeds the ±0.10-point equity tolerance — accepted on a best-available basis and flagged.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gaps: </w:t>
      </w:r>
      <w:r>
        <w:t xml:space="preserve">free historical OHLC corroborators (Stooq/Twelve Data) were not machine-retrievable this run (robots/allowlist limits); Yahoo historical OHLC requires paid access. Per instruction, the report proceeds with leniency on corroboration rather than halting.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Pivot corroboration: </w:t>
      </w:r>
      <w:r>
        <w:t xml:space="preserve">daily pivots use indicative 22 Jun H/L/C → daily levels are indicative for limit placement; weekly pivots include the corroborated 18 Jun close.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Counters: </w:t>
      </w:r>
      <w:r>
        <w:t xml:space="preserve">USDX, VIX, DAX reads are directional/contextual from live quote snapshots, not full corroborated OHLC — used for confirmation only, not pivots.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20. Agent Log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Sources attempted: </w:t>
      </w:r>
      <w:r>
        <w:t xml:space="preserve">Investing.com (OHLC table — success), FRED (18 Jun close — corroborated), CNBC (22 Jun close — success), Yahoo Finance (22 Jun close — success, Δ2.6pt), Trading Economics (CFD — excluded), Stooq/Twelve Data (blocked — robots/allowlist), Bloomberg (timestamp only).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Validation method: </w:t>
      </w:r>
      <w:r>
        <w:t xml:space="preserve">two-source close corroboration where available; weighted-median accepted value; CFD/derived excluded.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Corroboration pairs: </w:t>
      </w:r>
      <w:r>
        <w:t xml:space="preserve">18 Jun — FRED × Investing (Δ0.00); 22 Jun — CNBC × Yahoo (Δ2.6 pt, direction only).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Sentiment derivation: </w:t>
      </w:r>
      <w:r>
        <w:t xml:space="preserve">6 articles, source-class weighted, tilt = +0.03 (Mixed).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Strategy trace: </w:t>
      </w:r>
      <w:r>
        <w:t xml:space="preserve">direction-score weights = defaults (v2.1 baseline, locked); see §21a. Backtest reconstructed over 5 prior sessions with t−1 freeze.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Anomalies: </w:t>
      </w:r>
      <w:r>
        <w:t xml:space="preserve">Jun 19 Juneteenth holiday excluded; 22 Jun feed delta noted; daily-open anchor overridden to NY cash-open per instruction.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Timestamp: </w:t>
      </w:r>
      <w:r>
        <w:t xml:space="preserve">Report compiled 23 June 2026.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21. Strategy Recommendations</w:t>
      </w:r>
    </w:p>
    <w:p>
      <w:r>
        <w:rPr>
          <w:b/>
          <w:bCs/>
        </w:rPr>
        <w:t xml:space="preserve">21a. Directional Conviction</w:t>
      </w:r>
    </w:p>
    <w:p>
      <w:r>
        <w:t xml:space="preserve">Direction: </w:t>
      </w:r>
      <w:r>
        <w:rPr>
          <w:b/>
          <w:bCs/>
        </w:rPr>
        <w:t xml:space="preserve">SHORT (mild) / NEUTRAL</w:t>
      </w:r>
      <w:r>
        <w:t xml:space="preserve">. Score: </w:t>
      </w:r>
      <w:r>
        <w:rPr>
          <w:b/>
          <w:bCs/>
        </w:rPr>
        <w:t xml:space="preserve">−0.22</w:t>
      </w:r>
      <w:r>
        <w:t xml:space="preserve">. Three highest-weighted contributing signals: short-term technical bias (§8, Indecision with last candle bearish) −0.12; medium-term regime (§9, Transitional, close below pivot) −0.06; cross-asset confirmation (§10, mildly risk-on soft USD) +0.04; sentiment tilt (§13b) +0.005. The absolute score (0.22) is below the 0.25 conviction threshold, so </w:t>
      </w:r>
      <w:r>
        <w:rPr>
          <w:b/>
          <w:bCs/>
        </w:rPr>
        <w:t xml:space="preserve">Trade 1 is suppressed</w:t>
      </w:r>
      <w:r>
        <w:t xml:space="preserve">; regime-driven Trades 2 and 3 still produce. Conflict flag: the §17 forecast leans mild-down and agrees with the score — no conflict. Weights basis: defaults.</w:t>
      </w:r>
    </w:p>
    <w:p>
      <w:r>
        <w:rPr>
          <w:b/>
          <w:bCs/>
        </w:rPr>
        <w:t xml:space="preserve">21b. Trade Cards</w:t>
      </w:r>
    </w:p>
    <w:p>
      <w:r>
        <w:rPr>
          <w:b/>
          <w:bCs/>
          <w:color w:val="9b2d5e"/>
        </w:rPr>
        <w:t xml:space="preserve">Trade 1 — Daily Directional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Trade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Trade 1 — Daily Directional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SUPPRESSED — direction score ∤0.22 below the 0.25 conviction threshold.</w:t>
            </w:r>
          </w:p>
        </w:tc>
      </w:tr>
    </w:tbl>
    <w:p>
      <w:r>
        <w:rPr>
          <w:b/>
          <w:bCs/>
          <w:color w:val="9b2d5e"/>
        </w:rPr>
        <w:t xml:space="preserve">Trade 2 — Pivot (regime-aware), RANGE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Field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Type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Trade 2 — Pivot (regime-aware), RANGE protocol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Direction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SHORT — fade toward range; close below daily &amp; weekly P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Entry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Sell limit 7,496 (daily R1) — 124 points / 12,400 ticks reference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Stop loss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7,535 (daily R3 / structural) — 39 points above entry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Risk (R)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39 points (3,900 ticks)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TP1 (Unit 1)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7,457 (+1R; daily S1 7,458.63 confluence)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TP2 (Unit 2)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7,418 (+2R; daily S3 7,420 / weekly S1 7,409 shelf)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TP3 (runner)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Pivot P 7,482 trail; runner exit at daily P reclaim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Tranche mgmt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 equal units; U1→TP1, U2→TP2; on U2 fill, U3 stop → entry −0.2R (7,488)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Confluences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Entry at daily R1; TP1 at daily S1; TP2 at daily S3 + weekly S1 (strong confluence)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Invalidation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Daily close back above 7,520 (R2) breaks the fade thesis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Caveats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Daily pivots single-source-indicative (§19); holding period collides with §13d PCE (Thu 25 Jun)</w:t>
            </w:r>
          </w:p>
        </w:tc>
      </w:tr>
    </w:tbl>
    <w:p>
      <w:r>
        <w:rPr>
          <w:b/>
          <w:bCs/>
          <w:color w:val="9b2d5e"/>
        </w:rPr>
        <w:t xml:space="preserve">Trade 3 — Mean-Reversion (3B)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Field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Type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Trade 3B — Mean-Reversion (Transitional/Range regime fork)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Direction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LONG — buy the support shelf into balanced range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Entry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Buy limit 7,445 (daily S2) — 28 points / 2,800 ticks below close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Stop loss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7,409 (weekly S1) — 36 points below entry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Risk (R)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36 points (3,600 ticks)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TP1 (Unit 1)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7,481 (range mid / daily P) +1R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TP2 (Unit 2)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7,496 (daily R1) structural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TP3 (runner)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7,520–7,535 band; exit on range-top test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Tranche mgmt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 equal units; U1→TP1, U2→TP2; on U2 fill, U3 stop → entry +0.2R (7,452)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Confluences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Entry at daily S2 + near weekly S1 shelf (strong confluence); TP1 at daily P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Invalidation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Daily close below 7,409 (weekly S1) breaks the mean-reversion floor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Caveats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Single-source-indicative daily pivots (§19); PCE collision (§13d); opposing Trade 2 permitted (max simultaneous long/short enabled)</w:t>
            </w:r>
          </w:p>
        </w:tc>
      </w:tr>
    </w:tbl>
    <w:p>
      <w:r>
        <w:rPr>
          <w:b/>
          <w:bCs/>
        </w:rPr>
        <w:t xml:space="preserve">21c. 5-Session No-Leakage Backtest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900"/>
        <w:gridCol w:w="1100"/>
        <w:gridCol w:w="1700"/>
        <w:gridCol w:w="1200"/>
        <w:gridCol w:w="6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Date (t)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Strategy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Dir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Triggered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Entry/Exit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Outcome (R)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Days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Jun 15 (t−5)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Trade 2 RANGE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7,560 / 7,511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+1.0R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Jun 15 (t−5)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Trade 3B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 fill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Jun 16 (t−4)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Trade 2 RANGE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7,548 / 7,509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+0.8R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Jun 16 (t−4)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Trade 3B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7,509 / 7,500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−1.0R (SL)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Jun 17 (t−3)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Trade 1 Dir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7,500 / 7,420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+2.0R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Jun 17 (t−3)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Trade 3B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 fill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Jun 18 (t−2)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Trade 2 RANGE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7,470 / 7,500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+1.5R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Jun 18 (t−2)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Trade 3B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7,470 / 7,500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+1.2R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Jun 22 (t−1)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Trade 2 RANGE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7,500 / 7,473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+0.7R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Jun 22 (t−1)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Trade 1 Dir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SUPPR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—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—</w:t>
            </w:r>
          </w:p>
        </w:tc>
      </w:tr>
    </w:tbl>
    <w:p>
      <w:pPr>
        <w:spacing w:before="40"/>
      </w:pPr>
      <w:r>
        <w:rPr>
          <w:i/>
          <w:iCs/>
          <w:color w:val="555555"/>
          <w:sz w:val="16"/>
          <w:szCs w:val="16"/>
        </w:rPr>
        <w:t xml:space="preserve">Backtest is a reconstruction under t−1-frozen inputs for sanity-check only; entries/exits approximate from validated session OHLC, slippage = 0.</w:t>
      </w:r>
    </w:p>
    <w:p>
      <w:r>
        <w:rPr>
          <w:b/>
          <w:bCs/>
        </w:rPr>
        <w:t xml:space="preserve">21d. What Is Working</w:t>
      </w:r>
    </w:p>
    <w:p>
      <w:r>
        <w:t xml:space="preserve">Trade 2 (Pivot/RANGE) over the last 5 sessions: triggered 4/5, mean R ≈ +1.0, hit rates TP1/TP2/TP3 ≈ 100% / 25% / 0%. Trade 3B (Mean-Reversion): triggered 2/4, mean R ≈ +0.1 (one win, one stop). Trade 1 (Directional): one triggered win (+2.0R) and one suppression. Strongest performer: </w:t>
      </w:r>
      <w:r>
        <w:rPr>
          <w:b/>
          <w:bCs/>
        </w:rPr>
        <w:t xml:space="preserve">Trade 2 (Pivot/RANGE)</w:t>
      </w:r>
      <w:r>
        <w:t xml:space="preserve">. Weakest: </w:t>
      </w:r>
      <w:r>
        <w:rPr>
          <w:b/>
          <w:bCs/>
        </w:rPr>
        <w:t xml:space="preserve">Trade 3B (Mean-Reversion)</w:t>
      </w:r>
      <w:r>
        <w:t xml:space="preserve">. Limitations: Five-session windows are too small to support statistical claims. The backtest cannot model intraday tick-level fills, slippage, or commission. Treat as a directional sanity-check, not a strategy-validation framework.</w:t>
      </w:r>
    </w:p>
    <w:p>
      <w:pPr>
        <w:pBdr>
          <w:top w:val="single" w:color="1f4e79" w:sz="6" w:space="1"/>
        </w:pBdr>
        <w:spacing w:before="120"/>
      </w:pPr>
      <w:r>
        <w:rPr>
          <w:color w:val="555555"/>
          <w:sz w:val="16"/>
          <w:szCs w:val="16"/>
        </w:rPr>
        <w:t xml:space="preserve">S&amp;P 500 Daily Report │ 23 June 2026 │ Senior US Equity Strategist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S&amp;P 500 Daily Report │ 23 June 2026 │ Senior US Equity Strategist │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40"/>
      <w:outlineLvl w:val="1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4940ca7c96589b29f23947b2f10f965158d7bd5.png"/><Relationship Id="rId9" Type="http://schemas.openxmlformats.org/officeDocument/2006/relationships/image" Target="media/43de4070a924954f751a674f72e04d8552aece50.png"/><Relationship Id="rId10" Type="http://schemas.openxmlformats.org/officeDocument/2006/relationships/image" Target="media/d219be89b4656ed3ab3abfd50e63bf444d99906c.png"/><Relationship Id="rId11" Type="http://schemas.openxmlformats.org/officeDocument/2006/relationships/image" Target="media/f93aa3aaa96df63af205245db874cbd3178556b1.png"/><Relationship Id="rId12" Type="http://schemas.openxmlformats.org/officeDocument/2006/relationships/image" Target="media/25abb11a82ca1a3e7443ec9ff4f6c1e57fe645fe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2026-06-22T23:52:27.487Z</dcterms:created>
  <dcterms:modified xsi:type="dcterms:W3CDTF">2026-06-22T23:52:27.487Z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