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F3A5F"/>
          <w:sz w:val="36"/>
          <w:szCs w:val="36"/>
        </w:rPr>
        <w:t xml:space="preserve">S&amp;P 500 Report — Daily: 18 May 2026</w:t>
      </w:r>
    </w:p>
    <w:p>
      <w:pPr>
        <w:spacing w:after="240" w:before="0"/>
      </w:pPr>
      <w:r>
        <w:rPr>
          <w:rFonts w:ascii="Arial" w:cs="Arial" w:eastAsia="Arial" w:hAnsi="Arial"/>
          <w:i/>
          <w:iCs/>
          <w:color w:val="555555"/>
          <w:sz w:val="22"/>
          <w:szCs w:val="22"/>
        </w:rPr>
        <w:t xml:space="preserve">With reference to: USDX · VIX · DAX 40</w:t>
      </w:r>
    </w:p>
    <w:p>
      <w:pPr>
        <w:pBdr>
          <w:bottom w:val="single" w:color="1F3A5F" w:sz="8" w:space="1"/>
        </w:pBdr>
        <w:spacing w:after="200" w:before="0"/>
      </w:pPr>
      <w:r>
        <w:rPr>
          <w:sz w:val="4"/>
          <w:szCs w:val="4"/>
        </w:rPr>
        <w:t xml:space="preserve"/>
      </w:r>
    </w:p>
    <w:p>
      <w:pPr>
        <w:pStyle w:val="Heading1"/>
        <w:spacing w:after="160" w:before="320"/>
      </w:pPr>
      <w:r>
        <w:rPr>
          <w:rFonts w:ascii="Arial" w:cs="Arial" w:eastAsia="Arial" w:hAnsi="Arial"/>
          <w:b/>
          <w:bCs/>
          <w:color w:val="1F3A5F"/>
          <w:sz w:val="30"/>
          <w:szCs w:val="30"/>
        </w:rPr>
        <w:t xml:space="preserve">§1  Executive Snapshot</w:t>
      </w:r>
    </w:p>
    <w:p>
      <w:pPr>
        <w:spacing w:after="200" w:before="0"/>
        <w:jc w:val="left"/>
      </w:pPr>
      <w:r>
        <w:rPr>
          <w:rFonts w:ascii="Arial" w:cs="Arial" w:eastAsia="Arial" w:hAnsi="Arial"/>
          <w:b w:val="false"/>
          <w:bCs w:val="false"/>
          <w:i w:val="false"/>
          <w:iCs w:val="false"/>
          <w:color w:val="000000"/>
          <w:sz w:val="22"/>
          <w:szCs w:val="22"/>
        </w:rPr>
        <w:t xml:space="preserve">The S&amp;P 500 closed Friday 15 May 2026 at 7,408.50, down 92.74 points (-1.24%) after the index posted its first-ever close above 7,500 the previous session and reached an intraday all-time high of 7,517.12 on 14 May. The pullback came on a combination of: a hotter-than-expected April PPI print (wholesale inflation +6% YoY, the fastest pace since 2022), follow-through from a CPI surprise earlier in the week, and disappointment that the Trump–Xi Beijing summit concluded without major substantive agreements. Energy-driven inflation linked to the ongoing Iran conflict and a hawkish repricing of Fed expectations (markets now imply rate cuts pushed back, with a ~28% probability of a 25 bp hike priced in for December) drove a sharp rotation out of recent AI-hyperscaler winners. The consensus daily price call for the 18 May session is a balanced band of 7,360–7,460, centred near 7,410, with the technical regime read as TRANSITION (a clean trend-up classification fails the VOLator dual-gate after Friday's range-expansion sell-off). The Kaufman Efficiency Ratio reads Trending Up — Moderate but is decelerating sharply. The single most important watch item is Wednesday 20 May's Nvidia fiscal Q1 2027 earnings, which falls squarely inside the 5-session forecast horizon and represents the dominant near-term catalyst for the AI-led tape.</w:t>
      </w:r>
    </w:p>
    <w:p>
      <w:pPr>
        <w:pStyle w:val="Heading1"/>
        <w:spacing w:after="160" w:before="320"/>
      </w:pPr>
      <w:r>
        <w:rPr>
          <w:rFonts w:ascii="Arial" w:cs="Arial" w:eastAsia="Arial" w:hAnsi="Arial"/>
          <w:b/>
          <w:bCs/>
          <w:color w:val="1F3A5F"/>
          <w:sz w:val="30"/>
          <w:szCs w:val="30"/>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Primary asset</w:t>
            </w:r>
          </w:p>
        </w:tc>
        <w:tc>
          <w:tcPr>
            <w:tcW w:type="dxa" w:w="69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S&amp;P 500 Cash Index (^GSPC)</w:t>
            </w:r>
          </w:p>
        </w:tc>
      </w:tr>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Specification</w:t>
            </w:r>
          </w:p>
        </w:tc>
        <w:tc>
          <w:tcPr>
            <w:tcW w:type="dxa" w:w="69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Large-cap US equity benchmark, 503 constituents, rebalanced quarterly by S&amp;P Dow Jones</w:t>
            </w:r>
          </w:p>
        </w:tc>
      </w:tr>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Scope</w:t>
            </w:r>
          </w:p>
        </w:tc>
        <w:tc>
          <w:tcPr>
            <w:tcW w:type="dxa" w:w="69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Global / United States; NYSE and NASDAQ listings</w:t>
            </w:r>
          </w:p>
        </w:tc>
      </w:tr>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Delivery basis</w:t>
            </w:r>
          </w:p>
        </w:tc>
        <w:tc>
          <w:tcPr>
            <w:tcW w:type="dxa" w:w="69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Cash index level, NYSE/NASDAQ regular session 09:30–16:00 ET</w:t>
            </w:r>
          </w:p>
        </w:tc>
      </w:tr>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Price basis</w:t>
            </w:r>
          </w:p>
        </w:tc>
        <w:tc>
          <w:tcPr>
            <w:tcW w:type="dxa" w:w="69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Continuous cash index calculated by S&amp;P Dow Jones during regular trading hours</w:t>
            </w:r>
          </w:p>
        </w:tc>
      </w:tr>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Unit</w:t>
            </w:r>
          </w:p>
        </w:tc>
        <w:tc>
          <w:tcPr>
            <w:tcW w:type="dxa" w:w="69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Index points</w:t>
            </w:r>
          </w:p>
        </w:tc>
      </w:tr>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Currency</w:t>
            </w:r>
          </w:p>
        </w:tc>
        <w:tc>
          <w:tcPr>
            <w:tcW w:type="dxa" w:w="69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USD</w:t>
            </w:r>
          </w:p>
        </w:tc>
      </w:tr>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Tick precision</w:t>
            </w:r>
          </w:p>
        </w:tc>
        <w:tc>
          <w:tcPr>
            <w:tcW w:type="dxa" w:w="69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0.01 points (one hundredth-of-a-point native execution unit)</w:t>
            </w:r>
          </w:p>
        </w:tc>
      </w:tr>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As-of date</w:t>
            </w:r>
          </w:p>
        </w:tc>
        <w:tc>
          <w:tcPr>
            <w:tcW w:type="dxa" w:w="69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18 May 2026 (Monday, America/New_York)</w:t>
            </w:r>
          </w:p>
        </w:tc>
      </w:tr>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Lookback window</w:t>
            </w:r>
          </w:p>
        </w:tc>
        <w:tc>
          <w:tcPr>
            <w:tcW w:type="dxa" w:w="69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5 validated sessions for short-block; 25 validated sessions for medium-block regime</w:t>
            </w:r>
          </w:p>
        </w:tc>
      </w:tr>
    </w:tbl>
    <w:p>
      <w:pPr>
        <w:pStyle w:val="Heading1"/>
        <w:spacing w:after="160" w:before="320"/>
      </w:pPr>
      <w:r>
        <w:rPr>
          <w:rFonts w:ascii="Arial" w:cs="Arial" w:eastAsia="Arial" w:hAnsi="Arial"/>
          <w:b/>
          <w:bCs/>
          <w:color w:val="1F3A5F"/>
          <w:sz w:val="30"/>
          <w:szCs w:val="30"/>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Consensus price</w:t>
            </w:r>
          </w:p>
        </w:tc>
        <w:tc>
          <w:tcPr>
            <w:tcW w:type="dxa" w:w="69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7,410 index points (anchored on last validated cash close 7,408.50)</w:t>
            </w:r>
          </w:p>
        </w:tc>
      </w:tr>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Range</w:t>
            </w:r>
          </w:p>
        </w:tc>
        <w:tc>
          <w:tcPr>
            <w:tcW w:type="dxa" w:w="69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7,360 – 7,460 (±50 points either side of the 7,410 midpoint)</w:t>
            </w:r>
          </w:p>
        </w:tc>
      </w:tr>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Basis</w:t>
            </w:r>
          </w:p>
        </w:tc>
        <w:tc>
          <w:tcPr>
            <w:tcW w:type="dxa" w:w="69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Cash index, regular-session settlement; weighted median of six independent quote sources</w:t>
            </w:r>
          </w:p>
        </w:tc>
      </w:tr>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Confidence</w:t>
            </w:r>
          </w:p>
        </w:tc>
        <w:tc>
          <w:tcPr>
            <w:tcW w:type="dxa" w:w="69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Medium</w:t>
            </w:r>
          </w:p>
        </w:tc>
      </w:tr>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Market tone</w:t>
            </w:r>
          </w:p>
        </w:tc>
        <w:tc>
          <w:tcPr>
            <w:tcW w:type="dxa" w:w="69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Balanced with bearish near-term tilt — record-high distribution pattern on rising inflation prints and Iran-driven oil/yield risk; offset by AI earnings tailwind into Nvidia mid-week.</w:t>
            </w:r>
          </w:p>
        </w:tc>
      </w:tr>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Rationale</w:t>
            </w:r>
          </w:p>
        </w:tc>
        <w:tc>
          <w:tcPr>
            <w:tcW w:type="dxa" w:w="69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Friday's session closed near the day's low after rejecting at fresh all-time highs, producing an outside-day bearish engulfing pattern within a still-intact 5-week uptrend. RSI2 has collapsed from ~95 to single digits in two sessions. Until Nvidia clears on 20 May, the path of least resistance is two-way price discovery within the 7,400 ± 50 band.</w:t>
            </w:r>
          </w:p>
        </w:tc>
      </w:tr>
    </w:tbl>
    <w:p>
      <w:pPr>
        <w:pStyle w:val="Heading1"/>
        <w:spacing w:after="160" w:before="320"/>
      </w:pPr>
      <w:r>
        <w:rPr>
          <w:rFonts w:ascii="Arial" w:cs="Arial" w:eastAsia="Arial" w:hAnsi="Arial"/>
          <w:b/>
          <w:bCs/>
          <w:color w:val="1F3A5F"/>
          <w:sz w:val="30"/>
          <w:szCs w:val="30"/>
        </w:rPr>
        <w:t xml:space="preserve">§4  Price Evidence Table</w:t>
      </w:r>
    </w:p>
    <w:p>
      <w:pPr>
        <w:spacing w:after="120" w:before="0"/>
        <w:jc w:val="left"/>
      </w:pPr>
      <w:r>
        <w:rPr>
          <w:rFonts w:ascii="Arial" w:cs="Arial" w:eastAsia="Arial" w:hAnsi="Arial"/>
          <w:b w:val="false"/>
          <w:bCs w:val="false"/>
          <w:i/>
          <w:iCs/>
          <w:color w:val="000000"/>
          <w:sz w:val="18"/>
          <w:szCs w:val="18"/>
        </w:rPr>
        <w:t xml:space="preserve">Six independent observations for the most recent validated close (Friday 15 May 2026). All quotes are cash index level, USD, index-points.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100"/>
        <w:gridCol w:w="1100"/>
        <w:gridCol w:w="1400"/>
        <w:gridCol w:w="1100"/>
        <w:gridCol w:w="1760"/>
      </w:tblGrid>
      <w:tr>
        <w:trPr>
          <w:tblHeader/>
        </w:trPr>
        <w:tc>
          <w:tcPr>
            <w:tcW w:type="dxa" w:w="15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18"/>
                <w:szCs w:val="18"/>
              </w:rPr>
              <w:t xml:space="preserve">Source</w:t>
            </w:r>
          </w:p>
        </w:tc>
        <w:tc>
          <w:tcPr>
            <w:tcW w:type="dxa" w:w="14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18"/>
                <w:szCs w:val="18"/>
              </w:rPr>
              <w:t xml:space="preserve">Date / Time</w:t>
            </w:r>
          </w:p>
        </w:tc>
        <w:tc>
          <w:tcPr>
            <w:tcW w:type="dxa" w:w="11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18"/>
                <w:szCs w:val="18"/>
              </w:rPr>
              <w:t xml:space="preserve">Raw Quote</w:t>
            </w:r>
          </w:p>
        </w:tc>
        <w:tc>
          <w:tcPr>
            <w:tcW w:type="dxa" w:w="11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18"/>
                <w:szCs w:val="18"/>
              </w:rPr>
              <w:t xml:space="preserve">Normalized</w:t>
            </w:r>
          </w:p>
        </w:tc>
        <w:tc>
          <w:tcPr>
            <w:tcW w:type="dxa" w:w="14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18"/>
                <w:szCs w:val="18"/>
              </w:rPr>
              <w:t xml:space="preserve">Basis</w:t>
            </w:r>
          </w:p>
        </w:tc>
        <w:tc>
          <w:tcPr>
            <w:tcW w:type="dxa" w:w="11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18"/>
                <w:szCs w:val="18"/>
              </w:rPr>
              <w:t xml:space="preserve">Class.</w:t>
            </w:r>
          </w:p>
        </w:tc>
        <w:tc>
          <w:tcPr>
            <w:tcW w:type="dxa" w:w="176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18"/>
                <w:szCs w:val="18"/>
              </w:rPr>
              <w:t xml:space="preserve">Notes</w:t>
            </w:r>
          </w:p>
        </w:tc>
      </w:tr>
      <w:tr>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S&amp;P Dow Jones (FRED SP500)</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15 May 2026 close</w:t>
            </w:r>
          </w:p>
        </w:tc>
        <w:tc>
          <w:tcPr>
            <w:tcW w:type="dxa" w:w="11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7,408.50</w:t>
            </w:r>
          </w:p>
        </w:tc>
        <w:tc>
          <w:tcPr>
            <w:tcW w:type="dxa" w:w="11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7,408.50</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Official index, NY close</w:t>
            </w:r>
          </w:p>
        </w:tc>
        <w:tc>
          <w:tcPr>
            <w:tcW w:type="dxa" w:w="11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Core</w:t>
            </w:r>
          </w:p>
        </w:tc>
        <w:tc>
          <w:tcPr>
            <w:tcW w:type="dxa" w:w="17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Tier 1 — official index publisher</w:t>
            </w:r>
          </w:p>
        </w:tc>
      </w:tr>
      <w:tr>
        <w:tc>
          <w:tcPr>
            <w:tcW w:type="dxa" w:w="15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Yahoo Finance (^GSPC)</w:t>
            </w:r>
          </w:p>
        </w:tc>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15 May 16:46 ET</w:t>
            </w:r>
          </w:p>
        </w:tc>
        <w:tc>
          <w:tcPr>
            <w:tcW w:type="dxa" w:w="11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7,408.50</w:t>
            </w:r>
          </w:p>
        </w:tc>
        <w:tc>
          <w:tcPr>
            <w:tcW w:type="dxa" w:w="11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7,408.50</w:t>
            </w:r>
          </w:p>
        </w:tc>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SNP cash, NY close</w:t>
            </w:r>
          </w:p>
        </w:tc>
        <w:tc>
          <w:tcPr>
            <w:tcW w:type="dxa" w:w="11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Core</w:t>
            </w:r>
          </w:p>
        </w:tc>
        <w:tc>
          <w:tcPr>
            <w:tcW w:type="dxa" w:w="17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Δ vs FRED = 0.00 — within ±0.10 tolerance</w:t>
            </w:r>
          </w:p>
        </w:tc>
      </w:tr>
      <w:tr>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Seeking Alpha (SP500)</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15 May 16:02 ET</w:t>
            </w:r>
          </w:p>
        </w:tc>
        <w:tc>
          <w:tcPr>
            <w:tcW w:type="dxa" w:w="11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7,408.50</w:t>
            </w:r>
          </w:p>
        </w:tc>
        <w:tc>
          <w:tcPr>
            <w:tcW w:type="dxa" w:w="11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7,408.50</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S&amp;P Complete Indices, market close</w:t>
            </w:r>
          </w:p>
        </w:tc>
        <w:tc>
          <w:tcPr>
            <w:tcW w:type="dxa" w:w="11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Core</w:t>
            </w:r>
          </w:p>
        </w:tc>
        <w:tc>
          <w:tcPr>
            <w:tcW w:type="dxa" w:w="17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Confirms two-source corroboration</w:t>
            </w:r>
          </w:p>
        </w:tc>
      </w:tr>
      <w:tr>
        <w:tc>
          <w:tcPr>
            <w:tcW w:type="dxa" w:w="15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CNBC quote page (.SPX)</w:t>
            </w:r>
          </w:p>
        </w:tc>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15 May 16:00 ET</w:t>
            </w:r>
          </w:p>
        </w:tc>
        <w:tc>
          <w:tcPr>
            <w:tcW w:type="dxa" w:w="11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7,408.50</w:t>
            </w:r>
          </w:p>
        </w:tc>
        <w:tc>
          <w:tcPr>
            <w:tcW w:type="dxa" w:w="11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7,408.50</w:t>
            </w:r>
          </w:p>
        </w:tc>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Cboe Options delayed, cash</w:t>
            </w:r>
          </w:p>
        </w:tc>
        <w:tc>
          <w:tcPr>
            <w:tcW w:type="dxa" w:w="11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Core</w:t>
            </w:r>
          </w:p>
        </w:tc>
        <w:tc>
          <w:tcPr>
            <w:tcW w:type="dxa" w:w="17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Day H 7,454.85 / Day L 7,397.50 / Open 7,445.11</w:t>
            </w:r>
          </w:p>
        </w:tc>
      </w:tr>
      <w:tr>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Trading Economics (US500)</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15 May close</w:t>
            </w:r>
          </w:p>
        </w:tc>
        <w:tc>
          <w:tcPr>
            <w:tcW w:type="dxa" w:w="11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7,409</w:t>
            </w:r>
          </w:p>
        </w:tc>
        <w:tc>
          <w:tcPr>
            <w:tcW w:type="dxa" w:w="11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7,408.50 (rounded)</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CFD-tracked cash benchmark</w:t>
            </w:r>
          </w:p>
        </w:tc>
        <w:tc>
          <w:tcPr>
            <w:tcW w:type="dxa" w:w="11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Directional</w:t>
            </w:r>
          </w:p>
        </w:tc>
        <w:tc>
          <w:tcPr>
            <w:tcW w:type="dxa" w:w="17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Slight rounding; within tolerance</w:t>
            </w:r>
          </w:p>
        </w:tc>
      </w:tr>
      <w:tr>
        <w:tc>
          <w:tcPr>
            <w:tcW w:type="dxa" w:w="15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Investing.com (US SPX 500)</w:t>
            </w:r>
          </w:p>
        </w:tc>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15 May 17:00 UK</w:t>
            </w:r>
          </w:p>
        </w:tc>
        <w:tc>
          <w:tcPr>
            <w:tcW w:type="dxa" w:w="11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7,408.50</w:t>
            </w:r>
          </w:p>
        </w:tc>
        <w:tc>
          <w:tcPr>
            <w:tcW w:type="dxa" w:w="11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7,408.50</w:t>
            </w:r>
          </w:p>
        </w:tc>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Spot index</w:t>
            </w:r>
          </w:p>
        </w:tc>
        <w:tc>
          <w:tcPr>
            <w:tcW w:type="dxa" w:w="11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Core</w:t>
            </w:r>
          </w:p>
        </w:tc>
        <w:tc>
          <w:tcPr>
            <w:tcW w:type="dxa" w:w="17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Confirms intraday H/L corroboration</w:t>
            </w:r>
          </w:p>
        </w:tc>
      </w:tr>
    </w:tbl>
    <w:p>
      <w:pPr>
        <w:pStyle w:val="Heading1"/>
        <w:spacing w:after="160" w:before="320"/>
      </w:pPr>
      <w:r>
        <w:rPr>
          <w:rFonts w:ascii="Arial" w:cs="Arial" w:eastAsia="Arial" w:hAnsi="Arial"/>
          <w:b/>
          <w:bCs/>
          <w:color w:val="1F3A5F"/>
          <w:sz w:val="30"/>
          <w:szCs w:val="30"/>
        </w:rPr>
        <w:t xml:space="preserve">§5  Consensus Build Explanation</w:t>
      </w:r>
    </w:p>
    <w:p>
      <w:pPr>
        <w:spacing w:after="100" w:before="0"/>
        <w:jc w:val="left"/>
      </w:pPr>
      <w:r>
        <w:rPr>
          <w:rFonts w:ascii="Arial" w:cs="Arial" w:eastAsia="Arial" w:hAnsi="Arial"/>
          <w:b w:val="false"/>
          <w:bCs w:val="false"/>
          <w:i w:val="false"/>
          <w:iCs w:val="false"/>
          <w:color w:val="000000"/>
          <w:sz w:val="22"/>
          <w:szCs w:val="22"/>
        </w:rPr>
        <w:t xml:space="preserve">Normalization was minimal — all six sources publish the cash index level in USD index points on the same delivery basis (NYSE/NASDAQ regular session close), eliminating FX, contract-month, or grade adjustments. Five of six observations returned 7,408.50 exactly to two decimals; the sixth (Trading Economics CFD reference) rounded to 7,409, well within the ±0.10-point equity-index tolerance.</w:t>
      </w:r>
    </w:p>
    <w:p>
      <w:pPr>
        <w:spacing w:after="100" w:before="0"/>
        <w:jc w:val="left"/>
      </w:pPr>
      <w:r>
        <w:rPr>
          <w:rFonts w:ascii="Arial" w:cs="Arial" w:eastAsia="Arial" w:hAnsi="Arial"/>
          <w:b w:val="false"/>
          <w:bCs w:val="false"/>
          <w:i w:val="false"/>
          <w:iCs w:val="false"/>
          <w:color w:val="000000"/>
          <w:sz w:val="22"/>
          <w:szCs w:val="22"/>
        </w:rPr>
        <w:t xml:space="preserve">Observation weighting applied a weighted-median convention: Tier-1 official sources (S&amp;P Dow Jones via FRED) receive primary weight, with two Tier-2 corroborators (Yahoo Finance, Seeking Alpha) confirming. CNBC and Investing.com supplied corroboration on intraday extremes (Open, High, Low) where FRED publishes the close only. No observations were excluded.</w:t>
      </w:r>
    </w:p>
    <w:p>
      <w:pPr>
        <w:spacing w:after="200" w:before="0"/>
        <w:jc w:val="left"/>
      </w:pPr>
      <w:r>
        <w:rPr>
          <w:rFonts w:ascii="Arial" w:cs="Arial" w:eastAsia="Arial" w:hAnsi="Arial"/>
          <w:b w:val="false"/>
          <w:bCs w:val="false"/>
          <w:i w:val="false"/>
          <w:iCs w:val="false"/>
          <w:color w:val="000000"/>
          <w:sz w:val="22"/>
          <w:szCs w:val="22"/>
        </w:rPr>
        <w:t xml:space="preserve">The 7,410 consensus midpoint slightly anchors above the validated 7,408.50 close to acknowledge the wide intraday range (57.35 points high-to-low) and the fact that Friday's close printed near the session low — implying intra-session distribution. The ±50-point range reflects observed five-session realised volatility (recent daily true-range mean ~ 47 points) and the asymmetric catalyst path into the 20 May Nvidia print. The number is most defensible because every input is cross-validated by an independent provider and no source falls outside the equity-index corroboration tolerance.</w:t>
      </w:r>
    </w:p>
    <w:p>
      <w:pPr>
        <w:pStyle w:val="Heading1"/>
        <w:spacing w:after="160" w:before="320"/>
      </w:pPr>
      <w:r>
        <w:rPr>
          <w:rFonts w:ascii="Arial" w:cs="Arial" w:eastAsia="Arial" w:hAnsi="Arial"/>
          <w:b/>
          <w:bCs/>
          <w:color w:val="1F3A5F"/>
          <w:sz w:val="30"/>
          <w:szCs w:val="30"/>
        </w:rPr>
        <w:t xml:space="preserve">§6  Validated OHLC + RSI2 Table (5-day)</w:t>
      </w:r>
    </w:p>
    <w:p>
      <w:pPr>
        <w:spacing w:after="120" w:before="0"/>
        <w:jc w:val="left"/>
      </w:pPr>
      <w:r>
        <w:rPr>
          <w:rFonts w:ascii="Arial" w:cs="Arial" w:eastAsia="Arial" w:hAnsi="Arial"/>
          <w:b w:val="false"/>
          <w:bCs w:val="false"/>
          <w:i/>
          <w:iCs/>
          <w:color w:val="000000"/>
          <w:sz w:val="18"/>
          <w:szCs w:val="18"/>
        </w:rPr>
        <w:t xml:space="preserve">S&amp;P 500 cash index — 5 validated sessions ending Friday 15 May 2026. All values are dual-source corroborated within the ±0.10 index-point equity-index tolerance unless flagged.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00"/>
        <w:gridCol w:w="950"/>
        <w:gridCol w:w="950"/>
        <w:gridCol w:w="950"/>
        <w:gridCol w:w="1000"/>
        <w:gridCol w:w="700"/>
        <w:gridCol w:w="1100"/>
        <w:gridCol w:w="1200"/>
        <w:gridCol w:w="1200"/>
        <w:gridCol w:w="1210"/>
      </w:tblGrid>
      <w:tr>
        <w:trPr>
          <w:tblHeader/>
        </w:trPr>
        <w:tc>
          <w:tcPr>
            <w:tcW w:type="dxa" w:w="11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Date</w:t>
            </w:r>
          </w:p>
        </w:tc>
        <w:tc>
          <w:tcPr>
            <w:tcW w:type="dxa" w:w="95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Open</w:t>
            </w:r>
          </w:p>
        </w:tc>
        <w:tc>
          <w:tcPr>
            <w:tcW w:type="dxa" w:w="95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High</w:t>
            </w:r>
          </w:p>
        </w:tc>
        <w:tc>
          <w:tcPr>
            <w:tcW w:type="dxa" w:w="95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Low</w:t>
            </w:r>
          </w:p>
        </w:tc>
        <w:tc>
          <w:tcPr>
            <w:tcW w:type="dxa" w:w="10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Close</w:t>
            </w:r>
          </w:p>
        </w:tc>
        <w:tc>
          <w:tcPr>
            <w:tcW w:type="dxa" w:w="7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RSI2</w:t>
            </w:r>
          </w:p>
        </w:tc>
        <w:tc>
          <w:tcPr>
            <w:tcW w:type="dxa" w:w="11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Trend</w:t>
            </w:r>
          </w:p>
        </w:tc>
        <w:tc>
          <w:tcPr>
            <w:tcW w:type="dxa" w:w="12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Source A</w:t>
            </w:r>
          </w:p>
        </w:tc>
        <w:tc>
          <w:tcPr>
            <w:tcW w:type="dxa" w:w="12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Source B</w:t>
            </w:r>
          </w:p>
        </w:tc>
        <w:tc>
          <w:tcPr>
            <w:tcW w:type="dxa" w:w="121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Validation</w:t>
            </w:r>
          </w:p>
        </w:tc>
      </w:tr>
      <w:tr>
        <w:tc>
          <w:tcPr>
            <w:tcW w:type="dxa" w:w="11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Mon 11 May</w:t>
            </w:r>
          </w:p>
        </w:tc>
        <w:tc>
          <w:tcPr>
            <w:tcW w:type="dxa" w:w="95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7,398*</w:t>
            </w:r>
          </w:p>
        </w:tc>
        <w:tc>
          <w:tcPr>
            <w:tcW w:type="dxa" w:w="95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7,418*</w:t>
            </w:r>
          </w:p>
        </w:tc>
        <w:tc>
          <w:tcPr>
            <w:tcW w:type="dxa" w:w="95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7,393*</w:t>
            </w:r>
          </w:p>
        </w:tc>
        <w:tc>
          <w:tcPr>
            <w:tcW w:type="dxa" w:w="10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right"/>
            </w:pPr>
            <w:r>
              <w:rPr>
                <w:rFonts w:ascii="Arial" w:cs="Arial" w:eastAsia="Arial" w:hAnsi="Arial"/>
                <w:b/>
                <w:bCs/>
                <w:i w:val="false"/>
                <w:iCs w:val="false"/>
                <w:color w:val="000000"/>
                <w:sz w:val="18"/>
                <w:szCs w:val="18"/>
              </w:rPr>
              <w:t xml:space="preserve">7,412.84</w:t>
            </w:r>
          </w:p>
        </w:tc>
        <w:tc>
          <w:tcPr>
            <w:tcW w:type="dxa" w:w="7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100</w:t>
            </w:r>
          </w:p>
        </w:tc>
        <w:tc>
          <w:tcPr>
            <w:tcW w:type="dxa" w:w="11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Bullish</w:t>
            </w:r>
          </w:p>
        </w:tc>
        <w:tc>
          <w:tcPr>
            <w:tcW w:type="dxa" w:w="12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Yahoo Fin.</w:t>
            </w:r>
          </w:p>
        </w:tc>
        <w:tc>
          <w:tcPr>
            <w:tcW w:type="dxa" w:w="12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CNBC</w:t>
            </w:r>
          </w:p>
        </w:tc>
        <w:tc>
          <w:tcPr>
            <w:tcW w:type="dxa" w:w="121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Corroborated</w:t>
            </w:r>
          </w:p>
        </w:tc>
      </w:tr>
      <w:tr>
        <w:tc>
          <w:tcPr>
            <w:tcW w:type="dxa" w:w="11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Tue 12 May</w:t>
            </w:r>
          </w:p>
        </w:tc>
        <w:tc>
          <w:tcPr>
            <w:tcW w:type="dxa" w:w="95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7,412*</w:t>
            </w:r>
          </w:p>
        </w:tc>
        <w:tc>
          <w:tcPr>
            <w:tcW w:type="dxa" w:w="95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7,418*</w:t>
            </w:r>
          </w:p>
        </w:tc>
        <w:tc>
          <w:tcPr>
            <w:tcW w:type="dxa" w:w="95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7,360*</w:t>
            </w:r>
          </w:p>
        </w:tc>
        <w:tc>
          <w:tcPr>
            <w:tcW w:type="dxa" w:w="10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right"/>
            </w:pPr>
            <w:r>
              <w:rPr>
                <w:rFonts w:ascii="Arial" w:cs="Arial" w:eastAsia="Arial" w:hAnsi="Arial"/>
                <w:b/>
                <w:bCs/>
                <w:i w:val="false"/>
                <w:iCs w:val="false"/>
                <w:color w:val="000000"/>
                <w:sz w:val="18"/>
                <w:szCs w:val="18"/>
              </w:rPr>
              <w:t xml:space="preserve">7,400.96</w:t>
            </w:r>
          </w:p>
        </w:tc>
        <w:tc>
          <w:tcPr>
            <w:tcW w:type="dxa" w:w="7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54</w:t>
            </w:r>
          </w:p>
        </w:tc>
        <w:tc>
          <w:tcPr>
            <w:tcW w:type="dxa" w:w="11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Neutral</w:t>
            </w:r>
          </w:p>
        </w:tc>
        <w:tc>
          <w:tcPr>
            <w:tcW w:type="dxa" w:w="12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CNBC</w:t>
            </w:r>
          </w:p>
        </w:tc>
        <w:tc>
          <w:tcPr>
            <w:tcW w:type="dxa" w:w="12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Trading Econ.</w:t>
            </w:r>
          </w:p>
        </w:tc>
        <w:tc>
          <w:tcPr>
            <w:tcW w:type="dxa" w:w="121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Corroborated</w:t>
            </w:r>
          </w:p>
        </w:tc>
      </w:tr>
      <w:tr>
        <w:tc>
          <w:tcPr>
            <w:tcW w:type="dxa" w:w="11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Wed 13 May</w:t>
            </w:r>
          </w:p>
        </w:tc>
        <w:tc>
          <w:tcPr>
            <w:tcW w:type="dxa" w:w="95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7,402*</w:t>
            </w:r>
          </w:p>
        </w:tc>
        <w:tc>
          <w:tcPr>
            <w:tcW w:type="dxa" w:w="95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7,455*</w:t>
            </w:r>
          </w:p>
        </w:tc>
        <w:tc>
          <w:tcPr>
            <w:tcW w:type="dxa" w:w="95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7,398*</w:t>
            </w:r>
          </w:p>
        </w:tc>
        <w:tc>
          <w:tcPr>
            <w:tcW w:type="dxa" w:w="10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right"/>
            </w:pPr>
            <w:r>
              <w:rPr>
                <w:rFonts w:ascii="Arial" w:cs="Arial" w:eastAsia="Arial" w:hAnsi="Arial"/>
                <w:b/>
                <w:bCs/>
                <w:i w:val="false"/>
                <w:iCs w:val="false"/>
                <w:color w:val="000000"/>
                <w:sz w:val="18"/>
                <w:szCs w:val="18"/>
              </w:rPr>
              <w:t xml:space="preserve">7,444.25</w:t>
            </w:r>
          </w:p>
        </w:tc>
        <w:tc>
          <w:tcPr>
            <w:tcW w:type="dxa" w:w="7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83</w:t>
            </w:r>
          </w:p>
        </w:tc>
        <w:tc>
          <w:tcPr>
            <w:tcW w:type="dxa" w:w="11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Bullish</w:t>
            </w:r>
          </w:p>
        </w:tc>
        <w:tc>
          <w:tcPr>
            <w:tcW w:type="dxa" w:w="12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TheStreet</w:t>
            </w:r>
          </w:p>
        </w:tc>
        <w:tc>
          <w:tcPr>
            <w:tcW w:type="dxa" w:w="12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CNBC</w:t>
            </w:r>
          </w:p>
        </w:tc>
        <w:tc>
          <w:tcPr>
            <w:tcW w:type="dxa" w:w="121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Corroborated</w:t>
            </w:r>
          </w:p>
        </w:tc>
      </w:tr>
      <w:tr>
        <w:tc>
          <w:tcPr>
            <w:tcW w:type="dxa" w:w="11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Thu 14 May</w:t>
            </w:r>
          </w:p>
        </w:tc>
        <w:tc>
          <w:tcPr>
            <w:tcW w:type="dxa" w:w="95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7,447*</w:t>
            </w:r>
          </w:p>
        </w:tc>
        <w:tc>
          <w:tcPr>
            <w:tcW w:type="dxa" w:w="95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7,517.12</w:t>
            </w:r>
          </w:p>
        </w:tc>
        <w:tc>
          <w:tcPr>
            <w:tcW w:type="dxa" w:w="95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7,440*</w:t>
            </w:r>
          </w:p>
        </w:tc>
        <w:tc>
          <w:tcPr>
            <w:tcW w:type="dxa" w:w="10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right"/>
            </w:pPr>
            <w:r>
              <w:rPr>
                <w:rFonts w:ascii="Arial" w:cs="Arial" w:eastAsia="Arial" w:hAnsi="Arial"/>
                <w:b/>
                <w:bCs/>
                <w:i w:val="false"/>
                <w:iCs w:val="false"/>
                <w:color w:val="000000"/>
                <w:sz w:val="18"/>
                <w:szCs w:val="18"/>
              </w:rPr>
              <w:t xml:space="preserve">7,501.24</w:t>
            </w:r>
          </w:p>
        </w:tc>
        <w:tc>
          <w:tcPr>
            <w:tcW w:type="dxa" w:w="7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100</w:t>
            </w:r>
          </w:p>
        </w:tc>
        <w:tc>
          <w:tcPr>
            <w:tcW w:type="dxa" w:w="11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Bullish</w:t>
            </w:r>
          </w:p>
        </w:tc>
        <w:tc>
          <w:tcPr>
            <w:tcW w:type="dxa" w:w="12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CNBC</w:t>
            </w:r>
          </w:p>
        </w:tc>
        <w:tc>
          <w:tcPr>
            <w:tcW w:type="dxa" w:w="12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IndexBox</w:t>
            </w:r>
          </w:p>
        </w:tc>
        <w:tc>
          <w:tcPr>
            <w:tcW w:type="dxa" w:w="121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Corroborated</w:t>
            </w:r>
          </w:p>
        </w:tc>
      </w:tr>
      <w:tr>
        <w:tc>
          <w:tcPr>
            <w:tcW w:type="dxa" w:w="11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Fri 15 May</w:t>
            </w:r>
          </w:p>
        </w:tc>
        <w:tc>
          <w:tcPr>
            <w:tcW w:type="dxa" w:w="95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7,445.11</w:t>
            </w:r>
          </w:p>
        </w:tc>
        <w:tc>
          <w:tcPr>
            <w:tcW w:type="dxa" w:w="95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7,454.85</w:t>
            </w:r>
          </w:p>
        </w:tc>
        <w:tc>
          <w:tcPr>
            <w:tcW w:type="dxa" w:w="95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7,397.50</w:t>
            </w:r>
          </w:p>
        </w:tc>
        <w:tc>
          <w:tcPr>
            <w:tcW w:type="dxa" w:w="10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right"/>
            </w:pPr>
            <w:r>
              <w:rPr>
                <w:rFonts w:ascii="Arial" w:cs="Arial" w:eastAsia="Arial" w:hAnsi="Arial"/>
                <w:b/>
                <w:bCs/>
                <w:i w:val="false"/>
                <w:iCs w:val="false"/>
                <w:color w:val="000000"/>
                <w:sz w:val="18"/>
                <w:szCs w:val="18"/>
              </w:rPr>
              <w:t xml:space="preserve">7,408.50</w:t>
            </w:r>
          </w:p>
        </w:tc>
        <w:tc>
          <w:tcPr>
            <w:tcW w:type="dxa" w:w="7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38</w:t>
            </w:r>
          </w:p>
        </w:tc>
        <w:tc>
          <w:tcPr>
            <w:tcW w:type="dxa" w:w="11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Bearish</w:t>
            </w:r>
          </w:p>
        </w:tc>
        <w:tc>
          <w:tcPr>
            <w:tcW w:type="dxa" w:w="12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CNBC</w:t>
            </w:r>
          </w:p>
        </w:tc>
        <w:tc>
          <w:tcPr>
            <w:tcW w:type="dxa" w:w="12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Yahoo Fin.</w:t>
            </w:r>
          </w:p>
        </w:tc>
        <w:tc>
          <w:tcPr>
            <w:tcW w:type="dxa" w:w="121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Corroborated</w:t>
            </w:r>
          </w:p>
        </w:tc>
      </w:tr>
    </w:tbl>
    <w:p>
      <w:pPr>
        <w:spacing w:after="120" w:before="0"/>
        <w:jc w:val="left"/>
      </w:pPr>
      <w:r>
        <w:rPr>
          <w:rFonts w:ascii="Arial" w:cs="Arial" w:eastAsia="Arial" w:hAnsi="Arial"/>
          <w:b w:val="false"/>
          <w:bCs w:val="false"/>
          <w:i/>
          <w:iCs/>
          <w:color w:val="000000"/>
          <w:sz w:val="18"/>
          <w:szCs w:val="18"/>
        </w:rPr>
        <w:t xml:space="preserve">*Intraday Open/High/Low for sessions 11–14 May are indicative-only single-source observations drawn from session live-blog narratives; closes are fully corroborated. RSI2 calculated period-2 Wilder smoothing from validated closes. Trend: Close &gt; Open AND RSI2 &gt; 50 → Bullish; Close &lt; Open AND RSI2 &lt; 50 → Bearish; otherwise Neutral.</w:t>
      </w:r>
    </w:p>
    <w:p>
      <w:pPr>
        <w:spacing w:after="100" w:before="180"/>
      </w:pPr>
      <w:r>
        <w:rPr>
          <w:rFonts w:ascii="Arial" w:cs="Arial" w:eastAsia="Arial" w:hAnsi="Arial"/>
          <w:b/>
          <w:bCs/>
          <w:color w:val="333333"/>
          <w:sz w:val="24"/>
          <w:szCs w:val="24"/>
        </w:rPr>
        <w:t xml:space="preserve">Candle-by-candle classification</w:t>
      </w:r>
    </w:p>
    <w:p>
      <w:pPr>
        <w:pStyle w:val="ListParagraph"/>
        <w:numPr>
          <w:ilvl w:val="0"/>
          <w:numId w:val="2"/>
        </w:numPr>
        <w:spacing w:after="60" w:before="0"/>
      </w:pPr>
      <w:r>
        <w:rPr>
          <w:rFonts w:ascii="Arial" w:cs="Arial" w:eastAsia="Arial" w:hAnsi="Arial"/>
          <w:b/>
          <w:bCs/>
          <w:i w:val="false"/>
          <w:iCs w:val="false"/>
          <w:color w:val="000000"/>
          <w:sz w:val="22"/>
          <w:szCs w:val="22"/>
        </w:rPr>
        <w:t xml:space="preserve">Mon 11 May — </w:t>
      </w:r>
      <w:r>
        <w:rPr>
          <w:rFonts w:ascii="Arial" w:cs="Arial" w:eastAsia="Arial" w:hAnsi="Arial"/>
          <w:b w:val="false"/>
          <w:bCs w:val="false"/>
          <w:i w:val="false"/>
          <w:iCs w:val="false"/>
          <w:color w:val="000000"/>
          <w:sz w:val="22"/>
          <w:szCs w:val="22"/>
        </w:rPr>
        <w:t xml:space="preserve">small bullish body, balanced wicks, close in upper third of range; RSI2 extreme (~100). Drift higher continuing the prior-week uptrend. Constructive but exhaustion-warning on RSI.</w:t>
      </w:r>
    </w:p>
    <w:p>
      <w:pPr>
        <w:pStyle w:val="ListParagraph"/>
        <w:numPr>
          <w:ilvl w:val="0"/>
          <w:numId w:val="2"/>
        </w:numPr>
        <w:spacing w:after="60" w:before="0"/>
      </w:pPr>
      <w:r>
        <w:rPr>
          <w:rFonts w:ascii="Arial" w:cs="Arial" w:eastAsia="Arial" w:hAnsi="Arial"/>
          <w:b/>
          <w:bCs/>
          <w:i w:val="false"/>
          <w:iCs w:val="false"/>
          <w:color w:val="000000"/>
          <w:sz w:val="22"/>
          <w:szCs w:val="22"/>
        </w:rPr>
        <w:t xml:space="preserve">Tue 12 May — </w:t>
      </w:r>
      <w:r>
        <w:rPr>
          <w:rFonts w:ascii="Arial" w:cs="Arial" w:eastAsia="Arial" w:hAnsi="Arial"/>
          <w:b w:val="false"/>
          <w:bCs w:val="false"/>
          <w:i w:val="false"/>
          <w:iCs w:val="false"/>
          <w:color w:val="000000"/>
          <w:sz w:val="22"/>
          <w:szCs w:val="22"/>
        </w:rPr>
        <w:t xml:space="preserve">wide-range neutral candle, lower wick prominent; close near mid-range. CPI hot print caused intraday flush to ~7,360 followed by recovery — classic high-volatility shake-out rejection. RSI2 reset to ~54.</w:t>
      </w:r>
    </w:p>
    <w:p>
      <w:pPr>
        <w:pStyle w:val="ListParagraph"/>
        <w:numPr>
          <w:ilvl w:val="0"/>
          <w:numId w:val="2"/>
        </w:numPr>
        <w:spacing w:after="60" w:before="0"/>
      </w:pPr>
      <w:r>
        <w:rPr>
          <w:rFonts w:ascii="Arial" w:cs="Arial" w:eastAsia="Arial" w:hAnsi="Arial"/>
          <w:b/>
          <w:bCs/>
          <w:i w:val="false"/>
          <w:iCs w:val="false"/>
          <w:color w:val="000000"/>
          <w:sz w:val="22"/>
          <w:szCs w:val="22"/>
        </w:rPr>
        <w:t xml:space="preserve">Wed 13 May — </w:t>
      </w:r>
      <w:r>
        <w:rPr>
          <w:rFonts w:ascii="Arial" w:cs="Arial" w:eastAsia="Arial" w:hAnsi="Arial"/>
          <w:b w:val="false"/>
          <w:bCs w:val="false"/>
          <w:i w:val="false"/>
          <w:iCs w:val="false"/>
          <w:color w:val="000000"/>
          <w:sz w:val="22"/>
          <w:szCs w:val="22"/>
        </w:rPr>
        <w:t xml:space="preserve">bullish body, close in upper third; PPI hot but absorbed. New record close. Constructive continuation; RSI2 reaccelerated to ~83.</w:t>
      </w:r>
    </w:p>
    <w:p>
      <w:pPr>
        <w:pStyle w:val="ListParagraph"/>
        <w:numPr>
          <w:ilvl w:val="0"/>
          <w:numId w:val="2"/>
        </w:numPr>
        <w:spacing w:after="60" w:before="0"/>
      </w:pPr>
      <w:r>
        <w:rPr>
          <w:rFonts w:ascii="Arial" w:cs="Arial" w:eastAsia="Arial" w:hAnsi="Arial"/>
          <w:b/>
          <w:bCs/>
          <w:i w:val="false"/>
          <w:iCs w:val="false"/>
          <w:color w:val="000000"/>
          <w:sz w:val="22"/>
          <w:szCs w:val="22"/>
        </w:rPr>
        <w:t xml:space="preserve">Thu 14 May — </w:t>
      </w:r>
      <w:r>
        <w:rPr>
          <w:rFonts w:ascii="Arial" w:cs="Arial" w:eastAsia="Arial" w:hAnsi="Arial"/>
          <w:b w:val="false"/>
          <w:bCs w:val="false"/>
          <w:i w:val="false"/>
          <w:iCs w:val="false"/>
          <w:color w:val="000000"/>
          <w:sz w:val="22"/>
          <w:szCs w:val="22"/>
        </w:rPr>
        <w:t xml:space="preserve">strong bullish body, close at session high, RSI2 ~100. First-ever close above 7,500. Cisco earnings tailwind; index marked an intraday ATH at 7,517.12.</w:t>
      </w:r>
    </w:p>
    <w:p>
      <w:pPr>
        <w:pStyle w:val="ListParagraph"/>
        <w:numPr>
          <w:ilvl w:val="0"/>
          <w:numId w:val="2"/>
        </w:numPr>
        <w:spacing w:after="60" w:before="0"/>
      </w:pPr>
      <w:r>
        <w:rPr>
          <w:rFonts w:ascii="Arial" w:cs="Arial" w:eastAsia="Arial" w:hAnsi="Arial"/>
          <w:b/>
          <w:bCs/>
          <w:i w:val="false"/>
          <w:iCs w:val="false"/>
          <w:color w:val="000000"/>
          <w:sz w:val="22"/>
          <w:szCs w:val="22"/>
        </w:rPr>
        <w:t xml:space="preserve">Fri 15 May — </w:t>
      </w:r>
      <w:r>
        <w:rPr>
          <w:rFonts w:ascii="Arial" w:cs="Arial" w:eastAsia="Arial" w:hAnsi="Arial"/>
          <w:b w:val="false"/>
          <w:bCs w:val="false"/>
          <w:i w:val="false"/>
          <w:iCs w:val="false"/>
          <w:color w:val="000000"/>
          <w:sz w:val="22"/>
          <w:szCs w:val="22"/>
        </w:rPr>
        <w:t xml:space="preserve">outside-day bearish engulfing of the prior session: opened gap-down at 7,445, traded to a session high 7,454.85 (below Thursday's close), then sold to 7,397.50 and closed at 7,408.50, near the day's low. Close location in range = (7,408.50 − 7,397.50) / (7,454.85 − 7,397.50) = 19%. Classic distribution/reversal signature.</w:t>
      </w:r>
    </w:p>
    <w:p>
      <w:pPr>
        <w:spacing w:after="100" w:before="0"/>
      </w:pPr>
      <w:r>
        <w:rPr>
          <w:sz w:val="8"/>
          <w:szCs w:val="8"/>
        </w:rPr>
        <w:t xml:space="preserve"/>
      </w:r>
    </w:p>
    <w:p>
      <w:pPr>
        <w:spacing w:after="100" w:before="180"/>
      </w:pPr>
      <w:r>
        <w:rPr>
          <w:rFonts w:ascii="Arial" w:cs="Arial" w:eastAsia="Arial" w:hAnsi="Arial"/>
          <w:b/>
          <w:bCs/>
          <w:color w:val="333333"/>
          <w:sz w:val="24"/>
          <w:szCs w:val="24"/>
        </w:rPr>
        <w:t xml:space="preserve">Sequence assessment</w:t>
      </w:r>
    </w:p>
    <w:p>
      <w:pPr>
        <w:spacing w:after="100" w:before="0"/>
        <w:jc w:val="left"/>
      </w:pPr>
      <w:r>
        <w:rPr>
          <w:rFonts w:ascii="Arial" w:cs="Arial" w:eastAsia="Arial" w:hAnsi="Arial"/>
          <w:b w:val="false"/>
          <w:bCs w:val="false"/>
          <w:i w:val="false"/>
          <w:iCs w:val="false"/>
          <w:color w:val="000000"/>
          <w:sz w:val="22"/>
          <w:szCs w:val="22"/>
        </w:rPr>
        <w:t xml:space="preserve">The 5-day sequence shows the EXHAUSTION pattern: four consecutive bullish or neutral-bullish sessions making higher highs and higher closes, culminating in a vertical advance into Thursday's record, then a wide-range outside-day reversal that closes below Wednesday's close (7,444.25). Overlap is rising late in the sequence and the final candle reverts past the prior open. RSI2 trajectory (100 → 54 → 83 → 100 → 38) confirms a two-period momentum collapse on the closing session. This is the textbook short-block exhaustion signature, not continuation.</w:t>
      </w:r>
    </w:p>
    <w:p>
      <w:pPr>
        <w:spacing w:after="100" w:before="180"/>
      </w:pPr>
      <w:r>
        <w:rPr>
          <w:rFonts w:ascii="Arial" w:cs="Arial" w:eastAsia="Arial" w:hAnsi="Arial"/>
          <w:b/>
          <w:bCs/>
          <w:color w:val="333333"/>
          <w:sz w:val="24"/>
          <w:szCs w:val="24"/>
        </w:rPr>
        <w:t xml:space="preserve">Nearest support and resistance from the 5-day structure</w:t>
      </w:r>
    </w:p>
    <w:p>
      <w:pPr>
        <w:pStyle w:val="ListParagraph"/>
        <w:numPr>
          <w:ilvl w:val="0"/>
          <w:numId w:val="2"/>
        </w:numPr>
        <w:spacing w:after="60" w:before="0"/>
      </w:pPr>
      <w:r>
        <w:rPr>
          <w:rFonts w:ascii="Arial" w:cs="Arial" w:eastAsia="Arial" w:hAnsi="Arial"/>
          <w:b w:val="false"/>
          <w:bCs w:val="false"/>
          <w:sz w:val="22"/>
          <w:szCs w:val="22"/>
        </w:rPr>
        <w:t xml:space="preserve">Resistance R1 (intraday): 7,454.85 (Friday's session high) — first level any rebound must clear.</w:t>
      </w:r>
    </w:p>
    <w:p>
      <w:pPr>
        <w:pStyle w:val="ListParagraph"/>
        <w:numPr>
          <w:ilvl w:val="0"/>
          <w:numId w:val="2"/>
        </w:numPr>
        <w:spacing w:after="60" w:before="0"/>
      </w:pPr>
      <w:r>
        <w:rPr>
          <w:rFonts w:ascii="Arial" w:cs="Arial" w:eastAsia="Arial" w:hAnsi="Arial"/>
          <w:b w:val="false"/>
          <w:bCs w:val="false"/>
          <w:sz w:val="22"/>
          <w:szCs w:val="22"/>
        </w:rPr>
        <w:t xml:space="preserve">Resistance R2: 7,501.24 (Thursday's close) — psychological 7,500 plus prior record.</w:t>
      </w:r>
    </w:p>
    <w:p>
      <w:pPr>
        <w:pStyle w:val="ListParagraph"/>
        <w:numPr>
          <w:ilvl w:val="0"/>
          <w:numId w:val="2"/>
        </w:numPr>
        <w:spacing w:after="60" w:before="0"/>
      </w:pPr>
      <w:r>
        <w:rPr>
          <w:rFonts w:ascii="Arial" w:cs="Arial" w:eastAsia="Arial" w:hAnsi="Arial"/>
          <w:b w:val="false"/>
          <w:bCs w:val="false"/>
          <w:sz w:val="22"/>
          <w:szCs w:val="22"/>
        </w:rPr>
        <w:t xml:space="preserve">Resistance R3: 7,517.12 (intraday all-time high, 14 May).</w:t>
      </w:r>
    </w:p>
    <w:p>
      <w:pPr>
        <w:pStyle w:val="ListParagraph"/>
        <w:numPr>
          <w:ilvl w:val="0"/>
          <w:numId w:val="2"/>
        </w:numPr>
        <w:spacing w:after="60" w:before="0"/>
      </w:pPr>
      <w:r>
        <w:rPr>
          <w:rFonts w:ascii="Arial" w:cs="Arial" w:eastAsia="Arial" w:hAnsi="Arial"/>
          <w:b w:val="false"/>
          <w:bCs w:val="false"/>
          <w:sz w:val="22"/>
          <w:szCs w:val="22"/>
        </w:rPr>
        <w:t xml:space="preserve">Support S1: 7,397.50 (Friday's session low) — first level on downside continuation.</w:t>
      </w:r>
    </w:p>
    <w:p>
      <w:pPr>
        <w:pStyle w:val="ListParagraph"/>
        <w:numPr>
          <w:ilvl w:val="0"/>
          <w:numId w:val="2"/>
        </w:numPr>
        <w:spacing w:after="60" w:before="0"/>
      </w:pPr>
      <w:r>
        <w:rPr>
          <w:rFonts w:ascii="Arial" w:cs="Arial" w:eastAsia="Arial" w:hAnsi="Arial"/>
          <w:b w:val="false"/>
          <w:bCs w:val="false"/>
          <w:sz w:val="22"/>
          <w:szCs w:val="22"/>
        </w:rPr>
        <w:t xml:space="preserve">Support S2: 7,360 area (Tuesday's intraday low region, indicative).</w:t>
      </w:r>
    </w:p>
    <w:p>
      <w:pPr>
        <w:pStyle w:val="Heading1"/>
        <w:spacing w:after="160" w:before="320"/>
      </w:pPr>
      <w:r>
        <w:rPr>
          <w:rFonts w:ascii="Arial" w:cs="Arial" w:eastAsia="Arial" w:hAnsi="Arial"/>
          <w:b/>
          <w:bCs/>
          <w:color w:val="1F3A5F"/>
          <w:sz w:val="30"/>
          <w:szCs w:val="30"/>
        </w:rPr>
        <w:t xml:space="preserve">§7  Charts</w:t>
      </w:r>
    </w:p>
    <w:p>
      <w:pPr>
        <w:spacing w:after="120" w:before="0"/>
        <w:jc w:val="left"/>
      </w:pPr>
      <w:r>
        <w:rPr>
          <w:rFonts w:ascii="Arial" w:cs="Arial" w:eastAsia="Arial" w:hAnsi="Arial"/>
          <w:b w:val="false"/>
          <w:bCs w:val="false"/>
          <w:i/>
          <w:iCs/>
          <w:color w:val="000000"/>
          <w:sz w:val="18"/>
          <w:szCs w:val="18"/>
        </w:rPr>
        <w:t xml:space="preserve">Five charts are toggled on for this instance. Embedded charts are omitted from this textual deliverable in favour of structured numerical readouts; the descriptive substance of each chart is summarised below.</w:t>
      </w:r>
    </w:p>
    <w:p>
      <w:pPr>
        <w:spacing w:after="100" w:before="180"/>
      </w:pPr>
      <w:r>
        <w:rPr>
          <w:rFonts w:ascii="Arial" w:cs="Arial" w:eastAsia="Arial" w:hAnsi="Arial"/>
          <w:b/>
          <w:bCs/>
          <w:color w:val="333333"/>
          <w:sz w:val="24"/>
          <w:szCs w:val="24"/>
        </w:rPr>
        <w:t xml:space="preserve">Chart 1 — 5-Day Candlestick (S&amp;P 500)</w:t>
      </w:r>
    </w:p>
    <w:p>
      <w:pPr>
        <w:spacing w:after="80" w:before="0"/>
        <w:jc w:val="left"/>
      </w:pPr>
      <w:r>
        <w:rPr>
          <w:rFonts w:ascii="Arial" w:cs="Arial" w:eastAsia="Arial" w:hAnsi="Arial"/>
          <w:b w:val="false"/>
          <w:bCs w:val="false"/>
          <w:i w:val="false"/>
          <w:iCs w:val="false"/>
          <w:color w:val="000000"/>
          <w:sz w:val="22"/>
          <w:szCs w:val="22"/>
        </w:rPr>
        <w:t xml:space="preserve">Five-session OHLC sequence: four green candles (11, 13, 14 May bullish; 12 May neutral with bullish lower-wick rejection) followed by one large red candle (15 May). The final red candle's body fully engulfs Thursday's green body — visually unambiguous exhaustion/reversal signature at the all-time high.</w:t>
      </w:r>
    </w:p>
    <w:p>
      <w:pPr>
        <w:spacing w:after="100" w:before="180"/>
      </w:pPr>
      <w:r>
        <w:rPr>
          <w:rFonts w:ascii="Arial" w:cs="Arial" w:eastAsia="Arial" w:hAnsi="Arial"/>
          <w:b/>
          <w:bCs/>
          <w:color w:val="333333"/>
          <w:sz w:val="24"/>
          <w:szCs w:val="24"/>
        </w:rPr>
        <w:t xml:space="preserve">Chart 2 — Open=0 Distance (S&amp;P 500)</w:t>
      </w:r>
    </w:p>
    <w:p>
      <w:pPr>
        <w:spacing w:after="80" w:before="0"/>
        <w:jc w:val="left"/>
      </w:pPr>
      <w:r>
        <w:rPr>
          <w:rFonts w:ascii="Arial" w:cs="Arial" w:eastAsia="Arial" w:hAnsi="Arial"/>
          <w:b w:val="false"/>
          <w:bCs w:val="false"/>
          <w:i w:val="false"/>
          <w:iCs w:val="false"/>
          <w:color w:val="000000"/>
          <w:sz w:val="22"/>
          <w:szCs w:val="22"/>
        </w:rPr>
        <w:t xml:space="preserve">Plotting High−Open, Low−Open and Close−Open per session normalises directional travel against each open. The 11–14 May series shows consistent positive Close−Open with shrinking lower-wick incidence. The 15 May session inverts the pattern entirely: Close−Open ≈ −36.6, Low−Open ≈ −47.6, High−Open ≈ +9.7 — directional travel is decisively downward with no recovery attempt to the upside.</w:t>
      </w:r>
    </w:p>
    <w:p>
      <w:pPr>
        <w:spacing w:after="100" w:before="180"/>
      </w:pPr>
      <w:r>
        <w:rPr>
          <w:rFonts w:ascii="Arial" w:cs="Arial" w:eastAsia="Arial" w:hAnsi="Arial"/>
          <w:b/>
          <w:bCs/>
          <w:color w:val="333333"/>
          <w:sz w:val="24"/>
          <w:szCs w:val="24"/>
        </w:rPr>
        <w:t xml:space="preserve">Chart 3 — 5-Week Structure (S&amp;P 500)</w:t>
      </w:r>
    </w:p>
    <w:p>
      <w:pPr>
        <w:spacing w:after="80" w:before="0"/>
        <w:jc w:val="left"/>
      </w:pPr>
      <w:r>
        <w:rPr>
          <w:rFonts w:ascii="Arial" w:cs="Arial" w:eastAsia="Arial" w:hAnsi="Arial"/>
          <w:b w:val="false"/>
          <w:bCs w:val="false"/>
          <w:i w:val="false"/>
          <w:iCs w:val="false"/>
          <w:color w:val="000000"/>
          <w:sz w:val="22"/>
          <w:szCs w:val="22"/>
        </w:rPr>
        <w:t xml:space="preserve">Across the 25-session medium-term window, the index is up approximately 5.22% over the past month per Trading Economics, with a series of higher closing highs that has now run into its first wide-range reversal day. Directional persistence has been high (largely consecutive green sessions) and overlap low — a Trending Bullish medium-term classification. However, the latest session prints the largest absolute single-day drop of the window (-92.74 points) and breaks the consecutive-record pattern.</w:t>
      </w:r>
    </w:p>
    <w:p>
      <w:pPr>
        <w:spacing w:after="100" w:before="180"/>
      </w:pPr>
      <w:r>
        <w:rPr>
          <w:rFonts w:ascii="Arial" w:cs="Arial" w:eastAsia="Arial" w:hAnsi="Arial"/>
          <w:b/>
          <w:bCs/>
          <w:color w:val="333333"/>
          <w:sz w:val="24"/>
          <w:szCs w:val="24"/>
        </w:rPr>
        <w:t xml:space="preserve">Chart 4 — VOLator (Comparative Volatility, ATR / historical)</w:t>
      </w:r>
    </w:p>
    <w:p>
      <w:pPr>
        <w:spacing w:after="80" w:before="0"/>
        <w:jc w:val="left"/>
      </w:pPr>
      <w:r>
        <w:rPr>
          <w:rFonts w:ascii="Arial" w:cs="Arial" w:eastAsia="Arial" w:hAnsi="Arial"/>
          <w:b w:val="false"/>
          <w:bCs w:val="false"/>
          <w:i w:val="false"/>
          <w:iCs w:val="false"/>
          <w:color w:val="000000"/>
          <w:sz w:val="22"/>
          <w:szCs w:val="22"/>
        </w:rPr>
        <w:t xml:space="preserve">Scaled (−1, +1) ATR-based volatility series across SPX and the three active counters. SPX VOLator slope turned positive into Friday's session as the average true range expanded sharply on the 57-point wide-range outside day. VIX rose +6.78% to 18.43 — still inside the normal 15–20 band but trending up. DAX VOLator turned firmly positive (DAX -2.07% on Friday with the index breaking back below 24,000 and its 200-day MA). USDX VOLator is modestly positive with the index touching ~99.27, a four-week high. Multi-asset volatility is rising in tandem — a risk-off coordination signal, not idiosyncratic SPX weakness.</w:t>
      </w:r>
    </w:p>
    <w:p>
      <w:pPr>
        <w:spacing w:after="100" w:before="180"/>
      </w:pPr>
      <w:r>
        <w:rPr>
          <w:rFonts w:ascii="Arial" w:cs="Arial" w:eastAsia="Arial" w:hAnsi="Arial"/>
          <w:b/>
          <w:bCs/>
          <w:color w:val="333333"/>
          <w:sz w:val="24"/>
          <w:szCs w:val="24"/>
        </w:rPr>
        <w:t xml:space="preserve">Chart 5 — Floor Pivots (smart-scale, prior + current week candles)</w:t>
      </w:r>
    </w:p>
    <w:p>
      <w:pPr>
        <w:spacing w:after="80" w:before="0"/>
        <w:jc w:val="left"/>
      </w:pPr>
      <w:r>
        <w:rPr>
          <w:rFonts w:ascii="Arial" w:cs="Arial" w:eastAsia="Arial" w:hAnsi="Arial"/>
          <w:b w:val="false"/>
          <w:bCs w:val="false"/>
          <w:i w:val="false"/>
          <w:iCs w:val="false"/>
          <w:color w:val="000000"/>
          <w:sz w:val="22"/>
          <w:szCs w:val="22"/>
        </w:rPr>
        <w:t xml:space="preserve">Detailed pivot tables follow in §11. Briefly: Friday's close at 7,408.50 sits below daily P, between daily S1 and S2 if computed from Friday's H/L/C as prior-period inputs for Monday's daily pivots. Weekly close 7,408.50 sits in the lower third of the prior-week range, well below weekly R-side levels — bearish weekly position. The smart-scale pivot chart would show the prior completed week's candle (W/E 8 May) and the just-completed week (W/E 15 May), the latter a wide-range red weekly candle with close near the low — the first such candle in the medium-term sequence.</w:t>
      </w:r>
    </w:p>
    <w:p>
      <w:pPr>
        <w:pStyle w:val="Heading1"/>
        <w:spacing w:after="160" w:before="320"/>
      </w:pPr>
      <w:r>
        <w:rPr>
          <w:rFonts w:ascii="Arial" w:cs="Arial" w:eastAsia="Arial" w:hAnsi="Arial"/>
          <w:b/>
          <w:bCs/>
          <w:color w:val="1F3A5F"/>
          <w:sz w:val="30"/>
          <w:szCs w:val="30"/>
        </w:rPr>
        <w:t xml:space="preserve">§8  Short-Term Technical Analysis</w:t>
      </w:r>
    </w:p>
    <w:p>
      <w:pPr>
        <w:spacing w:after="100" w:before="0"/>
        <w:jc w:val="left"/>
      </w:pPr>
      <w:r>
        <w:rPr>
          <w:rFonts w:ascii="Arial" w:cs="Arial" w:eastAsia="Arial" w:hAnsi="Arial"/>
          <w:b w:val="false"/>
          <w:bCs w:val="false"/>
          <w:i w:val="false"/>
          <w:iCs w:val="false"/>
          <w:color w:val="000000"/>
          <w:sz w:val="22"/>
          <w:szCs w:val="22"/>
        </w:rPr>
        <w:t xml:space="preserve">The 5-day execution block ending 15 May 2026 (see §6) classifies as EXHAUSTION at the top of an established short-term up-leg. Four sessions advanced the index by approximately 102 points peak-to-trough (close 7 May ~ 7,398.93 → close 14 May 7,501.24), with the final two days producing back-to-back all-time-high closes. The session-by-session classification:</w:t>
      </w:r>
    </w:p>
    <w:p>
      <w:pPr>
        <w:pStyle w:val="ListParagraph"/>
        <w:numPr>
          <w:ilvl w:val="0"/>
          <w:numId w:val="2"/>
        </w:numPr>
        <w:spacing w:after="60" w:before="0"/>
      </w:pPr>
      <w:r>
        <w:rPr>
          <w:rFonts w:ascii="Arial" w:cs="Arial" w:eastAsia="Arial" w:hAnsi="Arial"/>
          <w:b/>
          <w:bCs/>
          <w:i w:val="false"/>
          <w:iCs w:val="false"/>
          <w:color w:val="000000"/>
          <w:sz w:val="22"/>
          <w:szCs w:val="22"/>
        </w:rPr>
        <w:t xml:space="preserve">11 May (Mon) — </w:t>
      </w:r>
      <w:r>
        <w:rPr>
          <w:rFonts w:ascii="Arial" w:cs="Arial" w:eastAsia="Arial" w:hAnsi="Arial"/>
          <w:b w:val="false"/>
          <w:bCs w:val="false"/>
          <w:i w:val="false"/>
          <w:iCs w:val="false"/>
          <w:color w:val="000000"/>
          <w:sz w:val="22"/>
          <w:szCs w:val="22"/>
        </w:rPr>
        <w:t xml:space="preserve">Bullish drift continuation. Trump-Xi positioning trade. RSI2 already extreme, warning embedded.</w:t>
      </w:r>
    </w:p>
    <w:p>
      <w:pPr>
        <w:pStyle w:val="ListParagraph"/>
        <w:numPr>
          <w:ilvl w:val="0"/>
          <w:numId w:val="2"/>
        </w:numPr>
        <w:spacing w:after="60" w:before="0"/>
      </w:pPr>
      <w:r>
        <w:rPr>
          <w:rFonts w:ascii="Arial" w:cs="Arial" w:eastAsia="Arial" w:hAnsi="Arial"/>
          <w:b/>
          <w:bCs/>
          <w:i w:val="false"/>
          <w:iCs w:val="false"/>
          <w:color w:val="000000"/>
          <w:sz w:val="22"/>
          <w:szCs w:val="22"/>
        </w:rPr>
        <w:t xml:space="preserve">12 May (Tue) — </w:t>
      </w:r>
      <w:r>
        <w:rPr>
          <w:rFonts w:ascii="Arial" w:cs="Arial" w:eastAsia="Arial" w:hAnsi="Arial"/>
          <w:b w:val="false"/>
          <w:bCs w:val="false"/>
          <w:i w:val="false"/>
          <w:iCs w:val="false"/>
          <w:color w:val="000000"/>
          <w:sz w:val="22"/>
          <w:szCs w:val="22"/>
        </w:rPr>
        <w:t xml:space="preserve">Hot CPI test; intraday flush absorbed. Net neutral close. RSI2 reset enables further upside.</w:t>
      </w:r>
    </w:p>
    <w:p>
      <w:pPr>
        <w:pStyle w:val="ListParagraph"/>
        <w:numPr>
          <w:ilvl w:val="0"/>
          <w:numId w:val="2"/>
        </w:numPr>
        <w:spacing w:after="60" w:before="0"/>
      </w:pPr>
      <w:r>
        <w:rPr>
          <w:rFonts w:ascii="Arial" w:cs="Arial" w:eastAsia="Arial" w:hAnsi="Arial"/>
          <w:b/>
          <w:bCs/>
          <w:i w:val="false"/>
          <w:iCs w:val="false"/>
          <w:color w:val="000000"/>
          <w:sz w:val="22"/>
          <w:szCs w:val="22"/>
        </w:rPr>
        <w:t xml:space="preserve">13 May (Wed) — </w:t>
      </w:r>
      <w:r>
        <w:rPr>
          <w:rFonts w:ascii="Arial" w:cs="Arial" w:eastAsia="Arial" w:hAnsi="Arial"/>
          <w:b w:val="false"/>
          <w:bCs w:val="false"/>
          <w:i w:val="false"/>
          <w:iCs w:val="false"/>
          <w:color w:val="000000"/>
          <w:sz w:val="22"/>
          <w:szCs w:val="22"/>
        </w:rPr>
        <w:t xml:space="preserve">Hot PPI test; absorbed again. Tech leadership (semis ex-Qualcomm) restored. New ATH close.</w:t>
      </w:r>
    </w:p>
    <w:p>
      <w:pPr>
        <w:pStyle w:val="ListParagraph"/>
        <w:numPr>
          <w:ilvl w:val="0"/>
          <w:numId w:val="2"/>
        </w:numPr>
        <w:spacing w:after="60" w:before="0"/>
      </w:pPr>
      <w:r>
        <w:rPr>
          <w:rFonts w:ascii="Arial" w:cs="Arial" w:eastAsia="Arial" w:hAnsi="Arial"/>
          <w:b/>
          <w:bCs/>
          <w:i w:val="false"/>
          <w:iCs w:val="false"/>
          <w:color w:val="000000"/>
          <w:sz w:val="22"/>
          <w:szCs w:val="22"/>
        </w:rPr>
        <w:t xml:space="preserve">14 May (Thu) — </w:t>
      </w:r>
      <w:r>
        <w:rPr>
          <w:rFonts w:ascii="Arial" w:cs="Arial" w:eastAsia="Arial" w:hAnsi="Arial"/>
          <w:b w:val="false"/>
          <w:bCs w:val="false"/>
          <w:i w:val="false"/>
          <w:iCs w:val="false"/>
          <w:color w:val="000000"/>
          <w:sz w:val="22"/>
          <w:szCs w:val="22"/>
        </w:rPr>
        <w:t xml:space="preserve">Cisco earnings + AI-orderbook upgrade + Dow reclaim 50,000 → euphoric session, close at session high.</w:t>
      </w:r>
    </w:p>
    <w:p>
      <w:pPr>
        <w:pStyle w:val="ListParagraph"/>
        <w:numPr>
          <w:ilvl w:val="0"/>
          <w:numId w:val="2"/>
        </w:numPr>
        <w:spacing w:after="60" w:before="0"/>
      </w:pPr>
      <w:r>
        <w:rPr>
          <w:rFonts w:ascii="Arial" w:cs="Arial" w:eastAsia="Arial" w:hAnsi="Arial"/>
          <w:b/>
          <w:bCs/>
          <w:i w:val="false"/>
          <w:iCs w:val="false"/>
          <w:color w:val="000000"/>
          <w:sz w:val="22"/>
          <w:szCs w:val="22"/>
        </w:rPr>
        <w:t xml:space="preserve">15 May (Fri) — </w:t>
      </w:r>
      <w:r>
        <w:rPr>
          <w:rFonts w:ascii="Arial" w:cs="Arial" w:eastAsia="Arial" w:hAnsi="Arial"/>
          <w:b w:val="false"/>
          <w:bCs w:val="false"/>
          <w:i w:val="false"/>
          <w:iCs w:val="false"/>
          <w:color w:val="000000"/>
          <w:sz w:val="22"/>
          <w:szCs w:val="22"/>
        </w:rPr>
        <w:t xml:space="preserve">Reversal. Wide-range outside day, bearish engulfing, close in lower 19% of range, RSI2 collapse to ~38.</w:t>
      </w:r>
    </w:p>
    <w:p>
      <w:pPr>
        <w:spacing w:after="80" w:before="0"/>
      </w:pPr>
      <w:r>
        <w:rPr>
          <w:sz w:val="8"/>
          <w:szCs w:val="8"/>
        </w:rPr>
        <w:t xml:space="preserve"/>
      </w:r>
    </w:p>
    <w:p>
      <w:pPr>
        <w:spacing w:after="100" w:before="0"/>
        <w:jc w:val="left"/>
      </w:pPr>
      <w:r>
        <w:rPr>
          <w:rFonts w:ascii="Arial" w:cs="Arial" w:eastAsia="Arial" w:hAnsi="Arial"/>
          <w:b w:val="false"/>
          <w:bCs w:val="false"/>
          <w:i w:val="false"/>
          <w:iCs w:val="false"/>
          <w:color w:val="000000"/>
          <w:sz w:val="22"/>
          <w:szCs w:val="22"/>
        </w:rPr>
        <w:t xml:space="preserve">Sequence label: EXHAUSTION followed by an initial reversal candle. This is materially different from compression or indecision — the directional inflection on Friday was decisive and unambiguous. From a 5-day-block standpoint the short-term technical bias for Monday 18 May has rotated to NEUTRAL-WITH-BEARISH-LEAN: the existing uptrend is not yet broken (close still above prior-week structure) but the reversal candle requires confirmation either way before re-entering trend trades.</w:t>
      </w:r>
    </w:p>
    <w:p>
      <w:pPr>
        <w:spacing w:after="120" w:before="0"/>
        <w:jc w:val="left"/>
      </w:pPr>
      <w:r>
        <w:rPr>
          <w:rFonts w:ascii="Arial" w:cs="Arial" w:eastAsia="Arial" w:hAnsi="Arial"/>
          <w:b w:val="false"/>
          <w:bCs w:val="false"/>
          <w:i w:val="false"/>
          <w:iCs w:val="false"/>
          <w:color w:val="000000"/>
          <w:sz w:val="22"/>
          <w:szCs w:val="22"/>
        </w:rPr>
        <w:t xml:space="preserve">Inter-session pattern: classic 'climactic top' rhythm — accelerating closes, RSI2 pinned, then single-session reversal. Historically this pattern resolves in one of two ways within 1–3 sessions: (a) failed-reversal continuation higher if the index reclaims the prior close (7,501.24) on volume, or (b) further downside extension if Monday closes below Friday's low (7,397.50). The Nvidia print on 20 May is the dominant arbiter.</w:t>
      </w:r>
    </w:p>
    <w:p>
      <w:pPr>
        <w:spacing w:after="100" w:before="180"/>
      </w:pPr>
      <w:r>
        <w:rPr>
          <w:rFonts w:ascii="Arial" w:cs="Arial" w:eastAsia="Arial" w:hAnsi="Arial"/>
          <w:b/>
          <w:bCs/>
          <w:color w:val="333333"/>
          <w:sz w:val="24"/>
          <w:szCs w:val="24"/>
        </w:rPr>
        <w:t xml:space="preserve">Nearest support and resistance derivable from 5-day OHLC</w:t>
      </w:r>
    </w:p>
    <w:p>
      <w:pPr>
        <w:pStyle w:val="ListParagraph"/>
        <w:numPr>
          <w:ilvl w:val="0"/>
          <w:numId w:val="2"/>
        </w:numPr>
        <w:spacing w:after="60" w:before="0"/>
      </w:pPr>
      <w:r>
        <w:rPr>
          <w:rFonts w:ascii="Arial" w:cs="Arial" w:eastAsia="Arial" w:hAnsi="Arial"/>
          <w:b w:val="false"/>
          <w:bCs w:val="false"/>
          <w:sz w:val="22"/>
          <w:szCs w:val="22"/>
        </w:rPr>
        <w:t xml:space="preserve">Resistance: 7,454.85 (Fri high) → 7,501.24 (Thu close) → 7,517.12 (Thu intraday ATH).</w:t>
      </w:r>
    </w:p>
    <w:p>
      <w:pPr>
        <w:pStyle w:val="ListParagraph"/>
        <w:numPr>
          <w:ilvl w:val="0"/>
          <w:numId w:val="2"/>
        </w:numPr>
        <w:spacing w:after="60" w:before="0"/>
      </w:pPr>
      <w:r>
        <w:rPr>
          <w:rFonts w:ascii="Arial" w:cs="Arial" w:eastAsia="Arial" w:hAnsi="Arial"/>
          <w:b w:val="false"/>
          <w:bCs w:val="false"/>
          <w:sz w:val="22"/>
          <w:szCs w:val="22"/>
        </w:rPr>
        <w:t xml:space="preserve">Support: 7,397.50 (Fri low) → ~7,360 (Tue intraday low) → 7,398.93 (pre-window 8 May close — last validated structural pivot below the recent rally).</w:t>
      </w:r>
    </w:p>
    <w:p>
      <w:pPr>
        <w:pStyle w:val="Heading1"/>
        <w:spacing w:after="160" w:before="320"/>
      </w:pPr>
      <w:r>
        <w:rPr>
          <w:rFonts w:ascii="Arial" w:cs="Arial" w:eastAsia="Arial" w:hAnsi="Arial"/>
          <w:b/>
          <w:bCs/>
          <w:color w:val="1F3A5F"/>
          <w:sz w:val="30"/>
          <w:szCs w:val="30"/>
        </w:rPr>
        <w:t xml:space="preserve">§9  Medium-Term Regime &amp; VOLator</w:t>
      </w:r>
    </w:p>
    <w:p>
      <w:pPr>
        <w:spacing w:after="100" w:before="180"/>
      </w:pPr>
      <w:r>
        <w:rPr>
          <w:rFonts w:ascii="Arial" w:cs="Arial" w:eastAsia="Arial" w:hAnsi="Arial"/>
          <w:b/>
          <w:bCs/>
          <w:color w:val="333333"/>
          <w:sz w:val="24"/>
          <w:szCs w:val="24"/>
        </w:rPr>
        <w:t xml:space="preserve">25-session structure</w:t>
      </w:r>
    </w:p>
    <w:p>
      <w:pPr>
        <w:spacing w:after="80" w:before="0"/>
        <w:jc w:val="left"/>
      </w:pPr>
      <w:r>
        <w:rPr>
          <w:rFonts w:ascii="Arial" w:cs="Arial" w:eastAsia="Arial" w:hAnsi="Arial"/>
          <w:b w:val="false"/>
          <w:bCs w:val="false"/>
          <w:i w:val="false"/>
          <w:iCs w:val="false"/>
          <w:color w:val="000000"/>
          <w:sz w:val="22"/>
          <w:szCs w:val="22"/>
        </w:rPr>
        <w:t xml:space="preserve">Across the medium-term block, the index advanced approximately 5.22% over the past month (Trading Economics, 15 May 2026). The structural readings:</w:t>
      </w:r>
    </w:p>
    <w:p>
      <w:pPr>
        <w:pStyle w:val="ListParagraph"/>
        <w:numPr>
          <w:ilvl w:val="0"/>
          <w:numId w:val="2"/>
        </w:numPr>
        <w:spacing w:after="60" w:before="0"/>
      </w:pPr>
      <w:r>
        <w:rPr>
          <w:rFonts w:ascii="Arial" w:cs="Arial" w:eastAsia="Arial" w:hAnsi="Arial"/>
          <w:b w:val="false"/>
          <w:bCs w:val="false"/>
          <w:sz w:val="22"/>
          <w:szCs w:val="22"/>
        </w:rPr>
        <w:t xml:space="preserve">Overlap ratio: estimated &lt;0.45 — directional progression dominates; each session's range frequently sat above the prior session's mid-point.</w:t>
      </w:r>
    </w:p>
    <w:p>
      <w:pPr>
        <w:pStyle w:val="ListParagraph"/>
        <w:numPr>
          <w:ilvl w:val="0"/>
          <w:numId w:val="2"/>
        </w:numPr>
        <w:spacing w:after="60" w:before="0"/>
      </w:pPr>
      <w:r>
        <w:rPr>
          <w:rFonts w:ascii="Arial" w:cs="Arial" w:eastAsia="Arial" w:hAnsi="Arial"/>
          <w:b w:val="false"/>
          <w:bCs w:val="false"/>
          <w:sz w:val="22"/>
          <w:szCs w:val="22"/>
        </w:rPr>
        <w:t xml:space="preserve">Directional persistence: estimated &gt;0.55 — consecutive same-direction sessions cluster in the up direction; the 11–14 May four-day winning streak is consistent with sustained bias.</w:t>
      </w:r>
    </w:p>
    <w:p>
      <w:pPr>
        <w:pStyle w:val="ListParagraph"/>
        <w:numPr>
          <w:ilvl w:val="0"/>
          <w:numId w:val="2"/>
        </w:numPr>
        <w:spacing w:after="60" w:before="0"/>
      </w:pPr>
      <w:r>
        <w:rPr>
          <w:rFonts w:ascii="Arial" w:cs="Arial" w:eastAsia="Arial" w:hAnsi="Arial"/>
          <w:b w:val="false"/>
          <w:bCs w:val="false"/>
          <w:sz w:val="22"/>
          <w:szCs w:val="22"/>
        </w:rPr>
        <w:t xml:space="preserve">Range position: most recent close 7,408.50 sits in the upper half of the 25-session range. Prior week ATH of 7,517.12 anchors the top of the window; lower bound sits closer to ~7,022 (the level the index first reached 7,000 on 15 April 2026).</w:t>
      </w:r>
    </w:p>
    <w:p>
      <w:pPr>
        <w:pStyle w:val="ListParagraph"/>
        <w:numPr>
          <w:ilvl w:val="0"/>
          <w:numId w:val="2"/>
        </w:numPr>
        <w:spacing w:after="60" w:before="0"/>
      </w:pPr>
      <w:r>
        <w:rPr>
          <w:rFonts w:ascii="Arial" w:cs="Arial" w:eastAsia="Arial" w:hAnsi="Arial"/>
          <w:b w:val="false"/>
          <w:bCs w:val="false"/>
          <w:sz w:val="22"/>
          <w:szCs w:val="22"/>
        </w:rPr>
        <w:t xml:space="preserve">Range position bias: Range Top Bias (close sits &gt;67th percentile of the 25-day H/L range).</w:t>
      </w:r>
    </w:p>
    <w:p>
      <w:pPr>
        <w:spacing w:after="100" w:before="180"/>
      </w:pPr>
      <w:r>
        <w:rPr>
          <w:rFonts w:ascii="Arial" w:cs="Arial" w:eastAsia="Arial" w:hAnsi="Arial"/>
          <w:b/>
          <w:bCs/>
          <w:color w:val="333333"/>
          <w:sz w:val="24"/>
          <w:szCs w:val="24"/>
        </w:rPr>
        <w:t xml:space="preserve">Regime classification</w:t>
      </w:r>
    </w:p>
    <w:p>
      <w:pPr>
        <w:spacing w:after="100" w:before="0"/>
        <w:jc w:val="left"/>
      </w:pPr>
      <w:r>
        <w:rPr>
          <w:rFonts w:ascii="Arial" w:cs="Arial" w:eastAsia="Arial" w:hAnsi="Arial"/>
          <w:b w:val="false"/>
          <w:bCs w:val="false"/>
          <w:i w:val="false"/>
          <w:iCs w:val="false"/>
          <w:color w:val="000000"/>
          <w:sz w:val="22"/>
          <w:szCs w:val="22"/>
        </w:rPr>
        <w:t xml:space="preserve">Medium-term regime: TRENDING BULLISH on the 25-session structural readings (high persistence, low overlap, positive directional mean) — but the latest session is the largest single-day decline of the window and is the first wide-range distribution candle since the rally began. The structural up-trend is intact; the impulse has paused.</w:t>
      </w:r>
    </w:p>
    <w:p>
      <w:pPr>
        <w:spacing w:after="100" w:before="180"/>
      </w:pPr>
      <w:r>
        <w:rPr>
          <w:rFonts w:ascii="Arial" w:cs="Arial" w:eastAsia="Arial" w:hAnsi="Arial"/>
          <w:b/>
          <w:bCs/>
          <w:color w:val="333333"/>
          <w:sz w:val="24"/>
          <w:szCs w:val="24"/>
        </w:rPr>
        <w:t xml:space="preserve">VOLator read (ATR / historical scaling)</w:t>
      </w:r>
    </w:p>
    <w:p>
      <w:pPr>
        <w:spacing w:after="100" w:before="0"/>
        <w:jc w:val="left"/>
      </w:pPr>
      <w:r>
        <w:rPr>
          <w:rFonts w:ascii="Arial" w:cs="Arial" w:eastAsia="Arial" w:hAnsi="Arial"/>
          <w:b w:val="false"/>
          <w:bCs w:val="false"/>
          <w:i w:val="false"/>
          <w:iCs w:val="false"/>
          <w:color w:val="000000"/>
          <w:sz w:val="22"/>
          <w:szCs w:val="22"/>
        </w:rPr>
        <w:t xml:space="preserve">VOLator slope on SPX has turned positive over the last 10 observations as ATR expanded into Friday's range-out day. This is volatility re-expansion from a compressed regime — characteristic of regime inflection rather than continuation. The companion-asset VOLator confirms broad-market vol expansion (VIX +6.78%, DAX -2.07% with vol expansion, USDX firming on safe-haven flows).</w:t>
      </w:r>
    </w:p>
    <w:p>
      <w:pPr>
        <w:spacing w:after="100" w:before="180"/>
      </w:pPr>
      <w:r>
        <w:rPr>
          <w:rFonts w:ascii="Arial" w:cs="Arial" w:eastAsia="Arial" w:hAnsi="Arial"/>
          <w:b/>
          <w:bCs/>
          <w:color w:val="333333"/>
          <w:sz w:val="24"/>
          <w:szCs w:val="24"/>
        </w:rPr>
        <w:t xml:space="preserve">Short × Medium synthesis</w:t>
      </w:r>
    </w:p>
    <w:p>
      <w:pPr>
        <w:spacing w:after="100" w:before="0"/>
        <w:jc w:val="left"/>
      </w:pPr>
      <w:r>
        <w:rPr>
          <w:rFonts w:ascii="Arial" w:cs="Arial" w:eastAsia="Arial" w:hAnsi="Arial"/>
          <w:b w:val="false"/>
          <w:bCs w:val="false"/>
          <w:i w:val="false"/>
          <w:iCs w:val="false"/>
          <w:color w:val="000000"/>
          <w:sz w:val="22"/>
          <w:szCs w:val="22"/>
        </w:rPr>
        <w:t xml:space="preserve">Short-term: Exhaustion / initial reversal (bearish-leaning neutral). Medium-term: Trending Bullish (Range Top Bias). Synthesis: TRENDING BULLISH WITH SHORT-TERM PULLBACK PROTOCOL — the structural up-trend has not been broken (close &gt; prior-week support; close &gt; 25-day mean; medium regime intact) but the short-term execution layer requires either (a) a daily close back above 7,501.24 to re-engage the trend or (b) confirmation of further downside below 7,397.50 for a deeper retracement. Until either occurs, the regime is operationally TRANSITION (see §11 of the surface) for trade-construction purposes.</w:t>
      </w:r>
    </w:p>
    <w:p>
      <w:pPr>
        <w:spacing w:after="100" w:before="180"/>
      </w:pPr>
      <w:r>
        <w:rPr>
          <w:rFonts w:ascii="Arial" w:cs="Arial" w:eastAsia="Arial" w:hAnsi="Arial"/>
          <w:b/>
          <w:bCs/>
          <w:color w:val="333333"/>
          <w:sz w:val="24"/>
          <w:szCs w:val="24"/>
        </w:rPr>
        <w:t xml:space="preserve">Kaufman Efficiency Ratio (KER)</w:t>
      </w:r>
    </w:p>
    <w:p>
      <w:pPr>
        <w:spacing w:after="120" w:before="0"/>
        <w:jc w:val="left"/>
      </w:pPr>
      <w:r>
        <w:rPr>
          <w:rFonts w:ascii="Arial" w:cs="Arial" w:eastAsia="Arial" w:hAnsi="Arial"/>
          <w:b w:val="false"/>
          <w:bCs w:val="false"/>
          <w:i w:val="false"/>
          <w:iCs w:val="false"/>
          <w:color w:val="000000"/>
          <w:sz w:val="22"/>
          <w:szCs w:val="22"/>
        </w:rPr>
        <w:t xml:space="preserve">KER over the 13-session lookback with 3-period EMA smoothing reads in the Trending Up — Moderate band (positive KER, magnitude above the 0.13 trending threshold) reflecting the persistent directional move into Thursday. However, the KER has rolled over from a near-perfect efficiency reading earlier in the week — direction remains up, but the rate of efficient travel is decelerating. KER classification agrees with the 25-session regime but disagrees with the latest short-term reversal candle. The regime label resolves to TRANSITION because the VOLator slope has turned positive without confirming the trend label's volatility-compression requirement, and the 5-day exhaustion classification breaks the 'Trending Bullish — Trending Bullish' precondition for TREND_UP.</w:t>
      </w:r>
    </w:p>
    <w:p>
      <w:pPr>
        <w:pStyle w:val="Heading1"/>
        <w:spacing w:after="160" w:before="320"/>
      </w:pPr>
      <w:r>
        <w:rPr>
          <w:rFonts w:ascii="Arial" w:cs="Arial" w:eastAsia="Arial" w:hAnsi="Arial"/>
          <w:b/>
          <w:bCs/>
          <w:color w:val="1F3A5F"/>
          <w:sz w:val="30"/>
          <w:szCs w:val="30"/>
        </w:rPr>
        <w:t xml:space="preserve">§10  Cross-Asset Analysis</w:t>
      </w:r>
    </w:p>
    <w:p>
      <w:pPr>
        <w:spacing w:after="120" w:before="0"/>
        <w:jc w:val="left"/>
      </w:pPr>
      <w:r>
        <w:rPr>
          <w:rFonts w:ascii="Arial" w:cs="Arial" w:eastAsia="Arial" w:hAnsi="Arial"/>
          <w:b w:val="false"/>
          <w:bCs w:val="false"/>
          <w:i/>
          <w:iCs/>
          <w:color w:val="000000"/>
          <w:sz w:val="18"/>
          <w:szCs w:val="18"/>
        </w:rPr>
        <w:t xml:space="preserve">Three active counters: USDX (Dollar Index), VIX (volatility proxy), DAX 40 (European equity confirmation). 5-day direction, transmission mechanism, confirmation status and implication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300"/>
        <w:gridCol w:w="1400"/>
        <w:gridCol w:w="1860"/>
      </w:tblGrid>
      <w:tr>
        <w:trPr>
          <w:tblHeader/>
        </w:trPr>
        <w:tc>
          <w:tcPr>
            <w:tcW w:type="dxa" w:w="14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Counter</w:t>
            </w:r>
          </w:p>
        </w:tc>
        <w:tc>
          <w:tcPr>
            <w:tcW w:type="dxa" w:w="14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5-day direction</w:t>
            </w:r>
          </w:p>
        </w:tc>
        <w:tc>
          <w:tcPr>
            <w:tcW w:type="dxa" w:w="33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Mechanism</w:t>
            </w:r>
          </w:p>
        </w:tc>
        <w:tc>
          <w:tcPr>
            <w:tcW w:type="dxa" w:w="14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Confirm status</w:t>
            </w:r>
          </w:p>
        </w:tc>
        <w:tc>
          <w:tcPr>
            <w:tcW w:type="dxa" w:w="186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Implication for S&amp;P 500</w:t>
            </w:r>
          </w:p>
        </w:tc>
      </w:tr>
      <w:tr>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USDX (Dollar Index)</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Rising (98.6 → 99.27)</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USD strengthens as US yields rise on hot inflation data; tighter financial conditions and stronger USD are a translation-headwind for S&amp;P 500 multinational earnings.</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CONTRADICTS</w:t>
            </w:r>
          </w:p>
        </w:tc>
        <w:tc>
          <w:tcPr>
            <w:tcW w:type="dxa" w:w="18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Stronger USD is a near-term negative for SPX EPS translation; reinforces the bearish tilt of the immediate short-term read.</w:t>
            </w:r>
          </w:p>
        </w:tc>
      </w:tr>
      <w:tr>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VIX (Volatility Index)</w:t>
            </w:r>
          </w:p>
        </w:tc>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Rising (~17 → 18.43, +6.78% Fri)</w:t>
            </w:r>
          </w:p>
        </w:tc>
        <w:tc>
          <w:tcPr>
            <w:tcW w:type="dxa" w:w="3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Implied volatility expansion reflects hedging demand into Iran-driven energy shock and inflation re-acceleration. Above 20 = elevated; above 30 = stressed.</w:t>
            </w:r>
          </w:p>
        </w:tc>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CONTRADICTS</w:t>
            </w:r>
          </w:p>
        </w:tc>
        <w:tc>
          <w:tcPr>
            <w:tcW w:type="dxa" w:w="18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VIX rising while SPX falling = textbook risk-off coordination. Confirms the §8 reversal read; risk is not yet stressed but elevation is increasing.</w:t>
            </w:r>
          </w:p>
        </w:tc>
      </w:tr>
      <w:tr>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DAX 40 (German blue-chip)</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Falling sharply (-2.07% Fri; -1.6% week; broke 200-DMA)</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European industrial cyclicals are the most exposed to energy-cost shock and ECB hawkish repricing; DAX is a leading-indicator for global risk-asset cyclical pressure.</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CONTRADICTS</w:t>
            </w:r>
          </w:p>
        </w:tc>
        <w:tc>
          <w:tcPr>
            <w:tcW w:type="dxa" w:w="18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DAX breaking 24,000 and its 200-day MA on a -2.07% session is a meaningful confirmation of global de-risking, not a US-specific event. Strengthens the bearish-tilt case.</w:t>
            </w:r>
          </w:p>
        </w:tc>
      </w:tr>
    </w:tbl>
    <w:p>
      <w:pPr>
        <w:spacing w:after="80" w:before="0"/>
      </w:pPr>
      <w:r>
        <w:rPr>
          <w:sz w:val="8"/>
          <w:szCs w:val="8"/>
        </w:rPr>
        <w:t xml:space="preserve"/>
      </w:r>
    </w:p>
    <w:p>
      <w:pPr>
        <w:spacing w:after="80" w:before="0"/>
        <w:jc w:val="left"/>
      </w:pPr>
      <w:r>
        <w:rPr>
          <w:rFonts w:ascii="Arial" w:cs="Arial" w:eastAsia="Arial" w:hAnsi="Arial"/>
          <w:b/>
          <w:bCs/>
          <w:i w:val="false"/>
          <w:iCs w:val="false"/>
          <w:color w:val="000000"/>
          <w:sz w:val="22"/>
          <w:szCs w:val="22"/>
        </w:rPr>
        <w:t xml:space="preserve">Contradiction flag — </w:t>
      </w:r>
      <w:r>
        <w:rPr>
          <w:rFonts w:ascii="Arial" w:cs="Arial" w:eastAsia="Arial" w:hAnsi="Arial"/>
          <w:b w:val="false"/>
          <w:bCs w:val="false"/>
          <w:i w:val="false"/>
          <w:iCs w:val="false"/>
          <w:color w:val="000000"/>
          <w:sz w:val="22"/>
          <w:szCs w:val="22"/>
        </w:rPr>
        <w:t xml:space="preserve">All three counters contradict a clean trend-up continuation read. USDX, VIX and DAX are coordinated risk-off; this is not idiosyncratic SPX positioning. The medium-term §9 trend label remains intact but cross-asset confirmation has clearly weakened. Cross-asset aggregate: </w:t>
      </w:r>
      <w:r>
        <w:rPr>
          <w:rFonts w:ascii="Arial" w:cs="Arial" w:eastAsia="Arial" w:hAnsi="Arial"/>
          <w:b/>
          <w:bCs/>
          <w:i w:val="false"/>
          <w:iCs w:val="false"/>
          <w:color w:val="000000"/>
          <w:sz w:val="22"/>
          <w:szCs w:val="22"/>
        </w:rPr>
        <w:t xml:space="preserve">CONTRADICT</w:t>
      </w:r>
    </w:p>
    <w:p>
      <w:pPr>
        <w:spacing w:after="120" w:before="0"/>
      </w:pPr>
      <w:r>
        <w:rPr>
          <w:sz w:val="8"/>
          <w:szCs w:val="8"/>
        </w:rPr>
        <w:t xml:space="preserve"/>
      </w:r>
    </w:p>
    <w:p>
      <w:pPr>
        <w:pStyle w:val="Heading1"/>
        <w:spacing w:after="160" w:before="320"/>
      </w:pPr>
      <w:r>
        <w:rPr>
          <w:rFonts w:ascii="Arial" w:cs="Arial" w:eastAsia="Arial" w:hAnsi="Arial"/>
          <w:b/>
          <w:bCs/>
          <w:color w:val="1F3A5F"/>
          <w:sz w:val="30"/>
          <w:szCs w:val="30"/>
        </w:rPr>
        <w:t xml:space="preserve">§11  Floor Pivot Analysis</w:t>
      </w:r>
    </w:p>
    <w:p>
      <w:pPr>
        <w:spacing w:after="100" w:before="0"/>
        <w:jc w:val="left"/>
      </w:pPr>
      <w:r>
        <w:rPr>
          <w:rFonts w:ascii="Arial" w:cs="Arial" w:eastAsia="Arial" w:hAnsi="Arial"/>
          <w:b w:val="false"/>
          <w:bCs w:val="false"/>
          <w:i/>
          <w:iCs/>
          <w:color w:val="000000"/>
          <w:sz w:val="18"/>
          <w:szCs w:val="18"/>
        </w:rPr>
        <w:t xml:space="preserve">Three timeframes active: Daily, Weekly, Monthly. Computed using standard floor-pivot formula: P = (H + L + C) / 3; R1 = 2P − L; S1 = 2P − H; R2 = P + (H − L); S2 = P − (H − L); R3 = H + 2(P − L); S3 = L − 2(H − P); and so on for R4/R5, S4/S5. Levels are derived from the prior validated H/L/C of the relevant period.</w:t>
      </w:r>
    </w:p>
    <w:p>
      <w:pPr>
        <w:spacing w:after="100" w:before="180"/>
      </w:pPr>
      <w:r>
        <w:rPr>
          <w:rFonts w:ascii="Arial" w:cs="Arial" w:eastAsia="Arial" w:hAnsi="Arial"/>
          <w:b/>
          <w:bCs/>
          <w:color w:val="333333"/>
          <w:sz w:val="24"/>
          <w:szCs w:val="24"/>
        </w:rPr>
        <w:t xml:space="preserve">Daily pivots — for session of Mon 18 May 2026 (from Fri 15 May H/L/C)</w:t>
      </w:r>
    </w:p>
    <w:p>
      <w:pPr>
        <w:spacing w:after="80" w:before="0"/>
        <w:jc w:val="left"/>
      </w:pPr>
      <w:r>
        <w:rPr>
          <w:rFonts w:ascii="Arial" w:cs="Arial" w:eastAsia="Arial" w:hAnsi="Arial"/>
          <w:b w:val="false"/>
          <w:bCs w:val="false"/>
          <w:i/>
          <w:iCs/>
          <w:color w:val="000000"/>
          <w:sz w:val="18"/>
          <w:szCs w:val="18"/>
        </w:rPr>
        <w:t xml:space="preserve">Prior session inputs: H = 7,454.85, L = 7,397.50, C = 7,408.50. Pivot P = 7420.28. Status: CORROBORATED (Fri H/L/C confirmed across Yahoo Finance, CNBC, Investing.com).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rPr>
          <w:tblHeader/>
        </w:trPr>
        <w:tc>
          <w:tcPr>
            <w:tcW w:type="dxa" w:w="15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Level</w:t>
            </w:r>
          </w:p>
        </w:tc>
        <w:tc>
          <w:tcPr>
            <w:tcW w:type="dxa" w:w="15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Price (pts)</w:t>
            </w:r>
          </w:p>
        </w:tc>
        <w:tc>
          <w:tcPr>
            <w:tcW w:type="dxa" w:w="25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Distance from close (pts)</w:t>
            </w:r>
          </w:p>
        </w:tc>
        <w:tc>
          <w:tcPr>
            <w:tcW w:type="dxa" w:w="386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Notes</w:t>
            </w:r>
          </w:p>
        </w:tc>
      </w:tr>
      <w:tr>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R5</w:t>
            </w:r>
          </w:p>
        </w:tc>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7615.12</w:t>
            </w:r>
          </w:p>
        </w:tc>
        <w:tc>
          <w:tcPr>
            <w:tcW w:type="dxa" w:w="2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206.62</w:t>
            </w:r>
          </w:p>
        </w:tc>
        <w:tc>
          <w:tcPr>
            <w:tcW w:type="dxa" w:w="386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Tail-event upside; ~7,627 — would require Nvidia-style melt-up</w:t>
            </w:r>
          </w:p>
        </w:tc>
      </w:tr>
      <w:tr>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R4</w:t>
            </w:r>
          </w:p>
        </w:tc>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7557.77</w:t>
            </w:r>
          </w:p>
        </w:tc>
        <w:tc>
          <w:tcPr>
            <w:tcW w:type="dxa" w:w="2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149.27</w:t>
            </w:r>
          </w:p>
        </w:tc>
        <w:tc>
          <w:tcPr>
            <w:tcW w:type="dxa" w:w="386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Distant upside; near recent ATH (7,517) area</w:t>
            </w:r>
          </w:p>
        </w:tc>
      </w:tr>
      <w:tr>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R3</w:t>
            </w:r>
          </w:p>
        </w:tc>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7500.42</w:t>
            </w:r>
          </w:p>
        </w:tc>
        <w:tc>
          <w:tcPr>
            <w:tcW w:type="dxa" w:w="2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91.92</w:t>
            </w:r>
          </w:p>
        </w:tc>
        <w:tc>
          <w:tcPr>
            <w:tcW w:type="dxa" w:w="386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First major upside target; clears the prior week high zone</w:t>
            </w:r>
          </w:p>
        </w:tc>
      </w:tr>
      <w:tr>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R2</w:t>
            </w:r>
          </w:p>
        </w:tc>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7477.63</w:t>
            </w:r>
          </w:p>
        </w:tc>
        <w:tc>
          <w:tcPr>
            <w:tcW w:type="dxa" w:w="2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69.13</w:t>
            </w:r>
          </w:p>
        </w:tc>
        <w:tc>
          <w:tcPr>
            <w:tcW w:type="dxa" w:w="386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Above Fri high — tactical short-cover target on rebound</w:t>
            </w:r>
          </w:p>
        </w:tc>
      </w:tr>
      <w:tr>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R1</w:t>
            </w:r>
          </w:p>
        </w:tc>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7443.07</w:t>
            </w:r>
          </w:p>
        </w:tc>
        <w:tc>
          <w:tcPr>
            <w:tcW w:type="dxa" w:w="2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34.57</w:t>
            </w:r>
          </w:p>
        </w:tc>
        <w:tc>
          <w:tcPr>
            <w:tcW w:type="dxa" w:w="386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Just below Fri high — first technical resistance</w:t>
            </w:r>
          </w:p>
        </w:tc>
      </w:tr>
      <w:tr>
        <w:tc>
          <w:tcPr>
            <w:tcW w:type="dxa" w:w="15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P</w:t>
            </w:r>
          </w:p>
        </w:tc>
        <w:tc>
          <w:tcPr>
            <w:tcW w:type="dxa" w:w="15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7420.28</w:t>
            </w:r>
          </w:p>
        </w:tc>
        <w:tc>
          <w:tcPr>
            <w:tcW w:type="dxa" w:w="25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11.78</w:t>
            </w:r>
          </w:p>
        </w:tc>
        <w:tc>
          <w:tcPr>
            <w:tcW w:type="dxa" w:w="386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Pivot — sits ~12 points above close; key intraday tone level</w:t>
            </w:r>
          </w:p>
        </w:tc>
      </w:tr>
      <w:tr>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S1</w:t>
            </w:r>
          </w:p>
        </w:tc>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7385.72</w:t>
            </w:r>
          </w:p>
        </w:tc>
        <w:tc>
          <w:tcPr>
            <w:tcW w:type="dxa" w:w="2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-22.78</w:t>
            </w:r>
          </w:p>
        </w:tc>
        <w:tc>
          <w:tcPr>
            <w:tcW w:type="dxa" w:w="386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First support; near Fri low — confluence zone</w:t>
            </w:r>
          </w:p>
        </w:tc>
      </w:tr>
      <w:tr>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S2</w:t>
            </w:r>
          </w:p>
        </w:tc>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7362.93</w:t>
            </w:r>
          </w:p>
        </w:tc>
        <w:tc>
          <w:tcPr>
            <w:tcW w:type="dxa" w:w="2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-45.57</w:t>
            </w:r>
          </w:p>
        </w:tc>
        <w:tc>
          <w:tcPr>
            <w:tcW w:type="dxa" w:w="386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Aligns with Tue 12 May ~7,360 intraday low region</w:t>
            </w:r>
          </w:p>
        </w:tc>
      </w:tr>
      <w:tr>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S3</w:t>
            </w:r>
          </w:p>
        </w:tc>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7328.37</w:t>
            </w:r>
          </w:p>
        </w:tc>
        <w:tc>
          <w:tcPr>
            <w:tcW w:type="dxa" w:w="2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-80.13</w:t>
            </w:r>
          </w:p>
        </w:tc>
        <w:tc>
          <w:tcPr>
            <w:tcW w:type="dxa" w:w="386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Deeper retracement; first major risk zone</w:t>
            </w:r>
          </w:p>
        </w:tc>
      </w:tr>
      <w:tr>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S4</w:t>
            </w:r>
          </w:p>
        </w:tc>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7271.02</w:t>
            </w:r>
          </w:p>
        </w:tc>
        <w:tc>
          <w:tcPr>
            <w:tcW w:type="dxa" w:w="2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-137.48</w:t>
            </w:r>
          </w:p>
        </w:tc>
        <w:tc>
          <w:tcPr>
            <w:tcW w:type="dxa" w:w="386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Distant downside; tail-event</w:t>
            </w:r>
          </w:p>
        </w:tc>
      </w:tr>
      <w:tr>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S5</w:t>
            </w:r>
          </w:p>
        </w:tc>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7213.67</w:t>
            </w:r>
          </w:p>
        </w:tc>
        <w:tc>
          <w:tcPr>
            <w:tcW w:type="dxa" w:w="2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-194.83</w:t>
            </w:r>
          </w:p>
        </w:tc>
        <w:tc>
          <w:tcPr>
            <w:tcW w:type="dxa" w:w="386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Extreme tail</w:t>
            </w:r>
          </w:p>
        </w:tc>
      </w:tr>
    </w:tbl>
    <w:p>
      <w:pPr>
        <w:spacing w:after="120" w:before="0"/>
      </w:pPr>
      <w:r>
        <w:rPr>
          <w:sz w:val="8"/>
          <w:szCs w:val="8"/>
        </w:rPr>
        <w:t xml:space="preserve"/>
      </w:r>
    </w:p>
    <w:p>
      <w:pPr>
        <w:spacing w:after="100" w:before="180"/>
      </w:pPr>
      <w:r>
        <w:rPr>
          <w:rFonts w:ascii="Arial" w:cs="Arial" w:eastAsia="Arial" w:hAnsi="Arial"/>
          <w:b/>
          <w:bCs/>
          <w:color w:val="333333"/>
          <w:sz w:val="24"/>
          <w:szCs w:val="24"/>
        </w:rPr>
        <w:t xml:space="preserve">Weekly pivots — for week beginning Mon 18 May 2026 (from W/E 15 May H/L/C)</w:t>
      </w:r>
    </w:p>
    <w:p>
      <w:pPr>
        <w:spacing w:after="80" w:before="0"/>
        <w:jc w:val="left"/>
      </w:pPr>
      <w:r>
        <w:rPr>
          <w:rFonts w:ascii="Arial" w:cs="Arial" w:eastAsia="Arial" w:hAnsi="Arial"/>
          <w:b w:val="false"/>
          <w:bCs w:val="false"/>
          <w:i/>
          <w:iCs/>
          <w:color w:val="000000"/>
          <w:sz w:val="18"/>
          <w:szCs w:val="18"/>
        </w:rPr>
        <w:t xml:space="preserve">Prior-week inputs: H = 7,517.12 (Thu intraday ATH), L ≈ 7,360 (Tue intraday low — single-source indicative), C = 7,408.50. Pivot P = 7428.54. Status: SINGLE-SOURCE INDICATIVE on the weekly low — the Tuesday intraday low reading was derived from session live-blog narrative rather than a corroborated OHLC feed; all levels in this table inherit the indicative flag and may not be used as Trade 2 entry or stop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rPr>
          <w:tblHeader/>
        </w:trPr>
        <w:tc>
          <w:tcPr>
            <w:tcW w:type="dxa" w:w="15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Level</w:t>
            </w:r>
          </w:p>
        </w:tc>
        <w:tc>
          <w:tcPr>
            <w:tcW w:type="dxa" w:w="15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Price (pts)</w:t>
            </w:r>
          </w:p>
        </w:tc>
        <w:tc>
          <w:tcPr>
            <w:tcW w:type="dxa" w:w="25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Distance from close (pts)</w:t>
            </w:r>
          </w:p>
        </w:tc>
        <w:tc>
          <w:tcPr>
            <w:tcW w:type="dxa" w:w="386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Notes</w:t>
            </w:r>
          </w:p>
        </w:tc>
      </w:tr>
      <w:tr>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R5</w:t>
            </w:r>
          </w:p>
        </w:tc>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7968.44</w:t>
            </w:r>
          </w:p>
        </w:tc>
        <w:tc>
          <w:tcPr>
            <w:tcW w:type="dxa" w:w="2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559.94</w:t>
            </w:r>
          </w:p>
        </w:tc>
        <w:tc>
          <w:tcPr>
            <w:tcW w:type="dxa" w:w="386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Tail upside</w:t>
            </w:r>
          </w:p>
        </w:tc>
      </w:tr>
      <w:tr>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R4</w:t>
            </w:r>
          </w:p>
        </w:tc>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7811.32</w:t>
            </w:r>
          </w:p>
        </w:tc>
        <w:tc>
          <w:tcPr>
            <w:tcW w:type="dxa" w:w="2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402.82</w:t>
            </w:r>
          </w:p>
        </w:tc>
        <w:tc>
          <w:tcPr>
            <w:tcW w:type="dxa" w:w="386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Distant upside</w:t>
            </w:r>
          </w:p>
        </w:tc>
      </w:tr>
      <w:tr>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R3</w:t>
            </w:r>
          </w:p>
        </w:tc>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7654.20</w:t>
            </w:r>
          </w:p>
        </w:tc>
        <w:tc>
          <w:tcPr>
            <w:tcW w:type="dxa" w:w="2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245.70</w:t>
            </w:r>
          </w:p>
        </w:tc>
        <w:tc>
          <w:tcPr>
            <w:tcW w:type="dxa" w:w="386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Stretch target above prior-week high</w:t>
            </w:r>
          </w:p>
        </w:tc>
      </w:tr>
      <w:tr>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R2</w:t>
            </w:r>
          </w:p>
        </w:tc>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7585.66</w:t>
            </w:r>
          </w:p>
        </w:tc>
        <w:tc>
          <w:tcPr>
            <w:tcW w:type="dxa" w:w="2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177.16</w:t>
            </w:r>
          </w:p>
        </w:tc>
        <w:tc>
          <w:tcPr>
            <w:tcW w:type="dxa" w:w="386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Above the ATH zone</w:t>
            </w:r>
          </w:p>
        </w:tc>
      </w:tr>
      <w:tr>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R1</w:t>
            </w:r>
          </w:p>
        </w:tc>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7497.08</w:t>
            </w:r>
          </w:p>
        </w:tc>
        <w:tc>
          <w:tcPr>
            <w:tcW w:type="dxa" w:w="2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88.58</w:t>
            </w:r>
          </w:p>
        </w:tc>
        <w:tc>
          <w:tcPr>
            <w:tcW w:type="dxa" w:w="386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Just above 7,500 — key psychological + prior-week-high zone</w:t>
            </w:r>
          </w:p>
        </w:tc>
      </w:tr>
      <w:tr>
        <w:tc>
          <w:tcPr>
            <w:tcW w:type="dxa" w:w="15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P</w:t>
            </w:r>
          </w:p>
        </w:tc>
        <w:tc>
          <w:tcPr>
            <w:tcW w:type="dxa" w:w="15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7428.54</w:t>
            </w:r>
          </w:p>
        </w:tc>
        <w:tc>
          <w:tcPr>
            <w:tcW w:type="dxa" w:w="25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20.04</w:t>
            </w:r>
          </w:p>
        </w:tc>
        <w:tc>
          <w:tcPr>
            <w:tcW w:type="dxa" w:w="386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Pivot — sits well above close, weekly bearish position</w:t>
            </w:r>
          </w:p>
        </w:tc>
      </w:tr>
      <w:tr>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S1</w:t>
            </w:r>
          </w:p>
        </w:tc>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7339.96</w:t>
            </w:r>
          </w:p>
        </w:tc>
        <w:tc>
          <w:tcPr>
            <w:tcW w:type="dxa" w:w="2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-68.54</w:t>
            </w:r>
          </w:p>
        </w:tc>
        <w:tc>
          <w:tcPr>
            <w:tcW w:type="dxa" w:w="386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First weekly support</w:t>
            </w:r>
          </w:p>
        </w:tc>
      </w:tr>
      <w:tr>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S2</w:t>
            </w:r>
          </w:p>
        </w:tc>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7271.42</w:t>
            </w:r>
          </w:p>
        </w:tc>
        <w:tc>
          <w:tcPr>
            <w:tcW w:type="dxa" w:w="2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-137.08</w:t>
            </w:r>
          </w:p>
        </w:tc>
        <w:tc>
          <w:tcPr>
            <w:tcW w:type="dxa" w:w="386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Confluence with prior-week low region</w:t>
            </w:r>
          </w:p>
        </w:tc>
      </w:tr>
      <w:tr>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S3</w:t>
            </w:r>
          </w:p>
        </w:tc>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7182.84</w:t>
            </w:r>
          </w:p>
        </w:tc>
        <w:tc>
          <w:tcPr>
            <w:tcW w:type="dxa" w:w="2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-225.66</w:t>
            </w:r>
          </w:p>
        </w:tc>
        <w:tc>
          <w:tcPr>
            <w:tcW w:type="dxa" w:w="386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Deeper retracement target</w:t>
            </w:r>
          </w:p>
        </w:tc>
      </w:tr>
      <w:tr>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S4</w:t>
            </w:r>
          </w:p>
        </w:tc>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7025.72</w:t>
            </w:r>
          </w:p>
        </w:tc>
        <w:tc>
          <w:tcPr>
            <w:tcW w:type="dxa" w:w="2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-382.78</w:t>
            </w:r>
          </w:p>
        </w:tc>
        <w:tc>
          <w:tcPr>
            <w:tcW w:type="dxa" w:w="386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Distant downside</w:t>
            </w:r>
          </w:p>
        </w:tc>
      </w:tr>
      <w:tr>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S5</w:t>
            </w:r>
          </w:p>
        </w:tc>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6868.60</w:t>
            </w:r>
          </w:p>
        </w:tc>
        <w:tc>
          <w:tcPr>
            <w:tcW w:type="dxa" w:w="2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-539.90</w:t>
            </w:r>
          </w:p>
        </w:tc>
        <w:tc>
          <w:tcPr>
            <w:tcW w:type="dxa" w:w="386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Extreme tail</w:t>
            </w:r>
          </w:p>
        </w:tc>
      </w:tr>
    </w:tbl>
    <w:p>
      <w:pPr>
        <w:spacing w:after="120" w:before="0"/>
      </w:pPr>
      <w:r>
        <w:rPr>
          <w:sz w:val="8"/>
          <w:szCs w:val="8"/>
        </w:rPr>
        <w:t xml:space="preserve"/>
      </w:r>
    </w:p>
    <w:p>
      <w:pPr>
        <w:spacing w:after="100" w:before="180"/>
      </w:pPr>
      <w:r>
        <w:rPr>
          <w:rFonts w:ascii="Arial" w:cs="Arial" w:eastAsia="Arial" w:hAnsi="Arial"/>
          <w:b/>
          <w:bCs/>
          <w:color w:val="333333"/>
          <w:sz w:val="24"/>
          <w:szCs w:val="24"/>
        </w:rPr>
        <w:t xml:space="preserve">Monthly pivots — for May 2026 (from April 2026 H/L/C)</w:t>
      </w:r>
    </w:p>
    <w:p>
      <w:pPr>
        <w:spacing w:after="80" w:before="0"/>
        <w:jc w:val="left"/>
      </w:pPr>
      <w:r>
        <w:rPr>
          <w:rFonts w:ascii="Arial" w:cs="Arial" w:eastAsia="Arial" w:hAnsi="Arial"/>
          <w:b w:val="false"/>
          <w:bCs w:val="false"/>
          <w:i/>
          <w:iCs/>
          <w:color w:val="000000"/>
          <w:sz w:val="18"/>
          <w:szCs w:val="18"/>
        </w:rPr>
        <w:t xml:space="preserve">Prior-month inputs: H ≈ 7,257, L ≈ 6,710, C ≈ 7,176 — these April 2026 month-end bounds are single-source narrative-derived from S&amp;P 500 closing-milestone references and monthly summaries; not formally corroborated against a second OHLC feed. Pivot P = 7047.67. Status: SINGLE-SOURCE INDICATIVE — propagates the indicative flag to all monthly-pivot-anchored trade levels. Monthly pivots are shown for context only and not consumed by Trade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rPr>
          <w:tblHeader/>
        </w:trPr>
        <w:tc>
          <w:tcPr>
            <w:tcW w:type="dxa" w:w="15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Level</w:t>
            </w:r>
          </w:p>
        </w:tc>
        <w:tc>
          <w:tcPr>
            <w:tcW w:type="dxa" w:w="15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Price (pts)</w:t>
            </w:r>
          </w:p>
        </w:tc>
        <w:tc>
          <w:tcPr>
            <w:tcW w:type="dxa" w:w="25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Distance from close (pts)</w:t>
            </w:r>
          </w:p>
        </w:tc>
        <w:tc>
          <w:tcPr>
            <w:tcW w:type="dxa" w:w="386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Notes</w:t>
            </w:r>
          </w:p>
        </w:tc>
      </w:tr>
      <w:tr>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R5</w:t>
            </w:r>
          </w:p>
        </w:tc>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9026.33</w:t>
            </w:r>
          </w:p>
        </w:tc>
        <w:tc>
          <w:tcPr>
            <w:tcW w:type="dxa" w:w="2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1617.83</w:t>
            </w:r>
          </w:p>
        </w:tc>
        <w:tc>
          <w:tcPr>
            <w:tcW w:type="dxa" w:w="386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Above current level — long-term continuation projection</w:t>
            </w:r>
          </w:p>
        </w:tc>
      </w:tr>
      <w:tr>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R4</w:t>
            </w:r>
          </w:p>
        </w:tc>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8479.33</w:t>
            </w:r>
          </w:p>
        </w:tc>
        <w:tc>
          <w:tcPr>
            <w:tcW w:type="dxa" w:w="2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1070.83</w:t>
            </w:r>
          </w:p>
        </w:tc>
        <w:tc>
          <w:tcPr>
            <w:tcW w:type="dxa" w:w="386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Stretched monthly upside</w:t>
            </w:r>
          </w:p>
        </w:tc>
      </w:tr>
      <w:tr>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R3</w:t>
            </w:r>
          </w:p>
        </w:tc>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7932.33</w:t>
            </w:r>
          </w:p>
        </w:tc>
        <w:tc>
          <w:tcPr>
            <w:tcW w:type="dxa" w:w="2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523.83</w:t>
            </w:r>
          </w:p>
        </w:tc>
        <w:tc>
          <w:tcPr>
            <w:tcW w:type="dxa" w:w="386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Above the rally high zone</w:t>
            </w:r>
          </w:p>
        </w:tc>
      </w:tr>
      <w:tr>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R2</w:t>
            </w:r>
          </w:p>
        </w:tc>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7594.67</w:t>
            </w:r>
          </w:p>
        </w:tc>
        <w:tc>
          <w:tcPr>
            <w:tcW w:type="dxa" w:w="2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186.17</w:t>
            </w:r>
          </w:p>
        </w:tc>
        <w:tc>
          <w:tcPr>
            <w:tcW w:type="dxa" w:w="386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Near recent ATH</w:t>
            </w:r>
          </w:p>
        </w:tc>
      </w:tr>
      <w:tr>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R1</w:t>
            </w:r>
          </w:p>
        </w:tc>
        <w:tc>
          <w:tcPr>
            <w:tcW w:type="dxa" w:w="1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7385.33</w:t>
            </w:r>
          </w:p>
        </w:tc>
        <w:tc>
          <w:tcPr>
            <w:tcW w:type="dxa" w:w="250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-23.17</w:t>
            </w:r>
          </w:p>
        </w:tc>
        <w:tc>
          <w:tcPr>
            <w:tcW w:type="dxa" w:w="3860"/>
            <w:tcBorders>
              <w:top w:val="single" w:color="BBBBBB" w:sz="4"/>
              <w:left w:val="single" w:color="BBBBBB" w:sz="4"/>
              <w:bottom w:val="single" w:color="BBBBBB" w:sz="4"/>
              <w:right w:val="single" w:color="BBBBBB" w:sz="4"/>
            </w:tcBorders>
            <w:shd w:fill="FFF1F1"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Below close — index is currently above R1 monthly = bullish monthly bias</w:t>
            </w:r>
          </w:p>
        </w:tc>
      </w:tr>
      <w:tr>
        <w:tc>
          <w:tcPr>
            <w:tcW w:type="dxa" w:w="15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P</w:t>
            </w:r>
          </w:p>
        </w:tc>
        <w:tc>
          <w:tcPr>
            <w:tcW w:type="dxa" w:w="15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7047.67</w:t>
            </w:r>
          </w:p>
        </w:tc>
        <w:tc>
          <w:tcPr>
            <w:tcW w:type="dxa" w:w="25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-360.83</w:t>
            </w:r>
          </w:p>
        </w:tc>
        <w:tc>
          <w:tcPr>
            <w:tcW w:type="dxa" w:w="386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Pivot — close is well above; structurally bullish month</w:t>
            </w:r>
          </w:p>
        </w:tc>
      </w:tr>
      <w:tr>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S1</w:t>
            </w:r>
          </w:p>
        </w:tc>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6838.33</w:t>
            </w:r>
          </w:p>
        </w:tc>
        <w:tc>
          <w:tcPr>
            <w:tcW w:type="dxa" w:w="2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-570.17</w:t>
            </w:r>
          </w:p>
        </w:tc>
        <w:tc>
          <w:tcPr>
            <w:tcW w:type="dxa" w:w="386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First monthly support, well below current price</w:t>
            </w:r>
          </w:p>
        </w:tc>
      </w:tr>
      <w:tr>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S2</w:t>
            </w:r>
          </w:p>
        </w:tc>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6500.67</w:t>
            </w:r>
          </w:p>
        </w:tc>
        <w:tc>
          <w:tcPr>
            <w:tcW w:type="dxa" w:w="2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-907.83</w:t>
            </w:r>
          </w:p>
        </w:tc>
        <w:tc>
          <w:tcPr>
            <w:tcW w:type="dxa" w:w="386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Aligns with April low region</w:t>
            </w:r>
          </w:p>
        </w:tc>
      </w:tr>
      <w:tr>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S3</w:t>
            </w:r>
          </w:p>
        </w:tc>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6291.33</w:t>
            </w:r>
          </w:p>
        </w:tc>
        <w:tc>
          <w:tcPr>
            <w:tcW w:type="dxa" w:w="2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-1117.17</w:t>
            </w:r>
          </w:p>
        </w:tc>
        <w:tc>
          <w:tcPr>
            <w:tcW w:type="dxa" w:w="386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Distant monthly support</w:t>
            </w:r>
          </w:p>
        </w:tc>
      </w:tr>
      <w:tr>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S4</w:t>
            </w:r>
          </w:p>
        </w:tc>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5744.33</w:t>
            </w:r>
          </w:p>
        </w:tc>
        <w:tc>
          <w:tcPr>
            <w:tcW w:type="dxa" w:w="2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-1664.17</w:t>
            </w:r>
          </w:p>
        </w:tc>
        <w:tc>
          <w:tcPr>
            <w:tcW w:type="dxa" w:w="386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Tail downside</w:t>
            </w:r>
          </w:p>
        </w:tc>
      </w:tr>
      <w:tr>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000000"/>
                <w:sz w:val="18"/>
                <w:szCs w:val="18"/>
              </w:rPr>
              <w:t xml:space="preserve">S5</w:t>
            </w:r>
          </w:p>
        </w:tc>
        <w:tc>
          <w:tcPr>
            <w:tcW w:type="dxa" w:w="1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5197.33</w:t>
            </w:r>
          </w:p>
        </w:tc>
        <w:tc>
          <w:tcPr>
            <w:tcW w:type="dxa" w:w="250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-2211.17</w:t>
            </w:r>
          </w:p>
        </w:tc>
        <w:tc>
          <w:tcPr>
            <w:tcW w:type="dxa" w:w="3860"/>
            <w:tcBorders>
              <w:top w:val="single" w:color="BBBBBB" w:sz="4"/>
              <w:left w:val="single" w:color="BBBBBB" w:sz="4"/>
              <w:bottom w:val="single" w:color="BBBBBB" w:sz="4"/>
              <w:right w:val="single" w:color="BBBBBB" w:sz="4"/>
            </w:tcBorders>
            <w:shd w:fill="F1F8F2"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Extreme tail</w:t>
            </w:r>
          </w:p>
        </w:tc>
      </w:tr>
    </w:tbl>
    <w:p>
      <w:pPr>
        <w:spacing w:after="100" w:before="0"/>
      </w:pPr>
      <w:r>
        <w:rPr>
          <w:sz w:val="8"/>
          <w:szCs w:val="8"/>
        </w:rPr>
        <w:t xml:space="preserve"/>
      </w:r>
    </w:p>
    <w:p>
      <w:pPr>
        <w:spacing w:after="100" w:before="180"/>
      </w:pPr>
      <w:r>
        <w:rPr>
          <w:rFonts w:ascii="Arial" w:cs="Arial" w:eastAsia="Arial" w:hAnsi="Arial"/>
          <w:b/>
          <w:bCs/>
          <w:color w:val="333333"/>
          <w:sz w:val="24"/>
          <w:szCs w:val="24"/>
        </w:rPr>
        <w:t xml:space="preserve">Position narrative</w:t>
      </w:r>
    </w:p>
    <w:p>
      <w:pPr>
        <w:pStyle w:val="ListParagraph"/>
        <w:numPr>
          <w:ilvl w:val="0"/>
          <w:numId w:val="2"/>
        </w:numPr>
        <w:spacing w:after="60" w:before="0"/>
      </w:pPr>
      <w:r>
        <w:rPr>
          <w:rFonts w:ascii="Arial" w:cs="Arial" w:eastAsia="Arial" w:hAnsi="Arial"/>
          <w:b w:val="false"/>
          <w:bCs w:val="false"/>
          <w:sz w:val="22"/>
          <w:szCs w:val="22"/>
        </w:rPr>
        <w:t xml:space="preserve">Daily timeframe: close 7,408.50 sits below daily P (7420.28) and between daily S1 (7385.72) and S2 (7362.93). Initial bias for 18 May session is below-pivot — bearish intraday tone unless P recaptured.</w:t>
      </w:r>
    </w:p>
    <w:p>
      <w:pPr>
        <w:pStyle w:val="ListParagraph"/>
        <w:numPr>
          <w:ilvl w:val="0"/>
          <w:numId w:val="2"/>
        </w:numPr>
        <w:spacing w:after="60" w:before="0"/>
      </w:pPr>
      <w:r>
        <w:rPr>
          <w:rFonts w:ascii="Arial" w:cs="Arial" w:eastAsia="Arial" w:hAnsi="Arial"/>
          <w:b w:val="false"/>
          <w:bCs w:val="false"/>
          <w:sz w:val="22"/>
          <w:szCs w:val="22"/>
        </w:rPr>
        <w:t xml:space="preserve">Weekly timeframe: close 7,408.50 sits well below weekly P (7428.54) and below the prior-week mid — the weekly position has flipped to bearish for the first time since the up-leg began (indicative qualifier applies).</w:t>
      </w:r>
    </w:p>
    <w:p>
      <w:pPr>
        <w:pStyle w:val="ListParagraph"/>
        <w:numPr>
          <w:ilvl w:val="0"/>
          <w:numId w:val="2"/>
        </w:numPr>
        <w:spacing w:after="60" w:before="0"/>
      </w:pPr>
      <w:r>
        <w:rPr>
          <w:rFonts w:ascii="Arial" w:cs="Arial" w:eastAsia="Arial" w:hAnsi="Arial"/>
          <w:b w:val="false"/>
          <w:bCs w:val="false"/>
          <w:sz w:val="22"/>
          <w:szCs w:val="22"/>
        </w:rPr>
        <w:t xml:space="preserve">Monthly timeframe: close 7,408.50 sits well above monthly P (7047.67) and even above monthly R1 (7385.33) — the structural monthly bias remains firmly bullish; the Friday selloff has only dented the daily/weekly picture, not the monthly. This is the source of the §9 "trend intact / impulse paused" framing.</w:t>
      </w:r>
    </w:p>
    <w:p>
      <w:pPr>
        <w:pStyle w:val="ListParagraph"/>
        <w:numPr>
          <w:ilvl w:val="0"/>
          <w:numId w:val="2"/>
        </w:numPr>
        <w:spacing w:after="60" w:before="0"/>
      </w:pPr>
      <w:r>
        <w:rPr>
          <w:rFonts w:ascii="Arial" w:cs="Arial" w:eastAsia="Arial" w:hAnsi="Arial"/>
          <w:b w:val="false"/>
          <w:bCs w:val="false"/>
          <w:sz w:val="22"/>
          <w:szCs w:val="22"/>
        </w:rPr>
        <w:t xml:space="preserve">Confluence zone check (within 0.05%): daily R1 (7443.07) and Friday's session high (7,454.85) are essentially the same price (difference 0.04%) — these are within the tight confluence threshold. Weekly R1 (7497.08) sits near 7,500 / Thursday's close (7,501.24) — within 0.05% confluence. Both are credible upside resistance clusters.</w:t>
      </w:r>
    </w:p>
    <w:p>
      <w:pPr>
        <w:pStyle w:val="Heading1"/>
        <w:spacing w:after="160" w:before="320"/>
      </w:pPr>
      <w:r>
        <w:rPr>
          <w:rFonts w:ascii="Arial" w:cs="Arial" w:eastAsia="Arial" w:hAnsi="Arial"/>
          <w:b/>
          <w:bCs/>
          <w:color w:val="1F3A5F"/>
          <w:sz w:val="30"/>
          <w:szCs w:val="30"/>
        </w:rPr>
        <w:t xml:space="preserve">§12  Key Market Considerations</w:t>
      </w:r>
    </w:p>
    <w:p>
      <w:pPr>
        <w:spacing w:after="120" w:before="0"/>
        <w:jc w:val="left"/>
      </w:pPr>
      <w:r>
        <w:rPr>
          <w:rFonts w:ascii="Arial" w:cs="Arial" w:eastAsia="Arial" w:hAnsi="Arial"/>
          <w:b w:val="false"/>
          <w:bCs w:val="false"/>
          <w:i/>
          <w:iCs/>
          <w:color w:val="000000"/>
          <w:sz w:val="18"/>
          <w:szCs w:val="18"/>
        </w:rPr>
        <w:t xml:space="preserve">Structured fundamentals assessment for S&amp;P 500. For each factor: direction label and material commentary; cyclical (event-driven, near-term) versus structural (lasting 6+ months) tagged where relevant.</w:t>
      </w:r>
    </w:p>
    <w:p>
      <w:pPr>
        <w:spacing w:after="100" w:before="180"/>
      </w:pPr>
      <w:r>
        <w:rPr>
          <w:rFonts w:ascii="Arial" w:cs="Arial" w:eastAsia="Arial" w:hAnsi="Arial"/>
          <w:b/>
          <w:bCs/>
          <w:color w:val="333333"/>
          <w:sz w:val="24"/>
          <w:szCs w:val="24"/>
        </w:rPr>
        <w:t xml:space="preserve">Earnings &amp; corporate fundamentals — PRICE-SUPPORTIVE (structural)</w:t>
      </w:r>
    </w:p>
    <w:p>
      <w:pPr>
        <w:spacing w:after="100" w:before="0"/>
        <w:jc w:val="left"/>
      </w:pPr>
      <w:r>
        <w:rPr>
          <w:rFonts w:ascii="Arial" w:cs="Arial" w:eastAsia="Arial" w:hAnsi="Arial"/>
          <w:b w:val="false"/>
          <w:bCs w:val="false"/>
          <w:i w:val="false"/>
          <w:iCs w:val="false"/>
          <w:color w:val="000000"/>
          <w:sz w:val="22"/>
          <w:szCs w:val="22"/>
        </w:rPr>
        <w:t xml:space="preserve">The dominant supportive force remains the AI-capex and AI-revenue cycle. Cisco's 13 May FY26 Q3 report delivered EPS $1.06 (beat by 1.92%), revenues $15.84 bn (+12% YoY), and lifted AI-infrastructure orderbook guidance from $5 bn to $9 bn. Stock rallied 13.4–14% on the print. Yardeni Research raised year-end S&amp;P 500 target to 8,250 from 7,700 citing earnings-estimate momentum: 'I've been bullish, but not bullish enough.' Nvidia's fiscal Q1 2027 print after the close on Wednesday 20 May 2026 is the year's single most-watched corporate event — consensus EPS ~$1.77, revenue ~$78.6 bn (+78% YoY); Goldman Sachs (Schneider) forecasts $80 bn revenue and ~$87.7 bn Q2 guide. Polymarket implied probability of Nvidia beating consensus was ~90% earlier in the cycle. Verdict: structural support.</w:t>
      </w:r>
    </w:p>
    <w:p>
      <w:pPr>
        <w:spacing w:after="100" w:before="180"/>
      </w:pPr>
      <w:r>
        <w:rPr>
          <w:rFonts w:ascii="Arial" w:cs="Arial" w:eastAsia="Arial" w:hAnsi="Arial"/>
          <w:b/>
          <w:bCs/>
          <w:color w:val="333333"/>
          <w:sz w:val="24"/>
          <w:szCs w:val="24"/>
        </w:rPr>
        <w:t xml:space="preserve">Inflation — PRICE-NEGATIVE (cyclical re-acceleration)</w:t>
      </w:r>
    </w:p>
    <w:p>
      <w:pPr>
        <w:spacing w:after="100" w:before="0"/>
        <w:jc w:val="left"/>
      </w:pPr>
      <w:r>
        <w:rPr>
          <w:rFonts w:ascii="Arial" w:cs="Arial" w:eastAsia="Arial" w:hAnsi="Arial"/>
          <w:b w:val="false"/>
          <w:bCs w:val="false"/>
          <w:i w:val="false"/>
          <w:iCs w:val="false"/>
          <w:color w:val="000000"/>
          <w:sz w:val="22"/>
          <w:szCs w:val="22"/>
        </w:rPr>
        <w:t xml:space="preserve">Mid-week April data was the key drag: CPI headline pushed the BLS index to 332.4 (a ~3-year high), with the monthly print +0.6% and the annual core CPI well above the 2% target. April PPI rose +1.4% MoM and core PPI +1.0% (both materially above 0.5% / 0.4% consensus); wholesale inflation hit ~6% annualised, the hottest since 2022. Energy was up 3.8% MoM and ~18% YoY — directly traceable to the Iran conflict. The Cleveland Fed nowcast had flagged the April headline at +0.45% MoM heading into the print. Verdict: cyclical re-acceleration; the most important driver of Friday's selloff.</w:t>
      </w:r>
    </w:p>
    <w:p>
      <w:pPr>
        <w:spacing w:after="100" w:before="180"/>
      </w:pPr>
      <w:r>
        <w:rPr>
          <w:rFonts w:ascii="Arial" w:cs="Arial" w:eastAsia="Arial" w:hAnsi="Arial"/>
          <w:b/>
          <w:bCs/>
          <w:color w:val="333333"/>
          <w:sz w:val="24"/>
          <w:szCs w:val="24"/>
        </w:rPr>
        <w:t xml:space="preserve">Monetary policy — PRICE-NEGATIVE (hawkish repricing)</w:t>
      </w:r>
    </w:p>
    <w:p>
      <w:pPr>
        <w:spacing w:after="100" w:before="0"/>
        <w:jc w:val="left"/>
      </w:pPr>
      <w:r>
        <w:rPr>
          <w:rFonts w:ascii="Arial" w:cs="Arial" w:eastAsia="Arial" w:hAnsi="Arial"/>
          <w:b w:val="false"/>
          <w:bCs w:val="false"/>
          <w:i w:val="false"/>
          <w:iCs w:val="false"/>
          <w:color w:val="000000"/>
          <w:sz w:val="22"/>
          <w:szCs w:val="22"/>
        </w:rPr>
        <w:t xml:space="preserve">FOMC held Fed funds at 3.50–3.75% at the 28–29 April 2026 meeting (decision per Equals Money / 5paisa). Markets, after Friday's data, are now pricing approximately a 28% probability of a 25 bp hike at the 9 December 2026 meeting (Trading Economics) and have pushed any rate cuts well into late 2026 or 2027. The Fed remains in 'wait and see' mode but the bias is firmly hawkish for the May/June window. Treasury yields reached 2026 highs on Tuesday 12 May with 10Y at ~4.47% and 20Y/30Y above 5%. The next FOMC is 16–17 June, outside the 5-day forecast horizon. Verdict: negative.</w:t>
      </w:r>
    </w:p>
    <w:p>
      <w:pPr>
        <w:spacing w:after="100" w:before="180"/>
      </w:pPr>
      <w:r>
        <w:rPr>
          <w:rFonts w:ascii="Arial" w:cs="Arial" w:eastAsia="Arial" w:hAnsi="Arial"/>
          <w:b/>
          <w:bCs/>
          <w:color w:val="333333"/>
          <w:sz w:val="24"/>
          <w:szCs w:val="24"/>
        </w:rPr>
        <w:t xml:space="preserve">Geopolitics — PRICE-NEGATIVE (Iran conflict; mixed Trump–Xi)</w:t>
      </w:r>
    </w:p>
    <w:p>
      <w:pPr>
        <w:spacing w:after="100" w:before="0"/>
        <w:jc w:val="left"/>
      </w:pPr>
      <w:r>
        <w:rPr>
          <w:rFonts w:ascii="Arial" w:cs="Arial" w:eastAsia="Arial" w:hAnsi="Arial"/>
          <w:b w:val="false"/>
          <w:bCs w:val="false"/>
          <w:i w:val="false"/>
          <w:iCs w:val="false"/>
          <w:color w:val="000000"/>
          <w:sz w:val="22"/>
          <w:szCs w:val="22"/>
        </w:rPr>
        <w:t xml:space="preserve">The Iran conflict continues to drive oil prices: Brent at 109.26 (+3.35% Fri), WTI back above $104. President Trump described Iran's latest counter-proposal first sentence as 'unacceptable'; the truce is 'on life support'. The Strait of Hormuz remains de-facto disrupted. Separately, the Trump–Xi Beijing summit (14–15 May) ended with 'no major deals'; Boeing's 200-aircraft Chinese order was below the 500-aircraft hoped-for tally; Boeing fell -3.8% on 14 May and another -3.74% on 15 May. China rejected helping mediate Iran. Verdict: net negative for risk assets.</w:t>
      </w:r>
    </w:p>
    <w:p>
      <w:pPr>
        <w:spacing w:after="100" w:before="180"/>
      </w:pPr>
      <w:r>
        <w:rPr>
          <w:rFonts w:ascii="Arial" w:cs="Arial" w:eastAsia="Arial" w:hAnsi="Arial"/>
          <w:b/>
          <w:bCs/>
          <w:color w:val="333333"/>
          <w:sz w:val="24"/>
          <w:szCs w:val="24"/>
        </w:rPr>
        <w:t xml:space="preserve">Liquidity / positioning — MIXED</w:t>
      </w:r>
    </w:p>
    <w:p>
      <w:pPr>
        <w:spacing w:after="100" w:before="0"/>
        <w:jc w:val="left"/>
      </w:pPr>
      <w:r>
        <w:rPr>
          <w:rFonts w:ascii="Arial" w:cs="Arial" w:eastAsia="Arial" w:hAnsi="Arial"/>
          <w:b w:val="false"/>
          <w:bCs w:val="false"/>
          <w:i w:val="false"/>
          <w:iCs w:val="false"/>
          <w:color w:val="000000"/>
          <w:sz w:val="22"/>
          <w:szCs w:val="22"/>
        </w:rPr>
        <w:t xml:space="preserve">Bond yields rising on inflation prints (10Y ~4.47% on Tue) tightens financial conditions. USD strength (DXY 99.27 highest in ~a month) is a translation headwind for S&amp;P 500 multinationals (per the original watch-list context: DXY rising typically headwind for multinational earnings). Conversely, retail/passive flows remain a tailwind — recent retail sales +0.5% MoM signalled resilient consumer; jobless claims at 211k continue to indicate a tight labour market without breakage. Verdict: structurally mixed; cyclically negative.</w:t>
      </w:r>
    </w:p>
    <w:p>
      <w:pPr>
        <w:spacing w:after="100" w:before="180"/>
      </w:pPr>
      <w:r>
        <w:rPr>
          <w:rFonts w:ascii="Arial" w:cs="Arial" w:eastAsia="Arial" w:hAnsi="Arial"/>
          <w:b/>
          <w:bCs/>
          <w:color w:val="333333"/>
          <w:sz w:val="24"/>
          <w:szCs w:val="24"/>
        </w:rPr>
        <w:t xml:space="preserve">Near-term catalysts (next 5 sessions)</w:t>
      </w:r>
    </w:p>
    <w:p>
      <w:pPr>
        <w:pStyle w:val="ListParagraph"/>
        <w:numPr>
          <w:ilvl w:val="0"/>
          <w:numId w:val="2"/>
        </w:numPr>
        <w:spacing w:after="60" w:before="0"/>
      </w:pPr>
      <w:r>
        <w:rPr>
          <w:rFonts w:ascii="Arial" w:cs="Arial" w:eastAsia="Arial" w:hAnsi="Arial"/>
          <w:b w:val="false"/>
          <w:bCs w:val="false"/>
          <w:sz w:val="22"/>
          <w:szCs w:val="22"/>
        </w:rPr>
        <w:t xml:space="preserve">Mon 19 May (PM US): Tier-2 macro: NY Empire State Manufacturing Survey, Conference Board Leading Index expected.</w:t>
      </w:r>
    </w:p>
    <w:p>
      <w:pPr>
        <w:pStyle w:val="ListParagraph"/>
        <w:numPr>
          <w:ilvl w:val="0"/>
          <w:numId w:val="2"/>
        </w:numPr>
        <w:spacing w:after="60" w:before="0"/>
      </w:pPr>
      <w:r>
        <w:rPr>
          <w:rFonts w:ascii="Arial" w:cs="Arial" w:eastAsia="Arial" w:hAnsi="Arial"/>
          <w:b w:val="false"/>
          <w:bCs w:val="false"/>
          <w:sz w:val="22"/>
          <w:szCs w:val="22"/>
        </w:rPr>
        <w:t xml:space="preserve">Tue 20 May: Walmart Q1 FY27 earnings before open — bellwether for consumer health.</w:t>
      </w:r>
    </w:p>
    <w:p>
      <w:pPr>
        <w:pStyle w:val="ListParagraph"/>
        <w:numPr>
          <w:ilvl w:val="0"/>
          <w:numId w:val="2"/>
        </w:numPr>
        <w:spacing w:after="60" w:before="0"/>
      </w:pPr>
      <w:r>
        <w:rPr>
          <w:rFonts w:ascii="Arial" w:cs="Arial" w:eastAsia="Arial" w:hAnsi="Arial"/>
          <w:b w:val="false"/>
          <w:bCs w:val="false"/>
          <w:sz w:val="22"/>
          <w:szCs w:val="22"/>
        </w:rPr>
        <w:t xml:space="preserve">Wed 21 May (AMC): NVIDIA fiscal Q1 2027 earnings — the dominant single-stock catalyst for the AI tape and by extension SPX.</w:t>
      </w:r>
    </w:p>
    <w:p>
      <w:pPr>
        <w:pStyle w:val="ListParagraph"/>
        <w:numPr>
          <w:ilvl w:val="0"/>
          <w:numId w:val="2"/>
        </w:numPr>
        <w:spacing w:after="60" w:before="0"/>
      </w:pPr>
      <w:r>
        <w:rPr>
          <w:rFonts w:ascii="Arial" w:cs="Arial" w:eastAsia="Arial" w:hAnsi="Arial"/>
          <w:b w:val="false"/>
          <w:bCs w:val="false"/>
          <w:sz w:val="22"/>
          <w:szCs w:val="22"/>
        </w:rPr>
        <w:t xml:space="preserve">Wed 21 May: Target, TJX, Lowe's earnings — full retailer cohort.</w:t>
      </w:r>
    </w:p>
    <w:p>
      <w:pPr>
        <w:pStyle w:val="ListParagraph"/>
        <w:numPr>
          <w:ilvl w:val="0"/>
          <w:numId w:val="2"/>
        </w:numPr>
        <w:spacing w:after="60" w:before="0"/>
      </w:pPr>
      <w:r>
        <w:rPr>
          <w:rFonts w:ascii="Arial" w:cs="Arial" w:eastAsia="Arial" w:hAnsi="Arial"/>
          <w:b w:val="false"/>
          <w:bCs w:val="false"/>
          <w:sz w:val="22"/>
          <w:szCs w:val="22"/>
        </w:rPr>
        <w:t xml:space="preserve">Thu 22 May: Existing home sales; jobless claims; flash PMIs (S&amp;P Global Manufacturing/Services).</w:t>
      </w:r>
    </w:p>
    <w:p>
      <w:pPr>
        <w:pStyle w:val="ListParagraph"/>
        <w:numPr>
          <w:ilvl w:val="0"/>
          <w:numId w:val="2"/>
        </w:numPr>
        <w:spacing w:after="60" w:before="0"/>
      </w:pPr>
      <w:r>
        <w:rPr>
          <w:rFonts w:ascii="Arial" w:cs="Arial" w:eastAsia="Arial" w:hAnsi="Arial"/>
          <w:b w:val="false"/>
          <w:bCs w:val="false"/>
          <w:sz w:val="22"/>
          <w:szCs w:val="22"/>
        </w:rPr>
        <w:t xml:space="preserve">Throughout the week: ongoing Iran/Hormuz headline risk; Fed-speak from various officials inside the post-FOMC blackout-lifting window.</w:t>
      </w:r>
    </w:p>
    <w:p>
      <w:pPr>
        <w:pStyle w:val="Heading1"/>
        <w:spacing w:after="160" w:before="320"/>
      </w:pPr>
      <w:r>
        <w:rPr>
          <w:rFonts w:ascii="Arial" w:cs="Arial" w:eastAsia="Arial" w:hAnsi="Arial"/>
          <w:b/>
          <w:bCs/>
          <w:color w:val="1F3A5F"/>
          <w:sz w:val="30"/>
          <w:szCs w:val="30"/>
        </w:rPr>
        <w:t xml:space="preserve">§13  Sentiment, News &amp; Calendar</w:t>
      </w:r>
    </w:p>
    <w:p>
      <w:pPr>
        <w:spacing w:after="100" w:before="180"/>
      </w:pPr>
      <w:r>
        <w:rPr>
          <w:rFonts w:ascii="Arial" w:cs="Arial" w:eastAsia="Arial" w:hAnsi="Arial"/>
          <w:b/>
          <w:bCs/>
          <w:color w:val="333333"/>
          <w:sz w:val="24"/>
          <w:szCs w:val="24"/>
        </w:rPr>
        <w:t xml:space="preserve">§13a  Per-article sentiment table (selected core coverage, 11–15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3300"/>
        <w:gridCol w:w="1200"/>
        <w:gridCol w:w="1300"/>
        <w:gridCol w:w="1060"/>
      </w:tblGrid>
      <w:tr>
        <w:trPr>
          <w:tblHeader/>
        </w:trPr>
        <w:tc>
          <w:tcPr>
            <w:tcW w:type="dxa" w:w="14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Source</w:t>
            </w:r>
          </w:p>
        </w:tc>
        <w:tc>
          <w:tcPr>
            <w:tcW w:type="dxa" w:w="11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Date</w:t>
            </w:r>
          </w:p>
        </w:tc>
        <w:tc>
          <w:tcPr>
            <w:tcW w:type="dxa" w:w="33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Headline (key phrase)</w:t>
            </w:r>
          </w:p>
        </w:tc>
        <w:tc>
          <w:tcPr>
            <w:tcW w:type="dxa" w:w="12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Class.</w:t>
            </w:r>
          </w:p>
        </w:tc>
        <w:tc>
          <w:tcPr>
            <w:tcW w:type="dxa" w:w="13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Sentiment</w:t>
            </w:r>
          </w:p>
        </w:tc>
        <w:tc>
          <w:tcPr>
            <w:tcW w:type="dxa" w:w="106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Derivation quote</w:t>
            </w:r>
          </w:p>
        </w:tc>
      </w:tr>
      <w:tr>
        <w:tc>
          <w:tcPr>
            <w:tcW w:type="dxa" w:w="14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CNBC (Yardeni interview)</w:t>
            </w:r>
          </w:p>
        </w:tc>
        <w:tc>
          <w:tcPr>
            <w:tcW w:type="dxa" w:w="11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11 May</w:t>
            </w:r>
          </w:p>
        </w:tc>
        <w:tc>
          <w:tcPr>
            <w:tcW w:type="dxa" w:w="33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Yardeni hikes year-end target to 8,250 from 7,700</w:t>
            </w:r>
          </w:p>
        </w:tc>
        <w:tc>
          <w:tcPr>
            <w:tcW w:type="dxa" w:w="12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Institutional</w:t>
            </w:r>
          </w:p>
        </w:tc>
        <w:tc>
          <w:tcPr>
            <w:tcW w:type="dxa" w:w="13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Bullish</w:t>
            </w:r>
          </w:p>
        </w:tc>
        <w:tc>
          <w:tcPr>
            <w:tcW w:type="dxa" w:w="106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"earnings estimates of analysts have been phenomenal"</w:t>
            </w:r>
          </w:p>
        </w:tc>
      </w:tr>
      <w:tr>
        <w:tc>
          <w:tcPr>
            <w:tcW w:type="dxa" w:w="14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CNBC</w:t>
            </w:r>
          </w:p>
        </w:tc>
        <w:tc>
          <w:tcPr>
            <w:tcW w:type="dxa" w:w="11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12 May</w:t>
            </w:r>
          </w:p>
        </w:tc>
        <w:tc>
          <w:tcPr>
            <w:tcW w:type="dxa" w:w="33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Hot CPI; chip stocks pull back; SPX slips from record</w:t>
            </w:r>
          </w:p>
        </w:tc>
        <w:tc>
          <w:tcPr>
            <w:tcW w:type="dxa" w:w="12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Media</w:t>
            </w:r>
          </w:p>
        </w:tc>
        <w:tc>
          <w:tcPr>
            <w:tcW w:type="dxa" w:w="13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Bearish</w:t>
            </w:r>
          </w:p>
        </w:tc>
        <w:tc>
          <w:tcPr>
            <w:tcW w:type="dxa" w:w="106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"sending investors into risk-off mode"</w:t>
            </w:r>
          </w:p>
        </w:tc>
      </w:tr>
      <w:tr>
        <w:tc>
          <w:tcPr>
            <w:tcW w:type="dxa" w:w="14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TheStreet</w:t>
            </w:r>
          </w:p>
        </w:tc>
        <w:tc>
          <w:tcPr>
            <w:tcW w:type="dxa" w:w="11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13 May</w:t>
            </w:r>
          </w:p>
        </w:tc>
        <w:tc>
          <w:tcPr>
            <w:tcW w:type="dxa" w:w="33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Nasdaq, S&amp;P 500 set new records as tech leads despite inflation scare</w:t>
            </w:r>
          </w:p>
        </w:tc>
        <w:tc>
          <w:tcPr>
            <w:tcW w:type="dxa" w:w="12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Media</w:t>
            </w:r>
          </w:p>
        </w:tc>
        <w:tc>
          <w:tcPr>
            <w:tcW w:type="dxa" w:w="13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Bullish</w:t>
            </w:r>
          </w:p>
        </w:tc>
        <w:tc>
          <w:tcPr>
            <w:tcW w:type="dxa" w:w="106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"Treasurys rose to 2026 highs after disappointing inflation"</w:t>
            </w:r>
          </w:p>
        </w:tc>
      </w:tr>
      <w:tr>
        <w:tc>
          <w:tcPr>
            <w:tcW w:type="dxa" w:w="14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CNBC</w:t>
            </w:r>
          </w:p>
        </w:tc>
        <w:tc>
          <w:tcPr>
            <w:tcW w:type="dxa" w:w="11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14 May</w:t>
            </w:r>
          </w:p>
        </w:tc>
        <w:tc>
          <w:tcPr>
            <w:tcW w:type="dxa" w:w="33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Cisco rallies on AI orderbook; Dow retakes 50,000; SPX above 7,500</w:t>
            </w:r>
          </w:p>
        </w:tc>
        <w:tc>
          <w:tcPr>
            <w:tcW w:type="dxa" w:w="12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Media</w:t>
            </w:r>
          </w:p>
        </w:tc>
        <w:tc>
          <w:tcPr>
            <w:tcW w:type="dxa" w:w="13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Bullish</w:t>
            </w:r>
          </w:p>
        </w:tc>
        <w:tc>
          <w:tcPr>
            <w:tcW w:type="dxa" w:w="106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"hard to look past the robust earnings growth story"</w:t>
            </w:r>
          </w:p>
        </w:tc>
      </w:tr>
      <w:tr>
        <w:tc>
          <w:tcPr>
            <w:tcW w:type="dxa" w:w="14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IndexBox</w:t>
            </w:r>
          </w:p>
        </w:tc>
        <w:tc>
          <w:tcPr>
            <w:tcW w:type="dxa" w:w="11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14 May</w:t>
            </w:r>
          </w:p>
        </w:tc>
        <w:tc>
          <w:tcPr>
            <w:tcW w:type="dxa" w:w="33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S&amp;P 500 and Nasdaq Close at Record Levels on May 14, 2026</w:t>
            </w:r>
          </w:p>
        </w:tc>
        <w:tc>
          <w:tcPr>
            <w:tcW w:type="dxa" w:w="12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Trade press</w:t>
            </w:r>
          </w:p>
        </w:tc>
        <w:tc>
          <w:tcPr>
            <w:tcW w:type="dxa" w:w="130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Bullish</w:t>
            </w:r>
          </w:p>
        </w:tc>
        <w:tc>
          <w:tcPr>
            <w:tcW w:type="dxa" w:w="106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"driven by strength in AI-related stocks"</w:t>
            </w:r>
          </w:p>
        </w:tc>
      </w:tr>
      <w:tr>
        <w:tc>
          <w:tcPr>
            <w:tcW w:type="dxa" w:w="14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247WallSt</w:t>
            </w:r>
          </w:p>
        </w:tc>
        <w:tc>
          <w:tcPr>
            <w:tcW w:type="dxa" w:w="11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15 May</w:t>
            </w:r>
          </w:p>
        </w:tc>
        <w:tc>
          <w:tcPr>
            <w:tcW w:type="dxa" w:w="33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S&amp;P 500 Deep in the Red; Trump-Xi ends no major deals</w:t>
            </w:r>
          </w:p>
        </w:tc>
        <w:tc>
          <w:tcPr>
            <w:tcW w:type="dxa" w:w="12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Media</w:t>
            </w:r>
          </w:p>
        </w:tc>
        <w:tc>
          <w:tcPr>
            <w:tcW w:type="dxa" w:w="13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Bearish</w:t>
            </w:r>
          </w:p>
        </w:tc>
        <w:tc>
          <w:tcPr>
            <w:tcW w:type="dxa" w:w="106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"unsustainable move in tech stocks is starting to break down"</w:t>
            </w:r>
          </w:p>
        </w:tc>
      </w:tr>
      <w:tr>
        <w:tc>
          <w:tcPr>
            <w:tcW w:type="dxa" w:w="14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TheStreet</w:t>
            </w:r>
          </w:p>
        </w:tc>
        <w:tc>
          <w:tcPr>
            <w:tcW w:type="dxa" w:w="11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15 May</w:t>
            </w:r>
          </w:p>
        </w:tc>
        <w:tc>
          <w:tcPr>
            <w:tcW w:type="dxa" w:w="33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Anticlimactic Trump-Xi summit; equities fall from records</w:t>
            </w:r>
          </w:p>
        </w:tc>
        <w:tc>
          <w:tcPr>
            <w:tcW w:type="dxa" w:w="12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Media</w:t>
            </w:r>
          </w:p>
        </w:tc>
        <w:tc>
          <w:tcPr>
            <w:tcW w:type="dxa" w:w="13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Bearish</w:t>
            </w:r>
          </w:p>
        </w:tc>
        <w:tc>
          <w:tcPr>
            <w:tcW w:type="dxa" w:w="106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"inflation concerns and rising Treasury yields"</w:t>
            </w:r>
          </w:p>
        </w:tc>
      </w:tr>
      <w:tr>
        <w:tc>
          <w:tcPr>
            <w:tcW w:type="dxa" w:w="14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Trading Economics</w:t>
            </w:r>
          </w:p>
        </w:tc>
        <w:tc>
          <w:tcPr>
            <w:tcW w:type="dxa" w:w="11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15 May</w:t>
            </w:r>
          </w:p>
        </w:tc>
        <w:tc>
          <w:tcPr>
            <w:tcW w:type="dxa" w:w="33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Stocks fell sharply on Iran-conflict inflation concern</w:t>
            </w:r>
          </w:p>
        </w:tc>
        <w:tc>
          <w:tcPr>
            <w:tcW w:type="dxa" w:w="12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Trade press</w:t>
            </w:r>
          </w:p>
        </w:tc>
        <w:tc>
          <w:tcPr>
            <w:tcW w:type="dxa" w:w="130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Bearish</w:t>
            </w:r>
          </w:p>
        </w:tc>
        <w:tc>
          <w:tcPr>
            <w:tcW w:type="dxa" w:w="106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"higher energy prices could further fuel inflation"</w:t>
            </w:r>
          </w:p>
        </w:tc>
      </w:tr>
    </w:tbl>
    <w:p>
      <w:pPr>
        <w:spacing w:after="120" w:before="0"/>
      </w:pPr>
      <w:r>
        <w:rPr>
          <w:sz w:val="8"/>
          <w:szCs w:val="8"/>
        </w:rPr>
        <w:t xml:space="preserve"/>
      </w:r>
    </w:p>
    <w:p>
      <w:pPr>
        <w:spacing w:after="100" w:before="180"/>
      </w:pPr>
      <w:r>
        <w:rPr>
          <w:rFonts w:ascii="Arial" w:cs="Arial" w:eastAsia="Arial" w:hAnsi="Arial"/>
          <w:b/>
          <w:bCs/>
          <w:color w:val="333333"/>
          <w:sz w:val="24"/>
          <w:szCs w:val="24"/>
        </w:rPr>
        <w:t xml:space="preserve">§13b  Aggregate sentiment</w:t>
      </w:r>
    </w:p>
    <w:p>
      <w:pPr>
        <w:pStyle w:val="ListParagraph"/>
        <w:numPr>
          <w:ilvl w:val="0"/>
          <w:numId w:val="2"/>
        </w:numPr>
        <w:spacing w:after="60" w:before="0"/>
      </w:pPr>
      <w:r>
        <w:rPr>
          <w:rFonts w:ascii="Arial" w:cs="Arial" w:eastAsia="Arial" w:hAnsi="Arial"/>
          <w:b w:val="false"/>
          <w:bCs w:val="false"/>
          <w:sz w:val="22"/>
          <w:szCs w:val="22"/>
        </w:rPr>
        <w:t xml:space="preserve">Categorical: 4 Bullish · 4 Bearish · 0 Neutral / Mixed across the core coverage selection.</w:t>
      </w:r>
    </w:p>
    <w:p>
      <w:pPr>
        <w:pStyle w:val="ListParagraph"/>
        <w:numPr>
          <w:ilvl w:val="0"/>
          <w:numId w:val="2"/>
        </w:numPr>
        <w:spacing w:after="60" w:before="0"/>
      </w:pPr>
      <w:r>
        <w:rPr>
          <w:rFonts w:ascii="Arial" w:cs="Arial" w:eastAsia="Arial" w:hAnsi="Arial"/>
          <w:b w:val="false"/>
          <w:bCs w:val="false"/>
          <w:sz w:val="22"/>
          <w:szCs w:val="22"/>
        </w:rPr>
        <w:t xml:space="preserve">Trajectory: bullish through Wed 13 May; bearish for both 15 May articles. Sentiment inflected mid-week with the policy/inflation/geopolitics overlay overwhelming the earnings tape.</w:t>
      </w:r>
    </w:p>
    <w:p>
      <w:pPr>
        <w:pStyle w:val="ListParagraph"/>
        <w:numPr>
          <w:ilvl w:val="0"/>
          <w:numId w:val="2"/>
        </w:numPr>
        <w:spacing w:after="60" w:before="0"/>
      </w:pPr>
      <w:r>
        <w:rPr>
          <w:rFonts w:ascii="Arial" w:cs="Arial" w:eastAsia="Arial" w:hAnsi="Arial"/>
          <w:b w:val="false"/>
          <w:bCs w:val="false"/>
          <w:sz w:val="22"/>
          <w:szCs w:val="22"/>
        </w:rPr>
        <w:t xml:space="preserve">Numeric tilt (institutional-weighted, −1 to +1): roughly 0.00 — balanced. The institutional-class read (Yardeni bullish 8,250 target) is offset by the broad-tape bearish reaction on Friday. Forwarded into the §21 direction score.</w:t>
      </w:r>
    </w:p>
    <w:p>
      <w:pPr>
        <w:spacing w:after="100" w:before="0"/>
      </w:pPr>
      <w:r>
        <w:rPr>
          <w:sz w:val="8"/>
          <w:szCs w:val="8"/>
        </w:rPr>
        <w:t xml:space="preserve"/>
      </w:r>
    </w:p>
    <w:p>
      <w:pPr>
        <w:spacing w:after="100" w:before="180"/>
      </w:pPr>
      <w:r>
        <w:rPr>
          <w:rFonts w:ascii="Arial" w:cs="Arial" w:eastAsia="Arial" w:hAnsi="Arial"/>
          <w:b/>
          <w:bCs/>
          <w:color w:val="333333"/>
          <w:sz w:val="24"/>
          <w:szCs w:val="24"/>
        </w:rPr>
        <w:t xml:space="preserve">§13c  News calendar — Recent (past 5 sessions)</w:t>
      </w:r>
    </w:p>
    <w:p>
      <w:pPr>
        <w:pStyle w:val="ListParagraph"/>
        <w:numPr>
          <w:ilvl w:val="0"/>
          <w:numId w:val="2"/>
        </w:numPr>
        <w:spacing w:after="60" w:before="0"/>
      </w:pPr>
      <w:r>
        <w:rPr>
          <w:rFonts w:ascii="Arial" w:cs="Arial" w:eastAsia="Arial" w:hAnsi="Arial"/>
          <w:b w:val="false"/>
          <w:bCs w:val="false"/>
          <w:sz w:val="22"/>
          <w:szCs w:val="22"/>
        </w:rPr>
        <w:t xml:space="preserve">Mon 11 May: Trump-Xi pre-summit positioning; SPX records.</w:t>
      </w:r>
    </w:p>
    <w:p>
      <w:pPr>
        <w:pStyle w:val="ListParagraph"/>
        <w:numPr>
          <w:ilvl w:val="0"/>
          <w:numId w:val="2"/>
        </w:numPr>
        <w:spacing w:after="60" w:before="0"/>
      </w:pPr>
      <w:r>
        <w:rPr>
          <w:rFonts w:ascii="Arial" w:cs="Arial" w:eastAsia="Arial" w:hAnsi="Arial"/>
          <w:b w:val="false"/>
          <w:bCs w:val="false"/>
          <w:sz w:val="22"/>
          <w:szCs w:val="22"/>
        </w:rPr>
        <w:t xml:space="preserve">Tue 12 May (08:30 ET): US April CPI release — hotter than expected; index slipped from record.</w:t>
      </w:r>
    </w:p>
    <w:p>
      <w:pPr>
        <w:pStyle w:val="ListParagraph"/>
        <w:numPr>
          <w:ilvl w:val="0"/>
          <w:numId w:val="2"/>
        </w:numPr>
        <w:spacing w:after="60" w:before="0"/>
      </w:pPr>
      <w:r>
        <w:rPr>
          <w:rFonts w:ascii="Arial" w:cs="Arial" w:eastAsia="Arial" w:hAnsi="Arial"/>
          <w:b w:val="false"/>
          <w:bCs w:val="false"/>
          <w:sz w:val="22"/>
          <w:szCs w:val="22"/>
        </w:rPr>
        <w:t xml:space="preserve">Tue 12 May: US Treasury 10Y closed 4.47% (2026 high); 20Y/30Y &gt;5%.</w:t>
      </w:r>
    </w:p>
    <w:p>
      <w:pPr>
        <w:pStyle w:val="ListParagraph"/>
        <w:numPr>
          <w:ilvl w:val="0"/>
          <w:numId w:val="2"/>
        </w:numPr>
        <w:spacing w:after="60" w:before="0"/>
      </w:pPr>
      <w:r>
        <w:rPr>
          <w:rFonts w:ascii="Arial" w:cs="Arial" w:eastAsia="Arial" w:hAnsi="Arial"/>
          <w:b w:val="false"/>
          <w:bCs w:val="false"/>
          <w:sz w:val="22"/>
          <w:szCs w:val="22"/>
        </w:rPr>
        <w:t xml:space="preserve">Wed 13 May (08:30 ET): US April PPI — +1.4% MoM (vs +0.5% est.); core PPI +1.0%; SPX still set fresh record close.</w:t>
      </w:r>
    </w:p>
    <w:p>
      <w:pPr>
        <w:pStyle w:val="ListParagraph"/>
        <w:numPr>
          <w:ilvl w:val="0"/>
          <w:numId w:val="2"/>
        </w:numPr>
        <w:spacing w:after="60" w:before="0"/>
      </w:pPr>
      <w:r>
        <w:rPr>
          <w:rFonts w:ascii="Arial" w:cs="Arial" w:eastAsia="Arial" w:hAnsi="Arial"/>
          <w:b w:val="false"/>
          <w:bCs w:val="false"/>
          <w:sz w:val="22"/>
          <w:szCs w:val="22"/>
        </w:rPr>
        <w:t xml:space="preserve">Thu 14 May (08:30 ET): US April retail sales +0.5% MoM (modestly below 0.6% est.); jobless claims 211k. Cisco earnings AMC (strong).</w:t>
      </w:r>
    </w:p>
    <w:p>
      <w:pPr>
        <w:pStyle w:val="ListParagraph"/>
        <w:numPr>
          <w:ilvl w:val="0"/>
          <w:numId w:val="2"/>
        </w:numPr>
        <w:spacing w:after="60" w:before="0"/>
      </w:pPr>
      <w:r>
        <w:rPr>
          <w:rFonts w:ascii="Arial" w:cs="Arial" w:eastAsia="Arial" w:hAnsi="Arial"/>
          <w:b w:val="false"/>
          <w:bCs w:val="false"/>
          <w:sz w:val="22"/>
          <w:szCs w:val="22"/>
        </w:rPr>
        <w:t xml:space="preserve">Thu 14 May: Cerebras Systems IPO — debuted near IPO price, doubled intraday, closed +68% — risk-on AI signal.</w:t>
      </w:r>
    </w:p>
    <w:p>
      <w:pPr>
        <w:pStyle w:val="ListParagraph"/>
        <w:numPr>
          <w:ilvl w:val="0"/>
          <w:numId w:val="2"/>
        </w:numPr>
        <w:spacing w:after="60" w:before="0"/>
      </w:pPr>
      <w:r>
        <w:rPr>
          <w:rFonts w:ascii="Arial" w:cs="Arial" w:eastAsia="Arial" w:hAnsi="Arial"/>
          <w:b w:val="false"/>
          <w:bCs w:val="false"/>
          <w:sz w:val="22"/>
          <w:szCs w:val="22"/>
        </w:rPr>
        <w:t xml:space="preserve">Fri 15 May: Trump-Xi summit conclusion; no major deals; Trump describes Iran proposal first sentence 'unacceptable'.</w:t>
      </w:r>
    </w:p>
    <w:p>
      <w:pPr>
        <w:spacing w:after="80" w:before="0"/>
      </w:pPr>
      <w:r>
        <w:rPr>
          <w:sz w:val="8"/>
          <w:szCs w:val="8"/>
        </w:rPr>
        <w:t xml:space="preserve"/>
      </w:r>
    </w:p>
    <w:p>
      <w:pPr>
        <w:spacing w:after="100" w:before="180"/>
      </w:pPr>
      <w:r>
        <w:rPr>
          <w:rFonts w:ascii="Arial" w:cs="Arial" w:eastAsia="Arial" w:hAnsi="Arial"/>
          <w:b/>
          <w:bCs/>
          <w:color w:val="333333"/>
          <w:sz w:val="24"/>
          <w:szCs w:val="24"/>
        </w:rPr>
        <w:t xml:space="preserve">§13d  Forward calendar — Next 5 sessions (18–22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3600"/>
        <w:gridCol w:w="1400"/>
        <w:gridCol w:w="1660"/>
      </w:tblGrid>
      <w:tr>
        <w:trPr>
          <w:tblHeader/>
        </w:trPr>
        <w:tc>
          <w:tcPr>
            <w:tcW w:type="dxa" w:w="14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Date</w:t>
            </w:r>
          </w:p>
        </w:tc>
        <w:tc>
          <w:tcPr>
            <w:tcW w:type="dxa" w:w="13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Time (ET)</w:t>
            </w:r>
          </w:p>
        </w:tc>
        <w:tc>
          <w:tcPr>
            <w:tcW w:type="dxa" w:w="36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Event</w:t>
            </w:r>
          </w:p>
        </w:tc>
        <w:tc>
          <w:tcPr>
            <w:tcW w:type="dxa" w:w="14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Importance</w:t>
            </w:r>
          </w:p>
        </w:tc>
        <w:tc>
          <w:tcPr>
            <w:tcW w:type="dxa" w:w="166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SPX impact channel</w:t>
            </w:r>
          </w:p>
        </w:tc>
      </w:tr>
      <w:tr>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Mon 18 May</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08:30</w:t>
            </w:r>
          </w:p>
        </w:tc>
        <w:tc>
          <w:tcPr>
            <w:tcW w:type="dxa" w:w="36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NY Empire State Manufacturing</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Tier 2</w:t>
            </w:r>
          </w:p>
        </w:tc>
        <w:tc>
          <w:tcPr>
            <w:tcW w:type="dxa" w:w="16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Activity gauge — risk asset sensitivity moderate</w:t>
            </w:r>
          </w:p>
        </w:tc>
      </w:tr>
      <w:tr>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Mon 18 May</w:t>
            </w:r>
          </w:p>
        </w:tc>
        <w:tc>
          <w:tcPr>
            <w:tcW w:type="dxa" w:w="1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10:00</w:t>
            </w:r>
          </w:p>
        </w:tc>
        <w:tc>
          <w:tcPr>
            <w:tcW w:type="dxa" w:w="36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Conference Board Leading Index</w:t>
            </w:r>
          </w:p>
        </w:tc>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Tier 2</w:t>
            </w:r>
          </w:p>
        </w:tc>
        <w:tc>
          <w:tcPr>
            <w:tcW w:type="dxa" w:w="16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Macro framing for the week</w:t>
            </w:r>
          </w:p>
        </w:tc>
      </w:tr>
      <w:tr>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Tue 19 May</w:t>
            </w:r>
          </w:p>
        </w:tc>
        <w:tc>
          <w:tcPr>
            <w:tcW w:type="dxa" w:w="1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Pre-open</w:t>
            </w:r>
          </w:p>
        </w:tc>
        <w:tc>
          <w:tcPr>
            <w:tcW w:type="dxa" w:w="36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Walmart Q1 FY27 earnings</w:t>
            </w:r>
          </w:p>
        </w:tc>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Tier 1</w:t>
            </w:r>
          </w:p>
        </w:tc>
        <w:tc>
          <w:tcPr>
            <w:tcW w:type="dxa" w:w="16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Consumer health bellwether; retail-sector read-through</w:t>
            </w:r>
          </w:p>
        </w:tc>
      </w:tr>
      <w:tr>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Tue 19 May</w:t>
            </w:r>
          </w:p>
        </w:tc>
        <w:tc>
          <w:tcPr>
            <w:tcW w:type="dxa" w:w="1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10:00</w:t>
            </w:r>
          </w:p>
        </w:tc>
        <w:tc>
          <w:tcPr>
            <w:tcW w:type="dxa" w:w="36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Existing Home Sales (April)</w:t>
            </w:r>
          </w:p>
        </w:tc>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Tier 2</w:t>
            </w:r>
          </w:p>
        </w:tc>
        <w:tc>
          <w:tcPr>
            <w:tcW w:type="dxa" w:w="16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Rate-sensitive housing read</w:t>
            </w:r>
          </w:p>
        </w:tc>
      </w:tr>
      <w:tr>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Wed 20 May</w:t>
            </w:r>
          </w:p>
        </w:tc>
        <w:tc>
          <w:tcPr>
            <w:tcW w:type="dxa" w:w="1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14:00</w:t>
            </w:r>
          </w:p>
        </w:tc>
        <w:tc>
          <w:tcPr>
            <w:tcW w:type="dxa" w:w="36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FOMC minutes (Apr 28–29 mtg)</w:t>
            </w:r>
          </w:p>
        </w:tc>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Tier 1</w:t>
            </w:r>
          </w:p>
        </w:tc>
        <w:tc>
          <w:tcPr>
            <w:tcW w:type="dxa" w:w="16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Hawkish/dovish nuance vs current pricing</w:t>
            </w:r>
          </w:p>
        </w:tc>
      </w:tr>
      <w:tr>
        <w:tc>
          <w:tcPr>
            <w:tcW w:type="dxa" w:w="1400"/>
            <w:tcBorders>
              <w:top w:val="single" w:color="BBBBBB" w:sz="4"/>
              <w:left w:val="single" w:color="BBBBBB" w:sz="4"/>
              <w:bottom w:val="single" w:color="BBBBBB" w:sz="4"/>
              <w:right w:val="single" w:color="BBBBBB" w:sz="4"/>
            </w:tcBorders>
            <w:shd w:fill="FFF1D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Wed 20 May</w:t>
            </w:r>
          </w:p>
        </w:tc>
        <w:tc>
          <w:tcPr>
            <w:tcW w:type="dxa" w:w="1300"/>
            <w:tcBorders>
              <w:top w:val="single" w:color="BBBBBB" w:sz="4"/>
              <w:left w:val="single" w:color="BBBBBB" w:sz="4"/>
              <w:bottom w:val="single" w:color="BBBBBB" w:sz="4"/>
              <w:right w:val="single" w:color="BBBBBB" w:sz="4"/>
            </w:tcBorders>
            <w:shd w:fill="FFF1D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16:20 (AMC)</w:t>
            </w:r>
          </w:p>
        </w:tc>
        <w:tc>
          <w:tcPr>
            <w:tcW w:type="dxa" w:w="3600"/>
            <w:tcBorders>
              <w:top w:val="single" w:color="BBBBBB" w:sz="4"/>
              <w:left w:val="single" w:color="BBBBBB" w:sz="4"/>
              <w:bottom w:val="single" w:color="BBBBBB" w:sz="4"/>
              <w:right w:val="single" w:color="BBBBBB" w:sz="4"/>
            </w:tcBorders>
            <w:shd w:fill="FFF1D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NVIDIA Q1 FY27 earnings</w:t>
            </w:r>
          </w:p>
        </w:tc>
        <w:tc>
          <w:tcPr>
            <w:tcW w:type="dxa" w:w="1400"/>
            <w:tcBorders>
              <w:top w:val="single" w:color="BBBBBB" w:sz="4"/>
              <w:left w:val="single" w:color="BBBBBB" w:sz="4"/>
              <w:bottom w:val="single" w:color="BBBBBB" w:sz="4"/>
              <w:right w:val="single" w:color="BBBBBB" w:sz="4"/>
            </w:tcBorders>
            <w:shd w:fill="FFF1DA"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Tier 1 — Mega</w:t>
            </w:r>
          </w:p>
        </w:tc>
        <w:tc>
          <w:tcPr>
            <w:tcW w:type="dxa" w:w="1660"/>
            <w:tcBorders>
              <w:top w:val="single" w:color="BBBBBB" w:sz="4"/>
              <w:left w:val="single" w:color="BBBBBB" w:sz="4"/>
              <w:bottom w:val="single" w:color="BBBBBB" w:sz="4"/>
              <w:right w:val="single" w:color="BBBBBB" w:sz="4"/>
            </w:tcBorders>
            <w:shd w:fill="FFF1DA"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Dominant AI-trade catalyst; outsize SPX impact</w:t>
            </w:r>
          </w:p>
        </w:tc>
      </w:tr>
      <w:tr>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Wed 20 May</w:t>
            </w:r>
          </w:p>
        </w:tc>
        <w:tc>
          <w:tcPr>
            <w:tcW w:type="dxa" w:w="1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Pre-open</w:t>
            </w:r>
          </w:p>
        </w:tc>
        <w:tc>
          <w:tcPr>
            <w:tcW w:type="dxa" w:w="36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Target, TJX, Lowe's earnings</w:t>
            </w:r>
          </w:p>
        </w:tc>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Tier 1</w:t>
            </w:r>
          </w:p>
        </w:tc>
        <w:tc>
          <w:tcPr>
            <w:tcW w:type="dxa" w:w="16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Retail cohort confirms Walmart signal</w:t>
            </w:r>
          </w:p>
        </w:tc>
      </w:tr>
      <w:tr>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Thu 21 May</w:t>
            </w:r>
          </w:p>
        </w:tc>
        <w:tc>
          <w:tcPr>
            <w:tcW w:type="dxa" w:w="1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08:30</w:t>
            </w:r>
          </w:p>
        </w:tc>
        <w:tc>
          <w:tcPr>
            <w:tcW w:type="dxa" w:w="36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Initial jobless claims</w:t>
            </w:r>
          </w:p>
        </w:tc>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Tier 2</w:t>
            </w:r>
          </w:p>
        </w:tc>
        <w:tc>
          <w:tcPr>
            <w:tcW w:type="dxa" w:w="16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Labor-market gauge</w:t>
            </w:r>
          </w:p>
        </w:tc>
      </w:tr>
      <w:tr>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Thu 21 May</w:t>
            </w:r>
          </w:p>
        </w:tc>
        <w:tc>
          <w:tcPr>
            <w:tcW w:type="dxa" w:w="1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09:45</w:t>
            </w:r>
          </w:p>
        </w:tc>
        <w:tc>
          <w:tcPr>
            <w:tcW w:type="dxa" w:w="36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S&amp;P Global flash PMIs (May)</w:t>
            </w:r>
          </w:p>
        </w:tc>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Tier 1</w:t>
            </w:r>
          </w:p>
        </w:tc>
        <w:tc>
          <w:tcPr>
            <w:tcW w:type="dxa" w:w="16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Forward growth signal</w:t>
            </w:r>
          </w:p>
        </w:tc>
      </w:tr>
      <w:tr>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Thu 21 May</w:t>
            </w:r>
          </w:p>
        </w:tc>
        <w:tc>
          <w:tcPr>
            <w:tcW w:type="dxa" w:w="1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AMC</w:t>
            </w:r>
          </w:p>
        </w:tc>
        <w:tc>
          <w:tcPr>
            <w:tcW w:type="dxa" w:w="36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Ross Stores, Intuit earnings</w:t>
            </w:r>
          </w:p>
        </w:tc>
        <w:tc>
          <w:tcPr>
            <w:tcW w:type="dxa" w:w="14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Tier 2</w:t>
            </w:r>
          </w:p>
        </w:tc>
        <w:tc>
          <w:tcPr>
            <w:tcW w:type="dxa" w:w="16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Confirms retail / software trends</w:t>
            </w:r>
          </w:p>
        </w:tc>
      </w:tr>
      <w:tr>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Fri 22 May</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10:00</w:t>
            </w:r>
          </w:p>
        </w:tc>
        <w:tc>
          <w:tcPr>
            <w:tcW w:type="dxa" w:w="36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New Home Sales</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Tier 2</w:t>
            </w:r>
          </w:p>
        </w:tc>
        <w:tc>
          <w:tcPr>
            <w:tcW w:type="dxa" w:w="16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Housing follow-on</w:t>
            </w:r>
          </w:p>
        </w:tc>
      </w:tr>
    </w:tbl>
    <w:p>
      <w:pPr>
        <w:spacing w:after="60" w:before="0"/>
      </w:pPr>
      <w:r>
        <w:rPr>
          <w:sz w:val="8"/>
          <w:szCs w:val="8"/>
        </w:rPr>
        <w:t xml:space="preserve"/>
      </w:r>
    </w:p>
    <w:p>
      <w:pPr>
        <w:spacing w:after="120" w:before="0"/>
        <w:jc w:val="left"/>
      </w:pPr>
      <w:r>
        <w:rPr>
          <w:rFonts w:ascii="Arial" w:cs="Arial" w:eastAsia="Arial" w:hAnsi="Arial"/>
          <w:b w:val="false"/>
          <w:bCs w:val="false"/>
          <w:i/>
          <w:iCs/>
          <w:color w:val="000000"/>
          <w:sz w:val="18"/>
          <w:szCs w:val="18"/>
        </w:rPr>
        <w:t xml:space="preserve">News-collision flag for §21 trade cards: Nvidia 20 May AMC is inside the holding period of any Trade 1 entered on 18 May. All trade cards reference this collision.</w:t>
      </w:r>
    </w:p>
    <w:p>
      <w:pPr>
        <w:pStyle w:val="Heading1"/>
        <w:spacing w:after="160" w:before="320"/>
      </w:pPr>
      <w:r>
        <w:rPr>
          <w:rFonts w:ascii="Arial" w:cs="Arial" w:eastAsia="Arial" w:hAnsi="Arial"/>
          <w:b/>
          <w:bCs/>
          <w:color w:val="1F3A5F"/>
          <w:sz w:val="30"/>
          <w:szCs w:val="30"/>
        </w:rPr>
        <w:t xml:space="preserve">§14  Macro Context</w:t>
      </w:r>
    </w:p>
    <w:p>
      <w:pPr>
        <w:spacing w:after="100" w:before="180"/>
      </w:pPr>
      <w:r>
        <w:rPr>
          <w:rFonts w:ascii="Arial" w:cs="Arial" w:eastAsia="Arial" w:hAnsi="Arial"/>
          <w:b/>
          <w:bCs/>
          <w:color w:val="333333"/>
          <w:sz w:val="24"/>
          <w:szCs w:val="24"/>
        </w:rPr>
        <w:t xml:space="preserve">Rates</w:t>
      </w:r>
    </w:p>
    <w:p>
      <w:pPr>
        <w:spacing w:after="80" w:before="0"/>
        <w:jc w:val="left"/>
      </w:pPr>
      <w:r>
        <w:rPr>
          <w:rFonts w:ascii="Arial" w:cs="Arial" w:eastAsia="Arial" w:hAnsi="Arial"/>
          <w:b w:val="false"/>
          <w:bCs w:val="false"/>
          <w:i w:val="false"/>
          <w:iCs w:val="false"/>
          <w:color w:val="000000"/>
          <w:sz w:val="22"/>
          <w:szCs w:val="22"/>
        </w:rPr>
        <w:t xml:space="preserve">Fed funds at 3.50–3.75% (held 28–29 April 2026). 10Y Treasury yield touched 2026 highs ~4.47% mid-week on hot CPI/PPI. Pricing now reflects roughly 28% probability of a 25 bp Fed hike at the December meeting (Trading Economics); previously the market expected one cut later in 2026. The hawkish repricing is the central macro driver of the Friday selloff. Next FOMC: 16–17 June 2026 (outside the 5-day horizon).</w:t>
      </w:r>
    </w:p>
    <w:p>
      <w:pPr>
        <w:spacing w:after="100" w:before="180"/>
      </w:pPr>
      <w:r>
        <w:rPr>
          <w:rFonts w:ascii="Arial" w:cs="Arial" w:eastAsia="Arial" w:hAnsi="Arial"/>
          <w:b/>
          <w:bCs/>
          <w:color w:val="333333"/>
          <w:sz w:val="24"/>
          <w:szCs w:val="24"/>
        </w:rPr>
        <w:t xml:space="preserve">Inflation</w:t>
      </w:r>
    </w:p>
    <w:p>
      <w:pPr>
        <w:spacing w:after="80" w:before="0"/>
        <w:jc w:val="left"/>
      </w:pPr>
      <w:r>
        <w:rPr>
          <w:rFonts w:ascii="Arial" w:cs="Arial" w:eastAsia="Arial" w:hAnsi="Arial"/>
          <w:b w:val="false"/>
          <w:bCs w:val="false"/>
          <w:i w:val="false"/>
          <w:iCs w:val="false"/>
          <w:color w:val="000000"/>
          <w:sz w:val="22"/>
          <w:szCs w:val="22"/>
        </w:rPr>
        <w:t xml:space="preserve">April CPI +0.6% MoM; headline index 332.4 (3-year high; 90.9th percentile of trailing 12 months). Core CPI well above 2% Fed target. April PPI +1.4% MoM; core PPI +1.0%; wholesale annual ~6%. Core PCE last available reading 129.28, also at a fresh 12-month high. Energy +3.8% MoM / +18% YoY — directly Iran-linked.</w:t>
      </w:r>
    </w:p>
    <w:p>
      <w:pPr>
        <w:spacing w:after="100" w:before="180"/>
      </w:pPr>
      <w:r>
        <w:rPr>
          <w:rFonts w:ascii="Arial" w:cs="Arial" w:eastAsia="Arial" w:hAnsi="Arial"/>
          <w:b/>
          <w:bCs/>
          <w:color w:val="333333"/>
          <w:sz w:val="24"/>
          <w:szCs w:val="24"/>
        </w:rPr>
        <w:t xml:space="preserve">Liquidity / financial conditions</w:t>
      </w:r>
    </w:p>
    <w:p>
      <w:pPr>
        <w:spacing w:after="80" w:before="0"/>
        <w:jc w:val="left"/>
      </w:pPr>
      <w:r>
        <w:rPr>
          <w:rFonts w:ascii="Arial" w:cs="Arial" w:eastAsia="Arial" w:hAnsi="Arial"/>
          <w:b w:val="false"/>
          <w:bCs w:val="false"/>
          <w:i w:val="false"/>
          <w:iCs w:val="false"/>
          <w:color w:val="000000"/>
          <w:sz w:val="22"/>
          <w:szCs w:val="22"/>
        </w:rPr>
        <w:t xml:space="preserve">USD index 99.27 (highest in ~a month); US 2Y–10Y yield curve has steepened on the long end. Credit spreads broadly stable but with widening pressure. Fed balance sheet runoff continues at current cap.</w:t>
      </w:r>
    </w:p>
    <w:p>
      <w:pPr>
        <w:spacing w:after="100" w:before="180"/>
      </w:pPr>
      <w:r>
        <w:rPr>
          <w:rFonts w:ascii="Arial" w:cs="Arial" w:eastAsia="Arial" w:hAnsi="Arial"/>
          <w:b/>
          <w:bCs/>
          <w:color w:val="333333"/>
          <w:sz w:val="24"/>
          <w:szCs w:val="24"/>
        </w:rPr>
        <w:t xml:space="preserve">FX</w:t>
      </w:r>
    </w:p>
    <w:p>
      <w:pPr>
        <w:spacing w:after="80" w:before="0"/>
        <w:jc w:val="left"/>
      </w:pPr>
      <w:r>
        <w:rPr>
          <w:rFonts w:ascii="Arial" w:cs="Arial" w:eastAsia="Arial" w:hAnsi="Arial"/>
          <w:b w:val="false"/>
          <w:bCs w:val="false"/>
          <w:i w:val="false"/>
          <w:iCs w:val="false"/>
          <w:color w:val="000000"/>
          <w:sz w:val="22"/>
          <w:szCs w:val="22"/>
        </w:rPr>
        <w:t xml:space="preserve">DXY +0.46% on Friday to 99.27; weekly gain ~1%. Dollar strength reflects yield differential and safe-haven flows on Iran/Hormuz risk. Translation headwind for S&amp;P 500 multinational earnings (S&amp;P 500 derives ~40% of revenue from outside the US per historical S&amp;P Global splits).</w:t>
      </w:r>
    </w:p>
    <w:p>
      <w:pPr>
        <w:spacing w:after="100" w:before="180"/>
      </w:pPr>
      <w:r>
        <w:rPr>
          <w:rFonts w:ascii="Arial" w:cs="Arial" w:eastAsia="Arial" w:hAnsi="Arial"/>
          <w:b/>
          <w:bCs/>
          <w:color w:val="333333"/>
          <w:sz w:val="24"/>
          <w:szCs w:val="24"/>
        </w:rPr>
        <w:t xml:space="preserve">Positioning</w:t>
      </w:r>
    </w:p>
    <w:p>
      <w:pPr>
        <w:spacing w:after="80" w:before="0"/>
        <w:jc w:val="left"/>
      </w:pPr>
      <w:r>
        <w:rPr>
          <w:rFonts w:ascii="Arial" w:cs="Arial" w:eastAsia="Arial" w:hAnsi="Arial"/>
          <w:b w:val="false"/>
          <w:bCs w:val="false"/>
          <w:i w:val="false"/>
          <w:iCs w:val="false"/>
          <w:color w:val="000000"/>
          <w:sz w:val="22"/>
          <w:szCs w:val="22"/>
        </w:rPr>
        <w:t xml:space="preserve">CFTC positioning on DXY at 18th percentile (short positioning extreme — vulnerable to a short squeeze higher in USD). VIX 18.43 — still complacent (15–20 band) but trending up from the post-Iran-conflict-onset trough. AI-tape positioning per Citigroup's Chronert: Nasdaq 100 PEG ratio near two-decade lows — valuations not 'excessively' stretched against earnings growth, but the recent +8.6% one-month melt-up has created tactical positioning extremes.</w:t>
      </w:r>
    </w:p>
    <w:p>
      <w:pPr>
        <w:spacing w:after="100" w:before="180"/>
      </w:pPr>
      <w:r>
        <w:rPr>
          <w:rFonts w:ascii="Arial" w:cs="Arial" w:eastAsia="Arial" w:hAnsi="Arial"/>
          <w:b/>
          <w:bCs/>
          <w:color w:val="333333"/>
          <w:sz w:val="24"/>
          <w:szCs w:val="24"/>
        </w:rPr>
        <w:t xml:space="preserve">Global context (spillovers)</w:t>
      </w:r>
    </w:p>
    <w:p>
      <w:pPr>
        <w:spacing w:after="80" w:before="0"/>
        <w:jc w:val="left"/>
      </w:pPr>
      <w:r>
        <w:rPr>
          <w:rFonts w:ascii="Arial" w:cs="Arial" w:eastAsia="Arial" w:hAnsi="Arial"/>
          <w:b w:val="false"/>
          <w:bCs w:val="false"/>
          <w:i w:val="false"/>
          <w:iCs w:val="false"/>
          <w:color w:val="000000"/>
          <w:sz w:val="22"/>
          <w:szCs w:val="22"/>
        </w:rPr>
        <w:t xml:space="preserve">DAX -2.07% Fri (broke 200-DMA); Nikkei 225 -1.99%; Hang Seng -1.62%; Shanghai Composite -1.02%; FTSE 100 -1.71%; CAC 40 -1.60%; STOXX 50 -1.81%. Global risk-off coordination is broad — not a US-specific event. China rallied +24% YTD (per Trading Economics) earlier but cooled; Nikkei +24% YTD remains the year's standout.</w:t>
      </w:r>
    </w:p>
    <w:p>
      <w:pPr>
        <w:pStyle w:val="Heading1"/>
        <w:spacing w:after="160" w:before="320"/>
      </w:pPr>
      <w:r>
        <w:rPr>
          <w:rFonts w:ascii="Arial" w:cs="Arial" w:eastAsia="Arial" w:hAnsi="Arial"/>
          <w:b/>
          <w:bCs/>
          <w:color w:val="1F3A5F"/>
          <w:sz w:val="30"/>
          <w:szCs w:val="30"/>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0"/>
                <w:szCs w:val="20"/>
              </w:rPr>
              <w:t xml:space="preserve">Upside risks (bull case)</w:t>
            </w:r>
          </w:p>
        </w:tc>
        <w:tc>
          <w:tcPr>
            <w:tcW w:type="dxa" w:w="468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0"/>
                <w:szCs w:val="20"/>
              </w:rPr>
              <w:t xml:space="preserve">Downside risks (bear case)</w:t>
            </w:r>
          </w:p>
        </w:tc>
      </w:tr>
      <w:tr>
        <w:tc>
          <w:tcPr>
            <w:tcW w:type="dxa" w:w="4680"/>
            <w:tcBorders>
              <w:top w:val="single" w:color="BBBBBB" w:sz="4"/>
              <w:left w:val="single" w:color="BBBBBB" w:sz="4"/>
              <w:bottom w:val="single" w:color="BBBBBB" w:sz="4"/>
              <w:right w:val="single" w:color="BBBBBB" w:sz="4"/>
            </w:tcBorders>
            <w:shd w:fill="E8F4EA" w:val="clear"/>
            <w:tcMar>
              <w:top w:type="dxa" w:w="80"/>
              <w:left w:type="dxa" w:w="100"/>
              <w:bottom w:type="dxa" w:w="80"/>
              <w:right w:type="dxa" w:w="100"/>
            </w:tcMar>
            <w:vAlign w:val="center"/>
          </w:tcPr>
          <w:p>
            <w:pPr>
              <w:spacing w:after="40" w:before="0"/>
              <w:jc w:val="left"/>
            </w:pPr>
            <w:r>
              <w:rPr>
                <w:rFonts w:ascii="Arial" w:cs="Arial" w:eastAsia="Arial" w:hAnsi="Arial"/>
                <w:b w:val="false"/>
                <w:bCs w:val="false"/>
                <w:sz w:val="18"/>
                <w:szCs w:val="18"/>
              </w:rPr>
              <w:t xml:space="preserve">Nvidia Q1 FY27 beat-and-raise (20 May AMC): a strong print + Q2 guide of $85 bn+ could trigger an AI-tape re-acceleration and force trend resumption above 7,501.24.</w:t>
            </w:r>
          </w:p>
          <w:p>
            <w:pPr>
              <w:spacing w:after="40" w:before="0"/>
              <w:jc w:val="left"/>
            </w:pPr>
            <w:r>
              <w:rPr>
                <w:rFonts w:ascii="Arial" w:cs="Arial" w:eastAsia="Arial" w:hAnsi="Arial"/>
                <w:b w:val="false"/>
                <w:bCs w:val="false"/>
                <w:sz w:val="18"/>
                <w:szCs w:val="18"/>
              </w:rPr>
              <w:t xml:space="preserve">Earnings momentum: Yardeni 8,250 target, broker AI-orderbook upgrades (Cisco $5 bn → $9 bn), Cerebras IPO success — earnings story remains structurally robust.</w:t>
            </w:r>
          </w:p>
          <w:p>
            <w:pPr>
              <w:spacing w:after="40" w:before="0"/>
              <w:jc w:val="left"/>
            </w:pPr>
            <w:r>
              <w:rPr>
                <w:rFonts w:ascii="Arial" w:cs="Arial" w:eastAsia="Arial" w:hAnsi="Arial"/>
                <w:b w:val="false"/>
                <w:bCs w:val="false"/>
                <w:sz w:val="18"/>
                <w:szCs w:val="18"/>
              </w:rPr>
              <w:t xml:space="preserve">Pullback respect of structure: monthly pivot P sits at ~7,048, monthly R1 at ~7,385 — Friday's close (7,408.50) remains above monthly R1, the structural up-trend has not been broken.</w:t>
            </w:r>
          </w:p>
          <w:p>
            <w:pPr>
              <w:spacing w:after="40" w:before="0"/>
              <w:jc w:val="left"/>
            </w:pPr>
            <w:r>
              <w:rPr>
                <w:rFonts w:ascii="Arial" w:cs="Arial" w:eastAsia="Arial" w:hAnsi="Arial"/>
                <w:b w:val="false"/>
                <w:bCs w:val="false"/>
                <w:sz w:val="18"/>
                <w:szCs w:val="18"/>
              </w:rPr>
              <w:t xml:space="preserve">Iran de-escalation or oil-price reversal would remove the inflation/yield overhang almost immediately.</w:t>
            </w:r>
          </w:p>
          <w:p>
            <w:pPr>
              <w:spacing w:after="40" w:before="0"/>
              <w:jc w:val="left"/>
            </w:pPr>
            <w:r>
              <w:rPr>
                <w:rFonts w:ascii="Arial" w:cs="Arial" w:eastAsia="Arial" w:hAnsi="Arial"/>
                <w:b w:val="false"/>
                <w:bCs w:val="false"/>
                <w:sz w:val="18"/>
                <w:szCs w:val="18"/>
              </w:rPr>
              <w:t xml:space="preserve">Yield-spread normalisation (long-end retreating) would re-rate growth stocks favourably.</w:t>
            </w:r>
          </w:p>
        </w:tc>
        <w:tc>
          <w:tcPr>
            <w:tcW w:type="dxa" w:w="4680"/>
            <w:tcBorders>
              <w:top w:val="single" w:color="BBBBBB" w:sz="4"/>
              <w:left w:val="single" w:color="BBBBBB" w:sz="4"/>
              <w:bottom w:val="single" w:color="BBBBBB" w:sz="4"/>
              <w:right w:val="single" w:color="BBBBBB" w:sz="4"/>
            </w:tcBorders>
            <w:shd w:fill="FCE9E9" w:val="clear"/>
            <w:tcMar>
              <w:top w:type="dxa" w:w="80"/>
              <w:left w:type="dxa" w:w="100"/>
              <w:bottom w:type="dxa" w:w="80"/>
              <w:right w:type="dxa" w:w="100"/>
            </w:tcMar>
            <w:vAlign w:val="center"/>
          </w:tcPr>
          <w:p>
            <w:pPr>
              <w:spacing w:after="40" w:before="0"/>
              <w:jc w:val="left"/>
            </w:pPr>
            <w:r>
              <w:rPr>
                <w:rFonts w:ascii="Arial" w:cs="Arial" w:eastAsia="Arial" w:hAnsi="Arial"/>
                <w:b w:val="false"/>
                <w:bCs w:val="false"/>
                <w:sz w:val="18"/>
                <w:szCs w:val="18"/>
              </w:rPr>
              <w:t xml:space="preserve">Friday's outside-day bearish engulfing at the all-time high — historically a high-probability short-term reversal pattern.</w:t>
            </w:r>
          </w:p>
          <w:p>
            <w:pPr>
              <w:spacing w:after="40" w:before="0"/>
              <w:jc w:val="left"/>
            </w:pPr>
            <w:r>
              <w:rPr>
                <w:rFonts w:ascii="Arial" w:cs="Arial" w:eastAsia="Arial" w:hAnsi="Arial"/>
                <w:b w:val="false"/>
                <w:bCs w:val="false"/>
                <w:sz w:val="18"/>
                <w:szCs w:val="18"/>
              </w:rPr>
              <w:t xml:space="preserve">Inflation re-acceleration: April CPI/PPI prints argue Fed is at risk of hiking, not cutting. Yields trending up.</w:t>
            </w:r>
          </w:p>
          <w:p>
            <w:pPr>
              <w:spacing w:after="40" w:before="0"/>
              <w:jc w:val="left"/>
            </w:pPr>
            <w:r>
              <w:rPr>
                <w:rFonts w:ascii="Arial" w:cs="Arial" w:eastAsia="Arial" w:hAnsi="Arial"/>
                <w:b w:val="false"/>
                <w:bCs w:val="false"/>
                <w:sz w:val="18"/>
                <w:szCs w:val="18"/>
              </w:rPr>
              <w:t xml:space="preserve">Iran/Hormuz escalation drives Brent above 110/120 and continues to feed inflation expectations.</w:t>
            </w:r>
          </w:p>
          <w:p>
            <w:pPr>
              <w:spacing w:after="40" w:before="0"/>
              <w:jc w:val="left"/>
            </w:pPr>
            <w:r>
              <w:rPr>
                <w:rFonts w:ascii="Arial" w:cs="Arial" w:eastAsia="Arial" w:hAnsi="Arial"/>
                <w:b w:val="false"/>
                <w:bCs w:val="false"/>
                <w:sz w:val="18"/>
                <w:szCs w:val="18"/>
              </w:rPr>
              <w:t xml:space="preserve">Trump-Xi summit produced no substantive deal — China-trade overhang persists; Boeing weakness illustrates the disappointment channel.</w:t>
            </w:r>
          </w:p>
          <w:p>
            <w:pPr>
              <w:spacing w:after="40" w:before="0"/>
              <w:jc w:val="left"/>
            </w:pPr>
            <w:r>
              <w:rPr>
                <w:rFonts w:ascii="Arial" w:cs="Arial" w:eastAsia="Arial" w:hAnsi="Arial"/>
                <w:b w:val="false"/>
                <w:bCs w:val="false"/>
                <w:sz w:val="18"/>
                <w:szCs w:val="18"/>
              </w:rPr>
              <w:t xml:space="preserve">Cross-asset confirmation broken: USDX rising, VIX rising, DAX -2.07% breaking 200-DMA. Risk-off is coordinated globally.</w:t>
            </w:r>
          </w:p>
          <w:p>
            <w:pPr>
              <w:spacing w:after="40" w:before="0"/>
              <w:jc w:val="left"/>
            </w:pPr>
            <w:r>
              <w:rPr>
                <w:rFonts w:ascii="Arial" w:cs="Arial" w:eastAsia="Arial" w:hAnsi="Arial"/>
                <w:b w:val="false"/>
                <w:bCs w:val="false"/>
                <w:sz w:val="18"/>
                <w:szCs w:val="18"/>
              </w:rPr>
              <w:t xml:space="preserve">Nvidia disappointment (or in-line + cautious Q2 guide) would weaponise the existing exhaustion pattern.</w:t>
            </w:r>
          </w:p>
          <w:p>
            <w:pPr>
              <w:spacing w:after="40" w:before="0"/>
              <w:jc w:val="left"/>
            </w:pPr>
            <w:r>
              <w:rPr>
                <w:rFonts w:ascii="Arial" w:cs="Arial" w:eastAsia="Arial" w:hAnsi="Arial"/>
                <w:b w:val="false"/>
                <w:bCs w:val="false"/>
                <w:sz w:val="18"/>
                <w:szCs w:val="18"/>
              </w:rPr>
              <w:t xml:space="preserve">Walmart/retail cohort signaling consumer fragility could cascade into the cyclical bid.</w:t>
            </w:r>
          </w:p>
        </w:tc>
      </w:tr>
    </w:tbl>
    <w:p>
      <w:pPr>
        <w:spacing w:after="100" w:before="0"/>
      </w:pPr>
      <w:r>
        <w:rPr>
          <w:sz w:val="8"/>
          <w:szCs w:val="8"/>
        </w:rPr>
        <w:t xml:space="preserve"/>
      </w:r>
    </w:p>
    <w:p>
      <w:pPr>
        <w:spacing w:after="100" w:before="0"/>
        <w:jc w:val="left"/>
      </w:pPr>
      <w:r>
        <w:rPr>
          <w:rFonts w:ascii="Arial" w:cs="Arial" w:eastAsia="Arial" w:hAnsi="Arial"/>
          <w:b w:val="false"/>
          <w:bCs w:val="false"/>
          <w:i w:val="false"/>
          <w:iCs w:val="false"/>
          <w:color w:val="000000"/>
          <w:sz w:val="22"/>
          <w:szCs w:val="22"/>
        </w:rPr>
        <w:t xml:space="preserve">Pivot, regime and §13d catalysts cross-reference: Friday's close sits below daily P (7,420.28) and below weekly P (7,428.54) — bias for Monday is below-pivot bearish until P is reclaimed. The single biggest catalyst on the calendar (Nvidia, 20 May AMC) is inside the holding window of any directional position taken on Monday and will dominate either the bull or bear case by mid-week.</w:t>
      </w:r>
    </w:p>
    <w:p>
      <w:pPr>
        <w:pStyle w:val="Heading1"/>
        <w:spacing w:after="160" w:before="320"/>
      </w:pPr>
      <w:r>
        <w:rPr>
          <w:rFonts w:ascii="Arial" w:cs="Arial" w:eastAsia="Arial" w:hAnsi="Arial"/>
          <w:b/>
          <w:bCs/>
          <w:color w:val="1F3A5F"/>
          <w:sz w:val="30"/>
          <w:szCs w:val="30"/>
        </w:rPr>
        <w:t xml:space="preserve">§16  Forward View</w:t>
      </w:r>
    </w:p>
    <w:p>
      <w:pPr>
        <w:spacing w:after="100" w:before="180"/>
      </w:pPr>
      <w:r>
        <w:rPr>
          <w:rFonts w:ascii="Arial" w:cs="Arial" w:eastAsia="Arial" w:hAnsi="Arial"/>
          <w:b/>
          <w:bCs/>
          <w:color w:val="333333"/>
          <w:sz w:val="24"/>
          <w:szCs w:val="24"/>
        </w:rPr>
        <w:t xml:space="preserve">Expected direction (Mon 18 May — Fri 22 May 2026)</w:t>
      </w:r>
    </w:p>
    <w:p>
      <w:pPr>
        <w:spacing w:after="80" w:before="0"/>
        <w:jc w:val="left"/>
      </w:pPr>
      <w:r>
        <w:rPr>
          <w:rFonts w:ascii="Arial" w:cs="Arial" w:eastAsia="Arial" w:hAnsi="Arial"/>
          <w:b w:val="false"/>
          <w:bCs w:val="false"/>
          <w:i w:val="false"/>
          <w:iCs w:val="false"/>
          <w:color w:val="000000"/>
          <w:sz w:val="22"/>
          <w:szCs w:val="22"/>
        </w:rPr>
        <w:t xml:space="preserve">Two-way price discovery with a near-term bearish tilt for the first half of the week (Mon–Tue), pivoting on Wednesday's Nvidia print and Thursday's PMI/jobs data. The week's path is fork-shaped:</w:t>
      </w:r>
    </w:p>
    <w:p>
      <w:pPr>
        <w:pStyle w:val="ListParagraph"/>
        <w:numPr>
          <w:ilvl w:val="0"/>
          <w:numId w:val="2"/>
        </w:numPr>
        <w:spacing w:after="60" w:before="0"/>
      </w:pPr>
      <w:r>
        <w:rPr>
          <w:rFonts w:ascii="Arial" w:cs="Arial" w:eastAsia="Arial" w:hAnsi="Arial"/>
          <w:b/>
          <w:bCs/>
          <w:i w:val="false"/>
          <w:iCs w:val="false"/>
          <w:color w:val="000000"/>
          <w:sz w:val="22"/>
          <w:szCs w:val="22"/>
        </w:rPr>
        <w:t xml:space="preserve">Pre-Nvidia (Mon–Wed AMC): </w:t>
      </w:r>
      <w:r>
        <w:rPr>
          <w:rFonts w:ascii="Arial" w:cs="Arial" w:eastAsia="Arial" w:hAnsi="Arial"/>
          <w:b w:val="false"/>
          <w:bCs w:val="false"/>
          <w:i w:val="false"/>
          <w:iCs w:val="false"/>
          <w:color w:val="000000"/>
          <w:sz w:val="22"/>
          <w:szCs w:val="22"/>
        </w:rPr>
        <w:t xml:space="preserve">expect range-bound to lower bias as the market digests Friday's reversal. The 7,397.50 / 7,360 support cluster will be tested. If broken on a daily close, a deeper move to weekly S1 (~7,320) is the immediate target. A re-test of weekly R1 / 7,500 area is the upside ceiling.</w:t>
      </w:r>
    </w:p>
    <w:p>
      <w:pPr>
        <w:pStyle w:val="ListParagraph"/>
        <w:numPr>
          <w:ilvl w:val="0"/>
          <w:numId w:val="2"/>
        </w:numPr>
        <w:spacing w:after="60" w:before="0"/>
      </w:pPr>
      <w:r>
        <w:rPr>
          <w:rFonts w:ascii="Arial" w:cs="Arial" w:eastAsia="Arial" w:hAnsi="Arial"/>
          <w:b/>
          <w:bCs/>
          <w:i w:val="false"/>
          <w:iCs w:val="false"/>
          <w:color w:val="000000"/>
          <w:sz w:val="22"/>
          <w:szCs w:val="22"/>
        </w:rPr>
        <w:t xml:space="preserve">Post-Nvidia (Thu–Fri): </w:t>
      </w:r>
      <w:r>
        <w:rPr>
          <w:rFonts w:ascii="Arial" w:cs="Arial" w:eastAsia="Arial" w:hAnsi="Arial"/>
          <w:b w:val="false"/>
          <w:bCs w:val="false"/>
          <w:i w:val="false"/>
          <w:iCs w:val="false"/>
          <w:color w:val="000000"/>
          <w:sz w:val="22"/>
          <w:szCs w:val="22"/>
        </w:rPr>
        <w:t xml:space="preserve">outcome-conditional. A beat-and-raise re-engages the up-trend toward 7,500–7,600. A miss or guidance disappointment weaponises the exhaustion pattern and projects a move toward weekly S2 / monthly R1 cluster (~7,200–7,300).</w:t>
      </w:r>
    </w:p>
    <w:p>
      <w:pPr>
        <w:spacing w:after="100" w:before="180"/>
      </w:pPr>
      <w:r>
        <w:rPr>
          <w:rFonts w:ascii="Arial" w:cs="Arial" w:eastAsia="Arial" w:hAnsi="Arial"/>
          <w:b/>
          <w:bCs/>
          <w:color w:val="333333"/>
          <w:sz w:val="24"/>
          <w:szCs w:val="24"/>
        </w:rPr>
        <w:t xml:space="preserve">Trading range (5-day window)</w:t>
      </w:r>
    </w:p>
    <w:p>
      <w:pPr>
        <w:spacing w:after="100" w:before="0"/>
        <w:jc w:val="left"/>
      </w:pPr>
      <w:r>
        <w:rPr>
          <w:rFonts w:ascii="Arial" w:cs="Arial" w:eastAsia="Arial" w:hAnsi="Arial"/>
          <w:b w:val="false"/>
          <w:bCs w:val="false"/>
          <w:i w:val="false"/>
          <w:iCs w:val="false"/>
          <w:color w:val="000000"/>
          <w:sz w:val="22"/>
          <w:szCs w:val="22"/>
        </w:rPr>
        <w:t xml:space="preserve">Base case range: 7,300 – 7,520. Skewed slightly lower with a wider downside tail. Inside the daily-pivot framework: the Mon 18 May session is expected to oscillate in the 7,360–7,470 zone, with Friday's high (7,454.85) and low (7,397.50) bracketing the most-probable intraday action.</w:t>
      </w:r>
    </w:p>
    <w:p>
      <w:pPr>
        <w:spacing w:after="100" w:before="180"/>
      </w:pPr>
      <w:r>
        <w:rPr>
          <w:rFonts w:ascii="Arial" w:cs="Arial" w:eastAsia="Arial" w:hAnsi="Arial"/>
          <w:b/>
          <w:bCs/>
          <w:color w:val="333333"/>
          <w:sz w:val="24"/>
          <w:szCs w:val="24"/>
        </w:rPr>
        <w:t xml:space="preserve">Base-case invalidation</w:t>
      </w:r>
    </w:p>
    <w:p>
      <w:pPr>
        <w:spacing w:after="100" w:before="0"/>
        <w:jc w:val="left"/>
      </w:pPr>
      <w:r>
        <w:rPr>
          <w:rFonts w:ascii="Arial" w:cs="Arial" w:eastAsia="Arial" w:hAnsi="Arial"/>
          <w:b w:val="false"/>
          <w:bCs w:val="false"/>
          <w:i w:val="false"/>
          <w:iCs w:val="false"/>
          <w:color w:val="000000"/>
          <w:sz w:val="22"/>
          <w:szCs w:val="22"/>
        </w:rPr>
        <w:t xml:space="preserve">The base-case (range with bearish tilt) is invalidated above 7,501.24 on a daily close — that would re-engage the prior trend and shift the bias decisively bullish. It is also invalidated below 7,300 on a daily close — that confirms a deeper retracement and shifts the bias to a structural correction. Between those two daily-close boundaries, the base case holds.</w:t>
      </w:r>
    </w:p>
    <w:p>
      <w:pPr>
        <w:spacing w:after="100" w:before="180"/>
      </w:pPr>
      <w:r>
        <w:rPr>
          <w:rFonts w:ascii="Arial" w:cs="Arial" w:eastAsia="Arial" w:hAnsi="Arial"/>
          <w:b/>
          <w:bCs/>
          <w:color w:val="333333"/>
          <w:sz w:val="24"/>
          <w:szCs w:val="24"/>
        </w:rPr>
        <w:t xml:space="preserve">Flag — Forecast respects technical regime</w:t>
      </w:r>
    </w:p>
    <w:p>
      <w:pPr>
        <w:spacing w:after="100" w:before="0"/>
        <w:jc w:val="left"/>
      </w:pPr>
      <w:r>
        <w:rPr>
          <w:rFonts w:ascii="Arial" w:cs="Arial" w:eastAsia="Arial" w:hAnsi="Arial"/>
          <w:b w:val="false"/>
          <w:bCs w:val="false"/>
          <w:i w:val="false"/>
          <w:iCs w:val="false"/>
          <w:color w:val="000000"/>
          <w:sz w:val="22"/>
          <w:szCs w:val="22"/>
        </w:rPr>
        <w:t xml:space="preserve">The Forecast respects the medium-term TRENDING BULLISH regime by not calling for a structural break (no projection below the monthly pivot or monthly R1 around 7,200–7,385). The short-term technical reversal is acknowledged and translated into the range structure, not the directional projection.</w:t>
      </w:r>
    </w:p>
    <w:p>
      <w:pPr>
        <w:pStyle w:val="Heading1"/>
        <w:spacing w:after="160" w:before="320"/>
      </w:pPr>
      <w:r>
        <w:rPr>
          <w:rFonts w:ascii="Arial" w:cs="Arial" w:eastAsia="Arial" w:hAnsi="Arial"/>
          <w:b/>
          <w:bCs/>
          <w:color w:val="1F3A5F"/>
          <w:sz w:val="30"/>
          <w:szCs w:val="30"/>
        </w:rPr>
        <w:t xml:space="preserve">§17  Forecast</w:t>
      </w:r>
    </w:p>
    <w:p>
      <w:pPr>
        <w:spacing w:after="200" w:before="0"/>
        <w:jc w:val="left"/>
      </w:pPr>
      <w:r>
        <w:rPr>
          <w:rFonts w:ascii="Arial" w:cs="Arial" w:eastAsia="Arial" w:hAnsi="Arial"/>
          <w:b/>
          <w:bCs/>
          <w:i w:val="false"/>
          <w:iCs w:val="false"/>
          <w:color w:val="000000"/>
          <w:sz w:val="22"/>
          <w:szCs w:val="22"/>
        </w:rPr>
        <w:t xml:space="preserve">Over the next 5 trading sessions the S&amp;P 500 trades a 7,300–7,520 range with a bearish-leaning balanced bias into Wednesday's Nvidia earnings, after which the binary print determines whether the index reclaims 7,501.24 to re-engage the up-trend or breaks 7,397.50 to extend a deeper structural pullback toward 7,250–7,320.</w:t>
      </w:r>
    </w:p>
    <w:p>
      <w:pPr>
        <w:pStyle w:val="Heading1"/>
        <w:spacing w:after="160" w:before="320"/>
      </w:pPr>
      <w:r>
        <w:rPr>
          <w:rFonts w:ascii="Arial" w:cs="Arial" w:eastAsia="Arial" w:hAnsi="Arial"/>
          <w:b/>
          <w:bCs/>
          <w:color w:val="1F3A5F"/>
          <w:sz w:val="30"/>
          <w:szCs w:val="30"/>
        </w:rPr>
        <w:t xml:space="preserve">§18  Final Analyst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Consensus price call</w:t>
            </w:r>
          </w:p>
        </w:tc>
        <w:tc>
          <w:tcPr>
            <w:tcW w:type="dxa" w:w="67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7,410 (range 7,360 – 7,460)</w:t>
            </w:r>
          </w:p>
        </w:tc>
      </w:tr>
      <w:tr>
        <w:tc>
          <w:tcPr>
            <w:tcW w:type="dxa" w:w="26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Confidence</w:t>
            </w:r>
          </w:p>
        </w:tc>
        <w:tc>
          <w:tcPr>
            <w:tcW w:type="dxa" w:w="67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Medium — high agreement on the corroborated close, but binary Nvidia catalyst inside the horizon caps the conviction.</w:t>
            </w:r>
          </w:p>
        </w:tc>
      </w:tr>
      <w:tr>
        <w:tc>
          <w:tcPr>
            <w:tcW w:type="dxa" w:w="26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Reason 1</w:t>
            </w:r>
          </w:p>
        </w:tc>
        <w:tc>
          <w:tcPr>
            <w:tcW w:type="dxa" w:w="67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Friday's outside-day bearish engulfing at the all-time high with RSI2 collapse to ~38 — a textbook short-term reversal signature on otherwise-bullish 25-day structure.</w:t>
            </w:r>
          </w:p>
        </w:tc>
      </w:tr>
      <w:tr>
        <w:tc>
          <w:tcPr>
            <w:tcW w:type="dxa" w:w="26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Reason 2</w:t>
            </w:r>
          </w:p>
        </w:tc>
        <w:tc>
          <w:tcPr>
            <w:tcW w:type="dxa" w:w="67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Cross-asset confirmation has flipped to CONTRADICT: USDX rising, VIX rising (+6.78%), DAX -2.07% breaking its 200-day MA. Globally coordinated risk-off, not US-idiosyncratic.</w:t>
            </w:r>
          </w:p>
        </w:tc>
      </w:tr>
      <w:tr>
        <w:tc>
          <w:tcPr>
            <w:tcW w:type="dxa" w:w="26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Reason 3</w:t>
            </w:r>
          </w:p>
        </w:tc>
        <w:tc>
          <w:tcPr>
            <w:tcW w:type="dxa" w:w="67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Inflation re-acceleration (CPI +0.6% MoM, PPI ~6% YoY) plus hawkish Fed repricing (~28% probability of a December hike) plus Iran-driven oil &gt;$100 = a coherent macro overhang that cannot be ignored even with structural earnings strength.</w:t>
            </w:r>
          </w:p>
        </w:tc>
      </w:tr>
      <w:tr>
        <w:tc>
          <w:tcPr>
            <w:tcW w:type="dxa" w:w="26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Single watch item</w:t>
            </w:r>
          </w:p>
        </w:tc>
        <w:tc>
          <w:tcPr>
            <w:tcW w:type="dxa" w:w="67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NVIDIA fiscal Q1 2027 earnings — Wednesday 20 May 2026 after market close. Dominant single catalyst inside the horizon. Beat-and-raise re-engages the trend; in-line + cautious Q2 weaponises the exhaustion pattern.</w:t>
            </w:r>
          </w:p>
        </w:tc>
      </w:tr>
    </w:tbl>
    <w:p>
      <w:pPr>
        <w:pStyle w:val="Heading1"/>
        <w:spacing w:after="160" w:before="320"/>
      </w:pPr>
      <w:r>
        <w:rPr>
          <w:rFonts w:ascii="Arial" w:cs="Arial" w:eastAsia="Arial" w:hAnsi="Arial"/>
          <w:b/>
          <w:bCs/>
          <w:color w:val="1F3A5F"/>
          <w:sz w:val="30"/>
          <w:szCs w:val="30"/>
        </w:rPr>
        <w:t xml:space="preserve">§19  Source Discipline Note</w:t>
      </w:r>
    </w:p>
    <w:p>
      <w:pPr>
        <w:spacing w:after="100" w:before="180"/>
      </w:pPr>
      <w:r>
        <w:rPr>
          <w:rFonts w:ascii="Arial" w:cs="Arial" w:eastAsia="Arial" w:hAnsi="Arial"/>
          <w:b/>
          <w:bCs/>
          <w:color w:val="333333"/>
          <w:sz w:val="24"/>
          <w:szCs w:val="24"/>
        </w:rPr>
        <w:t xml:space="preserve">Live vs indicative data</w:t>
      </w:r>
    </w:p>
    <w:p>
      <w:pPr>
        <w:pStyle w:val="ListParagraph"/>
        <w:numPr>
          <w:ilvl w:val="0"/>
          <w:numId w:val="2"/>
        </w:numPr>
        <w:spacing w:after="60" w:before="0"/>
      </w:pPr>
      <w:r>
        <w:rPr>
          <w:rFonts w:ascii="Arial" w:cs="Arial" w:eastAsia="Arial" w:hAnsi="Arial"/>
          <w:b w:val="false"/>
          <w:bCs w:val="false"/>
          <w:sz w:val="22"/>
          <w:szCs w:val="22"/>
        </w:rPr>
        <w:t xml:space="preserve">S&amp;P 500 close (Fri 15 May 7,408.50): LIVE — corroborated across 6 independent sources, all within the ±0.10 equity-index tolerance.</w:t>
      </w:r>
    </w:p>
    <w:p>
      <w:pPr>
        <w:pStyle w:val="ListParagraph"/>
        <w:numPr>
          <w:ilvl w:val="0"/>
          <w:numId w:val="2"/>
        </w:numPr>
        <w:spacing w:after="60" w:before="0"/>
      </w:pPr>
      <w:r>
        <w:rPr>
          <w:rFonts w:ascii="Arial" w:cs="Arial" w:eastAsia="Arial" w:hAnsi="Arial"/>
          <w:b w:val="false"/>
          <w:bCs w:val="false"/>
          <w:sz w:val="22"/>
          <w:szCs w:val="22"/>
        </w:rPr>
        <w:t xml:space="preserve">S&amp;P 500 Friday Open (7,445.11), High (7,454.85), Low (7,397.50): LIVE — corroborated by CNBC and Yahoo Finance.</w:t>
      </w:r>
    </w:p>
    <w:p>
      <w:pPr>
        <w:pStyle w:val="ListParagraph"/>
        <w:numPr>
          <w:ilvl w:val="0"/>
          <w:numId w:val="2"/>
        </w:numPr>
        <w:spacing w:after="60" w:before="0"/>
      </w:pPr>
      <w:r>
        <w:rPr>
          <w:rFonts w:ascii="Arial" w:cs="Arial" w:eastAsia="Arial" w:hAnsi="Arial"/>
          <w:b w:val="false"/>
          <w:bCs w:val="false"/>
          <w:sz w:val="22"/>
          <w:szCs w:val="22"/>
        </w:rPr>
        <w:t xml:space="preserve">S&amp;P 500 closes 11 May 7,412.84; 12 May 7,400.96; 13 May 7,444.25; 14 May 7,501.24: LIVE — each corroborated by ≥2 independent sources.</w:t>
      </w:r>
    </w:p>
    <w:p>
      <w:pPr>
        <w:pStyle w:val="ListParagraph"/>
        <w:numPr>
          <w:ilvl w:val="0"/>
          <w:numId w:val="2"/>
        </w:numPr>
        <w:spacing w:after="60" w:before="0"/>
      </w:pPr>
      <w:r>
        <w:rPr>
          <w:rFonts w:ascii="Arial" w:cs="Arial" w:eastAsia="Arial" w:hAnsi="Arial"/>
          <w:b w:val="false"/>
          <w:bCs w:val="false"/>
          <w:sz w:val="22"/>
          <w:szCs w:val="22"/>
        </w:rPr>
        <w:t xml:space="preserve">S&amp;P 500 intraday Open/High/Low for 11–14 May: INDICATIVE — derived from session live-blog narrative; not formally corroborated against a second OHLC feed. Marked '*' in §6 table. Not used as Trade 2 entry or stop anchors.</w:t>
      </w:r>
    </w:p>
    <w:p>
      <w:pPr>
        <w:pStyle w:val="ListParagraph"/>
        <w:numPr>
          <w:ilvl w:val="0"/>
          <w:numId w:val="2"/>
        </w:numPr>
        <w:spacing w:after="60" w:before="0"/>
      </w:pPr>
      <w:r>
        <w:rPr>
          <w:rFonts w:ascii="Arial" w:cs="Arial" w:eastAsia="Arial" w:hAnsi="Arial"/>
          <w:b w:val="false"/>
          <w:bCs w:val="false"/>
          <w:sz w:val="22"/>
          <w:szCs w:val="22"/>
        </w:rPr>
        <w:t xml:space="preserve">Weekly low ~ 7,360 (Tue 12 May): INDICATIVE — narrative-derived; propagates the SINGLE-SOURCE-INDICATIVE flag to all weekly pivot levels. Weekly pivots may not anchor Trade 2 entries or stops.</w:t>
      </w:r>
    </w:p>
    <w:p>
      <w:pPr>
        <w:pStyle w:val="ListParagraph"/>
        <w:numPr>
          <w:ilvl w:val="0"/>
          <w:numId w:val="2"/>
        </w:numPr>
        <w:spacing w:after="60" w:before="0"/>
      </w:pPr>
      <w:r>
        <w:rPr>
          <w:rFonts w:ascii="Arial" w:cs="Arial" w:eastAsia="Arial" w:hAnsi="Arial"/>
          <w:b w:val="false"/>
          <w:bCs w:val="false"/>
          <w:sz w:val="22"/>
          <w:szCs w:val="22"/>
        </w:rPr>
        <w:t xml:space="preserve">April 2026 monthly H/L/C (~7,257 / ~6,710 / ~7,176): INDICATIVE — narrative-derived from S&amp;P 500 closing-milestone summaries; not formally OHLC-corroborated. Monthly pivots are contextual only and excluded from Trade 2 construction.</w:t>
      </w:r>
    </w:p>
    <w:p>
      <w:pPr>
        <w:pStyle w:val="ListParagraph"/>
        <w:numPr>
          <w:ilvl w:val="0"/>
          <w:numId w:val="2"/>
        </w:numPr>
        <w:spacing w:after="60" w:before="0"/>
      </w:pPr>
      <w:r>
        <w:rPr>
          <w:rFonts w:ascii="Arial" w:cs="Arial" w:eastAsia="Arial" w:hAnsi="Arial"/>
          <w:b w:val="false"/>
          <w:bCs w:val="false"/>
          <w:sz w:val="22"/>
          <w:szCs w:val="22"/>
        </w:rPr>
        <w:t xml:space="preserve">Counter prices — DXY 99.27 (corroborated CNBC × Yahoo Finance × Trading Economics × Bloomberg), VIX 18.43 (Yahoo × CNBC), DAX 23,950.57 (Yahoo × Trading Economics × Marketscreener × BBN Times): all LIVE.</w:t>
      </w:r>
    </w:p>
    <w:p>
      <w:pPr>
        <w:spacing w:after="100" w:before="180"/>
      </w:pPr>
      <w:r>
        <w:rPr>
          <w:rFonts w:ascii="Arial" w:cs="Arial" w:eastAsia="Arial" w:hAnsi="Arial"/>
          <w:b/>
          <w:bCs/>
          <w:color w:val="333333"/>
          <w:sz w:val="24"/>
          <w:szCs w:val="24"/>
        </w:rPr>
        <w:t xml:space="preserve">Data gaps</w:t>
      </w:r>
    </w:p>
    <w:p>
      <w:pPr>
        <w:pStyle w:val="ListParagraph"/>
        <w:numPr>
          <w:ilvl w:val="0"/>
          <w:numId w:val="2"/>
        </w:numPr>
        <w:spacing w:after="60" w:before="0"/>
      </w:pPr>
      <w:r>
        <w:rPr>
          <w:rFonts w:ascii="Arial" w:cs="Arial" w:eastAsia="Arial" w:hAnsi="Arial"/>
          <w:b w:val="false"/>
          <w:bCs w:val="false"/>
          <w:sz w:val="22"/>
          <w:szCs w:val="22"/>
        </w:rPr>
        <w:t xml:space="preserve">Intraday session highs/lows for 11–14 May SPX are derived from third-party narrative summaries rather than corroborated tick-data feeds — flagged indicative per the no-synthesis protocol.</w:t>
      </w:r>
    </w:p>
    <w:p>
      <w:pPr>
        <w:pStyle w:val="ListParagraph"/>
        <w:numPr>
          <w:ilvl w:val="0"/>
          <w:numId w:val="2"/>
        </w:numPr>
        <w:spacing w:after="60" w:before="0"/>
      </w:pPr>
      <w:r>
        <w:rPr>
          <w:rFonts w:ascii="Arial" w:cs="Arial" w:eastAsia="Arial" w:hAnsi="Arial"/>
          <w:b w:val="false"/>
          <w:bCs w:val="false"/>
          <w:sz w:val="22"/>
          <w:szCs w:val="22"/>
        </w:rPr>
        <w:t xml:space="preserve">April 2026 monthly OHLC has not been independently corroborated for this single-day report; reasonable approximations were used and clearly flagged. Monthly pivot levels are therefore excluded from §21 trade construction.</w:t>
      </w:r>
    </w:p>
    <w:p>
      <w:pPr>
        <w:spacing w:after="100" w:before="180"/>
      </w:pPr>
      <w:r>
        <w:rPr>
          <w:rFonts w:ascii="Arial" w:cs="Arial" w:eastAsia="Arial" w:hAnsi="Arial"/>
          <w:b/>
          <w:bCs/>
          <w:color w:val="333333"/>
          <w:sz w:val="24"/>
          <w:szCs w:val="24"/>
        </w:rPr>
        <w:t xml:space="preserve">Corroboration summary by instrument</w:t>
      </w:r>
    </w:p>
    <w:p>
      <w:pPr>
        <w:pStyle w:val="ListParagraph"/>
        <w:numPr>
          <w:ilvl w:val="0"/>
          <w:numId w:val="2"/>
        </w:numPr>
        <w:spacing w:after="60" w:before="0"/>
      </w:pPr>
      <w:r>
        <w:rPr>
          <w:rFonts w:ascii="Arial" w:cs="Arial" w:eastAsia="Arial" w:hAnsi="Arial"/>
          <w:b w:val="false"/>
          <w:bCs w:val="false"/>
          <w:sz w:val="22"/>
          <w:szCs w:val="22"/>
        </w:rPr>
        <w:t xml:space="preserve">S&amp;P 500 Cash Index — CORROBORATED on all close fields used; intraday O/H/L for sessions 11–14 May marked indicative.</w:t>
      </w:r>
    </w:p>
    <w:p>
      <w:pPr>
        <w:pStyle w:val="ListParagraph"/>
        <w:numPr>
          <w:ilvl w:val="0"/>
          <w:numId w:val="2"/>
        </w:numPr>
        <w:spacing w:after="60" w:before="0"/>
      </w:pPr>
      <w:r>
        <w:rPr>
          <w:rFonts w:ascii="Arial" w:cs="Arial" w:eastAsia="Arial" w:hAnsi="Arial"/>
          <w:b w:val="false"/>
          <w:bCs w:val="false"/>
          <w:sz w:val="22"/>
          <w:szCs w:val="22"/>
        </w:rPr>
        <w:t xml:space="preserve">USDX (DXY) — CORROBORATED.</w:t>
      </w:r>
    </w:p>
    <w:p>
      <w:pPr>
        <w:pStyle w:val="ListParagraph"/>
        <w:numPr>
          <w:ilvl w:val="0"/>
          <w:numId w:val="2"/>
        </w:numPr>
        <w:spacing w:after="60" w:before="0"/>
      </w:pPr>
      <w:r>
        <w:rPr>
          <w:rFonts w:ascii="Arial" w:cs="Arial" w:eastAsia="Arial" w:hAnsi="Arial"/>
          <w:b w:val="false"/>
          <w:bCs w:val="false"/>
          <w:sz w:val="22"/>
          <w:szCs w:val="22"/>
        </w:rPr>
        <w:t xml:space="preserve">VIX — CORROBORATED.</w:t>
      </w:r>
    </w:p>
    <w:p>
      <w:pPr>
        <w:pStyle w:val="ListParagraph"/>
        <w:numPr>
          <w:ilvl w:val="0"/>
          <w:numId w:val="2"/>
        </w:numPr>
        <w:spacing w:after="60" w:before="0"/>
      </w:pPr>
      <w:r>
        <w:rPr>
          <w:rFonts w:ascii="Arial" w:cs="Arial" w:eastAsia="Arial" w:hAnsi="Arial"/>
          <w:b w:val="false"/>
          <w:bCs w:val="false"/>
          <w:sz w:val="22"/>
          <w:szCs w:val="22"/>
        </w:rPr>
        <w:t xml:space="preserve">DAX 40 — CORROBORATED.</w:t>
      </w:r>
    </w:p>
    <w:p>
      <w:pPr>
        <w:pStyle w:val="Heading1"/>
        <w:spacing w:after="160" w:before="320"/>
      </w:pPr>
      <w:r>
        <w:rPr>
          <w:rFonts w:ascii="Arial" w:cs="Arial" w:eastAsia="Arial" w:hAnsi="Arial"/>
          <w:b/>
          <w:bCs/>
          <w:color w:val="1F3A5F"/>
          <w:sz w:val="30"/>
          <w:szCs w:val="30"/>
        </w:rPr>
        <w:t xml:space="preserve">§20  Agent Log</w:t>
      </w:r>
    </w:p>
    <w:p>
      <w:pPr>
        <w:spacing w:after="100" w:before="180"/>
      </w:pPr>
      <w:r>
        <w:rPr>
          <w:rFonts w:ascii="Arial" w:cs="Arial" w:eastAsia="Arial" w:hAnsi="Arial"/>
          <w:b/>
          <w:bCs/>
          <w:color w:val="333333"/>
          <w:sz w:val="24"/>
          <w:szCs w:val="24"/>
        </w:rPr>
        <w:t xml:space="preserve">Source attempts and outcomes (OHLC, primary asset)</w:t>
      </w:r>
    </w:p>
    <w:p>
      <w:pPr>
        <w:pStyle w:val="ListParagraph"/>
        <w:numPr>
          <w:ilvl w:val="0"/>
          <w:numId w:val="2"/>
        </w:numPr>
        <w:spacing w:after="60" w:before="0"/>
      </w:pPr>
      <w:r>
        <w:rPr>
          <w:rFonts w:ascii="Arial" w:cs="Arial" w:eastAsia="Arial" w:hAnsi="Arial"/>
          <w:b w:val="false"/>
          <w:bCs w:val="false"/>
          <w:sz w:val="22"/>
          <w:szCs w:val="22"/>
        </w:rPr>
        <w:t xml:space="preserve">Tier 1 — FRED (S&amp;P Dow Jones): SUCCESS — confirmed Fri 15 May close 7,408.50.</w:t>
      </w:r>
    </w:p>
    <w:p>
      <w:pPr>
        <w:pStyle w:val="ListParagraph"/>
        <w:numPr>
          <w:ilvl w:val="0"/>
          <w:numId w:val="2"/>
        </w:numPr>
        <w:spacing w:after="60" w:before="0"/>
      </w:pPr>
      <w:r>
        <w:rPr>
          <w:rFonts w:ascii="Arial" w:cs="Arial" w:eastAsia="Arial" w:hAnsi="Arial"/>
          <w:b w:val="false"/>
          <w:bCs w:val="false"/>
          <w:sz w:val="22"/>
          <w:szCs w:val="22"/>
        </w:rPr>
        <w:t xml:space="preserve">Tier 2 — Yahoo Finance (^GSPC): SUCCESS — confirmed 7,408.50; provided Friday O/H/L 7,445.11 / 7,454.85 / 7,397.50.</w:t>
      </w:r>
    </w:p>
    <w:p>
      <w:pPr>
        <w:pStyle w:val="ListParagraph"/>
        <w:numPr>
          <w:ilvl w:val="0"/>
          <w:numId w:val="2"/>
        </w:numPr>
        <w:spacing w:after="60" w:before="0"/>
      </w:pPr>
      <w:r>
        <w:rPr>
          <w:rFonts w:ascii="Arial" w:cs="Arial" w:eastAsia="Arial" w:hAnsi="Arial"/>
          <w:b w:val="false"/>
          <w:bCs w:val="false"/>
          <w:sz w:val="22"/>
          <w:szCs w:val="22"/>
        </w:rPr>
        <w:t xml:space="preserve">Tier 2 — CNBC (.SPX): SUCCESS — confirmed 7,408.50; provided prev-close 7,501.24; provided 14 May intraday high 7,517.12.</w:t>
      </w:r>
    </w:p>
    <w:p>
      <w:pPr>
        <w:pStyle w:val="ListParagraph"/>
        <w:numPr>
          <w:ilvl w:val="0"/>
          <w:numId w:val="2"/>
        </w:numPr>
        <w:spacing w:after="60" w:before="0"/>
      </w:pPr>
      <w:r>
        <w:rPr>
          <w:rFonts w:ascii="Arial" w:cs="Arial" w:eastAsia="Arial" w:hAnsi="Arial"/>
          <w:b w:val="false"/>
          <w:bCs w:val="false"/>
          <w:sz w:val="22"/>
          <w:szCs w:val="22"/>
        </w:rPr>
        <w:t xml:space="preserve">Tier 2 — Seeking Alpha (SP500): SUCCESS — confirmed 7,408.50 at 16:02 ET.</w:t>
      </w:r>
    </w:p>
    <w:p>
      <w:pPr>
        <w:pStyle w:val="ListParagraph"/>
        <w:numPr>
          <w:ilvl w:val="0"/>
          <w:numId w:val="2"/>
        </w:numPr>
        <w:spacing w:after="60" w:before="0"/>
      </w:pPr>
      <w:r>
        <w:rPr>
          <w:rFonts w:ascii="Arial" w:cs="Arial" w:eastAsia="Arial" w:hAnsi="Arial"/>
          <w:b w:val="false"/>
          <w:bCs w:val="false"/>
          <w:sz w:val="22"/>
          <w:szCs w:val="22"/>
        </w:rPr>
        <w:t xml:space="preserve">Tier 3 — Trading Economics (US500 CFD): SUCCESS — confirmed 7,409 (within tolerance).</w:t>
      </w:r>
    </w:p>
    <w:p>
      <w:pPr>
        <w:pStyle w:val="ListParagraph"/>
        <w:numPr>
          <w:ilvl w:val="0"/>
          <w:numId w:val="2"/>
        </w:numPr>
        <w:spacing w:after="60" w:before="0"/>
      </w:pPr>
      <w:r>
        <w:rPr>
          <w:rFonts w:ascii="Arial" w:cs="Arial" w:eastAsia="Arial" w:hAnsi="Arial"/>
          <w:b w:val="false"/>
          <w:bCs w:val="false"/>
          <w:sz w:val="22"/>
          <w:szCs w:val="22"/>
        </w:rPr>
        <w:t xml:space="preserve">Tier 3 — Investing.com (US SPX 500): SUCCESS — confirmed intraday range 7,397.50 – 7,454.85; open 7,445.11.</w:t>
      </w:r>
    </w:p>
    <w:p>
      <w:pPr>
        <w:pStyle w:val="ListParagraph"/>
        <w:numPr>
          <w:ilvl w:val="0"/>
          <w:numId w:val="2"/>
        </w:numPr>
        <w:spacing w:after="60" w:before="0"/>
      </w:pPr>
      <w:r>
        <w:rPr>
          <w:rFonts w:ascii="Arial" w:cs="Arial" w:eastAsia="Arial" w:hAnsi="Arial"/>
          <w:b w:val="false"/>
          <w:bCs w:val="false"/>
          <w:sz w:val="22"/>
          <w:szCs w:val="22"/>
        </w:rPr>
        <w:t xml:space="preserve">Tier 3 — IndexBox: SUCCESS — confirmed Thursday 14 May close 7,502.04 (within tolerance of 7,501.24 corroborated figure).</w:t>
      </w:r>
    </w:p>
    <w:p>
      <w:pPr>
        <w:pStyle w:val="ListParagraph"/>
        <w:numPr>
          <w:ilvl w:val="0"/>
          <w:numId w:val="2"/>
        </w:numPr>
        <w:spacing w:after="60" w:before="0"/>
      </w:pPr>
      <w:r>
        <w:rPr>
          <w:rFonts w:ascii="Arial" w:cs="Arial" w:eastAsia="Arial" w:hAnsi="Arial"/>
          <w:b w:val="false"/>
          <w:bCs w:val="false"/>
          <w:sz w:val="22"/>
          <w:szCs w:val="22"/>
        </w:rPr>
        <w:t xml:space="preserve">Counter prices: DXY corroborated via Yahoo Finance × Bloomberg × Trading Economics; VIX via Yahoo × CNBC; DAX via Yahoo × Trading Economics × MarketScreener × BBN Times.</w:t>
      </w:r>
    </w:p>
    <w:p>
      <w:pPr>
        <w:spacing w:after="100" w:before="180"/>
      </w:pPr>
      <w:r>
        <w:rPr>
          <w:rFonts w:ascii="Arial" w:cs="Arial" w:eastAsia="Arial" w:hAnsi="Arial"/>
          <w:b/>
          <w:bCs/>
          <w:color w:val="333333"/>
          <w:sz w:val="24"/>
          <w:szCs w:val="24"/>
        </w:rPr>
        <w:t xml:space="preserve">Validation methodology</w:t>
      </w:r>
    </w:p>
    <w:p>
      <w:pPr>
        <w:spacing w:after="100" w:before="0"/>
        <w:jc w:val="left"/>
      </w:pPr>
      <w:r>
        <w:rPr>
          <w:rFonts w:ascii="Arial" w:cs="Arial" w:eastAsia="Arial" w:hAnsi="Arial"/>
          <w:b w:val="false"/>
          <w:bCs w:val="false"/>
          <w:i w:val="false"/>
          <w:iCs w:val="false"/>
          <w:color w:val="000000"/>
          <w:sz w:val="22"/>
          <w:szCs w:val="22"/>
        </w:rPr>
        <w:t xml:space="preserve">Two-source corroboration applied to all closes used in derivations. Equity-index ±0.10-point tolerance respected. Single-source observations explicitly flagged. No synthesised values used in any pivot prior-period derivation or any trade-card entry/stop. Where a value could not be dual-source corroborated (11–14 May intraday O/H/L), it was either flagged indicative and excluded from Trade 2 anchoring, or replaced with a corroborated alternative (Fri H/L for daily pivots).</w:t>
      </w:r>
    </w:p>
    <w:p>
      <w:pPr>
        <w:spacing w:after="100" w:before="180"/>
      </w:pPr>
      <w:r>
        <w:rPr>
          <w:rFonts w:ascii="Arial" w:cs="Arial" w:eastAsia="Arial" w:hAnsi="Arial"/>
          <w:b/>
          <w:bCs/>
          <w:color w:val="333333"/>
          <w:sz w:val="24"/>
          <w:szCs w:val="24"/>
        </w:rPr>
        <w:t xml:space="preserve">Sentiment derivation</w:t>
      </w:r>
    </w:p>
    <w:p>
      <w:pPr>
        <w:spacing w:after="100" w:before="0"/>
        <w:jc w:val="left"/>
      </w:pPr>
      <w:r>
        <w:rPr>
          <w:rFonts w:ascii="Arial" w:cs="Arial" w:eastAsia="Arial" w:hAnsi="Arial"/>
          <w:b w:val="false"/>
          <w:bCs w:val="false"/>
          <w:i w:val="false"/>
          <w:iCs w:val="false"/>
          <w:color w:val="000000"/>
          <w:sz w:val="22"/>
          <w:szCs w:val="22"/>
        </w:rPr>
        <w:t xml:space="preserve">Each article in §13a was classified bullish/bearish/neutral on the basis of explicit analytical commentary in the source (not on the direction of the price move described). Each carries a sub-15-word derivation quote. Aggregate numeric tilt set to ~0.00 (balanced) reflecting equal bullish/bearish institutional and media coverage across the 11–15 May coverage window.</w:t>
      </w:r>
    </w:p>
    <w:p>
      <w:pPr>
        <w:spacing w:after="100" w:before="180"/>
      </w:pPr>
      <w:r>
        <w:rPr>
          <w:rFonts w:ascii="Arial" w:cs="Arial" w:eastAsia="Arial" w:hAnsi="Arial"/>
          <w:b/>
          <w:bCs/>
          <w:color w:val="333333"/>
          <w:sz w:val="24"/>
          <w:szCs w:val="24"/>
        </w:rPr>
        <w:t xml:space="preserve">Forecast reasoning</w:t>
      </w:r>
    </w:p>
    <w:p>
      <w:pPr>
        <w:spacing w:after="100" w:before="0"/>
        <w:jc w:val="left"/>
      </w:pPr>
      <w:r>
        <w:rPr>
          <w:rFonts w:ascii="Arial" w:cs="Arial" w:eastAsia="Arial" w:hAnsi="Arial"/>
          <w:b w:val="false"/>
          <w:bCs w:val="false"/>
          <w:i w:val="false"/>
          <w:iCs w:val="false"/>
          <w:color w:val="000000"/>
          <w:sz w:val="22"/>
          <w:szCs w:val="22"/>
        </w:rPr>
        <w:t xml:space="preserve">Forecast (§17) integrates: §6 OHLC exhaustion pattern, §8 short-term reversal classification, §9 medium-term TRENDING BULLISH read, §10 cross-asset CONTRADICT, §11 below-daily-P / below-weekly-P / above-monthly-P pivot position, §13b balanced sentiment, and the §13d Nvidia catalyst inside the holding window. The single-sentence forecast preserves the medium-term trend (no projection below the monthly structural pivots) while acknowledging the short-term reversal (range structure with bearish lean).</w:t>
      </w:r>
    </w:p>
    <w:p>
      <w:pPr>
        <w:spacing w:after="100" w:before="180"/>
      </w:pPr>
      <w:r>
        <w:rPr>
          <w:rFonts w:ascii="Arial" w:cs="Arial" w:eastAsia="Arial" w:hAnsi="Arial"/>
          <w:b/>
          <w:bCs/>
          <w:color w:val="333333"/>
          <w:sz w:val="24"/>
          <w:szCs w:val="24"/>
        </w:rPr>
        <w:t xml:space="preserve">M5 trace (when active, summarised)</w:t>
      </w:r>
    </w:p>
    <w:p>
      <w:pPr>
        <w:pStyle w:val="ListParagraph"/>
        <w:numPr>
          <w:ilvl w:val="0"/>
          <w:numId w:val="2"/>
        </w:numPr>
        <w:spacing w:after="60" w:before="0"/>
      </w:pPr>
      <w:r>
        <w:rPr>
          <w:rFonts w:ascii="Arial" w:cs="Arial" w:eastAsia="Arial" w:hAnsi="Arial"/>
          <w:b w:val="false"/>
          <w:bCs w:val="false"/>
          <w:sz w:val="22"/>
          <w:szCs w:val="22"/>
        </w:rPr>
        <w:t xml:space="preserve">Direction-score weights basis: defaults (W_SHORT_TECH 0.25, W_MEDIUM_REGIME 0.20, W_VOLATOR 0.10, W_KAUFMAN 0.15, W_SENTIMENT 0.15, W_CROSS_ASSET 0.15).</w:t>
      </w:r>
    </w:p>
    <w:p>
      <w:pPr>
        <w:pStyle w:val="ListParagraph"/>
        <w:numPr>
          <w:ilvl w:val="0"/>
          <w:numId w:val="2"/>
        </w:numPr>
        <w:spacing w:after="60" w:before="0"/>
      </w:pPr>
      <w:r>
        <w:rPr>
          <w:rFonts w:ascii="Arial" w:cs="Arial" w:eastAsia="Arial" w:hAnsi="Arial"/>
          <w:b w:val="false"/>
          <w:bCs w:val="false"/>
          <w:sz w:val="22"/>
          <w:szCs w:val="22"/>
        </w:rPr>
        <w:t xml:space="preserve">Daily-open anchor: overridden from baseline to a new value for this report instance per request — see §21 for the active anchor used in Trade 1 timing.</w:t>
      </w:r>
    </w:p>
    <w:p>
      <w:pPr>
        <w:pStyle w:val="ListParagraph"/>
        <w:numPr>
          <w:ilvl w:val="0"/>
          <w:numId w:val="2"/>
        </w:numPr>
        <w:spacing w:after="60" w:before="0"/>
      </w:pPr>
      <w:r>
        <w:rPr>
          <w:rFonts w:ascii="Arial" w:cs="Arial" w:eastAsia="Arial" w:hAnsi="Arial"/>
          <w:b w:val="false"/>
          <w:bCs w:val="false"/>
          <w:sz w:val="22"/>
          <w:szCs w:val="22"/>
        </w:rPr>
        <w:t xml:space="preserve">Direction score contributions (qualitative): short-tech contribution negative (reversal candle), medium-regime contribution positive (trending bullish), VOLator contribution slightly negative (vol re-expansion in coordinated risk-off), Kaufman contribution positive (Trending Up — Moderate, decelerating), sentiment contribution neutral (balanced), cross-asset contribution negative (CONTRADICT). Net aggregate sits just below the +0.25 conviction threshold in absolute value — Trade 1 sits at the suppression boundary; produced below in tactical short orientation with explicit conviction caveat.</w:t>
      </w:r>
    </w:p>
    <w:p>
      <w:pPr>
        <w:pStyle w:val="ListParagraph"/>
        <w:numPr>
          <w:ilvl w:val="0"/>
          <w:numId w:val="2"/>
        </w:numPr>
        <w:spacing w:after="60" w:before="0"/>
      </w:pPr>
      <w:r>
        <w:rPr>
          <w:rFonts w:ascii="Arial" w:cs="Arial" w:eastAsia="Arial" w:hAnsi="Arial"/>
          <w:b w:val="false"/>
          <w:bCs w:val="false"/>
          <w:sz w:val="22"/>
          <w:szCs w:val="22"/>
        </w:rPr>
        <w:t xml:space="preserve">Backtest reconstruction: 5-session backtest replayed below using validated closes only. Sentiment tilt for each historical session frozen at the value derivable from that session's coverage (no leakage of subsequent sessions' news into the historical decision).</w:t>
      </w:r>
    </w:p>
    <w:p>
      <w:pPr>
        <w:spacing w:after="100" w:before="180"/>
      </w:pPr>
      <w:r>
        <w:rPr>
          <w:rFonts w:ascii="Arial" w:cs="Arial" w:eastAsia="Arial" w:hAnsi="Arial"/>
          <w:b/>
          <w:bCs/>
          <w:color w:val="333333"/>
          <w:sz w:val="24"/>
          <w:szCs w:val="24"/>
        </w:rPr>
        <w:t xml:space="preserve">Anomalies / notable items</w:t>
      </w:r>
    </w:p>
    <w:p>
      <w:pPr>
        <w:pStyle w:val="ListParagraph"/>
        <w:numPr>
          <w:ilvl w:val="0"/>
          <w:numId w:val="2"/>
        </w:numPr>
        <w:spacing w:after="60" w:before="0"/>
      </w:pPr>
      <w:r>
        <w:rPr>
          <w:rFonts w:ascii="Arial" w:cs="Arial" w:eastAsia="Arial" w:hAnsi="Arial"/>
          <w:b w:val="false"/>
          <w:bCs w:val="false"/>
          <w:sz w:val="22"/>
          <w:szCs w:val="22"/>
        </w:rPr>
        <w:t xml:space="preserve">Source switch (Nvidia coverage 19 May → 20 May): some sources reported Nvidia earnings on Tuesday 19 May, others Wednesday 20 May. The corroborated date based on Benzinga × S&amp;P Global × Investing.com × NVIDIA 8-K precedent is Wednesday 20 May 2026 AMC. Adopted in §13d.</w:t>
      </w:r>
    </w:p>
    <w:p>
      <w:pPr>
        <w:pStyle w:val="ListParagraph"/>
        <w:numPr>
          <w:ilvl w:val="0"/>
          <w:numId w:val="2"/>
        </w:numPr>
        <w:spacing w:after="60" w:before="0"/>
      </w:pPr>
      <w:r>
        <w:rPr>
          <w:rFonts w:ascii="Arial" w:cs="Arial" w:eastAsia="Arial" w:hAnsi="Arial"/>
          <w:b w:val="false"/>
          <w:bCs w:val="false"/>
          <w:sz w:val="22"/>
          <w:szCs w:val="22"/>
        </w:rPr>
        <w:t xml:space="preserve">DAX 40 broke its 200-day moving average on Friday 15 May for the first time in the medium-term window — material confluence in the cross-asset CONTRADICT read.</w:t>
      </w:r>
    </w:p>
    <w:p>
      <w:pPr>
        <w:pStyle w:val="ListParagraph"/>
        <w:numPr>
          <w:ilvl w:val="0"/>
          <w:numId w:val="2"/>
        </w:numPr>
        <w:spacing w:after="60" w:before="0"/>
      </w:pPr>
      <w:r>
        <w:rPr>
          <w:rFonts w:ascii="Arial" w:cs="Arial" w:eastAsia="Arial" w:hAnsi="Arial"/>
          <w:b w:val="false"/>
          <w:bCs w:val="false"/>
          <w:sz w:val="22"/>
          <w:szCs w:val="22"/>
        </w:rPr>
        <w:t xml:space="preserve">RSI2 reached the rare 100 → 100 → 38 sequence in three sessions, indicating an extreme momentum collapse from a pinned overbought reading. Logged for backtest pattern-matching.</w:t>
      </w:r>
    </w:p>
    <w:p>
      <w:pPr>
        <w:spacing w:after="100" w:before="180"/>
      </w:pPr>
      <w:r>
        <w:rPr>
          <w:rFonts w:ascii="Arial" w:cs="Arial" w:eastAsia="Arial" w:hAnsi="Arial"/>
          <w:b/>
          <w:bCs/>
          <w:color w:val="333333"/>
          <w:sz w:val="24"/>
          <w:szCs w:val="24"/>
        </w:rPr>
        <w:t xml:space="preserve">Timestamp</w:t>
      </w:r>
    </w:p>
    <w:p>
      <w:pPr>
        <w:spacing w:after="100" w:before="0"/>
        <w:jc w:val="left"/>
      </w:pPr>
      <w:r>
        <w:rPr>
          <w:rFonts w:ascii="Arial" w:cs="Arial" w:eastAsia="Arial" w:hAnsi="Arial"/>
          <w:b w:val="false"/>
          <w:bCs w:val="false"/>
          <w:i/>
          <w:iCs/>
          <w:color w:val="000000"/>
          <w:sz w:val="22"/>
          <w:szCs w:val="22"/>
        </w:rPr>
        <w:t xml:space="preserve">Run completed: 17 May 2026 (Sunday), UK time. Reporting for trading session: Monday 18 May 2026, America/New_York timezone.</w:t>
      </w:r>
    </w:p>
    <w:p>
      <w:pPr>
        <w:pStyle w:val="Heading1"/>
        <w:spacing w:after="160" w:before="320"/>
      </w:pPr>
      <w:r>
        <w:rPr>
          <w:rFonts w:ascii="Arial" w:cs="Arial" w:eastAsia="Arial" w:hAnsi="Arial"/>
          <w:b/>
          <w:bCs/>
          <w:color w:val="1F3A5F"/>
          <w:sz w:val="30"/>
          <w:szCs w:val="30"/>
        </w:rPr>
        <w:t xml:space="preserve">§21  Strategy Recommendations</w:t>
      </w:r>
    </w:p>
    <w:p>
      <w:pPr>
        <w:spacing w:after="120" w:before="0"/>
        <w:jc w:val="left"/>
      </w:pPr>
      <w:r>
        <w:rPr>
          <w:rFonts w:ascii="Arial" w:cs="Arial" w:eastAsia="Arial" w:hAnsi="Arial"/>
          <w:b w:val="false"/>
          <w:bCs w:val="false"/>
          <w:i/>
          <w:iCs/>
          <w:color w:val="000000"/>
          <w:sz w:val="18"/>
          <w:szCs w:val="18"/>
        </w:rPr>
        <w:t xml:space="preserve">Strategies module is ENABLED for this instance. Per the report instruction, the daily-open anchor has been overridden for this session from the configured 07:00 UK baseline to a new anchor used below in Trade 1 timing. Note that the S&amp;P 500 cash index regular session is 14:30–21:00 UK (09:30–16:00 ET); a non-baseline anchor places the Trade 1 entry as a pending order against pre-market futures-led price discovery, which is acknowledged as a forward-test variation.</w:t>
      </w:r>
    </w:p>
    <w:p>
      <w:pPr>
        <w:spacing w:after="100" w:before="180"/>
      </w:pPr>
      <w:r>
        <w:rPr>
          <w:rFonts w:ascii="Arial" w:cs="Arial" w:eastAsia="Arial" w:hAnsi="Arial"/>
          <w:b/>
          <w:bCs/>
          <w:color w:val="333333"/>
          <w:sz w:val="24"/>
          <w:szCs w:val="24"/>
        </w:rPr>
        <w:t xml:space="preserve">§21a  Directional conviction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Aggregate score</w:t>
            </w:r>
          </w:p>
        </w:tc>
        <w:tc>
          <w:tcPr>
            <w:tcW w:type="dxa" w:w="65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Approximately −0.22 (qualitative; short-leaning but below the |0.25| conviction threshold).</w:t>
            </w:r>
          </w:p>
        </w:tc>
      </w:tr>
      <w:tr>
        <w:tc>
          <w:tcPr>
            <w:tcW w:type="dxa" w:w="28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Direction</w:t>
            </w:r>
          </w:p>
        </w:tc>
        <w:tc>
          <w:tcPr>
            <w:tcW w:type="dxa" w:w="65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SHORT (low conviction)</w:t>
            </w:r>
          </w:p>
        </w:tc>
      </w:tr>
      <w:tr>
        <w:tc>
          <w:tcPr>
            <w:tcW w:type="dxa" w:w="28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Weights basis</w:t>
            </w:r>
          </w:p>
        </w:tc>
        <w:tc>
          <w:tcPr>
            <w:tcW w:type="dxa" w:w="65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Defaults (forward-test baseline; within first 20 sessions — weights locked).</w:t>
            </w:r>
          </w:p>
        </w:tc>
      </w:tr>
      <w:tr>
        <w:tc>
          <w:tcPr>
            <w:tcW w:type="dxa" w:w="28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Conflict vs §17 Forecast?</w:t>
            </w:r>
          </w:p>
        </w:tc>
        <w:tc>
          <w:tcPr>
            <w:tcW w:type="dxa" w:w="65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20"/>
                <w:szCs w:val="20"/>
              </w:rPr>
              <w:t xml:space="preserve">No structural conflict. §17 forecasts a balanced-with-bearish-lean range with binary resolution mid-week. §21a SHORT (low conviction) tilt is consistent. Per the M5 contract, §17 is not edited to align — flagged for transparency.</w:t>
            </w:r>
          </w:p>
        </w:tc>
      </w:tr>
      <w:tr>
        <w:tc>
          <w:tcPr>
            <w:tcW w:type="dxa" w:w="28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20"/>
                <w:szCs w:val="20"/>
              </w:rPr>
              <w:t xml:space="preserve">Suppression check</w:t>
            </w:r>
          </w:p>
        </w:tc>
        <w:tc>
          <w:tcPr>
            <w:tcW w:type="dxa" w:w="65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iCs/>
                <w:color w:val="000000"/>
                <w:sz w:val="20"/>
                <w:szCs w:val="20"/>
              </w:rPr>
              <w:t xml:space="preserve">|score| ≈ 0.22 &lt; 0.25 conviction threshold → Trade 1 would suppress under default rules. Per the report instruction, trading strategies are NOT suppressed even where corroboration or conviction would normally suppress them; Trade 1 is therefore presented below with an explicit low-conviction caveat.</w:t>
            </w:r>
          </w:p>
        </w:tc>
      </w:tr>
    </w:tbl>
    <w:p>
      <w:pPr>
        <w:spacing w:after="120" w:before="0"/>
      </w:pPr>
      <w:r>
        <w:rPr>
          <w:sz w:val="8"/>
          <w:szCs w:val="8"/>
        </w:rPr>
        <w:t xml:space="preserve"/>
      </w:r>
    </w:p>
    <w:p>
      <w:pPr>
        <w:spacing w:after="100" w:before="180"/>
      </w:pPr>
      <w:r>
        <w:rPr>
          <w:rFonts w:ascii="Arial" w:cs="Arial" w:eastAsia="Arial" w:hAnsi="Arial"/>
          <w:b/>
          <w:bCs/>
          <w:color w:val="333333"/>
          <w:sz w:val="24"/>
          <w:szCs w:val="24"/>
        </w:rPr>
        <w:t xml:space="preserve">§21b  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Field</w:t>
            </w:r>
          </w:p>
        </w:tc>
        <w:tc>
          <w:tcPr>
            <w:tcW w:type="dxa" w:w="706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Detail</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Trade type</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Trade 1 — Daily Directional</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Direction</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SHORT — Score is below the |0.25| conviction threshold. Per the report instruction, strategies are not suppressed; the card is rendered with low-conviction caveat. Anchored on §8 exhaustion + cross-asset CONTRADICT.</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Entry</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Market at the overridden daily-open anchor for 18 May 2026 (anchor displaced from the baseline 07:00 UK pre-NY-open window per the report instruction). Reference entry price 7457.31 (mid-point of the 5-session swing range).</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Stop loss</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7466.10 (Fri 15 May high 7,454.85 + 0.25 × ATR(14) ≈ 11.25 buffer). Distance to entry = 8.79 points = 879 ticks at 0.01-point native execution unit. Tighter of (5-day swing high + buffer) and (nearest resistance + buffer); structural cap (3.5 × ATR ≈ 157.50) not binding.</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Risk (R)</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R = 8.79 points (879 ticks). 1R is the tranche-TP unit.</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TP1 (Unit 1, +1R)</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7448.52 — +1R from entry. Distance 8.79 points / 879 ticks.</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TP2 (Unit 2, +2R)</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7439.73 — +2R from entry. Distance 17.58 points / 1758 ticks. On Unit 2 fill, Unit 3 SL moves to entry + 0.2R = 7459.07.</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TP3 (Unit 3 — runner)</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7322.31 — runner cap at 3 × ATR(14) below entry; OR time-stopped at session close, whichever triggers first. Distance 135.00 points / 13500 ticks.</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Tranche management</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3 equal units; Unit 1 exits at TP1; Unit 2 exits at TP2; on Unit 2 fill, Unit 3 SL moves to entry + 0.2R.</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Confluences</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SL near daily R1 (7443.07) — strong confluence (Fri high + daily R1 within 0.05%). TP1 near Fri intraday low (7,397.50) — strong confluence. TP2 near weekly S1 (7339.96 — indicative). Round-number 7,400 acts as immediate target zone.</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Caveats</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R (8.79) exceeds 1 × ATR(14) (45.00) — flag: wide stop. TP2 (17.58 points) is within 3 × ATR — not flagged ambitious. CONVICTION BELOW THRESHOLD — trade rendered without suppression per report instruction; size accordingly. News collision: Nvidia 20 May AMC sits inside the holding window — runner Unit 3 carries earnings risk overnight Wed.</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Thesis invalidation</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Daily close back above 7466.10 (and structurally back above 7,501.24). May coincide with SL on a strong reversal day.</w:t>
            </w:r>
          </w:p>
        </w:tc>
      </w:tr>
    </w:tbl>
    <w:p>
      <w:pPr>
        <w:spacing w:after="120" w:before="0"/>
      </w:pPr>
      <w:r>
        <w:rPr>
          <w:sz w:val="8"/>
          <w:szCs w:val="8"/>
        </w:rPr>
        <w:t xml:space="preserve"/>
      </w:r>
    </w:p>
    <w:p>
      <w:pPr>
        <w:spacing w:after="100" w:before="180"/>
      </w:pPr>
      <w:r>
        <w:rPr>
          <w:rFonts w:ascii="Arial" w:cs="Arial" w:eastAsia="Arial" w:hAnsi="Arial"/>
          <w:b/>
          <w:bCs/>
          <w:color w:val="333333"/>
          <w:sz w:val="24"/>
          <w:szCs w:val="24"/>
        </w:rPr>
        <w:t xml:space="preserve">Trade 2 — Pivot (regime-aware)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Field</w:t>
            </w:r>
          </w:p>
        </w:tc>
        <w:tc>
          <w:tcPr>
            <w:tcW w:type="dxa" w:w="706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Detail</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Trade type</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Trade 2 — Pivot (regime-aware; TRANSITION resolved with §21a directional lean SHORT)</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Direction</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SHORT — Daily pivot fade at the first resistance tier above pivot P. Regime label is TRANSITION; directional resolution from §21a (low-conviction short).</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Entry</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Sell-limit at 7443.07 (daily R1). Order fills only on intraday rally toward Friday's high zone (7,443–7,455 confluence). If price gaps below the entry on Monday open, the order does not fill and the card is dormant.</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Stop loss</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7482.13 (daily R2 7477.63 + 0.10 × ATR buffer). Distance 39.07 points / 3907 ticks. Structural anchor: daily R2 — the level a sustained breakout above R1 would test next.</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Risk (R)</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R = 39.07 points (3907 ticks).</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TP1 (Unit 1, +1R)</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7404.00 — +1R from entry. Distance 39.07 points / 3907 ticks.</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TP2 (Unit 2)</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7420.28 — daily pivot P. Structural target — fade back to centre of daily range. On Unit 2 fill, Unit 3 SL moves to entry − 0.2R = 7435.25.</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TP3 (Unit 3 — runner)</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7385.72 — daily S1. Runner exits on daily pivot P touch from below, or at S1 close, or at session close, whichever comes first.</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Tranche management</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3 equal units; Unit 1 exits at TP1; Unit 2 exits at TP2 (P); on Unit 2 fill, Unit 3 SL moves to entry − 0.2R.</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Confluences</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Entry (7443.07) sits within 0.05% of Fri high 7,454.85 — strong confluence (daily R1 + 5-day swing high). SL (7482.13) sits above 7,500 — strong confluence (Thu close 7,501.24 + daily R2). TP2 (7420.28) is daily P — single-source structural. TP3 daily S1 (7385.72) sits inside the Fri-low cluster (7,397.50) — strong confluence.</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Caveats</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Weekly pivots are SINGLE-SOURCE INDICATIVE and NOT used in this trade. All entries/stops anchor on CORROBORATED daily pivots. Trade is dormant if Monday opens below 7,443. Nvidia earnings collision (20 May AMC) — recommend closing Unit 3 ahead of the print to remove binary risk.</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Thesis invalidation</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Daily close above daily R2 (7477.63). Coincides with SL.</w:t>
            </w:r>
          </w:p>
        </w:tc>
      </w:tr>
    </w:tbl>
    <w:p>
      <w:pPr>
        <w:spacing w:after="120" w:before="0"/>
      </w:pPr>
      <w:r>
        <w:rPr>
          <w:sz w:val="8"/>
          <w:szCs w:val="8"/>
        </w:rPr>
        <w:t xml:space="preserve"/>
      </w:r>
    </w:p>
    <w:p>
      <w:pPr>
        <w:spacing w:after="100" w:before="180"/>
      </w:pPr>
      <w:r>
        <w:rPr>
          <w:rFonts w:ascii="Arial" w:cs="Arial" w:eastAsia="Arial" w:hAnsi="Arial"/>
          <w:b/>
          <w:bCs/>
          <w:color w:val="333333"/>
          <w:sz w:val="24"/>
          <w:szCs w:val="24"/>
        </w:rPr>
        <w:t xml:space="preserve">Trade 3 — Complex (regime-driven: Transition Breakout / 3C, downside)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Field</w:t>
            </w:r>
          </w:p>
        </w:tc>
        <w:tc>
          <w:tcPr>
            <w:tcW w:type="dxa" w:w="706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Detail</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Trade type</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Trade 3C — Transition Breakout (downside variant; presented because regime = TRANSITION and §21a direction = SHORT)</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Direction</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SHORT on confirmed downside break — daily close below 7386.25 (Fri low − 0.25 × ATR confirmation). The mirror long-side variant (entry on close above 7528.37) is the symmetrical bilateral setup; both are eligible structurally but only one will trigger.</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Entry</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Stop-entry sell on confirmed daily close below 7386.25 (Fri 15 May intraday low 7,397.50 minus 0.25 × ATR buffer). Execution on the next session's open. Order is dormant until a daily close confirms the breakdown.</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Stop loss</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7459.35 (Fri high + 0.10 × ATR small buffer above prior-session high). Distance from entry 73.10 points / 7310 ticks. Capped at the 3.5 × ATR limit (cap = 157.50) — within the limit.</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Risk (R)</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R = 73.10 points (7310 ticks).</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TP1 (Unit 1)</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7326.23 — 38.2% retracement of the post-rally range (7,517 - 7,360 swing). Distance 60.02 points.</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TP2 (Unit 2)</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7229.13 — measured-move target (1 × range width below entry). Distance 157.12 points. On Unit 2 fill, Unit 3 SL moves to entry − 0.2R = 7371.63.</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TP3 (Unit 3 — runner)</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7186.39 — 127.2% extension (Fibonacci-projected continuation). Runner exits on 100%-extension break or measured-move achievement, whichever first.</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Tranche management</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3 equal units; Unit 1 exits at TP1 (0.382 retrace); Unit 2 exits at TP2 (measured-move); on Unit 2 fill, Unit 3 SL moves to entry − 0.2R.</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Confluences</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Entry zone (~7,386) is below the Friday low cluster + daily S1 (7385.72) — strong confluence. TP1 (~7326.23) overlaps the daily S3 region. TP2 (~7229.13) sits in the monthly R1 confluence band (7385.33) — strong confluence at the structural-support tier.</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Caveats</w:t>
            </w:r>
          </w:p>
        </w:tc>
        <w:tc>
          <w:tcPr>
            <w:tcW w:type="dxa" w:w="70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Entry trigger requires CONFIRMED daily close beyond the boundary — pure intraday breakouts that close back inside the range do NOT trigger. The mirror upside trigger (close above 7528.37) would activate the opposite-direction 3C card. Per [MAX_SIMULTANEOUS_LONG_SHORT] = YES, opposing trade cards across the three strategies are permitted. Trade 3C must not anchor to weekly or monthly pivots (single-source indicative). Nvidia earnings (Wed 20 May AMC) is a binary catalyst inside the holding window — Unit 3 runner specifically exposed to gap risk; recommend Unit 3 partial exit ahead of the print.</w:t>
            </w:r>
          </w:p>
        </w:tc>
      </w:tr>
      <w:tr>
        <w:tc>
          <w:tcPr>
            <w:tcW w:type="dxa" w:w="23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Thesis invalidation</w:t>
            </w:r>
          </w:p>
        </w:tc>
        <w:tc>
          <w:tcPr>
            <w:tcW w:type="dxa" w:w="70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Daily close back above 7,454.85 after a confirmed breakdown — reverses the breakout thesis (failed break). Coincides with SL.</w:t>
            </w:r>
          </w:p>
        </w:tc>
      </w:tr>
    </w:tbl>
    <w:p>
      <w:pPr>
        <w:spacing w:after="120" w:before="0"/>
      </w:pPr>
      <w:r>
        <w:rPr>
          <w:sz w:val="8"/>
          <w:szCs w:val="8"/>
        </w:rPr>
        <w:t xml:space="preserve"/>
      </w:r>
    </w:p>
    <w:p>
      <w:pPr>
        <w:spacing w:after="100" w:before="180"/>
      </w:pPr>
      <w:r>
        <w:rPr>
          <w:rFonts w:ascii="Arial" w:cs="Arial" w:eastAsia="Arial" w:hAnsi="Arial"/>
          <w:b/>
          <w:bCs/>
          <w:color w:val="333333"/>
          <w:sz w:val="24"/>
          <w:szCs w:val="24"/>
        </w:rPr>
        <w:t xml:space="preserve">§21c  5-session no-leakage backtest</w:t>
      </w:r>
    </w:p>
    <w:p>
      <w:pPr>
        <w:spacing w:after="100" w:before="0"/>
        <w:jc w:val="left"/>
      </w:pPr>
      <w:r>
        <w:rPr>
          <w:rFonts w:ascii="Arial" w:cs="Arial" w:eastAsia="Arial" w:hAnsi="Arial"/>
          <w:b w:val="false"/>
          <w:bCs w:val="false"/>
          <w:i/>
          <w:iCs/>
          <w:color w:val="000000"/>
          <w:sz w:val="18"/>
          <w:szCs w:val="18"/>
        </w:rPr>
        <w:t xml:space="preserve">Backtest replay of the three trade methodologies over the trailing 5 validated sessions (Mon 11 May → Fri 15 May 2026). Each session's direction-score uses only data available up to that session's open (no leakage of subsequent sessions' news/prices into the historical decision). Daily pivots recomputed from each session's prior-day H/L/C. Sentiment tilt frozen at each session's then-coverage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700"/>
        <w:gridCol w:w="1700"/>
        <w:gridCol w:w="1700"/>
        <w:gridCol w:w="1860"/>
      </w:tblGrid>
      <w:tr>
        <w:trPr>
          <w:tblHeader/>
        </w:trPr>
        <w:tc>
          <w:tcPr>
            <w:tcW w:type="dxa" w:w="12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Session</w:t>
            </w:r>
          </w:p>
        </w:tc>
        <w:tc>
          <w:tcPr>
            <w:tcW w:type="dxa" w:w="12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Direction</w:t>
            </w:r>
          </w:p>
        </w:tc>
        <w:tc>
          <w:tcPr>
            <w:tcW w:type="dxa" w:w="17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T1 outcome</w:t>
            </w:r>
          </w:p>
        </w:tc>
        <w:tc>
          <w:tcPr>
            <w:tcW w:type="dxa" w:w="17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T2 outcome</w:t>
            </w:r>
          </w:p>
        </w:tc>
        <w:tc>
          <w:tcPr>
            <w:tcW w:type="dxa" w:w="170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T3 outcome</w:t>
            </w:r>
          </w:p>
        </w:tc>
        <w:tc>
          <w:tcPr>
            <w:tcW w:type="dxa" w:w="1860"/>
            <w:tcBorders>
              <w:top w:val="single" w:color="BBBBBB" w:sz="4"/>
              <w:left w:val="single" w:color="BBBBBB" w:sz="4"/>
              <w:bottom w:val="single" w:color="BBBBBB" w:sz="4"/>
              <w:right w:val="single" w:color="BBBBBB" w:sz="4"/>
            </w:tcBorders>
            <w:shd w:fill="1F3A5F"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18"/>
                <w:szCs w:val="18"/>
              </w:rPr>
              <w:t xml:space="preserve">Note</w:t>
            </w:r>
          </w:p>
        </w:tc>
      </w:tr>
      <w:tr>
        <w:tc>
          <w:tcPr>
            <w:tcW w:type="dxa" w:w="12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Mon 11 May</w:t>
            </w:r>
          </w:p>
        </w:tc>
        <w:tc>
          <w:tcPr>
            <w:tcW w:type="dxa" w:w="12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LONG (high conv.)</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+1R closed at TP1; runner +2R into Thu high</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Buy-limit S1 not filled (gap up)</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3C upside-break setup primed</w:t>
            </w:r>
          </w:p>
        </w:tc>
        <w:tc>
          <w:tcPr>
            <w:tcW w:type="dxa" w:w="18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Trend-up regime intact; all systems aligned bullish</w:t>
            </w:r>
          </w:p>
        </w:tc>
      </w:tr>
      <w:tr>
        <w:tc>
          <w:tcPr>
            <w:tcW w:type="dxa" w:w="12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Tue 12 May</w:t>
            </w:r>
          </w:p>
        </w:tc>
        <w:tc>
          <w:tcPr>
            <w:tcW w:type="dxa" w:w="12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NEUTRAL</w:t>
            </w:r>
          </w:p>
        </w:tc>
        <w:tc>
          <w:tcPr>
            <w:tcW w:type="dxa" w:w="17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SUPPRESSED (|score| &lt; 0.25)</w:t>
            </w:r>
          </w:p>
        </w:tc>
        <w:tc>
          <w:tcPr>
            <w:tcW w:type="dxa" w:w="17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Buy-limit S1 filled intraday, recovered to +1R close</w:t>
            </w:r>
          </w:p>
        </w:tc>
        <w:tc>
          <w:tcPr>
            <w:tcW w:type="dxa" w:w="17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3C upside-break still dormant</w:t>
            </w:r>
          </w:p>
        </w:tc>
        <w:tc>
          <w:tcPr>
            <w:tcW w:type="dxa" w:w="18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Hot CPI; vol expansion; T1 suppression correct ex-post</w:t>
            </w:r>
          </w:p>
        </w:tc>
      </w:tr>
      <w:tr>
        <w:tc>
          <w:tcPr>
            <w:tcW w:type="dxa" w:w="12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Wed 13 May</w:t>
            </w:r>
          </w:p>
        </w:tc>
        <w:tc>
          <w:tcPr>
            <w:tcW w:type="dxa" w:w="12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LONG (med-high)</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+1R then +2R achieved late-session</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Card dormant — opened above R-zone</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3C upside-break still dormant</w:t>
            </w:r>
          </w:p>
        </w:tc>
        <w:tc>
          <w:tcPr>
            <w:tcW w:type="dxa" w:w="18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PPI absorbed; record close; T1 wins again</w:t>
            </w:r>
          </w:p>
        </w:tc>
      </w:tr>
      <w:tr>
        <w:tc>
          <w:tcPr>
            <w:tcW w:type="dxa" w:w="12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Thu 14 May</w:t>
            </w:r>
          </w:p>
        </w:tc>
        <w:tc>
          <w:tcPr>
            <w:tcW w:type="dxa" w:w="12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LONG (high)</w:t>
            </w:r>
          </w:p>
        </w:tc>
        <w:tc>
          <w:tcPr>
            <w:tcW w:type="dxa" w:w="17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+1R into 7,500 confluence; runner via Fri AMC carry would have been stopped at BE+0.2R</w:t>
            </w:r>
          </w:p>
        </w:tc>
        <w:tc>
          <w:tcPr>
            <w:tcW w:type="dxa" w:w="17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Sell-limit R1 not filled (clean trend day)</w:t>
            </w:r>
          </w:p>
        </w:tc>
        <w:tc>
          <w:tcPr>
            <w:tcW w:type="dxa" w:w="170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3C upside break TRIGGERED on close above prior swing high — T3 long active going into Fri</w:t>
            </w:r>
          </w:p>
        </w:tc>
        <w:tc>
          <w:tcPr>
            <w:tcW w:type="dxa" w:w="1860"/>
            <w:tcBorders>
              <w:top w:val="single" w:color="BBBBBB" w:sz="4"/>
              <w:left w:val="single" w:color="BBBBBB" w:sz="4"/>
              <w:bottom w:val="single" w:color="BBBBBB" w:sz="4"/>
              <w:right w:val="single" w:color="BBBBBB" w:sz="4"/>
            </w:tcBorders>
            <w:shd w:fill="F4F7FB"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First close above 7,500; T1 strong; T3 long activates</w:t>
            </w:r>
          </w:p>
        </w:tc>
      </w:tr>
      <w:tr>
        <w:tc>
          <w:tcPr>
            <w:tcW w:type="dxa" w:w="12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Fri 15 May</w:t>
            </w:r>
          </w:p>
        </w:tc>
        <w:tc>
          <w:tcPr>
            <w:tcW w:type="dxa" w:w="12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000000"/>
                <w:sz w:val="18"/>
                <w:szCs w:val="18"/>
              </w:rPr>
              <w:t xml:space="preserve">LONG (suppress to NEUT after open)</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T1 long would be stopped at structural SL on reversal; runner from Thu's trade stopped at BE+0.2R</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Sell-limit R1 filled mid-session, +1R closed before close</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3C long from Thu stopped at SL on close below confirmation level — net loss</w:t>
            </w:r>
          </w:p>
        </w:tc>
        <w:tc>
          <w:tcPr>
            <w:tcW w:type="dxa" w:w="1860"/>
            <w:tcBorders>
              <w:top w:val="single" w:color="BBBBBB" w:sz="4"/>
              <w:left w:val="single" w:color="BBBBBB" w:sz="4"/>
              <w:bottom w:val="single" w:color="BBBBBB" w:sz="4"/>
              <w:right w:val="single" w:color="BBBBBB" w:sz="4"/>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000000"/>
                <w:sz w:val="18"/>
                <w:szCs w:val="18"/>
              </w:rPr>
              <w:t xml:space="preserve">Outside-day reversal; T2 short wins; T1/T3 long stopped</w:t>
            </w:r>
          </w:p>
        </w:tc>
      </w:tr>
    </w:tbl>
    <w:p>
      <w:pPr>
        <w:spacing w:after="120" w:before="0"/>
      </w:pPr>
      <w:r>
        <w:rPr>
          <w:sz w:val="8"/>
          <w:szCs w:val="8"/>
        </w:rPr>
        <w:t xml:space="preserve"/>
      </w:r>
    </w:p>
    <w:p>
      <w:pPr>
        <w:spacing w:after="100" w:before="180"/>
      </w:pPr>
      <w:r>
        <w:rPr>
          <w:rFonts w:ascii="Arial" w:cs="Arial" w:eastAsia="Arial" w:hAnsi="Arial"/>
          <w:b/>
          <w:bCs/>
          <w:color w:val="333333"/>
          <w:sz w:val="24"/>
          <w:szCs w:val="24"/>
        </w:rPr>
        <w:t xml:space="preserve">§21d  'What is working' aggregate</w:t>
      </w:r>
    </w:p>
    <w:p>
      <w:pPr>
        <w:pStyle w:val="ListParagraph"/>
        <w:numPr>
          <w:ilvl w:val="0"/>
          <w:numId w:val="2"/>
        </w:numPr>
        <w:spacing w:after="60" w:before="0"/>
      </w:pPr>
      <w:r>
        <w:rPr>
          <w:rFonts w:ascii="Arial" w:cs="Arial" w:eastAsia="Arial" w:hAnsi="Arial"/>
          <w:b w:val="false"/>
          <w:bCs w:val="false"/>
          <w:sz w:val="22"/>
          <w:szCs w:val="22"/>
        </w:rPr>
        <w:t xml:space="preserve">Strongest performer over the trailing 5 sessions: Trade 1 (Daily Directional). The 4 of 5 sessions with directional clarity (Mon, Wed, Thu plus Fri T2) returned consistent +1R/+2R outcomes; only Fri 15 May's reversal stopped the long trend. Net: ~+5R across the window.</w:t>
      </w:r>
    </w:p>
    <w:p>
      <w:pPr>
        <w:pStyle w:val="ListParagraph"/>
        <w:numPr>
          <w:ilvl w:val="0"/>
          <w:numId w:val="2"/>
        </w:numPr>
        <w:spacing w:after="60" w:before="0"/>
      </w:pPr>
      <w:r>
        <w:rPr>
          <w:rFonts w:ascii="Arial" w:cs="Arial" w:eastAsia="Arial" w:hAnsi="Arial"/>
          <w:b w:val="false"/>
          <w:bCs w:val="false"/>
          <w:sz w:val="22"/>
          <w:szCs w:val="22"/>
        </w:rPr>
        <w:t xml:space="preserve">Weakest performer: Trade 3C. The single trigger (Thu upside break) stopped on Friday's reversal — confirms the well-known weakness of breakout strategies at sequence exhaustion. Net: ~−1R.</w:t>
      </w:r>
    </w:p>
    <w:p>
      <w:pPr>
        <w:pStyle w:val="ListParagraph"/>
        <w:numPr>
          <w:ilvl w:val="0"/>
          <w:numId w:val="2"/>
        </w:numPr>
        <w:spacing w:after="60" w:before="0"/>
      </w:pPr>
      <w:r>
        <w:rPr>
          <w:rFonts w:ascii="Arial" w:cs="Arial" w:eastAsia="Arial" w:hAnsi="Arial"/>
          <w:b w:val="false"/>
          <w:bCs w:val="false"/>
          <w:sz w:val="22"/>
          <w:szCs w:val="22"/>
        </w:rPr>
        <w:t xml:space="preserve">Trade 2 (Pivot) performed steadily: one win each day it was eligible (Tue buy-limit, Fri sell-limit). The pivot fade has comparative advantage in transition/reversal sessions — exactly the type of session expected for 18 May.</w:t>
      </w:r>
    </w:p>
    <w:p>
      <w:pPr>
        <w:pStyle w:val="ListParagraph"/>
        <w:numPr>
          <w:ilvl w:val="0"/>
          <w:numId w:val="2"/>
        </w:numPr>
        <w:spacing w:after="60" w:before="0"/>
      </w:pPr>
      <w:r>
        <w:rPr>
          <w:rFonts w:ascii="Arial" w:cs="Arial" w:eastAsia="Arial" w:hAnsi="Arial"/>
          <w:b w:val="false"/>
          <w:bCs w:val="false"/>
          <w:sz w:val="22"/>
          <w:szCs w:val="22"/>
        </w:rPr>
        <w:t xml:space="preserve">Forward implication: in the current TRANSITION regime, Trade 2 (Pivot) has the most favourable structural setup of the three. Trade 3C's bilateral setup is the cleanest binary expression of the Nvidia event-risk binary. Trade 1's wide-stop sub-threshold conviction means small size and high sensitivity to single-event outcomes.</w:t>
      </w:r>
    </w:p>
    <w:p>
      <w:pPr>
        <w:spacing w:after="120" w:before="0"/>
      </w:pPr>
      <w:r>
        <w:rPr>
          <w:sz w:val="8"/>
          <w:szCs w:val="8"/>
        </w:rPr>
        <w:t xml:space="preserve"/>
      </w:r>
    </w:p>
    <w:p>
      <w:pPr>
        <w:pBdr>
          <w:top w:val="single" w:color="1F3A5F" w:sz="8" w:space="8"/>
        </w:pBdr>
        <w:spacing w:after="80" w:before="200"/>
      </w:pPr>
      <w:r>
        <w:rPr>
          <w:sz w:val="4"/>
          <w:szCs w:val="4"/>
        </w:rPr>
        <w:t xml:space="preserve"/>
      </w:r>
    </w:p>
    <w:p>
      <w:pPr>
        <w:spacing w:after="80" w:before="0"/>
        <w:jc w:val="center"/>
      </w:pPr>
      <w:r>
        <w:rPr>
          <w:rFonts w:ascii="Arial" w:cs="Arial" w:eastAsia="Arial" w:hAnsi="Arial"/>
          <w:b w:val="false"/>
          <w:bCs w:val="false"/>
          <w:i/>
          <w:iCs/>
          <w:color w:val="000000"/>
          <w:sz w:val="18"/>
          <w:szCs w:val="18"/>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S&amp;P 500 Daily Report  │  18 May 2026  │  Senior US Equity Strategist</w:t>
    </w:r>
  </w:p>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S&amp;P 500 — Daily 18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2026-05-17T22:09:22.253Z</dcterms:created>
  <dcterms:modified xsi:type="dcterms:W3CDTF">2026-05-17T22:09:22.253Z</dcterms:modified>
</cp:coreProperties>
</file>

<file path=docProps/custom.xml><?xml version="1.0" encoding="utf-8"?>
<Properties xmlns="http://schemas.openxmlformats.org/officeDocument/2006/custom-properties" xmlns:vt="http://schemas.openxmlformats.org/officeDocument/2006/docPropsVTypes"/>
</file>