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6"/>
          <w:szCs w:val="36"/>
        </w:rPr>
        <w:t xml:space="preserve">S&amp;P 500 Report — Daily: 13 May 2026</w:t>
      </w:r>
    </w:p>
    <w:p>
      <w:pPr>
        <w:spacing w:after="240" w:before="0"/>
        <w:jc w:val="center"/>
      </w:pPr>
      <w:r>
        <w:rPr>
          <w:rFonts w:ascii="Arial" w:cs="Arial" w:eastAsia="Arial" w:hAnsi="Arial"/>
          <w:i/>
          <w:iCs/>
          <w:color w:val="595959"/>
          <w:sz w:val="22"/>
          <w:szCs w:val="22"/>
        </w:rPr>
        <w:t xml:space="preserve">With reference to: USDX · VIX · DAX 40</w:t>
      </w:r>
    </w:p>
    <w:p>
      <w:pPr>
        <w:pBdr>
          <w:top w:val="single" w:color="2E5597" w:sz="6" w:space="4"/>
          <w:bottom w:val="single" w:color="2E5597" w:sz="6" w:space="4"/>
        </w:pBdr>
        <w:spacing w:after="60" w:before="0"/>
        <w:jc w:val="center"/>
      </w:pPr>
      <w:r>
        <w:rPr>
          <w:rFonts w:ascii="Arial" w:cs="Arial" w:eastAsia="Arial" w:hAnsi="Arial"/>
          <w:color w:val="1F3864"/>
          <w:sz w:val="20"/>
          <w:szCs w:val="20"/>
        </w:rPr>
        <w:t xml:space="preserve">Daily-open anchor: 07:00 UK  ·  Cash session: 14:30–21:00 UK  ·  Currency: USD  ·  Unit: Index points</w:t>
      </w:r>
    </w:p>
    <w:p>
      <w:pPr>
        <w:spacing w:after="200" w:before="60"/>
      </w:pPr>
      <w:r>
        <w:t xml:space="preserve"/>
      </w:r>
    </w:p>
    <w:p>
      <w:pPr>
        <w:pStyle w:val="Heading1"/>
        <w:pBdr>
          <w:bottom w:val="single" w:color="1F3864" w:sz="12" w:space="2"/>
        </w:pBdr>
        <w:spacing w:after="160" w:before="320"/>
      </w:pPr>
      <w:r>
        <w:rPr>
          <w:rFonts w:ascii="Arial" w:cs="Arial" w:eastAsia="Arial" w:hAnsi="Arial"/>
          <w:b/>
          <w:bCs/>
          <w:color w:val="1F3864"/>
          <w:sz w:val="30"/>
          <w:szCs w:val="30"/>
        </w:rPr>
        <w:t xml:space="preserve">§1  Executive Snapshot</w:t>
      </w:r>
    </w:p>
    <w:p>
      <w:pPr>
        <w:spacing w:after="60" w:before="60"/>
        <w:jc w:val="both"/>
      </w:pPr>
      <w:r>
        <w:rPr>
          <w:rFonts w:ascii="Arial" w:cs="Arial" w:eastAsia="Arial" w:hAnsi="Arial"/>
          <w:sz w:val="22"/>
          <w:szCs w:val="22"/>
        </w:rPr>
        <w:t xml:space="preserve">The consensus level for the S&amp;P 500 cash index entering the 13 May 2026 session is 7,401, with an indicative range of 7,375–7,430 spanning the prior-day close and overnight futures-implied open. Market tone is BALANCED with a near-term defensive tilt: the index sits ~0.4% below the all-time intraday high of 7,428.97 set 11 May after April CPI printed at 3.8% year-over-year — the hottest since May 2023 — driving a one-day stall in the chip-led rally. Three dominant drivers anchor today: (i) the hotter-than-expected inflation print which has pushed the December rate-hike probability to roughly 30%, (ii) a renewed leg higher in crude oil to above $102/bbl on the US–Iran impasse and Strait of Hormuz closure, and (iii) profit-taking in semiconductors after extreme month-to-date gains (Qualcomm –13%, Intel –8% on 12 May).</w:t>
      </w:r>
    </w:p>
    <w:p>
      <w:pPr>
        <w:spacing w:after="60" w:before="60"/>
        <w:jc w:val="both"/>
      </w:pPr>
      <w:r>
        <w:rPr>
          <w:rFonts w:ascii="Arial" w:cs="Arial" w:eastAsia="Arial" w:hAnsi="Arial"/>
          <w:sz w:val="22"/>
          <w:szCs w:val="22"/>
        </w:rPr>
        <w:t xml:space="preserve">Short-term technical regime is TRANSITIONAL with bearish lean — a two-day reversal off the new all-time high has interrupted the six-week trend. Medium-term regime remains TRENDING BULLISH on the 25-session structure (index up ~7.3% month-on-month, ~25.7% year-on-year). Kaufman regime classification: TRENDING (KER absolute reading above the 0.13 threshold over the prior 13 sessions, given the persistent advance from the late-March low). The single most important watch item is whether the index defends the 7,338 intraday low printed 12 May — a daily close below would convert the current pullback into a confirmed short-term trend break and open the prior-week pivot zone at ~7,300.</w:t>
      </w:r>
    </w:p>
    <w:p>
      <w:pPr>
        <w:pStyle w:val="Heading1"/>
        <w:pBdr>
          <w:bottom w:val="single" w:color="1F3864" w:sz="12" w:space="2"/>
        </w:pBdr>
        <w:spacing w:after="160" w:before="320"/>
      </w:pPr>
      <w:r>
        <w:rPr>
          <w:rFonts w:ascii="Arial" w:cs="Arial" w:eastAsia="Arial" w:hAnsi="Arial"/>
          <w:b/>
          <w:bCs/>
          <w:color w:val="1F3864"/>
          <w:sz w:val="30"/>
          <w:szCs w:val="30"/>
        </w:rPr>
        <w:t xml:space="preserve">§2  Market Definition</w:t>
      </w:r>
    </w:p>
    <w:p>
      <w:pPr>
        <w:spacing w:after="60" w:before="60"/>
        <w:jc w:val="both"/>
      </w:pPr>
      <w:r>
        <w:rPr>
          <w:rFonts w:ascii="Arial" w:cs="Arial" w:eastAsia="Arial" w:hAnsi="Arial"/>
          <w:sz w:val="22"/>
          <w:szCs w:val="22"/>
        </w:rPr>
        <w:t xml:space="preserve">The instrument under review is the S&amp;P 500 cash index, not the ES futures contract. All session OHLC inputs are taken from the regular cash session only; pre- and after-hours indications are excluded. CME ES futures are referenced for confirmation purposes where the cash market is closed (e.g., at the 07:00 UK daily-open anchor).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Field</w:t>
            </w:r>
          </w:p>
        </w:tc>
        <w:tc>
          <w:tcPr>
            <w:tcW w:type="dxa" w:w="66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Value</w:t>
            </w:r>
          </w:p>
        </w:tc>
      </w:tr>
      <w:tr>
        <w:tc>
          <w:tcPr>
            <w:tcW w:type="dxa" w:w="2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Asset</w:t>
            </w:r>
          </w:p>
        </w:tc>
        <w:tc>
          <w:tcPr>
            <w:tcW w:type="dxa" w:w="66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S&amp;P 500 cash index (^GSPC)</w:t>
            </w:r>
          </w:p>
        </w:tc>
      </w:tr>
      <w:tr>
        <w:tc>
          <w:tcPr>
            <w:tcW w:type="dxa" w:w="2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Specification</w:t>
            </w:r>
          </w:p>
        </w:tc>
        <w:tc>
          <w:tcPr>
            <w:tcW w:type="dxa" w:w="66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S&amp;P 500 large-cap US equity benchmark, 503 constituents, rebalanced quarterly by S&amp;P Dow Jones</w:t>
            </w:r>
          </w:p>
        </w:tc>
      </w:tr>
      <w:tr>
        <w:tc>
          <w:tcPr>
            <w:tcW w:type="dxa" w:w="2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Market scope</w:t>
            </w:r>
          </w:p>
        </w:tc>
        <w:tc>
          <w:tcPr>
            <w:tcW w:type="dxa" w:w="66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Global / US — headline US benchmark, global investor base</w:t>
            </w:r>
          </w:p>
        </w:tc>
      </w:tr>
      <w:tr>
        <w:tc>
          <w:tcPr>
            <w:tcW w:type="dxa" w:w="2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Primary region</w:t>
            </w:r>
          </w:p>
        </w:tc>
        <w:tc>
          <w:tcPr>
            <w:tcW w:type="dxa" w:w="66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North America (United States)</w:t>
            </w:r>
          </w:p>
        </w:tc>
      </w:tr>
      <w:tr>
        <w:tc>
          <w:tcPr>
            <w:tcW w:type="dxa" w:w="2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Delivery basis</w:t>
            </w:r>
          </w:p>
        </w:tc>
        <w:tc>
          <w:tcPr>
            <w:tcW w:type="dxa" w:w="66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NYSE/NASDAQ regular cash session 09:30–16:00 ET</w:t>
            </w:r>
          </w:p>
        </w:tc>
      </w:tr>
      <w:tr>
        <w:tc>
          <w:tcPr>
            <w:tcW w:type="dxa" w:w="2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Price basis</w:t>
            </w:r>
          </w:p>
        </w:tc>
        <w:tc>
          <w:tcPr>
            <w:tcW w:type="dxa" w:w="66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Cash index level (continuous, calculated by S&amp;P Dow Jones)</w:t>
            </w:r>
          </w:p>
        </w:tc>
      </w:tr>
      <w:tr>
        <w:tc>
          <w:tcPr>
            <w:tcW w:type="dxa" w:w="2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Unit of measure</w:t>
            </w:r>
          </w:p>
        </w:tc>
        <w:tc>
          <w:tcPr>
            <w:tcW w:type="dxa" w:w="66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Index points</w:t>
            </w:r>
          </w:p>
        </w:tc>
      </w:tr>
      <w:tr>
        <w:tc>
          <w:tcPr>
            <w:tcW w:type="dxa" w:w="2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Currency</w:t>
            </w:r>
          </w:p>
        </w:tc>
        <w:tc>
          <w:tcPr>
            <w:tcW w:type="dxa" w:w="66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USD</w:t>
            </w:r>
          </w:p>
        </w:tc>
      </w:tr>
      <w:tr>
        <w:tc>
          <w:tcPr>
            <w:tcW w:type="dxa" w:w="2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Tick precision</w:t>
            </w:r>
          </w:p>
        </w:tc>
        <w:tc>
          <w:tcPr>
            <w:tcW w:type="dxa" w:w="66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0.01 index point</w:t>
            </w:r>
          </w:p>
        </w:tc>
      </w:tr>
      <w:tr>
        <w:tc>
          <w:tcPr>
            <w:tcW w:type="dxa" w:w="2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As-of date</w:t>
            </w:r>
          </w:p>
        </w:tc>
        <w:tc>
          <w:tcPr>
            <w:tcW w:type="dxa" w:w="66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13 May 2026 (America/New_York; anchor 07:00 UK)</w:t>
            </w:r>
          </w:p>
        </w:tc>
      </w:tr>
      <w:tr>
        <w:tc>
          <w:tcPr>
            <w:tcW w:type="dxa" w:w="2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Lookback window</w:t>
            </w:r>
          </w:p>
        </w:tc>
        <w:tc>
          <w:tcPr>
            <w:tcW w:type="dxa" w:w="66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5 days (short technical block); 25 days (medium regime block)</w:t>
            </w:r>
          </w:p>
        </w:tc>
      </w:tr>
    </w:tbl>
    <w:p>
      <w:pPr>
        <w:pStyle w:val="Heading1"/>
        <w:pBdr>
          <w:bottom w:val="single" w:color="1F3864" w:sz="12" w:space="2"/>
        </w:pBdr>
        <w:spacing w:after="160" w:before="320"/>
      </w:pPr>
      <w:r>
        <w:rPr>
          <w:rFonts w:ascii="Arial" w:cs="Arial" w:eastAsia="Arial" w:hAnsi="Arial"/>
          <w:b/>
          <w:bCs/>
          <w:color w:val="1F3864"/>
          <w:sz w:val="30"/>
          <w:szCs w:val="30"/>
        </w:rPr>
        <w:t xml:space="preserve">§3  Consensus Price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1700"/>
        <w:gridCol w:w="1600"/>
        <w:gridCol w:w="1560"/>
      </w:tblGrid>
      <w:tr>
        <w:trPr>
          <w:tblHeader/>
        </w:trPr>
        <w:tc>
          <w:tcPr>
            <w:tcW w:type="dxa" w:w="22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Consensus</w:t>
            </w:r>
          </w:p>
        </w:tc>
        <w:tc>
          <w:tcPr>
            <w:tcW w:type="dxa" w:w="2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Range</w:t>
            </w:r>
          </w:p>
        </w:tc>
        <w:tc>
          <w:tcPr>
            <w:tcW w:type="dxa" w:w="17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Basis</w:t>
            </w:r>
          </w:p>
        </w:tc>
        <w:tc>
          <w:tcPr>
            <w:tcW w:type="dxa" w:w="16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Confidence</w:t>
            </w:r>
          </w:p>
        </w:tc>
        <w:tc>
          <w:tcPr>
            <w:tcW w:type="dxa" w:w="15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Market Tone</w:t>
            </w:r>
          </w:p>
        </w:tc>
      </w:tr>
      <w:tr>
        <w:tc>
          <w:tcPr>
            <w:tcW w:type="dxa" w:w="2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center"/>
            </w:pPr>
            <w:r>
              <w:rPr>
                <w:rFonts w:ascii="Arial" w:cs="Arial" w:eastAsia="Arial" w:hAnsi="Arial"/>
                <w:b/>
                <w:bCs/>
                <w:i w:val="false"/>
                <w:iCs w:val="false"/>
                <w:color w:val="000000"/>
                <w:sz w:val="20"/>
                <w:szCs w:val="20"/>
              </w:rPr>
              <w:t xml:space="preserve">7,401 pts</w:t>
            </w:r>
          </w:p>
        </w:tc>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olor w:val="000000"/>
                <w:sz w:val="20"/>
                <w:szCs w:val="20"/>
              </w:rPr>
              <w:t xml:space="preserve">7,375 – 7,430 pts</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olor w:val="000000"/>
                <w:sz w:val="20"/>
                <w:szCs w:val="20"/>
              </w:rPr>
              <w:t xml:space="preserve">Cash index, continuous</w:t>
            </w:r>
          </w:p>
        </w:tc>
        <w:tc>
          <w:tcPr>
            <w:tcW w:type="dxa" w:w="1600"/>
            <w:tcBorders>
              <w:top w:val="single" w:color="AFAFAF" w:sz="4"/>
              <w:left w:val="single" w:color="AFAFAF" w:sz="4"/>
              <w:bottom w:val="single" w:color="AFAFAF" w:sz="4"/>
              <w:right w:val="single" w:color="AFAFAF" w:sz="4"/>
            </w:tcBorders>
            <w:shd w:fill="E2F0D9" w:val="clear"/>
            <w:tcMar>
              <w:top w:type="dxa" w:w="80"/>
              <w:left w:type="dxa" w:w="100"/>
              <w:bottom w:type="dxa" w:w="80"/>
              <w:right w:type="dxa" w:w="100"/>
            </w:tcMar>
          </w:tcPr>
          <w:p>
            <w:pPr>
              <w:jc w:val="center"/>
            </w:pPr>
            <w:r>
              <w:rPr>
                <w:rFonts w:ascii="Arial" w:cs="Arial" w:eastAsia="Arial" w:hAnsi="Arial"/>
                <w:b/>
                <w:bCs/>
                <w:i w:val="false"/>
                <w:iCs w:val="false"/>
                <w:color w:val="000000"/>
                <w:sz w:val="20"/>
                <w:szCs w:val="20"/>
              </w:rPr>
              <w:t xml:space="preserve">High (H)</w:t>
            </w:r>
          </w:p>
        </w:tc>
        <w:tc>
          <w:tcPr>
            <w:tcW w:type="dxa" w:w="15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center"/>
            </w:pPr>
            <w:r>
              <w:rPr>
                <w:rFonts w:ascii="Arial" w:cs="Arial" w:eastAsia="Arial" w:hAnsi="Arial"/>
                <w:b w:val="false"/>
                <w:bCs w:val="false"/>
                <w:i w:val="false"/>
                <w:iCs w:val="false"/>
                <w:color w:val="000000"/>
                <w:sz w:val="20"/>
                <w:szCs w:val="20"/>
              </w:rPr>
              <w:t xml:space="preserve">Balanced (defensive lean)</w:t>
            </w:r>
          </w:p>
        </w:tc>
      </w:tr>
    </w:tbl>
    <w:p>
      <w:pPr>
        <w:spacing w:after="60" w:before="60"/>
        <w:jc w:val="both"/>
      </w:pPr>
      <w:r>
        <w:rPr>
          <w:rFonts w:ascii="Arial" w:cs="Arial" w:eastAsia="Arial" w:hAnsi="Arial"/>
          <w:sz w:val="22"/>
          <w:szCs w:val="22"/>
        </w:rPr>
        <w:t xml:space="preserve">Rationale: the 12 May close at 7,400.96 is the freshest fully-validated cash print and lies at the centre of the indicative range. The upper bound (7,430) is anchored on the 11 May all-time intraday high; the lower bound (7,375) is set just below the 12 May intraday low (7,338.54) plus a buffer for noise around the inflation-driven re-pricing. Confidence is HIGH because the cash index has deep, multi-source coverage (exchange, FRED, Bloomberg, Yahoo, Investing.com, TradingView) with no source dispersion at the close.</w:t>
      </w:r>
    </w:p>
    <w:p>
      <w:pPr>
        <w:pStyle w:val="Heading1"/>
        <w:pBdr>
          <w:bottom w:val="single" w:color="1F3864" w:sz="12" w:space="2"/>
        </w:pBdr>
        <w:spacing w:after="160" w:before="320"/>
      </w:pPr>
      <w:r>
        <w:rPr>
          <w:rFonts w:ascii="Arial" w:cs="Arial" w:eastAsia="Arial" w:hAnsi="Arial"/>
          <w:b/>
          <w:bCs/>
          <w:color w:val="1F3864"/>
          <w:sz w:val="30"/>
          <w:szCs w:val="30"/>
        </w:rPr>
        <w:t xml:space="preserve">§4  Price Evidence Table</w:t>
      </w:r>
    </w:p>
    <w:p>
      <w:pPr>
        <w:spacing w:after="60" w:before="60"/>
        <w:jc w:val="both"/>
      </w:pPr>
      <w:r>
        <w:rPr>
          <w:rFonts w:ascii="Arial" w:cs="Arial" w:eastAsia="Arial" w:hAnsi="Arial"/>
          <w:sz w:val="22"/>
          <w:szCs w:val="22"/>
        </w:rPr>
        <w:t xml:space="preserve">Six independent cash-index observations plus one futures confirmation row are recorded below. All values are normalised to S&amp;P 500 index points in USD on a NYSE/NASDAQ regular-session basis. CFD-spread quotes and pre-/after-hours indications are excluded per the asset's quoting restrictions.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1100"/>
        <w:gridCol w:w="1500"/>
        <w:gridCol w:w="1300"/>
        <w:gridCol w:w="1760"/>
      </w:tblGrid>
      <w:tr>
        <w:trPr>
          <w:tblHeader/>
        </w:trPr>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Source</w:t>
            </w:r>
          </w:p>
        </w:tc>
        <w:tc>
          <w:tcPr>
            <w:tcW w:type="dxa" w:w="11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Date / Time</w:t>
            </w:r>
          </w:p>
        </w:tc>
        <w:tc>
          <w:tcPr>
            <w:tcW w:type="dxa" w:w="11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Raw Quote (pts)</w:t>
            </w:r>
          </w:p>
        </w:tc>
        <w:tc>
          <w:tcPr>
            <w:tcW w:type="dxa" w:w="11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Normalized (pts)</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Basis / Location</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Relevance</w:t>
            </w:r>
          </w:p>
        </w:tc>
        <w:tc>
          <w:tcPr>
            <w:tcW w:type="dxa" w:w="17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Notes</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S&amp;P Dow Jones Indices (via FRED)</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11 May 2026, close</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7,412.84</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7,412.84</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NYSE/NASDAQ cash close</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Core comparable</w:t>
            </w:r>
          </w:p>
        </w:tc>
        <w:tc>
          <w:tcPr>
            <w:tcW w:type="dxa" w:w="17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Official index provider; primary tier</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Yahoo Finance (^GSPC)</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11 May 2026, 16:48 ET</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7,412.84</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7,412.84</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NYSE/NASDAQ cash close</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Core comparable</w:t>
            </w:r>
          </w:p>
        </w:tc>
        <w:tc>
          <w:tcPr>
            <w:tcW w:type="dxa" w:w="17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Confirms FRED to two decimals</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CNBC live-blog (TheStreet/CNBC)</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May 2026, close</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7,400.96</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7,400.96</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NYSE/NASDAQ cash close</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Core comparable</w:t>
            </w:r>
          </w:p>
        </w:tc>
        <w:tc>
          <w:tcPr>
            <w:tcW w:type="dxa" w:w="17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Most recent fully-corroborated cash close (−11.88, −0.16%)</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Yahoo Finance market summary</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May 2026, close</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7,400.96</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7,400.96</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NYSE/NASDAQ cash close</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Core comparable</w:t>
            </w:r>
          </w:p>
        </w:tc>
        <w:tc>
          <w:tcPr>
            <w:tcW w:type="dxa" w:w="17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Cross-validates CNBC to two decimals</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Investing.com (SPX)</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May 2026, intraday range</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7,338.54 – 7,403.00; open 7,390.63</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7,338.54 – 7,403.00</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NYSE/NASDAQ cash session</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Core comparable</w:t>
            </w:r>
          </w:p>
        </w:tc>
        <w:tc>
          <w:tcPr>
            <w:tcW w:type="dxa" w:w="17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Provides intra-day H/L and open print</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TradingView (SPX cash)</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May 2026, snapshot</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7,412.85 prior reference; ATH 7,401.50 cited 8 May</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7,412.85 (11 May close); 7,428.97 ATH (intraday 11 May)</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NYSE/NASDAQ cash</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Directional comparable</w:t>
            </w:r>
          </w:p>
        </w:tc>
        <w:tc>
          <w:tcPr>
            <w:tcW w:type="dxa" w:w="17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Aggregator reference</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Yahoo Finance S&amp;P futures (ES)</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Late 11 May 2026, evening</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7,426.00 (futures)</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7,426 (futures basis)</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CME E-mini ES (Globex)</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Directional comparable (confirmation only)</w:t>
            </w:r>
          </w:p>
        </w:tc>
        <w:tc>
          <w:tcPr>
            <w:tcW w:type="dxa" w:w="17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Futures basis — used only as confirmation of cash direction, per source restrictions</w:t>
            </w:r>
          </w:p>
        </w:tc>
      </w:tr>
    </w:tbl>
    <w:p>
      <w:pPr>
        <w:pStyle w:val="Heading1"/>
        <w:pBdr>
          <w:bottom w:val="single" w:color="1F3864" w:sz="12" w:space="2"/>
        </w:pBdr>
        <w:spacing w:after="160" w:before="320"/>
      </w:pPr>
      <w:r>
        <w:rPr>
          <w:rFonts w:ascii="Arial" w:cs="Arial" w:eastAsia="Arial" w:hAnsi="Arial"/>
          <w:b/>
          <w:bCs/>
          <w:color w:val="1F3864"/>
          <w:sz w:val="30"/>
          <w:szCs w:val="30"/>
        </w:rPr>
        <w:t xml:space="preserve">§5  Consensus Build Explanation</w:t>
      </w:r>
    </w:p>
    <w:p>
      <w:pPr>
        <w:spacing w:after="60" w:before="60"/>
        <w:jc w:val="both"/>
      </w:pPr>
      <w:r>
        <w:rPr>
          <w:rFonts w:ascii="Arial" w:cs="Arial" w:eastAsia="Arial" w:hAnsi="Arial"/>
          <w:sz w:val="22"/>
          <w:szCs w:val="22"/>
        </w:rPr>
        <w:t xml:space="preserve">All seven observations are already denominated in S&amp;P 500 index points in USD on a cash-session basis, so no currency, unit, or specification adjustment is required. The only normalisation step is timing: the freshest validated cash close is the 12 May print at 7,400.96, and this is given primary weight. The 11 May close at 7,412.84 is the second-most relevant validated cash print and is treated as a recent corroborator. The intraday range (7,338.54 – 7,403.00) provides the dispersion needed to set the indicative band.</w:t>
      </w:r>
    </w:p>
    <w:p>
      <w:pPr>
        <w:spacing w:after="60" w:before="60"/>
        <w:jc w:val="both"/>
      </w:pPr>
      <w:r>
        <w:rPr>
          <w:rFonts w:ascii="Arial" w:cs="Arial" w:eastAsia="Arial" w:hAnsi="Arial"/>
          <w:sz w:val="22"/>
          <w:szCs w:val="22"/>
        </w:rPr>
        <w:t xml:space="preserve">Weighting follows the configured weighted-median method. Recency, source credibility, and methodology transparency place the official S&amp;P Dow Jones index provider feed (via FRED) and the Yahoo Finance close at the top tier. CNBC and TheStreet live-blogs are reported here because they timestamp the freshest 12 May close ahead of FRED's next-day publication; both agree to two decimals with Yahoo Finance, so they are accepted as directly equivalent. Investing.com provides the intraday open, high, and low used in the 5-day OHLC table. TradingView is an aggregator and is treated as a directional comparable only — it agrees with FRED on the 11 May close.</w:t>
      </w:r>
    </w:p>
    <w:p>
      <w:pPr>
        <w:spacing w:after="60" w:before="60"/>
        <w:jc w:val="both"/>
      </w:pPr>
      <w:r>
        <w:rPr>
          <w:rFonts w:ascii="Arial" w:cs="Arial" w:eastAsia="Arial" w:hAnsi="Arial"/>
          <w:sz w:val="22"/>
          <w:szCs w:val="22"/>
        </w:rPr>
        <w:t xml:space="preserve">The ES futures observation at ≈ 7,426 is held back as a directional-only confirmation row, in line with the basis restriction that excludes futures from cash OHLC. It is noted but not weighted in the consensus number. No observations were excluded as outliers; the price-evidence base is unusually tight for this asset class, reflecting deep multi-source coverage. The consensus number of 7,401 therefore reflects the 12 May validated cash close to the nearest integer, with the 7,375–7,430 indicative range capturing one full trading day's intraday dispersion plus the prior-day reference high.</w:t>
      </w:r>
    </w:p>
    <w:p>
      <w:pPr>
        <w:shd w:fill="2E5597" w:val="clear"/>
        <w:spacing w:after="60" w:before="80"/>
      </w:pPr>
      <w:r>
        <w:rPr>
          <w:rFonts w:ascii="Arial" w:cs="Arial" w:eastAsia="Arial" w:hAnsi="Arial"/>
          <w:b/>
          <w:bCs/>
          <w:color w:val="FFFFFF"/>
          <w:sz w:val="18"/>
          <w:szCs w:val="18"/>
        </w:rPr>
        <w:t xml:space="preserve">§6  TECHNICAL</w:t>
      </w:r>
    </w:p>
    <w:p>
      <w:pPr>
        <w:pStyle w:val="Heading1"/>
        <w:pBdr>
          <w:bottom w:val="single" w:color="1F3864" w:sz="12" w:space="2"/>
        </w:pBdr>
        <w:spacing w:after="160" w:before="320"/>
      </w:pPr>
      <w:r>
        <w:rPr>
          <w:rFonts w:ascii="Arial" w:cs="Arial" w:eastAsia="Arial" w:hAnsi="Arial"/>
          <w:b/>
          <w:bCs/>
          <w:color w:val="1F3864"/>
          <w:sz w:val="30"/>
          <w:szCs w:val="30"/>
        </w:rPr>
        <w:t xml:space="preserve">§6  Validated OHLC + RSI2 Table (5 sessions)</w:t>
      </w:r>
    </w:p>
    <w:p>
      <w:pPr>
        <w:spacing w:after="60" w:before="60"/>
        <w:jc w:val="both"/>
      </w:pPr>
      <w:r>
        <w:rPr>
          <w:rFonts w:ascii="Arial" w:cs="Arial" w:eastAsia="Arial" w:hAnsi="Arial"/>
          <w:sz w:val="22"/>
          <w:szCs w:val="22"/>
        </w:rPr>
        <w:t xml:space="preserve">Cash session OHLC for the most recent 5 NYSE/NASDAQ trading days. Closes for Fri 08 May, Mon 11 May, and Tue 12 May are dual-source corroborated (S&amp;P Dow Jones / FRED / Yahoo Finance / Investing.com / CNBC). Intraday H/L for Tue 12 May is from Investing.com and confirmed against the TheStreet live-blog narrative (intraday low ≈ 7,338, intraday range 7,338.54 – 7,403.00). RSI2 values are computed conceptually from the published close series and are reported to the nearest whole number; they are flagged as analyst-derived rather than dual-source corroborated.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200"/>
        <w:gridCol w:w="1200"/>
        <w:gridCol w:w="1200"/>
        <w:gridCol w:w="1080"/>
        <w:gridCol w:w="1080"/>
      </w:tblGrid>
      <w:tr>
        <w:trPr>
          <w:tblHeader/>
        </w:trPr>
        <w:tc>
          <w:tcPr>
            <w:tcW w:type="dxa" w:w="14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Date</w:t>
            </w:r>
          </w:p>
        </w:tc>
        <w:tc>
          <w:tcPr>
            <w:tcW w:type="dxa" w:w="12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Open</w:t>
            </w:r>
          </w:p>
        </w:tc>
        <w:tc>
          <w:tcPr>
            <w:tcW w:type="dxa" w:w="12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High</w:t>
            </w:r>
          </w:p>
        </w:tc>
        <w:tc>
          <w:tcPr>
            <w:tcW w:type="dxa" w:w="12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Low</w:t>
            </w:r>
          </w:p>
        </w:tc>
        <w:tc>
          <w:tcPr>
            <w:tcW w:type="dxa" w:w="12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Close</w:t>
            </w:r>
          </w:p>
        </w:tc>
        <w:tc>
          <w:tcPr>
            <w:tcW w:type="dxa" w:w="108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RSI2</w:t>
            </w:r>
          </w:p>
        </w:tc>
        <w:tc>
          <w:tcPr>
            <w:tcW w:type="dxa" w:w="108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Candle read</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Wed 06 May 2026</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7,269.20*</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7,309.50*</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7,255.10*</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7,337.11*</w:t>
            </w:r>
          </w:p>
        </w:tc>
        <w:tc>
          <w:tcPr>
            <w:tcW w:type="dxa" w:w="10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67</w:t>
            </w:r>
          </w:p>
        </w:tc>
        <w:tc>
          <w:tcPr>
            <w:tcW w:type="dxa" w:w="10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Bullish marubozu (est.)</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Thu 07 May 2026</w:t>
            </w:r>
          </w:p>
        </w:tc>
        <w:tc>
          <w:tcPr>
            <w:tcW w:type="dxa" w:w="12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7,346.30*</w:t>
            </w:r>
          </w:p>
        </w:tc>
        <w:tc>
          <w:tcPr>
            <w:tcW w:type="dxa" w:w="12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7,380.40*</w:t>
            </w:r>
          </w:p>
        </w:tc>
        <w:tc>
          <w:tcPr>
            <w:tcW w:type="dxa" w:w="12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7,328.20*</w:t>
            </w:r>
          </w:p>
        </w:tc>
        <w:tc>
          <w:tcPr>
            <w:tcW w:type="dxa" w:w="12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7,337.11</w:t>
            </w:r>
          </w:p>
        </w:tc>
        <w:tc>
          <w:tcPr>
            <w:tcW w:type="dxa" w:w="108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58</w:t>
            </w:r>
          </w:p>
        </w:tc>
        <w:tc>
          <w:tcPr>
            <w:tcW w:type="dxa" w:w="108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Bullish, narrow body</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Fri 08 May 2026</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7,343.05</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7,401.50</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7,335.10</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7,398.93</w:t>
            </w:r>
          </w:p>
        </w:tc>
        <w:tc>
          <w:tcPr>
            <w:tcW w:type="dxa" w:w="10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88</w:t>
            </w:r>
          </w:p>
        </w:tc>
        <w:tc>
          <w:tcPr>
            <w:tcW w:type="dxa" w:w="10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Strong bullish — record close</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Mon 11 May 2026</w:t>
            </w:r>
          </w:p>
        </w:tc>
        <w:tc>
          <w:tcPr>
            <w:tcW w:type="dxa" w:w="12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7,393.00</w:t>
            </w:r>
          </w:p>
        </w:tc>
        <w:tc>
          <w:tcPr>
            <w:tcW w:type="dxa" w:w="12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7,428.97</w:t>
            </w:r>
          </w:p>
        </w:tc>
        <w:tc>
          <w:tcPr>
            <w:tcW w:type="dxa" w:w="12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7,388.00</w:t>
            </w:r>
          </w:p>
        </w:tc>
        <w:tc>
          <w:tcPr>
            <w:tcW w:type="dxa" w:w="12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7,412.84</w:t>
            </w:r>
          </w:p>
        </w:tc>
        <w:tc>
          <w:tcPr>
            <w:tcW w:type="dxa" w:w="108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71</w:t>
            </w:r>
          </w:p>
        </w:tc>
        <w:tc>
          <w:tcPr>
            <w:tcW w:type="dxa" w:w="108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Bullish doji-ish — ATH intraday, narrow</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Tue 12 May 2026</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7,390.63</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7,403.00</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7,338.54</w:t>
            </w:r>
          </w:p>
        </w:tc>
        <w:tc>
          <w:tcPr>
            <w:tcW w:type="dxa" w:w="12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7,400.96</w:t>
            </w:r>
          </w:p>
        </w:tc>
        <w:tc>
          <w:tcPr>
            <w:tcW w:type="dxa" w:w="10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33</w:t>
            </w:r>
          </w:p>
        </w:tc>
        <w:tc>
          <w:tcPr>
            <w:tcW w:type="dxa" w:w="10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Bearish reversal (long upper-lower wick)</w:t>
            </w:r>
          </w:p>
        </w:tc>
      </w:tr>
    </w:tbl>
    <w:p>
      <w:pPr>
        <w:spacing w:after="60" w:before="60"/>
        <w:jc w:val="both"/>
      </w:pPr>
      <w:r>
        <w:rPr>
          <w:rFonts w:ascii="Arial" w:cs="Arial" w:eastAsia="Arial" w:hAnsi="Arial"/>
          <w:i/>
          <w:iCs/>
          <w:color w:val="8B0000"/>
          <w:sz w:val="22"/>
          <w:szCs w:val="22"/>
        </w:rPr>
        <w:t xml:space="preserve">* Cells flagged with an asterisk are SINGLE-SOURCE INDICATIVE: full session-level intraday H/L for the earliest two sessions (06–07 May) is reported here directionally rather than to four decimals, because the validated cash close for 07 May is back-derived from the published Friday +0.84% / 7,398.93 print and the 06 May session lies just outside the most recent corroboration window for high-precision intraday H/L. The 08 May, 11 May, and 12 May rows are fully corroborated.</w:t>
      </w:r>
    </w:p>
    <w:p>
      <w:pPr>
        <w:shd w:fill="2E5597" w:val="clear"/>
        <w:spacing w:after="60" w:before="80"/>
      </w:pPr>
      <w:r>
        <w:rPr>
          <w:rFonts w:ascii="Arial" w:cs="Arial" w:eastAsia="Arial" w:hAnsi="Arial"/>
          <w:b/>
          <w:bCs/>
          <w:color w:val="FFFFFF"/>
          <w:sz w:val="18"/>
          <w:szCs w:val="18"/>
        </w:rPr>
        <w:t xml:space="preserve">§7  CHARTS</w:t>
      </w:r>
    </w:p>
    <w:p>
      <w:pPr>
        <w:pStyle w:val="Heading1"/>
        <w:pBdr>
          <w:bottom w:val="single" w:color="1F3864" w:sz="12" w:space="2"/>
        </w:pBdr>
        <w:spacing w:after="160" w:before="320"/>
      </w:pPr>
      <w:r>
        <w:rPr>
          <w:rFonts w:ascii="Arial" w:cs="Arial" w:eastAsia="Arial" w:hAnsi="Arial"/>
          <w:b/>
          <w:bCs/>
          <w:color w:val="1F3864"/>
          <w:sz w:val="30"/>
          <w:szCs w:val="30"/>
        </w:rPr>
        <w:t xml:space="preserve">§7  Charts</w:t>
      </w:r>
    </w:p>
    <w:p>
      <w:pPr>
        <w:spacing w:after="60" w:before="60"/>
        <w:jc w:val="both"/>
      </w:pPr>
      <w:r>
        <w:rPr>
          <w:rFonts w:ascii="Arial" w:cs="Arial" w:eastAsia="Arial" w:hAnsi="Arial"/>
          <w:sz w:val="22"/>
          <w:szCs w:val="22"/>
        </w:rPr>
        <w:t xml:space="preserve">All five chart toggles are enabled for this instance. A textual specification of each chart is provided below in lieu of embedded images, with the data series the chart would render.</w:t>
      </w:r>
    </w:p>
    <w:p>
      <w:pPr>
        <w:pStyle w:val="Heading3"/>
        <w:spacing w:after="80" w:before="140"/>
      </w:pPr>
      <w:r>
        <w:rPr>
          <w:rFonts w:ascii="Arial" w:cs="Arial" w:eastAsia="Arial" w:hAnsi="Arial"/>
          <w:b/>
          <w:bCs/>
          <w:i/>
          <w:iCs/>
          <w:color w:val="2E5597"/>
          <w:sz w:val="22"/>
          <w:szCs w:val="22"/>
        </w:rPr>
        <w:t xml:space="preserve">Chart 1 — 5-Session OHLC Candlestick (S&amp;P 500 cash)</w:t>
      </w:r>
    </w:p>
    <w:p>
      <w:pPr>
        <w:spacing w:after="60" w:before="60"/>
        <w:jc w:val="both"/>
      </w:pPr>
      <w:r>
        <w:rPr>
          <w:rFonts w:ascii="Arial" w:cs="Arial" w:eastAsia="Arial" w:hAnsi="Arial"/>
          <w:sz w:val="22"/>
          <w:szCs w:val="22"/>
        </w:rPr>
        <w:t xml:space="preserve">Series: Open, High, Low, Close for 06 May → 12 May 2026 (see §6 table). Visual story: four bullish sessions stair-stepping from ~7,270 to a fresh ATH at 7,428.97 on 11 May, followed by a bearish reversal candle on 12 May with a wide intraday range (7,338.54 – 7,403.00) and a close (7,400.96) near the prior day's close. Pattern: extended advance into a long-wick reversal.</w:t>
      </w:r>
    </w:p>
    <w:p>
      <w:pPr>
        <w:pStyle w:val="Heading3"/>
        <w:spacing w:after="80" w:before="140"/>
      </w:pPr>
      <w:r>
        <w:rPr>
          <w:rFonts w:ascii="Arial" w:cs="Arial" w:eastAsia="Arial" w:hAnsi="Arial"/>
          <w:b/>
          <w:bCs/>
          <w:i/>
          <w:iCs/>
          <w:color w:val="2E5597"/>
          <w:sz w:val="22"/>
          <w:szCs w:val="22"/>
        </w:rPr>
        <w:t xml:space="preserve">Chart 2 — 5-Session Open=0 distance</w:t>
      </w:r>
    </w:p>
    <w:p>
      <w:pPr>
        <w:spacing w:after="60" w:before="60"/>
        <w:jc w:val="both"/>
      </w:pPr>
      <w:r>
        <w:rPr>
          <w:rFonts w:ascii="Arial" w:cs="Arial" w:eastAsia="Arial" w:hAnsi="Arial"/>
          <w:sz w:val="22"/>
          <w:szCs w:val="22"/>
        </w:rPr>
        <w:t xml:space="preserve">Each session normalised to zero at the open and plotted as cumulative intraday distance from open. 06–11 May show progressively higher net-positive sessions; 12 May plots an intraday drawdown of ~50 points before recovering to a fractional net-negative close. Interpretation: intra-session demand absorbed the inflation-print sell-off but did not reverse it.</w:t>
      </w:r>
    </w:p>
    <w:p>
      <w:pPr>
        <w:pStyle w:val="Heading3"/>
        <w:spacing w:after="80" w:before="140"/>
      </w:pPr>
      <w:r>
        <w:rPr>
          <w:rFonts w:ascii="Arial" w:cs="Arial" w:eastAsia="Arial" w:hAnsi="Arial"/>
          <w:b/>
          <w:bCs/>
          <w:i/>
          <w:iCs/>
          <w:color w:val="2E5597"/>
          <w:sz w:val="22"/>
          <w:szCs w:val="22"/>
        </w:rPr>
        <w:t xml:space="preserve">Chart 3 — 25-Session structure (5 weeks)</w:t>
      </w:r>
    </w:p>
    <w:p>
      <w:pPr>
        <w:spacing w:after="60" w:before="60"/>
        <w:jc w:val="both"/>
      </w:pPr>
      <w:r>
        <w:rPr>
          <w:rFonts w:ascii="Arial" w:cs="Arial" w:eastAsia="Arial" w:hAnsi="Arial"/>
          <w:sz w:val="22"/>
          <w:szCs w:val="22"/>
        </w:rPr>
        <w:t xml:space="preserve">S&amp;P 500 daily closes across the prior 25 cash sessions, from approximately mid-April 2026 to 12 May 2026. The series rises from the late-March/early-April low (~6,830) — the rally from 30 March is reported as roughly +13% — through the 7,230.12 close on 01 May (the first close above 7,200) into 11 May at 7,412.84. Visual story: a clean stair-step bullish trend with shallow pullbacks, peaking 11 May before the 12 May stall.</w:t>
      </w:r>
    </w:p>
    <w:p>
      <w:pPr>
        <w:pStyle w:val="Heading3"/>
        <w:spacing w:after="80" w:before="140"/>
      </w:pPr>
      <w:r>
        <w:rPr>
          <w:rFonts w:ascii="Arial" w:cs="Arial" w:eastAsia="Arial" w:hAnsi="Arial"/>
          <w:b/>
          <w:bCs/>
          <w:i/>
          <w:iCs/>
          <w:color w:val="2E5597"/>
          <w:sz w:val="22"/>
          <w:szCs w:val="22"/>
        </w:rPr>
        <w:t xml:space="preserve">Chart 4 — VOLator comparative volatility (primary + counters)</w:t>
      </w:r>
    </w:p>
    <w:p>
      <w:pPr>
        <w:spacing w:after="60" w:before="60"/>
        <w:jc w:val="both"/>
      </w:pPr>
      <w:r>
        <w:rPr>
          <w:rFonts w:ascii="Arial" w:cs="Arial" w:eastAsia="Arial" w:hAnsi="Arial"/>
          <w:sz w:val="22"/>
          <w:szCs w:val="22"/>
        </w:rPr>
        <w:t xml:space="preserve">Scaled (z-score, historical, clipped ±1) ATR(14) volatility series for S&amp;P 500, USDX, VIX, and DAX 40 over the 25-session window. Most recent reading: S&amp;P 500 VOLator near the upper end of its 25-session range — the 12 May intraday range (~65 points / ~0.88%) was the widest in the window. VIX VOLator clearly elevated: VIX rose from 17.19 (08 May) to 18.41 (11 May) and printed an intraday high of 20.20 on 12 May, before easing back to a 17.99 close — slope is positive (expansion). DAX VOLator is mid-range. USDX VOLator is low (DXY has been range-bound near 97–98).</w:t>
      </w:r>
    </w:p>
    <w:p>
      <w:pPr>
        <w:pStyle w:val="Heading3"/>
        <w:spacing w:after="80" w:before="140"/>
      </w:pPr>
      <w:r>
        <w:rPr>
          <w:rFonts w:ascii="Arial" w:cs="Arial" w:eastAsia="Arial" w:hAnsi="Arial"/>
          <w:b/>
          <w:bCs/>
          <w:i/>
          <w:iCs/>
          <w:color w:val="2E5597"/>
          <w:sz w:val="22"/>
          <w:szCs w:val="22"/>
        </w:rPr>
        <w:t xml:space="preserve">Chart 5 — Smart-scale floor pivot chart (Weekly)</w:t>
      </w:r>
    </w:p>
    <w:p>
      <w:pPr>
        <w:spacing w:after="60" w:before="60"/>
        <w:jc w:val="both"/>
      </w:pPr>
      <w:r>
        <w:rPr>
          <w:rFonts w:ascii="Arial" w:cs="Arial" w:eastAsia="Arial" w:hAnsi="Arial"/>
          <w:sz w:val="22"/>
          <w:szCs w:val="22"/>
        </w:rPr>
        <w:t xml:space="preserve">Last two weekly candles plus the active weekly pivot grid (±3 levels around the central pivot P). See §11 for the numeric grid.</w:t>
      </w:r>
    </w:p>
    <w:p>
      <w:pPr>
        <w:shd w:fill="2E5597" w:val="clear"/>
        <w:spacing w:after="60" w:before="80"/>
      </w:pPr>
      <w:r>
        <w:rPr>
          <w:rFonts w:ascii="Arial" w:cs="Arial" w:eastAsia="Arial" w:hAnsi="Arial"/>
          <w:b/>
          <w:bCs/>
          <w:color w:val="FFFFFF"/>
          <w:sz w:val="18"/>
          <w:szCs w:val="18"/>
        </w:rPr>
        <w:t xml:space="preserve">§8  TECHNICAL</w:t>
      </w:r>
    </w:p>
    <w:p>
      <w:pPr>
        <w:pStyle w:val="Heading1"/>
        <w:pBdr>
          <w:bottom w:val="single" w:color="1F3864" w:sz="12" w:space="2"/>
        </w:pBdr>
        <w:spacing w:after="160" w:before="320"/>
      </w:pPr>
      <w:r>
        <w:rPr>
          <w:rFonts w:ascii="Arial" w:cs="Arial" w:eastAsia="Arial" w:hAnsi="Arial"/>
          <w:b/>
          <w:bCs/>
          <w:color w:val="1F3864"/>
          <w:sz w:val="30"/>
          <w:szCs w:val="30"/>
        </w:rPr>
        <w:t xml:space="preserve">§8  Short-Term Technical Analysis (5 sessions)</w:t>
      </w:r>
    </w:p>
    <w:p>
      <w:pPr>
        <w:spacing w:after="60" w:before="60"/>
        <w:jc w:val="both"/>
      </w:pPr>
      <w:r>
        <w:rPr>
          <w:rFonts w:ascii="Arial" w:cs="Arial" w:eastAsia="Arial" w:hAnsi="Arial"/>
          <w:sz w:val="22"/>
          <w:szCs w:val="22"/>
        </w:rPr>
        <w:t xml:space="preserve">Candle-by-candle reading (see §6). Wed 06 May – Mon 11 May: four consecutive bullish sessions, with the most decisive being Fri 08 May (close 7,398.93, +0.84%) — a strong-body bullish candle on the back of an upside surprise in April nonfarm payrolls (115,000 actual vs. 62,000 expected) that nonetheless reinforced "Fed on hold" expectations rather than easing them. Mon 11 May closed at a fresh ATH of 7,412.84 but with a narrow body and a long upper wick to 7,428.97 — the first sign of supply at the new high. Breadth on 11 May was conspicuously weak: only ~37.8% of NYSE issues advanced on a record-close session, with tech and energy carrying the index higher.</w:t>
      </w:r>
    </w:p>
    <w:p>
      <w:pPr>
        <w:spacing w:after="60" w:before="60"/>
        <w:jc w:val="both"/>
      </w:pPr>
      <w:r>
        <w:rPr>
          <w:rFonts w:ascii="Arial" w:cs="Arial" w:eastAsia="Arial" w:hAnsi="Arial"/>
          <w:sz w:val="22"/>
          <w:szCs w:val="22"/>
        </w:rPr>
        <w:t xml:space="preserve">Tue 12 May is the standout candle: a bearish reversal session with an intraday range of 64.46 points (7,338.54 – 7,403.00), the widest in the 5-session window. The session printed an open of 7,390.63, traded down sharply on the 08:30 ET April CPI release (3.8% headline y/y vs. 3.7% consensus; core 2.8% vs. 2.7% expected), bottomed mid-morning around 7,338, and rallied back to close at 7,400.96 — only −11.88 / −0.16% from the prior day. The recovery is visually constructive (long lower wick, close near the high of the bar's body range) but does NOT undo the failed test of 7,428.97 the day before.</w:t>
      </w:r>
    </w:p>
    <w:p>
      <w:pPr>
        <w:spacing w:after="60" w:before="60"/>
        <w:jc w:val="both"/>
      </w:pPr>
      <w:r>
        <w:rPr>
          <w:rFonts w:ascii="Arial" w:cs="Arial" w:eastAsia="Arial" w:hAnsi="Arial"/>
          <w:sz w:val="22"/>
          <w:szCs w:val="22"/>
        </w:rPr>
        <w:t xml:space="preserve">Sequence assessment: the 5-day sequence is now [Bull, Bull, Bull, Bull, Bear-reversal]. Directional persistence drops to 0.80 → 0.60 once 12 May is included. RSI2 has cycled from extreme overbought (≈88 on 08 May, ≈71 on 11 May) to neutral-to-oversold territory (≈33 on 12 May) in a single session — a classic RSI2 reset pattern within a still-rising medium-term structure. Short-term regime: TRANSITIONAL with bearish lean (mixed signals: persistence weakening, RSI2 reset, but no daily close below the prior session's low). A confirmed close below 7,388 (11 May low) would tip this fully to TRENDING BEARISH on the short window.</w:t>
      </w:r>
    </w:p>
    <w:p>
      <w:pPr>
        <w:shd w:fill="2E5597" w:val="clear"/>
        <w:spacing w:after="60" w:before="80"/>
      </w:pPr>
      <w:r>
        <w:rPr>
          <w:rFonts w:ascii="Arial" w:cs="Arial" w:eastAsia="Arial" w:hAnsi="Arial"/>
          <w:b/>
          <w:bCs/>
          <w:color w:val="FFFFFF"/>
          <w:sz w:val="18"/>
          <w:szCs w:val="18"/>
        </w:rPr>
        <w:t xml:space="preserve">§9  TECHNICAL</w:t>
      </w:r>
    </w:p>
    <w:p>
      <w:pPr>
        <w:pStyle w:val="Heading1"/>
        <w:pBdr>
          <w:bottom w:val="single" w:color="1F3864" w:sz="12" w:space="2"/>
        </w:pBdr>
        <w:spacing w:after="160" w:before="320"/>
      </w:pPr>
      <w:r>
        <w:rPr>
          <w:rFonts w:ascii="Arial" w:cs="Arial" w:eastAsia="Arial" w:hAnsi="Arial"/>
          <w:b/>
          <w:bCs/>
          <w:color w:val="1F3864"/>
          <w:sz w:val="30"/>
          <w:szCs w:val="30"/>
        </w:rPr>
        <w:t xml:space="preserve">§9  Medium-Term Regime &amp; VOLator</w:t>
      </w:r>
    </w:p>
    <w:p>
      <w:pPr>
        <w:spacing w:after="60" w:before="60"/>
        <w:jc w:val="both"/>
      </w:pPr>
      <w:r>
        <w:rPr>
          <w:rFonts w:ascii="Arial" w:cs="Arial" w:eastAsia="Arial" w:hAnsi="Arial"/>
          <w:sz w:val="22"/>
          <w:szCs w:val="22"/>
        </w:rPr>
        <w:t xml:space="preserve">25-session structure: the cash index has advanced from ~6,830 (late March / early April low) to 7,400.96 (12 May close) — a roughly +8.4% medium-term move with shallow drawdowns. Higher-highs and higher-lows are clearly preserved across the window. The 11 May ATH of 7,428.97 is the most recent swing high; the most recent swing low is the 12 May intraday print at 7,338.54. Overlap factor for the 25-session window is low (≈0.20); persistence is high (≈0.75); RSI2 median across the window is in the upper half of the 30–70 band; absolute directional mean is positive and material. Classification: TRENDING BULLISH on the medium window.</w:t>
      </w:r>
    </w:p>
    <w:p>
      <w:pPr>
        <w:spacing w:after="60" w:before="60"/>
        <w:jc w:val="both"/>
      </w:pPr>
      <w:r>
        <w:rPr>
          <w:rFonts w:ascii="Arial" w:cs="Arial" w:eastAsia="Arial" w:hAnsi="Arial"/>
          <w:sz w:val="22"/>
          <w:szCs w:val="22"/>
        </w:rPr>
        <w:t xml:space="preserve">VOLator (ATR-based, historical-z scaled, clipped ±1) for the primary asset: current reading is in the upper third of its 25-session range — the 12 May session expanded the average true range materially. 10-observation slope on the scaled series is POSITIVE — volatility expansion confirmed. This is a Step-4-relevant signal: medium-term Trending Bullish with short-term Transitional/bearish lean and an expanding VOLator slope is the classic "trend continuation entry on pullback" template, but the slope-positive VOL reading and a short-term regime reset both argue for waiting for a confirmation candle before committing fresh long exposure.</w:t>
      </w:r>
    </w:p>
    <w:p>
      <w:pPr>
        <w:spacing w:after="60" w:before="60"/>
        <w:jc w:val="both"/>
      </w:pPr>
      <w:r>
        <w:rPr>
          <w:rFonts w:ascii="Arial" w:cs="Arial" w:eastAsia="Arial" w:hAnsi="Arial"/>
          <w:sz w:val="22"/>
          <w:szCs w:val="22"/>
        </w:rPr>
        <w:t xml:space="preserve">Short-vs-medium synthesis: Short = Transitional × Medium = Trending Bullish → "Reduced conviction — wait for confirmation before committing." This is the binding regime read carried into the strategy section (§21).</w:t>
      </w:r>
    </w:p>
    <w:p>
      <w:pPr>
        <w:shd w:fill="2E5597" w:val="clear"/>
        <w:spacing w:after="60" w:before="80"/>
      </w:pPr>
      <w:r>
        <w:rPr>
          <w:rFonts w:ascii="Arial" w:cs="Arial" w:eastAsia="Arial" w:hAnsi="Arial"/>
          <w:b/>
          <w:bCs/>
          <w:color w:val="FFFFFF"/>
          <w:sz w:val="18"/>
          <w:szCs w:val="18"/>
        </w:rPr>
        <w:t xml:space="preserve">§10  TECHNICAL</w:t>
      </w:r>
    </w:p>
    <w:p>
      <w:pPr>
        <w:pStyle w:val="Heading1"/>
        <w:pBdr>
          <w:bottom w:val="single" w:color="1F3864" w:sz="12" w:space="2"/>
        </w:pBdr>
        <w:spacing w:after="160" w:before="320"/>
      </w:pPr>
      <w:r>
        <w:rPr>
          <w:rFonts w:ascii="Arial" w:cs="Arial" w:eastAsia="Arial" w:hAnsi="Arial"/>
          <w:b/>
          <w:bCs/>
          <w:color w:val="1F3864"/>
          <w:sz w:val="30"/>
          <w:szCs w:val="30"/>
        </w:rPr>
        <w:t xml:space="preserve">§10  Cross-Asset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100"/>
        <w:gridCol w:w="4520"/>
        <w:gridCol w:w="1040"/>
      </w:tblGrid>
      <w:tr>
        <w:trPr>
          <w:tblHeader/>
        </w:trPr>
        <w:tc>
          <w:tcPr>
            <w:tcW w:type="dxa" w:w="14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Counter</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5-day direction (net)</w:t>
            </w:r>
          </w:p>
        </w:tc>
        <w:tc>
          <w:tcPr>
            <w:tcW w:type="dxa" w:w="11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Slope</w:t>
            </w:r>
          </w:p>
        </w:tc>
        <w:tc>
          <w:tcPr>
            <w:tcW w:type="dxa" w:w="452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Mechanism / interpretation</w:t>
            </w:r>
          </w:p>
        </w:tc>
        <w:tc>
          <w:tcPr>
            <w:tcW w:type="dxa" w:w="104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vs §9 regime</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USDX (DX-Y.NYB)</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Rising (+0.33% on 12 May; 97.84 → 98.28)</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Rising</w:t>
            </w:r>
          </w:p>
        </w:tc>
        <w:tc>
          <w:tcPr>
            <w:tcW w:type="dxa" w:w="452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Mild USD strength reflects safe-haven flows on Iran/Hormuz and a hotter CPI that postpones Fed easing. Mechanically a headwind for multinational earnings translation but the move is small and choppy within the 97–98.5 range that has held all year.</w:t>
            </w:r>
          </w:p>
        </w:tc>
        <w:tc>
          <w:tcPr>
            <w:tcW w:type="dxa" w:w="104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Neutral / mild contradict</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VIX (^VIX)</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Rising trend (17.19 → 18.41 → 17.99); intraday spike to 20.20</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Rising</w:t>
            </w:r>
          </w:p>
        </w:tc>
        <w:tc>
          <w:tcPr>
            <w:tcW w:type="dxa" w:w="452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Implied volatility lifted into the CPI print and held above 18 on the close. Above 20 intraday warned of stress; the close back below 18 suggests stress was a single-session spike rather than regime change. Above 20 = elevated risk per the framework's calibration; current reading sits at the boundary.</w:t>
            </w:r>
          </w:p>
        </w:tc>
        <w:tc>
          <w:tcPr>
            <w:tcW w:type="dxa" w:w="104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Mild contradict</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DAX 40 (^GDAXI)</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Slightly rising (24,338 → 24,350 on 11 May; soft 12 May print on Iran fade)</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Flat-to-Rising</w:t>
            </w:r>
          </w:p>
        </w:tc>
        <w:tc>
          <w:tcPr>
            <w:tcW w:type="dxa" w:w="452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European equity confirmation is weak but not contradictory. DAX has been range-bound 23,900 – 25,150 in the medium window; the common global-risk factor read is muted.</w:t>
            </w:r>
          </w:p>
        </w:tc>
        <w:tc>
          <w:tcPr>
            <w:tcW w:type="dxa" w:w="104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Neutral / mild confirm</w:t>
            </w:r>
          </w:p>
        </w:tc>
      </w:tr>
    </w:tbl>
    <w:p>
      <w:pPr>
        <w:spacing w:after="60" w:before="60"/>
        <w:jc w:val="both"/>
      </w:pPr>
      <w:r>
        <w:rPr>
          <w:rFonts w:ascii="Arial" w:cs="Arial" w:eastAsia="Arial" w:hAnsi="Arial"/>
          <w:sz w:val="22"/>
          <w:szCs w:val="22"/>
        </w:rPr>
        <w:t xml:space="preserve">Aggregate cross-asset read vs the §9 medium-term Trending Bullish regime: NEUTRAL with a mild contradicting tilt from VIX. The USDX-up / VIX-up combination is the textbook risk-off pairing that pressures the equity tape; both moves are present but contained. This is not a regime-breaking divergence — it is a yellow-flag confirmation that the §8 short-term transitional read is not noise.</w:t>
      </w:r>
    </w:p>
    <w:p>
      <w:pPr>
        <w:shd w:fill="2E5597" w:val="clear"/>
        <w:spacing w:after="60" w:before="80"/>
      </w:pPr>
      <w:r>
        <w:rPr>
          <w:rFonts w:ascii="Arial" w:cs="Arial" w:eastAsia="Arial" w:hAnsi="Arial"/>
          <w:b/>
          <w:bCs/>
          <w:color w:val="FFFFFF"/>
          <w:sz w:val="18"/>
          <w:szCs w:val="18"/>
        </w:rPr>
        <w:t xml:space="preserve">§11  TECHNICAL</w:t>
      </w:r>
    </w:p>
    <w:p>
      <w:pPr>
        <w:pStyle w:val="Heading1"/>
        <w:pBdr>
          <w:bottom w:val="single" w:color="1F3864" w:sz="12" w:space="2"/>
        </w:pBdr>
        <w:spacing w:after="160" w:before="320"/>
      </w:pPr>
      <w:r>
        <w:rPr>
          <w:rFonts w:ascii="Arial" w:cs="Arial" w:eastAsia="Arial" w:hAnsi="Arial"/>
          <w:b/>
          <w:bCs/>
          <w:color w:val="1F3864"/>
          <w:sz w:val="30"/>
          <w:szCs w:val="30"/>
        </w:rPr>
        <w:t xml:space="preserve">§11  Floor Pivot Analysis</w:t>
      </w:r>
    </w:p>
    <w:p>
      <w:pPr>
        <w:pStyle w:val="Heading3"/>
        <w:spacing w:after="80" w:before="140"/>
      </w:pPr>
      <w:r>
        <w:rPr>
          <w:rFonts w:ascii="Arial" w:cs="Arial" w:eastAsia="Arial" w:hAnsi="Arial"/>
          <w:b/>
          <w:bCs/>
          <w:i/>
          <w:iCs/>
          <w:color w:val="2E5597"/>
          <w:sz w:val="22"/>
          <w:szCs w:val="22"/>
        </w:rPr>
        <w:t xml:space="preserve">Daily pivots (from Tue 12 May 2026 H/L/C — fully corroborated)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1500"/>
        <w:gridCol w:w="1260"/>
      </w:tblGrid>
      <w:tr>
        <w:trPr>
          <w:tblHeader/>
        </w:trPr>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Above</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Level</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Below</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Level</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Anchor</w:t>
            </w:r>
          </w:p>
        </w:tc>
        <w:tc>
          <w:tcPr>
            <w:tcW w:type="dxa" w:w="12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Value</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R3</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7,487.58</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S3</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7,294.20</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Daily H</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7,403.00</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R2</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7,445.29</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S2</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7,316.37</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Daily L</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7,338.54</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R1</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7,423.12</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S1</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7,358.66</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Daily C</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7,400.96</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 (Pivot)</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7,380.83</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Range</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64.46 pts</w:t>
            </w:r>
          </w:p>
        </w:tc>
      </w:tr>
    </w:tbl>
    <w:p>
      <w:pPr>
        <w:pStyle w:val="Heading3"/>
        <w:spacing w:after="80" w:before="140"/>
      </w:pPr>
      <w:r>
        <w:rPr>
          <w:rFonts w:ascii="Arial" w:cs="Arial" w:eastAsia="Arial" w:hAnsi="Arial"/>
          <w:b/>
          <w:bCs/>
          <w:i/>
          <w:iCs/>
          <w:color w:val="2E5597"/>
          <w:sz w:val="22"/>
          <w:szCs w:val="22"/>
        </w:rPr>
        <w:t xml:space="preserve">Weekly pivots (from week ending 09 May 2026)</w:t>
      </w:r>
    </w:p>
    <w:p>
      <w:pPr>
        <w:spacing w:after="60" w:before="60"/>
        <w:jc w:val="both"/>
      </w:pPr>
      <w:r>
        <w:rPr>
          <w:rFonts w:ascii="Arial" w:cs="Arial" w:eastAsia="Arial" w:hAnsi="Arial"/>
          <w:i/>
          <w:iCs/>
          <w:sz w:val="22"/>
          <w:szCs w:val="22"/>
        </w:rPr>
        <w:t xml:space="preserve">Weekly H and L use the highest intraday print and lowest intraday print of that week. The 08 May intraday high (7,401.50) is corroborated; the weekly low is reported as single-source indicative because intra-day low across the full Mon–Fri 04–08 May span is not fully dual-sourced in this run.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1500"/>
        <w:gridCol w:w="1260"/>
      </w:tblGrid>
      <w:tr>
        <w:trPr>
          <w:tblHeader/>
        </w:trPr>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Above</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Level</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Below</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Level</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Anchor</w:t>
            </w:r>
          </w:p>
        </w:tc>
        <w:tc>
          <w:tcPr>
            <w:tcW w:type="dxa" w:w="12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Value</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R3</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7,672.46</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S3</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7,058.96</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Week H</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7,428.97</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R2</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7,536.98</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S2</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7,127.98</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Week L</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7,255 (single-source-indicative)</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R1</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7,467.95</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S1</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7,263.45</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Week C</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7,400.96</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 (Pivot)</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7,361.62</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Range</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174 pts</w:t>
            </w:r>
          </w:p>
        </w:tc>
      </w:tr>
    </w:tbl>
    <w:p>
      <w:pPr>
        <w:pStyle w:val="Heading3"/>
        <w:spacing w:after="80" w:before="140"/>
      </w:pPr>
      <w:r>
        <w:rPr>
          <w:rFonts w:ascii="Arial" w:cs="Arial" w:eastAsia="Arial" w:hAnsi="Arial"/>
          <w:b/>
          <w:bCs/>
          <w:i/>
          <w:iCs/>
          <w:color w:val="2E5597"/>
          <w:sz w:val="22"/>
          <w:szCs w:val="22"/>
        </w:rPr>
        <w:t xml:space="preserve">Monthly pivots (from April 2026 H/L/C)</w:t>
      </w:r>
    </w:p>
    <w:p>
      <w:pPr>
        <w:spacing w:after="60" w:before="60"/>
        <w:jc w:val="both"/>
      </w:pPr>
      <w:r>
        <w:rPr>
          <w:rFonts w:ascii="Arial" w:cs="Arial" w:eastAsia="Arial" w:hAnsi="Arial"/>
          <w:i/>
          <w:iCs/>
          <w:sz w:val="22"/>
          <w:szCs w:val="22"/>
        </w:rPr>
        <w:t xml:space="preserve">Monthly H/L/C use the published April 2026 cash session extremes. The April low (~6,830) is the cycle pivot for the 25-session medium window; the April close was the prior all-time-high level at the time. Monthly pivot grid is reported as single-source indicative.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500"/>
        <w:gridCol w:w="1300"/>
        <w:gridCol w:w="1500"/>
        <w:gridCol w:w="1260"/>
      </w:tblGrid>
      <w:tr>
        <w:trPr>
          <w:tblHeader/>
        </w:trPr>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Above</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Level</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Below</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Level</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Anchor</w:t>
            </w:r>
          </w:p>
        </w:tc>
        <w:tc>
          <w:tcPr>
            <w:tcW w:type="dxa" w:w="12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Value</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R3</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7,872</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S3</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6,510</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Month H</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7,428.97 (intraday 11 May)</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R2</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7,650</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S2</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6,720</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Month L</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6,830 (early April)</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R1</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7,539</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S1</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6,940</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Month C</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MTD 7,400.96</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 (Pivot)</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 7,170</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Single-source indicative</w:t>
            </w:r>
          </w:p>
        </w:tc>
      </w:tr>
    </w:tbl>
    <w:p>
      <w:pPr>
        <w:pStyle w:val="Heading3"/>
        <w:spacing w:after="80" w:before="140"/>
      </w:pPr>
      <w:r>
        <w:rPr>
          <w:rFonts w:ascii="Arial" w:cs="Arial" w:eastAsia="Arial" w:hAnsi="Arial"/>
          <w:b/>
          <w:bCs/>
          <w:i/>
          <w:iCs/>
          <w:color w:val="2E5597"/>
          <w:sz w:val="22"/>
          <w:szCs w:val="22"/>
        </w:rPr>
        <w:t xml:space="preserve">Pivot read</w:t>
      </w:r>
    </w:p>
    <w:p>
      <w:pPr>
        <w:spacing w:after="60" w:before="60"/>
        <w:jc w:val="both"/>
      </w:pPr>
      <w:r>
        <w:rPr>
          <w:rFonts w:ascii="Arial" w:cs="Arial" w:eastAsia="Arial" w:hAnsi="Arial"/>
          <w:sz w:val="22"/>
          <w:szCs w:val="22"/>
        </w:rPr>
        <w:t xml:space="preserve">The 12 May close (7,400.96) sits between daily R1 (7,423.12) and daily P (7,380.83), with the daily pivot ≈ 20 points below spot. Daily S1 (7,358.66) is the first downside reference and sits ABOVE the 12 May intraday low (7,338.54) — meaning the prior-session low has already pierced S1 by ~20 points. Daily R1 is the first upside reference and roughly coincides with the 11 May close (7,412.84). Weekly P (~7,362) acts as a confluence with daily S1 just below it. Weekly R1 (~7,468) is the next significant upside reference, sitting 35–45 points above the 11 May ATH.</w:t>
      </w:r>
    </w:p>
    <w:p>
      <w:pPr>
        <w:shd w:fill="B45F06" w:val="clear"/>
        <w:spacing w:after="60" w:before="80"/>
      </w:pPr>
      <w:r>
        <w:rPr>
          <w:rFonts w:ascii="Arial" w:cs="Arial" w:eastAsia="Arial" w:hAnsi="Arial"/>
          <w:b/>
          <w:bCs/>
          <w:color w:val="FFFFFF"/>
          <w:sz w:val="18"/>
          <w:szCs w:val="18"/>
        </w:rPr>
        <w:t xml:space="preserve">§12  FUNDAMENTALS (Updated spec)</w:t>
      </w:r>
    </w:p>
    <w:p>
      <w:pPr>
        <w:pStyle w:val="Heading1"/>
        <w:pBdr>
          <w:bottom w:val="single" w:color="1F3864" w:sz="12" w:space="2"/>
        </w:pBdr>
        <w:spacing w:after="160" w:before="320"/>
      </w:pPr>
      <w:r>
        <w:rPr>
          <w:rFonts w:ascii="Arial" w:cs="Arial" w:eastAsia="Arial" w:hAnsi="Arial"/>
          <w:b/>
          <w:bCs/>
          <w:color w:val="1F3864"/>
          <w:sz w:val="30"/>
          <w:szCs w:val="30"/>
        </w:rPr>
        <w:t xml:space="preserve">§12  Key Market Considerations</w:t>
      </w:r>
    </w:p>
    <w:p>
      <w:pPr>
        <w:pStyle w:val="Heading3"/>
        <w:spacing w:after="80" w:before="140"/>
      </w:pPr>
      <w:r>
        <w:rPr>
          <w:rFonts w:ascii="Arial" w:cs="Arial" w:eastAsia="Arial" w:hAnsi="Arial"/>
          <w:b/>
          <w:bCs/>
          <w:i/>
          <w:iCs/>
          <w:color w:val="2E5597"/>
          <w:sz w:val="22"/>
          <w:szCs w:val="22"/>
        </w:rPr>
        <w:t xml:space="preserve">Demand and earnings</w:t>
      </w:r>
    </w:p>
    <w:p>
      <w:pPr>
        <w:spacing w:after="60" w:before="60"/>
        <w:jc w:val="both"/>
      </w:pPr>
      <w:r>
        <w:rPr>
          <w:rFonts w:ascii="Arial" w:cs="Arial" w:eastAsia="Arial" w:hAnsi="Arial"/>
          <w:sz w:val="22"/>
          <w:szCs w:val="22"/>
        </w:rPr>
        <w:t xml:space="preserve">Q1 2026 earnings season has been the strongest beat rate since Q2 2021 — 84% of S&amp;P 500 companies have beaten estimates per the May 2026 trade-press summaries. FactSet earnings estimates for 2026 have moved up to ~+18.6% growth (vs. +15% expected in January), with Mag 7 earnings growth running at ~+24.6% and the S&amp;P 493 at ~+15.9%. This is the structural pillar under the rally and is currently PRICE-SUPPORTIVE.</w:t>
      </w:r>
    </w:p>
    <w:p>
      <w:pPr>
        <w:pStyle w:val="Heading3"/>
        <w:spacing w:after="80" w:before="140"/>
      </w:pPr>
      <w:r>
        <w:rPr>
          <w:rFonts w:ascii="Arial" w:cs="Arial" w:eastAsia="Arial" w:hAnsi="Arial"/>
          <w:b/>
          <w:bCs/>
          <w:i/>
          <w:iCs/>
          <w:color w:val="2E5597"/>
          <w:sz w:val="22"/>
          <w:szCs w:val="22"/>
        </w:rPr>
        <w:t xml:space="preserve">Inflation, policy, and rates</w:t>
      </w:r>
    </w:p>
    <w:p>
      <w:pPr>
        <w:spacing w:after="60" w:before="60"/>
        <w:jc w:val="both"/>
      </w:pPr>
      <w:r>
        <w:rPr>
          <w:rFonts w:ascii="Arial" w:cs="Arial" w:eastAsia="Arial" w:hAnsi="Arial"/>
          <w:sz w:val="22"/>
          <w:szCs w:val="22"/>
        </w:rPr>
        <w:t xml:space="preserve">April CPI (released 12 May): headline +0.6% m/m, +3.8% y/y — the highest since May 2023 and above the +3.7% consensus. Core +0.4% m/m, +2.8% y/y, also above the +0.3% / +2.7% expectations. The proximate cause is the persistent energy-price impulse from the Iran war and the effective closure of the Strait of Hormuz — energy +17.9% y/y — but the institutional read (Northlight, Capital Economics) is that the print shows the energy shock leaking into core. Fed Funds futures: roughly 98% probability of a hold at the June FOMC; the December meeting now prices a ~30% probability of a rate HIKE. This is PRICE-NEGATIVE for equities at the margin but largely already in the tape.</w:t>
      </w:r>
    </w:p>
    <w:p>
      <w:pPr>
        <w:pStyle w:val="Heading3"/>
        <w:spacing w:after="80" w:before="140"/>
      </w:pPr>
      <w:r>
        <w:rPr>
          <w:rFonts w:ascii="Arial" w:cs="Arial" w:eastAsia="Arial" w:hAnsi="Arial"/>
          <w:b/>
          <w:bCs/>
          <w:i/>
          <w:iCs/>
          <w:color w:val="2E5597"/>
          <w:sz w:val="22"/>
          <w:szCs w:val="22"/>
        </w:rPr>
        <w:t xml:space="preserve">Policy / Fed leadership</w:t>
      </w:r>
    </w:p>
    <w:p>
      <w:pPr>
        <w:spacing w:after="60" w:before="60"/>
        <w:jc w:val="both"/>
      </w:pPr>
      <w:r>
        <w:rPr>
          <w:rFonts w:ascii="Arial" w:cs="Arial" w:eastAsia="Arial" w:hAnsi="Arial"/>
          <w:sz w:val="22"/>
          <w:szCs w:val="22"/>
        </w:rPr>
        <w:t xml:space="preserve">Fed chair transition to Kevin Warsh is reported as imminent (described in trade-press as "likely taking charge later this week" or in June, depending on source). Warsh has historically signalled a preference for tools other than the Personal Consumption Expenditures price index; this introduces process uncertainty into the rate path that the institutional commentary has flagged. NEUTRAL today, POTENTIAL VOLATILITY DRIVER over the §16 horizon.</w:t>
      </w:r>
    </w:p>
    <w:p>
      <w:pPr>
        <w:pStyle w:val="Heading3"/>
        <w:spacing w:after="80" w:before="140"/>
      </w:pPr>
      <w:r>
        <w:rPr>
          <w:rFonts w:ascii="Arial" w:cs="Arial" w:eastAsia="Arial" w:hAnsi="Arial"/>
          <w:b/>
          <w:bCs/>
          <w:i/>
          <w:iCs/>
          <w:color w:val="2E5597"/>
          <w:sz w:val="22"/>
          <w:szCs w:val="22"/>
        </w:rPr>
        <w:t xml:space="preserve">Geopolitics — Iran / Strait of Hormuz</w:t>
      </w:r>
    </w:p>
    <w:p>
      <w:pPr>
        <w:spacing w:after="60" w:before="60"/>
        <w:jc w:val="both"/>
      </w:pPr>
      <w:r>
        <w:rPr>
          <w:rFonts w:ascii="Arial" w:cs="Arial" w:eastAsia="Arial" w:hAnsi="Arial"/>
          <w:sz w:val="22"/>
          <w:szCs w:val="22"/>
        </w:rPr>
        <w:t xml:space="preserve">US–Iran ceasefire described by the Trump administration on 11 May as "on life support" / "unbelievably weak" after Iran's counterproposal was rejected. CNN has reported the administration is considering a restart of combat operations. Brent above $104 and WTI above $102 are the direct market expression. This is the most acute exogenous risk to the equity tape and is currently PRICE-NEGATIVE.</w:t>
      </w:r>
    </w:p>
    <w:p>
      <w:pPr>
        <w:pStyle w:val="Heading3"/>
        <w:spacing w:after="80" w:before="140"/>
      </w:pPr>
      <w:r>
        <w:rPr>
          <w:rFonts w:ascii="Arial" w:cs="Arial" w:eastAsia="Arial" w:hAnsi="Arial"/>
          <w:b/>
          <w:bCs/>
          <w:i/>
          <w:iCs/>
          <w:color w:val="2E5597"/>
          <w:sz w:val="22"/>
          <w:szCs w:val="22"/>
        </w:rPr>
        <w:t xml:space="preserve">Macro and market structure</w:t>
      </w:r>
    </w:p>
    <w:p>
      <w:pPr>
        <w:spacing w:after="60" w:before="60"/>
        <w:jc w:val="both"/>
      </w:pPr>
      <w:r>
        <w:rPr>
          <w:rFonts w:ascii="Arial" w:cs="Arial" w:eastAsia="Arial" w:hAnsi="Arial"/>
          <w:sz w:val="22"/>
          <w:szCs w:val="22"/>
        </w:rPr>
        <w:t xml:space="preserve">CNN Fear &amp; Greed Index reported at "Greed" level the week of 04 May. Equal-weighted S&amp;P 500 has stalled at its prior high and given back four straight closes (a breadth divergence relative to cap-weighted highs). The cumulative advance/decline line did make a new high alongside cap-weighted price, so the breadth picture is MIXED. PRICE-SUPPORTIVE on cumulative breadth, PRICE-NEGATIVE on equal-weight.</w:t>
      </w:r>
    </w:p>
    <w:p>
      <w:pPr>
        <w:pStyle w:val="Heading3"/>
        <w:spacing w:after="80" w:before="140"/>
      </w:pPr>
      <w:r>
        <w:rPr>
          <w:rFonts w:ascii="Arial" w:cs="Arial" w:eastAsia="Arial" w:hAnsi="Arial"/>
          <w:b/>
          <w:bCs/>
          <w:i/>
          <w:iCs/>
          <w:color w:val="2E5597"/>
          <w:sz w:val="22"/>
          <w:szCs w:val="22"/>
        </w:rPr>
        <w:t xml:space="preserve">Near-term catalysts</w:t>
      </w:r>
    </w:p>
    <w:p>
      <w:pPr>
        <w:spacing w:after="60" w:before="60"/>
        <w:jc w:val="both"/>
      </w:pPr>
      <w:r>
        <w:rPr>
          <w:rFonts w:ascii="Arial" w:cs="Arial" w:eastAsia="Arial" w:hAnsi="Arial"/>
          <w:sz w:val="22"/>
          <w:szCs w:val="22"/>
        </w:rPr>
        <w:t xml:space="preserve">(i) PPI release later this week — a confirming or fading print on the inflation impulse; (ii) Nvidia earnings on 20 May — the single most important mega-cap event of the next two weeks; (iii) ongoing Iran negotiation headlines (binary risk); (iv) the Fed chair transition timeline.</w:t>
      </w:r>
    </w:p>
    <w:p>
      <w:pPr>
        <w:shd w:fill="B45F06" w:val="clear"/>
        <w:spacing w:after="60" w:before="80"/>
      </w:pPr>
      <w:r>
        <w:rPr>
          <w:rFonts w:ascii="Arial" w:cs="Arial" w:eastAsia="Arial" w:hAnsi="Arial"/>
          <w:b/>
          <w:bCs/>
          <w:color w:val="FFFFFF"/>
          <w:sz w:val="18"/>
          <w:szCs w:val="18"/>
        </w:rPr>
        <w:t xml:space="preserve">§13  SENTIMENT / NEWS / CALENDAR (Updated spec)</w:t>
      </w:r>
    </w:p>
    <w:p>
      <w:pPr>
        <w:pStyle w:val="Heading1"/>
        <w:pBdr>
          <w:bottom w:val="single" w:color="1F3864" w:sz="12" w:space="2"/>
        </w:pBdr>
        <w:spacing w:after="160" w:before="320"/>
      </w:pPr>
      <w:r>
        <w:rPr>
          <w:rFonts w:ascii="Arial" w:cs="Arial" w:eastAsia="Arial" w:hAnsi="Arial"/>
          <w:b/>
          <w:bCs/>
          <w:color w:val="1F3864"/>
          <w:sz w:val="30"/>
          <w:szCs w:val="30"/>
        </w:rPr>
        <w:t xml:space="preserve">§13  Sentiment, News &amp; Calendar</w:t>
      </w:r>
    </w:p>
    <w:p>
      <w:pPr>
        <w:pStyle w:val="Heading3"/>
        <w:spacing w:after="80" w:before="140"/>
      </w:pPr>
      <w:r>
        <w:rPr>
          <w:rFonts w:ascii="Arial" w:cs="Arial" w:eastAsia="Arial" w:hAnsi="Arial"/>
          <w:b/>
          <w:bCs/>
          <w:i/>
          <w:iCs/>
          <w:color w:val="2E5597"/>
          <w:sz w:val="22"/>
          <w:szCs w:val="22"/>
        </w:rPr>
        <w:t xml:space="preserve">§13a  Per-article table</w:t>
      </w:r>
    </w:p>
    <w:p>
      <w:pPr>
        <w:spacing w:after="60" w:before="60"/>
        <w:jc w:val="both"/>
      </w:pPr>
      <w:r>
        <w:rPr>
          <w:rFonts w:ascii="Arial" w:cs="Arial" w:eastAsia="Arial" w:hAnsi="Arial"/>
          <w:sz w:val="22"/>
          <w:szCs w:val="22"/>
        </w:rPr>
        <w:t xml:space="preserve">Eight relevant articles for the S&amp;P 500 covering the seven days into 13 May 2026, sourced across institutional (Goldman, Schwab, Northlight), trade press (Bloomberg, Clearview), and media (CNBC, TheStreet, Wealth Break). Each carries a derivation quote of ≤15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300"/>
        <w:gridCol w:w="1700"/>
        <w:gridCol w:w="1100"/>
        <w:gridCol w:w="1460"/>
      </w:tblGrid>
      <w:tr>
        <w:trPr>
          <w:tblHeader/>
        </w:trPr>
        <w:tc>
          <w:tcPr>
            <w:tcW w:type="dxa" w:w="2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Source</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Date</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Class</w:t>
            </w:r>
          </w:p>
        </w:tc>
        <w:tc>
          <w:tcPr>
            <w:tcW w:type="dxa" w:w="17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Derivation quote</w:t>
            </w:r>
          </w:p>
        </w:tc>
        <w:tc>
          <w:tcPr>
            <w:tcW w:type="dxa" w:w="11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Sentiment</w:t>
            </w:r>
          </w:p>
        </w:tc>
        <w:tc>
          <w:tcPr>
            <w:tcW w:type="dxa" w:w="14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Notes</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CNBC — "S&amp;P 500 ekes out a gain for first close above 7,400 despite another Iran setback"</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11 May 2026</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Media</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"hiked his year-end S&amp;P 500 target to 8,250 from 7,700" (Yardeni)</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Bullish</w:t>
            </w:r>
          </w:p>
        </w:tc>
        <w:tc>
          <w:tcPr>
            <w:tcW w:type="dxa" w:w="14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Institutional strategist quoted; relayed by media</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Goldman Sachs Research (via Goldman Sachs.com)</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Apr 24 2026, restated May 2026</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Institutional</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"forecast to climb 6% to a year-end target of 7,600"</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Bullish</w:t>
            </w:r>
          </w:p>
        </w:tc>
        <w:tc>
          <w:tcPr>
            <w:tcW w:type="dxa" w:w="14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Earnings-led, not multiple-led case</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CNBC live — "S&amp;P 500 slips from record Tuesday as chips rally takes a breather"</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May 2026</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Media</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"hotter-than-expected reading of a key consumer inflation measure"</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Bearish</w:t>
            </w:r>
          </w:p>
        </w:tc>
        <w:tc>
          <w:tcPr>
            <w:tcW w:type="dxa" w:w="14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Risk-off framing tied to CPI</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Schwab — "Stubborn Price Growth Persists, Stocks Down Early"</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May 2026</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Institutional</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"signs that higher energy prices are showing up in more of the core elements"</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Bearish</w:t>
            </w:r>
          </w:p>
        </w:tc>
        <w:tc>
          <w:tcPr>
            <w:tcW w:type="dxa" w:w="14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Energy passing into core CPI; rate-cut path further out</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Northlight Asset Management (quoted in TheStreet)</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May 2026</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Institutional</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"very unlikely that the Fed will be able to lower interest rates any time soon"</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Bearish</w:t>
            </w:r>
          </w:p>
        </w:tc>
        <w:tc>
          <w:tcPr>
            <w:tcW w:type="dxa" w:w="14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May start pricing in HIKES per Zaccarelli</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Bloomberg — "S&amp;P 500, Nasdaq Futures Drop With Inflation in Focus, Oil Surges on Geopolitics"</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May 2026</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Press</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"contending with elevated valuations"</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Bearish</w:t>
            </w:r>
          </w:p>
        </w:tc>
        <w:tc>
          <w:tcPr>
            <w:tcW w:type="dxa" w:w="14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Valuation overhang into geopolitics</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Clearview WS Market Commentary</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08 May 2026</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Press</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"the market is overbought… due for reversion to the mean"</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Bearish</w:t>
            </w:r>
          </w:p>
        </w:tc>
        <w:tc>
          <w:tcPr>
            <w:tcW w:type="dxa" w:w="14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Technical mean-reversion case</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Wealth Break — "S&amp;P 500 Hits Record High in May 2026"</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01 May 2026</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Media</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"keep contributing on a fixed schedule, rebalance once a year"</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Neutral</w:t>
            </w:r>
          </w:p>
        </w:tc>
        <w:tc>
          <w:tcPr>
            <w:tcW w:type="dxa" w:w="14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Asset-allocation framing, not directional</w:t>
            </w:r>
          </w:p>
        </w:tc>
      </w:tr>
    </w:tbl>
    <w:p>
      <w:pPr>
        <w:pStyle w:val="Heading3"/>
        <w:spacing w:after="80" w:before="140"/>
      </w:pPr>
      <w:r>
        <w:rPr>
          <w:rFonts w:ascii="Arial" w:cs="Arial" w:eastAsia="Arial" w:hAnsi="Arial"/>
          <w:b/>
          <w:bCs/>
          <w:i/>
          <w:iCs/>
          <w:color w:val="2E5597"/>
          <w:sz w:val="22"/>
          <w:szCs w:val="22"/>
        </w:rPr>
        <w:t xml:space="preserve">§13b  Aggregate sentiment</w:t>
      </w:r>
    </w:p>
    <w:p>
      <w:pPr>
        <w:spacing w:after="60" w:before="60"/>
        <w:jc w:val="both"/>
      </w:pPr>
      <w:r>
        <w:rPr>
          <w:rFonts w:ascii="Arial" w:cs="Arial" w:eastAsia="Arial" w:hAnsi="Arial"/>
          <w:sz w:val="22"/>
          <w:szCs w:val="22"/>
        </w:rPr>
        <w:t xml:space="preserve">Count: 2 Bullish (1 institutional, 1 media); 5 Bearish (3 institutional, 2 trade press); 1 Neutral (media). Source-weighted tilt computed per the framework formula: Σ(w·s) = −2.4; Σw = 5.9; tilt = −0.41 (clipped to ±1 — not engaged here). Categorical label: PREDOMINANTLY BEARISH. The two bullish reads are both medium-term targets (Goldman 7,600 by year-end; Yardeni 8,250 by year-end) while five of the seven directional reads are tactically bearish into 13 May. The institutional read leans bearish; the media read is split.</w:t>
      </w:r>
    </w:p>
    <w:p>
      <w:pPr>
        <w:spacing w:after="60" w:before="60"/>
        <w:jc w:val="both"/>
      </w:pPr>
      <w:r>
        <w:rPr>
          <w:rFonts w:ascii="Arial" w:cs="Arial" w:eastAsia="Arial" w:hAnsi="Arial"/>
          <w:b/>
          <w:bCs/>
          <w:sz w:val="22"/>
          <w:szCs w:val="22"/>
        </w:rPr>
        <w:t xml:space="preserve">Aggregate sentiment for the report: PREDOMINANTLY BEARISH (tilt = −0.41).</w:t>
      </w:r>
    </w:p>
    <w:p>
      <w:pPr>
        <w:pStyle w:val="Heading3"/>
        <w:spacing w:after="80" w:before="140"/>
      </w:pPr>
      <w:r>
        <w:rPr>
          <w:rFonts w:ascii="Arial" w:cs="Arial" w:eastAsia="Arial" w:hAnsi="Arial"/>
          <w:b/>
          <w:bCs/>
          <w:i/>
          <w:iCs/>
          <w:color w:val="2E5597"/>
          <w:sz w:val="22"/>
          <w:szCs w:val="22"/>
        </w:rPr>
        <w:t xml:space="preserve">§13c  News calendar — next 5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2300"/>
        <w:gridCol w:w="1500"/>
        <w:gridCol w:w="2360"/>
      </w:tblGrid>
      <w:tr>
        <w:trPr>
          <w:tblHeader/>
        </w:trPr>
        <w:tc>
          <w:tcPr>
            <w:tcW w:type="dxa" w:w="17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Date</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Event</w:t>
            </w:r>
          </w:p>
        </w:tc>
        <w:tc>
          <w:tcPr>
            <w:tcW w:type="dxa" w:w="2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Why it matters</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Tier</w:t>
            </w:r>
          </w:p>
        </w:tc>
        <w:tc>
          <w:tcPr>
            <w:tcW w:type="dxa" w:w="23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Notes</w:t>
            </w:r>
          </w:p>
        </w:tc>
      </w:tr>
      <w:tr>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Wed 13 May</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PPI (Apr) — pre-open ET</w:t>
            </w:r>
          </w:p>
        </w:tc>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Confirms or fades CPI's hot signal</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Tier 1</w:t>
            </w:r>
          </w:p>
        </w:tc>
        <w:tc>
          <w:tcPr>
            <w:tcW w:type="dxa" w:w="23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Direct catalyst for the open</w:t>
            </w:r>
          </w:p>
        </w:tc>
      </w:tr>
      <w:tr>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Wed 13 May</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Fed chair transition (per trade-press)</w:t>
            </w:r>
          </w:p>
        </w:tc>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Process-uncertainty event</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Tier 1</w:t>
            </w:r>
          </w:p>
        </w:tc>
        <w:tc>
          <w:tcPr>
            <w:tcW w:type="dxa" w:w="23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Headline risk</w:t>
            </w:r>
          </w:p>
        </w:tc>
      </w:tr>
      <w:tr>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Wed 13 May</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Iran / Hormuz headlines (rolling)</w:t>
            </w:r>
          </w:p>
        </w:tc>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Direct read on crude → inflation impulse</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Tier 1</w:t>
            </w:r>
          </w:p>
        </w:tc>
        <w:tc>
          <w:tcPr>
            <w:tcW w:type="dxa" w:w="23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Binary risk</w:t>
            </w:r>
          </w:p>
        </w:tc>
      </w:tr>
      <w:tr>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Wed 20 May</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Nvidia Q1 FY27 earnings</w:t>
            </w:r>
          </w:p>
        </w:tc>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Single-largest weight in 2026 EPS engine</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Tier 1</w:t>
            </w:r>
          </w:p>
        </w:tc>
        <w:tc>
          <w:tcPr>
            <w:tcW w:type="dxa" w:w="23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Across-the-board chip sector implications</w:t>
            </w:r>
          </w:p>
        </w:tc>
      </w:tr>
      <w:tr>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Thu 14 May</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US Retail Sales (Apr)</w:t>
            </w:r>
          </w:p>
        </w:tc>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Demand-side gauge into the energy shock</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Tier 2</w:t>
            </w:r>
          </w:p>
        </w:tc>
        <w:tc>
          <w:tcPr>
            <w:tcW w:type="dxa" w:w="23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Confirming/disconfirming signal</w:t>
            </w:r>
          </w:p>
        </w:tc>
      </w:tr>
      <w:tr>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Thu 14 May</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Initial Jobless Claims (w/e 09 May)</w:t>
            </w:r>
          </w:p>
        </w:tc>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Labour-market check</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Tier 2</w:t>
            </w:r>
          </w:p>
        </w:tc>
        <w:tc>
          <w:tcPr>
            <w:tcW w:type="dxa" w:w="23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Background</w:t>
            </w:r>
          </w:p>
        </w:tc>
      </w:tr>
    </w:tbl>
    <w:p>
      <w:pPr>
        <w:shd w:fill="B45F06" w:val="clear"/>
        <w:spacing w:after="60" w:before="80"/>
      </w:pPr>
      <w:r>
        <w:rPr>
          <w:rFonts w:ascii="Arial" w:cs="Arial" w:eastAsia="Arial" w:hAnsi="Arial"/>
          <w:b/>
          <w:bCs/>
          <w:color w:val="FFFFFF"/>
          <w:sz w:val="18"/>
          <w:szCs w:val="18"/>
        </w:rPr>
        <w:t xml:space="preserve">§14  MACRO (Updated spec)</w:t>
      </w:r>
    </w:p>
    <w:p>
      <w:pPr>
        <w:pStyle w:val="Heading1"/>
        <w:pBdr>
          <w:bottom w:val="single" w:color="1F3864" w:sz="12" w:space="2"/>
        </w:pBdr>
        <w:spacing w:after="160" w:before="320"/>
      </w:pPr>
      <w:r>
        <w:rPr>
          <w:rFonts w:ascii="Arial" w:cs="Arial" w:eastAsia="Arial" w:hAnsi="Arial"/>
          <w:b/>
          <w:bCs/>
          <w:color w:val="1F3864"/>
          <w:sz w:val="30"/>
          <w:szCs w:val="30"/>
        </w:rPr>
        <w:t xml:space="preserve">§14  Macro Context</w:t>
      </w:r>
    </w:p>
    <w:p>
      <w:pPr>
        <w:pStyle w:val="Heading3"/>
        <w:spacing w:after="80" w:before="140"/>
      </w:pPr>
      <w:r>
        <w:rPr>
          <w:rFonts w:ascii="Arial" w:cs="Arial" w:eastAsia="Arial" w:hAnsi="Arial"/>
          <w:b/>
          <w:bCs/>
          <w:i/>
          <w:iCs/>
          <w:color w:val="2E5597"/>
          <w:sz w:val="22"/>
          <w:szCs w:val="22"/>
        </w:rPr>
        <w:t xml:space="preserve">Rates and inflation</w:t>
      </w:r>
    </w:p>
    <w:p>
      <w:pPr>
        <w:spacing w:after="60" w:before="60"/>
        <w:jc w:val="both"/>
      </w:pPr>
      <w:r>
        <w:rPr>
          <w:rFonts w:ascii="Arial" w:cs="Arial" w:eastAsia="Arial" w:hAnsi="Arial"/>
          <w:sz w:val="22"/>
          <w:szCs w:val="22"/>
        </w:rPr>
        <w:t xml:space="preserve">Headline CPI 3.8% y/y (Apr 2026), core 2.8% y/y. CME FedWatch as of 12 May morning: ~98% probability of a June FOMC hold; December meeting pricing now reflects a ~30% probability of a rate HIKE. 10-year UST yield: not directly snapped in this run but the trade-press flow suggests yields were pulled lower mid-week (~4.24% reported the prior Friday on the brief Iran-deal headline) and then drifted higher into 12 May with the CPI surprise. The rate complex is net PRICE-NEGATIVE for the S&amp;P 500 today, especially for duration-sensitive growth names.</w:t>
      </w:r>
    </w:p>
    <w:p>
      <w:pPr>
        <w:pStyle w:val="Heading3"/>
        <w:spacing w:after="80" w:before="140"/>
      </w:pPr>
      <w:r>
        <w:rPr>
          <w:rFonts w:ascii="Arial" w:cs="Arial" w:eastAsia="Arial" w:hAnsi="Arial"/>
          <w:b/>
          <w:bCs/>
          <w:i/>
          <w:iCs/>
          <w:color w:val="2E5597"/>
          <w:sz w:val="22"/>
          <w:szCs w:val="22"/>
        </w:rPr>
        <w:t xml:space="preserve">Liquidity and FX</w:t>
      </w:r>
    </w:p>
    <w:p>
      <w:pPr>
        <w:spacing w:after="60" w:before="60"/>
        <w:jc w:val="both"/>
      </w:pPr>
      <w:r>
        <w:rPr>
          <w:rFonts w:ascii="Arial" w:cs="Arial" w:eastAsia="Arial" w:hAnsi="Arial"/>
          <w:sz w:val="22"/>
          <w:szCs w:val="22"/>
        </w:rPr>
        <w:t xml:space="preserve">USDX at 98.28 (12 May), up +0.33% on the session; range over the prior month 97.50 – 98.40. DXY is essentially flat over the past 12 months (per Investing.com 52-week range 95.55 – 101.98). Mild USD strength on safe-haven flows is a small headwind for multinational earnings translation but is not the binding macro driver into 13 May.</w:t>
      </w:r>
    </w:p>
    <w:p>
      <w:pPr>
        <w:pStyle w:val="Heading3"/>
        <w:spacing w:after="80" w:before="140"/>
      </w:pPr>
      <w:r>
        <w:rPr>
          <w:rFonts w:ascii="Arial" w:cs="Arial" w:eastAsia="Arial" w:hAnsi="Arial"/>
          <w:b/>
          <w:bCs/>
          <w:i/>
          <w:iCs/>
          <w:color w:val="2E5597"/>
          <w:sz w:val="22"/>
          <w:szCs w:val="22"/>
        </w:rPr>
        <w:t xml:space="preserve">Energy / commodity inflation channel</w:t>
      </w:r>
    </w:p>
    <w:p>
      <w:pPr>
        <w:spacing w:after="60" w:before="60"/>
        <w:jc w:val="both"/>
      </w:pPr>
      <w:r>
        <w:rPr>
          <w:rFonts w:ascii="Arial" w:cs="Arial" w:eastAsia="Arial" w:hAnsi="Arial"/>
          <w:sz w:val="22"/>
          <w:szCs w:val="22"/>
        </w:rPr>
        <w:t xml:space="preserve">WTI June futures 102.18 (12 May, +4.19%); Brent ≈ $104; gasoline RBOB +2.72%. The Strait of Hormuz is effectively closed; the trade-press narrative treats every Iran-headline as a binary catalyst for crude. This is the single most important macro feedback loop into core CPI and into equity valuations.</w:t>
      </w:r>
    </w:p>
    <w:p>
      <w:pPr>
        <w:pStyle w:val="Heading3"/>
        <w:spacing w:after="80" w:before="140"/>
      </w:pPr>
      <w:r>
        <w:rPr>
          <w:rFonts w:ascii="Arial" w:cs="Arial" w:eastAsia="Arial" w:hAnsi="Arial"/>
          <w:b/>
          <w:bCs/>
          <w:i/>
          <w:iCs/>
          <w:color w:val="2E5597"/>
          <w:sz w:val="22"/>
          <w:szCs w:val="22"/>
        </w:rPr>
        <w:t xml:space="preserve">Positioning</w:t>
      </w:r>
    </w:p>
    <w:p>
      <w:pPr>
        <w:spacing w:after="60" w:before="60"/>
        <w:jc w:val="both"/>
      </w:pPr>
      <w:r>
        <w:rPr>
          <w:rFonts w:ascii="Arial" w:cs="Arial" w:eastAsia="Arial" w:hAnsi="Arial"/>
          <w:sz w:val="22"/>
          <w:szCs w:val="22"/>
        </w:rPr>
        <w:t xml:space="preserve">Equal-weighted S&amp;P 500 stalled at its prior high and gave back four consecutive closes through 08 May (per Clearview commentary) — a sign that broadening trade momentum has paused. Cumulative advance-decline line did make a new high alongside cap-weighted price. Net: cap-weighted strength is being driven by a narrowing leadership group. CNN Fear &amp; Greed at "Greed" — sentiment is constructive but not extreme.</w:t>
      </w:r>
    </w:p>
    <w:p>
      <w:pPr>
        <w:pStyle w:val="Heading1"/>
        <w:pBdr>
          <w:bottom w:val="single" w:color="1F3864" w:sz="12" w:space="2"/>
        </w:pBdr>
        <w:spacing w:after="160" w:before="320"/>
      </w:pPr>
      <w:r>
        <w:rPr>
          <w:rFonts w:ascii="Arial" w:cs="Arial" w:eastAsia="Arial" w:hAnsi="Arial"/>
          <w:b/>
          <w:bCs/>
          <w:color w:val="1F3864"/>
          <w:sz w:val="30"/>
          <w:szCs w:val="30"/>
        </w:rPr>
        <w:t xml:space="preserve">§15  Bull / Bear Balance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Main upside risks</w:t>
            </w:r>
          </w:p>
        </w:tc>
        <w:tc>
          <w:tcPr>
            <w:tcW w:type="dxa" w:w="468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Main downside risks</w:t>
            </w:r>
          </w:p>
        </w:tc>
      </w:tr>
      <w:tr>
        <w:tc>
          <w:tcPr>
            <w:tcW w:type="dxa" w:w="46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2"/>
                <w:szCs w:val="22"/>
              </w:rPr>
              <w:t xml:space="preserve">Earnings: </w:t>
            </w:r>
            <w:r>
              <w:rPr>
                <w:rFonts w:ascii="Arial" w:cs="Arial" w:eastAsia="Arial" w:hAnsi="Arial"/>
                <w:sz w:val="22"/>
                <w:szCs w:val="22"/>
              </w:rPr>
              <w:t xml:space="preserve">Q1 2026 beat rate ~84% (best since Q2 2021); 2026 EPS estimates raised to ~+18.6%; Mag 7 EPS growth ~+24.6%.</w:t>
            </w:r>
          </w:p>
        </w:tc>
        <w:tc>
          <w:tcPr>
            <w:tcW w:type="dxa" w:w="46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2"/>
                <w:szCs w:val="22"/>
              </w:rPr>
              <w:t xml:space="preserve">Inflation: </w:t>
            </w:r>
            <w:r>
              <w:rPr>
                <w:rFonts w:ascii="Arial" w:cs="Arial" w:eastAsia="Arial" w:hAnsi="Arial"/>
                <w:sz w:val="22"/>
                <w:szCs w:val="22"/>
              </w:rPr>
              <w:t xml:space="preserve">April CPI 3.8% y/y / core 2.8% y/y both above consensus; energy bleeding into core; pricing of a Dec rate hike now ~30%.</w:t>
            </w:r>
          </w:p>
        </w:tc>
      </w:tr>
      <w:tr>
        <w:tc>
          <w:tcPr>
            <w:tcW w:type="dxa" w:w="468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bCs/>
                <w:sz w:val="22"/>
                <w:szCs w:val="22"/>
              </w:rPr>
              <w:t xml:space="preserve">Strategist targets: </w:t>
            </w:r>
            <w:r>
              <w:rPr>
                <w:rFonts w:ascii="Arial" w:cs="Arial" w:eastAsia="Arial" w:hAnsi="Arial"/>
                <w:sz w:val="22"/>
                <w:szCs w:val="22"/>
              </w:rPr>
              <w:t xml:space="preserve">Goldman 7,600 YE; Yardeni 8,250 YE; institutional bullish bias on multi-year horizon despite tactical caution.</w:t>
            </w:r>
          </w:p>
        </w:tc>
        <w:tc>
          <w:tcPr>
            <w:tcW w:type="dxa" w:w="468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bCs/>
                <w:sz w:val="22"/>
                <w:szCs w:val="22"/>
              </w:rPr>
              <w:t xml:space="preserve">Geopolitics: </w:t>
            </w:r>
            <w:r>
              <w:rPr>
                <w:rFonts w:ascii="Arial" w:cs="Arial" w:eastAsia="Arial" w:hAnsi="Arial"/>
                <w:sz w:val="22"/>
                <w:szCs w:val="22"/>
              </w:rPr>
              <w:t xml:space="preserve">US-Iran ceasefire "on life support"; CNN reports administration considering restart of combat ops; Hormuz closure persistent.</w:t>
            </w:r>
          </w:p>
        </w:tc>
      </w:tr>
      <w:tr>
        <w:tc>
          <w:tcPr>
            <w:tcW w:type="dxa" w:w="46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2"/>
                <w:szCs w:val="22"/>
              </w:rPr>
              <w:t xml:space="preserve">AI capex: </w:t>
            </w:r>
            <w:r>
              <w:rPr>
                <w:rFonts w:ascii="Arial" w:cs="Arial" w:eastAsia="Arial" w:hAnsi="Arial"/>
                <w:sz w:val="22"/>
                <w:szCs w:val="22"/>
              </w:rPr>
              <w:t xml:space="preserve">Hyperscalers ~$670bn 2026 capex; ~40% of 2026 EPS growth attributable to AI investment per Goldman.</w:t>
            </w:r>
          </w:p>
        </w:tc>
        <w:tc>
          <w:tcPr>
            <w:tcW w:type="dxa" w:w="46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2"/>
                <w:szCs w:val="22"/>
              </w:rPr>
              <w:t xml:space="preserve">Breadth: </w:t>
            </w:r>
            <w:r>
              <w:rPr>
                <w:rFonts w:ascii="Arial" w:cs="Arial" w:eastAsia="Arial" w:hAnsi="Arial"/>
                <w:sz w:val="22"/>
                <w:szCs w:val="22"/>
              </w:rPr>
              <w:t xml:space="preserve">Equal-weighted S&amp;P 500 stalled at prior high and gave back 4 consecutive sessions; cap-weighted leadership narrowing.</w:t>
            </w:r>
          </w:p>
        </w:tc>
      </w:tr>
      <w:tr>
        <w:tc>
          <w:tcPr>
            <w:tcW w:type="dxa" w:w="468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bCs/>
                <w:sz w:val="22"/>
                <w:szCs w:val="22"/>
              </w:rPr>
              <w:t xml:space="preserve">Cumulative A/D: </w:t>
            </w:r>
            <w:r>
              <w:rPr>
                <w:rFonts w:ascii="Arial" w:cs="Arial" w:eastAsia="Arial" w:hAnsi="Arial"/>
                <w:sz w:val="22"/>
                <w:szCs w:val="22"/>
              </w:rPr>
              <w:t xml:space="preserve">Cumulative advance-decline line printed a fresh high alongside cap-weighted price — internal confirmation.</w:t>
            </w:r>
          </w:p>
        </w:tc>
        <w:tc>
          <w:tcPr>
            <w:tcW w:type="dxa" w:w="468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bCs/>
                <w:sz w:val="22"/>
                <w:szCs w:val="22"/>
              </w:rPr>
              <w:t xml:space="preserve">Valuation: </w:t>
            </w:r>
            <w:r>
              <w:rPr>
                <w:rFonts w:ascii="Arial" w:cs="Arial" w:eastAsia="Arial" w:hAnsi="Arial"/>
                <w:sz w:val="22"/>
                <w:szCs w:val="22"/>
              </w:rPr>
              <w:t xml:space="preserve">Forward P/E ~21x (per Goldman, late April), close to 5-year average but elevated vs long-run norms; multiple-expansion case looks exhausted.</w:t>
            </w:r>
          </w:p>
        </w:tc>
      </w:tr>
      <w:tr>
        <w:tc>
          <w:tcPr>
            <w:tcW w:type="dxa" w:w="46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2"/>
                <w:szCs w:val="22"/>
              </w:rPr>
              <w:t xml:space="preserve">Earnings revisions: </w:t>
            </w:r>
            <w:r>
              <w:rPr>
                <w:rFonts w:ascii="Arial" w:cs="Arial" w:eastAsia="Arial" w:hAnsi="Arial"/>
                <w:sz w:val="22"/>
                <w:szCs w:val="22"/>
              </w:rPr>
              <w:t xml:space="preserve">2026 EPS estimates have moved UP through earnings season — positive revision regime.</w:t>
            </w:r>
          </w:p>
        </w:tc>
        <w:tc>
          <w:tcPr>
            <w:tcW w:type="dxa" w:w="46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2"/>
                <w:szCs w:val="22"/>
              </w:rPr>
              <w:t xml:space="preserve">Chip rotation: </w:t>
            </w:r>
            <w:r>
              <w:rPr>
                <w:rFonts w:ascii="Arial" w:cs="Arial" w:eastAsia="Arial" w:hAnsi="Arial"/>
                <w:sz w:val="22"/>
                <w:szCs w:val="22"/>
              </w:rPr>
              <w:t xml:space="preserve">Qualcomm −13% / Intel −8% on 12 May — extreme month-to-date gains being taken (QCOM +39% MTD into the print).</w:t>
            </w:r>
          </w:p>
        </w:tc>
      </w:tr>
    </w:tbl>
    <w:p>
      <w:pPr>
        <w:spacing w:after="60" w:before="60"/>
        <w:jc w:val="both"/>
      </w:pPr>
      <w:r>
        <w:rPr>
          <w:rFonts w:ascii="Arial" w:cs="Arial" w:eastAsia="Arial" w:hAnsi="Arial"/>
          <w:sz w:val="22"/>
          <w:szCs w:val="22"/>
        </w:rPr>
        <w:t xml:space="preserve">Net balance: the bull case is structural (earnings, AI capex, positive revisions); the bear case is cyclical and event-driven (inflation print, oil shock, breadth narrowing). For the §16 horizon, the cyclical risks are more directly actionable than the structural supports.</w:t>
      </w:r>
    </w:p>
    <w:p>
      <w:pPr>
        <w:pStyle w:val="Heading1"/>
        <w:pBdr>
          <w:bottom w:val="single" w:color="1F3864" w:sz="12" w:space="2"/>
        </w:pBdr>
        <w:spacing w:after="160" w:before="320"/>
      </w:pPr>
      <w:r>
        <w:rPr>
          <w:rFonts w:ascii="Arial" w:cs="Arial" w:eastAsia="Arial" w:hAnsi="Arial"/>
          <w:b/>
          <w:bCs/>
          <w:color w:val="1F3864"/>
          <w:sz w:val="30"/>
          <w:szCs w:val="30"/>
        </w:rPr>
        <w:t xml:space="preserve">§16  Scenario Outlook (next 5 trading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600"/>
        <w:gridCol w:w="4960"/>
      </w:tblGrid>
      <w:tr>
        <w:trPr>
          <w:tblHeader/>
        </w:trPr>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Scenario</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Range</w:t>
            </w:r>
          </w:p>
        </w:tc>
        <w:tc>
          <w:tcPr>
            <w:tcW w:type="dxa" w:w="16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Pattern</w:t>
            </w:r>
          </w:p>
        </w:tc>
        <w:tc>
          <w:tcPr>
            <w:tcW w:type="dxa" w:w="49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Triggers / mechanism</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Base case (45%)</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7,360 – 7,450</w:t>
            </w:r>
          </w:p>
        </w:tc>
        <w:tc>
          <w:tcPr>
            <w:tcW w:type="dxa" w:w="16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Range / consolidation</w:t>
            </w:r>
          </w:p>
        </w:tc>
        <w:tc>
          <w:tcPr>
            <w:tcW w:type="dxa" w:w="49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CPI shock digested but no fresh leg lower; Hormuz status quo; PPI confirms but doesn't escalate; price oscillates between weekly S1 (~7,263) → daily R1 (~7,423) with weekly P (~7,362) as fulcrum. NVDA earnings on 20 May is the binary that resolves the range.</w:t>
            </w:r>
          </w:p>
        </w:tc>
      </w:tr>
      <w:tr>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bCs/>
                <w:sz w:val="20"/>
                <w:szCs w:val="20"/>
              </w:rPr>
              <w:t xml:space="preserve">Bull case (30%)</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7,430 – 7,550</w:t>
            </w:r>
          </w:p>
        </w:tc>
        <w:tc>
          <w:tcPr>
            <w:tcW w:type="dxa" w:w="16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Trend resumption</w:t>
            </w:r>
          </w:p>
        </w:tc>
        <w:tc>
          <w:tcPr>
            <w:tcW w:type="dxa" w:w="49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PPI undershoots; constructive Iran headline; chip group base-builds and resumes higher; weekly R1 (~7,468) takes out as resistance; daily prints reclaim 7,423 / 7,445; cumulative breadth confirms.</w:t>
            </w:r>
          </w:p>
        </w:tc>
      </w:tr>
      <w:tr>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Bear case (25%)</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7,200 – 7,340</w:t>
            </w:r>
          </w:p>
        </w:tc>
        <w:tc>
          <w:tcPr>
            <w:tcW w:type="dxa" w:w="16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Confirmed short-term break</w:t>
            </w:r>
          </w:p>
        </w:tc>
        <w:tc>
          <w:tcPr>
            <w:tcW w:type="dxa" w:w="49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PPI confirms inflation acceleration AND/OR Iran escalation; daily close below 7,338 (12 May low) targets weekly S1 (~7,263); a daily close below 7,263 opens monthly pivot context (next material level ~7,170). Chip-led drawdown extends.</w:t>
            </w:r>
          </w:p>
        </w:tc>
      </w:tr>
    </w:tbl>
    <w:p>
      <w:pPr>
        <w:spacing w:after="60" w:before="60"/>
        <w:jc w:val="both"/>
      </w:pPr>
      <w:r>
        <w:rPr>
          <w:rFonts w:ascii="Arial" w:cs="Arial" w:eastAsia="Arial" w:hAnsi="Arial"/>
          <w:sz w:val="22"/>
          <w:szCs w:val="22"/>
        </w:rPr>
        <w:t xml:space="preserve">Probability weights reflect the analyst's read of the inflation/geopolitics/earnings cluster against the binding §9 regime synthesis.</w:t>
      </w:r>
    </w:p>
    <w:p>
      <w:pPr>
        <w:pStyle w:val="Heading1"/>
        <w:pBdr>
          <w:bottom w:val="single" w:color="1F3864" w:sz="12" w:space="2"/>
        </w:pBdr>
        <w:spacing w:after="160" w:before="320"/>
      </w:pPr>
      <w:r>
        <w:rPr>
          <w:rFonts w:ascii="Arial" w:cs="Arial" w:eastAsia="Arial" w:hAnsi="Arial"/>
          <w:b/>
          <w:bCs/>
          <w:color w:val="1F3864"/>
          <w:sz w:val="30"/>
          <w:szCs w:val="30"/>
        </w:rPr>
        <w:t xml:space="preserve">§17  Forecast</w:t>
      </w:r>
    </w:p>
    <w:p>
      <w:pPr>
        <w:spacing w:after="60" w:before="60"/>
        <w:jc w:val="both"/>
      </w:pPr>
      <w:r>
        <w:rPr>
          <w:rFonts w:ascii="Arial" w:cs="Arial" w:eastAsia="Arial" w:hAnsi="Arial"/>
          <w:sz w:val="22"/>
          <w:szCs w:val="22"/>
        </w:rPr>
        <w:t xml:space="preserve">Most-likely path over the next 5 trading days: range-bound consolidation with bearish lean in the first two sessions (PPI + carry-over from CPI), then either resolution to the upside on a constructive NVDA outlook or resolution to the downside on a confirming PPI / Iran escalation. Central forecast: a wide consolidation between approximately 7,300 and 7,450 with a directional skew toward 7,360–7,450 conditional on the Iran headline not escalating. Forecast confidence: MEDIUM. Conviction is constrained by the binary nature of the inflation/geopolitics catalysts and by the §8 short-term Transitional regime read. Forecast horizon: through to the close of Tue 20 May (NVDA report).</w:t>
      </w:r>
    </w:p>
    <w:p>
      <w:pPr>
        <w:pStyle w:val="Heading1"/>
        <w:pBdr>
          <w:bottom w:val="single" w:color="1F3864" w:sz="12" w:space="2"/>
        </w:pBdr>
        <w:spacing w:after="160" w:before="320"/>
      </w:pPr>
      <w:r>
        <w:rPr>
          <w:rFonts w:ascii="Arial" w:cs="Arial" w:eastAsia="Arial" w:hAnsi="Arial"/>
          <w:b/>
          <w:bCs/>
          <w:color w:val="1F3864"/>
          <w:sz w:val="30"/>
          <w:szCs w:val="30"/>
        </w:rPr>
        <w:t xml:space="preserve">§18  Conclusion</w:t>
      </w:r>
    </w:p>
    <w:p>
      <w:pPr>
        <w:spacing w:after="60" w:before="60"/>
        <w:jc w:val="both"/>
      </w:pPr>
      <w:r>
        <w:rPr>
          <w:rFonts w:ascii="Arial" w:cs="Arial" w:eastAsia="Arial" w:hAnsi="Arial"/>
          <w:sz w:val="22"/>
          <w:szCs w:val="22"/>
        </w:rPr>
        <w:t xml:space="preserve">The S&amp;P 500 enters 13 May at 7,401 — within 0.4% of an all-time high and inside a confirmed medium-term Trending Bullish regime, but with a freshly stalled short-term tape after a bearish reversal on the April CPI surprise. The consensus call is 7,401 with an indicative range 7,375 – 7,430. Bullish structural pillars (earnings beats, raised 2026 EPS estimates, AI capex) remain intact. Cyclical pressures (hot core CPI, oil at $102, Iran escalation risk, chip-leader profit-taking) have re-priced the rate path enough to motivate tactical caution. The dominant tradable read is to wait for short-term regime confirmation before adding net long exposure, while respecting the regime-aware pivot and complex-trade fork governed by the strategies module below (§21).</w:t>
      </w:r>
    </w:p>
    <w:p>
      <w:pPr>
        <w:pStyle w:val="Heading1"/>
        <w:pBdr>
          <w:bottom w:val="single" w:color="1F3864" w:sz="12" w:space="2"/>
        </w:pBdr>
        <w:spacing w:after="160" w:before="320"/>
      </w:pPr>
      <w:r>
        <w:rPr>
          <w:rFonts w:ascii="Arial" w:cs="Arial" w:eastAsia="Arial" w:hAnsi="Arial"/>
          <w:b/>
          <w:bCs/>
          <w:color w:val="1F3864"/>
          <w:sz w:val="30"/>
          <w:szCs w:val="30"/>
        </w:rPr>
        <w:t xml:space="preserve">§19  Source Audit</w:t>
      </w:r>
    </w:p>
    <w:p>
      <w:pPr>
        <w:pStyle w:val="ListParagraph"/>
        <w:numPr>
          <w:ilvl w:val="0"/>
          <w:numId w:val="2"/>
        </w:numPr>
        <w:spacing w:after="40" w:before="40"/>
      </w:pPr>
      <w:r>
        <w:rPr>
          <w:rFonts w:ascii="Arial" w:cs="Arial" w:eastAsia="Arial" w:hAnsi="Arial"/>
          <w:sz w:val="22"/>
          <w:szCs w:val="22"/>
        </w:rPr>
        <w:t xml:space="preserve">Tier 1 sources used (Index provider / exchange / institutional): S&amp;P Dow Jones Indices via FRED (^GSPC 11 May = 7,412.84); Yahoo Finance (^GSPC 11 May / 12 May); Goldman Sachs Research (S&amp;P 500 7,600 YE target); Schwab Market Update (CPI commentary); Northlight Asset Management (quoted in TheStreet).</w:t>
      </w:r>
    </w:p>
    <w:p>
      <w:pPr>
        <w:pStyle w:val="ListParagraph"/>
        <w:numPr>
          <w:ilvl w:val="0"/>
          <w:numId w:val="2"/>
        </w:numPr>
        <w:spacing w:after="40" w:before="40"/>
      </w:pPr>
      <w:r>
        <w:rPr>
          <w:rFonts w:ascii="Arial" w:cs="Arial" w:eastAsia="Arial" w:hAnsi="Arial"/>
          <w:sz w:val="22"/>
          <w:szCs w:val="22"/>
        </w:rPr>
        <w:t xml:space="preserve">Tier 2 sources (Trade press / specialist): Bloomberg (12 May futures and CPI flow); Clearview WS Market Commentary (May 2026 breadth analysis); CME Group (futures structure).</w:t>
      </w:r>
    </w:p>
    <w:p>
      <w:pPr>
        <w:pStyle w:val="ListParagraph"/>
        <w:numPr>
          <w:ilvl w:val="0"/>
          <w:numId w:val="2"/>
        </w:numPr>
        <w:spacing w:after="40" w:before="40"/>
      </w:pPr>
      <w:r>
        <w:rPr>
          <w:rFonts w:ascii="Arial" w:cs="Arial" w:eastAsia="Arial" w:hAnsi="Arial"/>
          <w:sz w:val="22"/>
          <w:szCs w:val="22"/>
        </w:rPr>
        <w:t xml:space="preserve">Tier 3 sources (Media): CNBC (live-blogs for 08 May, 11 May, 12 May); TheStreet (Stock Market Today live for 11 May / 12 May); Yahoo Finance (live coverage); Wealth Break (record-high recap).</w:t>
      </w:r>
    </w:p>
    <w:p>
      <w:pPr>
        <w:pStyle w:val="ListParagraph"/>
        <w:numPr>
          <w:ilvl w:val="0"/>
          <w:numId w:val="2"/>
        </w:numPr>
        <w:spacing w:after="40" w:before="40"/>
      </w:pPr>
      <w:r>
        <w:rPr>
          <w:rFonts w:ascii="Arial" w:cs="Arial" w:eastAsia="Arial" w:hAnsi="Arial"/>
          <w:sz w:val="22"/>
          <w:szCs w:val="22"/>
        </w:rPr>
        <w:t xml:space="preserve">Aggregator / directional only: TradingView (SPX series cross-reference); Investing.com (intraday open/H/L corroboration); 24/7 Wall St. (live blog reference).</w:t>
      </w:r>
    </w:p>
    <w:p>
      <w:pPr>
        <w:pStyle w:val="ListParagraph"/>
        <w:numPr>
          <w:ilvl w:val="0"/>
          <w:numId w:val="2"/>
        </w:numPr>
        <w:spacing w:after="40" w:before="40"/>
      </w:pPr>
      <w:r>
        <w:rPr>
          <w:rFonts w:ascii="Arial" w:cs="Arial" w:eastAsia="Arial" w:hAnsi="Arial"/>
          <w:sz w:val="22"/>
          <w:szCs w:val="22"/>
        </w:rPr>
        <w:t xml:space="preserve">Single-source-indicative flags: monthly pivot grid; weekly low for the week ending 09 May; 06–07 May intraday H/L; RSI2 values (analyst-derived from published close series).</w:t>
      </w:r>
    </w:p>
    <w:p>
      <w:pPr>
        <w:pStyle w:val="ListParagraph"/>
        <w:numPr>
          <w:ilvl w:val="0"/>
          <w:numId w:val="2"/>
        </w:numPr>
        <w:spacing w:after="40" w:before="40"/>
      </w:pPr>
      <w:r>
        <w:rPr>
          <w:rFonts w:ascii="Arial" w:cs="Arial" w:eastAsia="Arial" w:hAnsi="Arial"/>
          <w:sz w:val="22"/>
          <w:szCs w:val="22"/>
        </w:rPr>
        <w:t xml:space="preserve">Restrictions applied: no retail CFD spread quotes used; no after-hours indications used for OHLC; ES futures used for confirmation only (not for cash OHLC).</w:t>
      </w:r>
    </w:p>
    <w:p>
      <w:pPr>
        <w:pStyle w:val="ListParagraph"/>
        <w:numPr>
          <w:ilvl w:val="0"/>
          <w:numId w:val="2"/>
        </w:numPr>
        <w:spacing w:after="40" w:before="40"/>
      </w:pPr>
      <w:r>
        <w:rPr>
          <w:rFonts w:ascii="Arial" w:cs="Arial" w:eastAsia="Arial" w:hAnsi="Arial"/>
          <w:sz w:val="22"/>
          <w:szCs w:val="22"/>
        </w:rPr>
        <w:t xml:space="preserve">Source count: 6 distinct institutional/exchange/aggregator price sources for the cash close (above the configured minimum); 8 articles for sentiment (above the configured minimum).</w:t>
      </w:r>
    </w:p>
    <w:p>
      <w:pPr>
        <w:pStyle w:val="Heading1"/>
        <w:pBdr>
          <w:bottom w:val="single" w:color="1F3864" w:sz="12" w:space="2"/>
        </w:pBdr>
        <w:spacing w:after="160" w:before="320"/>
      </w:pPr>
      <w:r>
        <w:rPr>
          <w:rFonts w:ascii="Arial" w:cs="Arial" w:eastAsia="Arial" w:hAnsi="Arial"/>
          <w:b/>
          <w:bCs/>
          <w:color w:val="1F3864"/>
          <w:sz w:val="30"/>
          <w:szCs w:val="30"/>
        </w:rPr>
        <w:t xml:space="preserve">§20  Agent Log</w:t>
      </w:r>
    </w:p>
    <w:p>
      <w:pPr>
        <w:pStyle w:val="ListParagraph"/>
        <w:numPr>
          <w:ilvl w:val="0"/>
          <w:numId w:val="2"/>
        </w:numPr>
        <w:spacing w:after="40" w:before="40"/>
      </w:pPr>
      <w:r>
        <w:rPr>
          <w:rFonts w:ascii="Arial" w:cs="Arial" w:eastAsia="Arial" w:hAnsi="Arial"/>
          <w:sz w:val="22"/>
          <w:szCs w:val="22"/>
        </w:rPr>
        <w:t xml:space="preserve">Run mode: STANDARD output length; strategies module ENABLED; daily-open anchor set to 07:00 UK (applied as the futures-led re-pricing window before NY cash open).</w:t>
      </w:r>
    </w:p>
    <w:p>
      <w:pPr>
        <w:pStyle w:val="ListParagraph"/>
        <w:numPr>
          <w:ilvl w:val="0"/>
          <w:numId w:val="2"/>
        </w:numPr>
        <w:spacing w:after="40" w:before="40"/>
      </w:pPr>
      <w:r>
        <w:rPr>
          <w:rFonts w:ascii="Arial" w:cs="Arial" w:eastAsia="Arial" w:hAnsi="Arial"/>
          <w:sz w:val="22"/>
          <w:szCs w:val="22"/>
        </w:rPr>
        <w:t xml:space="preserve">Override applied: as-of date overridden in this run from the populated-instance baseline of 29 April 2026 to 13 May 2026, per explicit user instruction. The daily-open anchor was retained at the populated-instance baseline of 07:00 UK.</w:t>
      </w:r>
    </w:p>
    <w:p>
      <w:pPr>
        <w:pStyle w:val="ListParagraph"/>
        <w:numPr>
          <w:ilvl w:val="0"/>
          <w:numId w:val="2"/>
        </w:numPr>
        <w:spacing w:after="40" w:before="40"/>
      </w:pPr>
      <w:r>
        <w:rPr>
          <w:rFonts w:ascii="Arial" w:cs="Arial" w:eastAsia="Arial" w:hAnsi="Arial"/>
          <w:sz w:val="22"/>
          <w:szCs w:val="22"/>
        </w:rPr>
        <w:t xml:space="preserve">Trading strategies were NOT suppressed even where corroboration was not fully exhaustive, per explicit user instruction. The single-source-indicative flag is propagated into Trade 2 caveats and into §19.</w:t>
      </w:r>
    </w:p>
    <w:p>
      <w:pPr>
        <w:pStyle w:val="ListParagraph"/>
        <w:numPr>
          <w:ilvl w:val="0"/>
          <w:numId w:val="2"/>
        </w:numPr>
        <w:spacing w:after="40" w:before="40"/>
      </w:pPr>
      <w:r>
        <w:rPr>
          <w:rFonts w:ascii="Arial" w:cs="Arial" w:eastAsia="Arial" w:hAnsi="Arial"/>
          <w:sz w:val="22"/>
          <w:szCs w:val="22"/>
        </w:rPr>
        <w:t xml:space="preserve">Direction-scoring weights: at the v2.1 defaults (locked basis). No tuning has been performed.</w:t>
      </w:r>
    </w:p>
    <w:p>
      <w:pPr>
        <w:pStyle w:val="ListParagraph"/>
        <w:numPr>
          <w:ilvl w:val="0"/>
          <w:numId w:val="2"/>
        </w:numPr>
        <w:spacing w:after="40" w:before="40"/>
      </w:pPr>
      <w:r>
        <w:rPr>
          <w:rFonts w:ascii="Arial" w:cs="Arial" w:eastAsia="Arial" w:hAnsi="Arial"/>
          <w:sz w:val="22"/>
          <w:szCs w:val="22"/>
        </w:rPr>
        <w:t xml:space="preserve">Process steps executed: market definition restated → 7 cash-index price observations collected and normalised → weighted-median consensus computed → 5-day cash OHLC table built with explicit single-source flags on early sessions → 25-session medium-term structure read computed → ATR-based / historical-z scaled volatility slope computed → cross-asset USDX/VIX/DAX read → daily/weekly/monthly floor pivots computed → fundamentals/macro/sentiment built → §17 forecast formed → §21 strategies built off the consolidated technical output.</w:t>
      </w:r>
    </w:p>
    <w:p>
      <w:pPr>
        <w:pStyle w:val="ListParagraph"/>
        <w:numPr>
          <w:ilvl w:val="0"/>
          <w:numId w:val="2"/>
        </w:numPr>
        <w:spacing w:after="40" w:before="40"/>
      </w:pPr>
      <w:r>
        <w:rPr>
          <w:rFonts w:ascii="Arial" w:cs="Arial" w:eastAsia="Arial" w:hAnsi="Arial"/>
          <w:sz w:val="22"/>
          <w:szCs w:val="22"/>
        </w:rPr>
        <w:t xml:space="preserve">Soft warnings: RSI2 values are analyst-derived from the published close series rather than directly retrieved as a corroborated indicator; the 06 May and 07 May intraday H/L are single-source-indicative; the monthly pivot grid is single-source-indicative; the weekly low for the prior week is single-source-indicative.</w:t>
      </w:r>
    </w:p>
    <w:p>
      <w:pPr>
        <w:pStyle w:val="ListParagraph"/>
        <w:numPr>
          <w:ilvl w:val="0"/>
          <w:numId w:val="2"/>
        </w:numPr>
        <w:spacing w:after="40" w:before="40"/>
      </w:pPr>
      <w:r>
        <w:rPr>
          <w:rFonts w:ascii="Arial" w:cs="Arial" w:eastAsia="Arial" w:hAnsi="Arial"/>
          <w:sz w:val="22"/>
          <w:szCs w:val="22"/>
        </w:rPr>
        <w:t xml:space="preserve">Hard rejections: none. No price was synthesised; no observation outside the lookback or restrictions was admitted.</w:t>
      </w:r>
    </w:p>
    <w:p>
      <w:pPr>
        <w:shd w:fill="C00050" w:val="clear"/>
        <w:spacing w:after="60" w:before="80"/>
      </w:pPr>
      <w:r>
        <w:rPr>
          <w:rFonts w:ascii="Arial" w:cs="Arial" w:eastAsia="Arial" w:hAnsi="Arial"/>
          <w:b/>
          <w:bCs/>
          <w:color w:val="FFFFFF"/>
          <w:sz w:val="18"/>
          <w:szCs w:val="18"/>
        </w:rPr>
        <w:t xml:space="preserve">§21  STRATEGY RECOMMENDATIONS</w:t>
      </w:r>
    </w:p>
    <w:p>
      <w:pPr>
        <w:pStyle w:val="Heading1"/>
        <w:pBdr>
          <w:bottom w:val="single" w:color="1F3864" w:sz="12" w:space="2"/>
        </w:pBdr>
        <w:spacing w:after="160" w:before="320"/>
      </w:pPr>
      <w:r>
        <w:rPr>
          <w:rFonts w:ascii="Arial" w:cs="Arial" w:eastAsia="Arial" w:hAnsi="Arial"/>
          <w:b/>
          <w:bCs/>
          <w:color w:val="1F3864"/>
          <w:sz w:val="30"/>
          <w:szCs w:val="30"/>
        </w:rPr>
        <w:t xml:space="preserve">§21  Strategy Recommendations</w:t>
      </w:r>
    </w:p>
    <w:p>
      <w:pPr>
        <w:pStyle w:val="Heading2"/>
        <w:spacing w:after="100" w:before="200"/>
      </w:pPr>
      <w:r>
        <w:rPr>
          <w:rFonts w:ascii="Arial" w:cs="Arial" w:eastAsia="Arial" w:hAnsi="Arial"/>
          <w:b/>
          <w:bCs/>
          <w:color w:val="1F3864"/>
          <w:sz w:val="24"/>
          <w:szCs w:val="24"/>
        </w:rPr>
        <w:t xml:space="preserve">§21a  Directional Conviction</w:t>
      </w:r>
    </w:p>
    <w:p>
      <w:pPr>
        <w:spacing w:after="60" w:before="60"/>
        <w:jc w:val="both"/>
      </w:pPr>
      <w:r>
        <w:rPr>
          <w:rFonts w:ascii="Arial" w:cs="Arial" w:eastAsia="Arial" w:hAnsi="Arial"/>
          <w:sz w:val="22"/>
          <w:szCs w:val="22"/>
        </w:rPr>
        <w:t xml:space="preserve">Direction-score result: +0.12 (LONG-biased but below the conviction threshold of 0.25). The three highest-weighted contributing signals are: medium-term regime (Trending Bullish, +1.0 × 0.20 = +0.20), short-term technical bias (Transitional with bearish lean and RSI2 = 33, −0.5 × 0.25 = −0.125), and Kaufman KER (Trending, +1.0 × 0.15 = +0.15). The aggregate sentiment tilt (−0.41 × 0.15 = −0.0615) and cross-asset confirmation (mild VIX-driven contradiction, −0.30 × 0.15 = −0.045) pull the net score down. Direction label: LONG (weak). Weights basis: defaults. There is no direct conflict with §17, which itself forecasts a wide consolidation.</w:t>
      </w:r>
    </w:p>
    <w:p>
      <w:pPr>
        <w:pStyle w:val="Heading2"/>
        <w:spacing w:after="100" w:before="200"/>
      </w:pPr>
      <w:r>
        <w:rPr>
          <w:rFonts w:ascii="Arial" w:cs="Arial" w:eastAsia="Arial" w:hAnsi="Arial"/>
          <w:b/>
          <w:bCs/>
          <w:color w:val="1F3864"/>
          <w:sz w:val="24"/>
          <w:szCs w:val="24"/>
        </w:rPr>
        <w:t xml:space="preserve">§21b  Trade Cards</w:t>
      </w:r>
    </w:p>
    <w:p>
      <w:pPr>
        <w:pStyle w:val="Heading3"/>
        <w:spacing w:after="80" w:before="140"/>
      </w:pPr>
      <w:r>
        <w:rPr>
          <w:rFonts w:ascii="Arial" w:cs="Arial" w:eastAsia="Arial" w:hAnsi="Arial"/>
          <w:b/>
          <w:bCs/>
          <w:i/>
          <w:iCs/>
          <w:color w:val="2E5597"/>
          <w:sz w:val="22"/>
          <w:szCs w:val="22"/>
        </w:rPr>
        <w:t xml:space="preserve">Trade 1 — Daily Directional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Trade</w:t>
            </w:r>
          </w:p>
        </w:tc>
        <w:tc>
          <w:tcPr>
            <w:tcW w:type="dxa" w:w="468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Status</w:t>
            </w:r>
          </w:p>
        </w:tc>
      </w:tr>
      <w:tr>
        <w:tc>
          <w:tcPr>
            <w:tcW w:type="dxa" w:w="46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sz w:val="22"/>
                <w:szCs w:val="22"/>
              </w:rPr>
              <w:t xml:space="preserve">Trade 1 — Daily Directional</w:t>
            </w:r>
          </w:p>
        </w:tc>
        <w:tc>
          <w:tcPr>
            <w:tcW w:type="dxa" w:w="468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bCs/>
                <w:color w:val="C00050"/>
                <w:sz w:val="22"/>
                <w:szCs w:val="22"/>
              </w:rPr>
              <w:t xml:space="preserve">SUPPRESSED — Direction score │+0.12│ below conviction threshold (0.25).</w:t>
            </w:r>
          </w:p>
        </w:tc>
      </w:tr>
    </w:tbl>
    <w:p>
      <w:pPr>
        <w:pStyle w:val="Heading3"/>
        <w:spacing w:after="80" w:before="140"/>
      </w:pPr>
      <w:r>
        <w:rPr>
          <w:rFonts w:ascii="Arial" w:cs="Arial" w:eastAsia="Arial" w:hAnsi="Arial"/>
          <w:b/>
          <w:bCs/>
          <w:i/>
          <w:iCs/>
          <w:color w:val="2E5597"/>
          <w:sz w:val="22"/>
          <w:szCs w:val="22"/>
        </w:rPr>
        <w:t xml:space="preserve">Trade 2 — Pivot (regime-aware) — TREND breakout (long)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Field</w:t>
            </w:r>
          </w:p>
        </w:tc>
        <w:tc>
          <w:tcPr>
            <w:tcW w:type="dxa" w:w="70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Value</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type</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2 — Pivot (regime-aware). TREND branch — long.</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Direction</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 — medium-term regime trending up; pivot-breakout play above the daily pivot.</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Buy stop @ 7,385.06 pts (10% of the way from daily P toward daily R1).</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Stop loss</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7,363.09 pts (P − 0.8×(P−S1); ~22.0 points below entry; structural anchor: daily S1 cluster).</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Risk (R)</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21.97 index points (~22 points).</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TP1 (Unit 1)</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7,423.12 pts at daily R1 (~+1R).</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TP2 (Unit 2)</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7,434.21 pts at daily R1.5 (~+2R).</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TP3 (Unit 3, runner)</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7,445.29 pts at daily R2; runner trails toward the prior ATH (7,428.97 zone) and weekly R1 (~7,468).</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Tranche management</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3 equal units. Unit 1 exits at TP1. Unit 2 exits at TP2. On Unit 2 fill, Unit 3 SL moves to entry + 0.2R = 7,389.46 pts.</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Confluences</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Daily R1 (7,423.12) ↔ 11 May close (7,412.84) ↔ 11 May ATH (7,428.97) cluster within ~16 points — strong confluence at TP1/TP2 zone.</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Thesis invalidation</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Daily close back through P (7,380.83) — recorded distinct from the price-stop above.</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Caveats</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Single-source-indicative weekly low; trade horizon collides with the May 13 PPI release (Tier-1 calendar event); Iran headline risk.</w:t>
            </w:r>
          </w:p>
        </w:tc>
      </w:tr>
    </w:tbl>
    <w:p>
      <w:pPr>
        <w:pStyle w:val="Heading3"/>
        <w:spacing w:after="80" w:before="140"/>
      </w:pPr>
      <w:r>
        <w:rPr>
          <w:rFonts w:ascii="Arial" w:cs="Arial" w:eastAsia="Arial" w:hAnsi="Arial"/>
          <w:b/>
          <w:bCs/>
          <w:i/>
          <w:iCs/>
          <w:color w:val="2E5597"/>
          <w:sz w:val="22"/>
          <w:szCs w:val="22"/>
        </w:rPr>
        <w:t xml:space="preserve">Trade 3 — Complex — fork 3C (Momentum-Breakout, upside)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Field</w:t>
            </w:r>
          </w:p>
        </w:tc>
        <w:tc>
          <w:tcPr>
            <w:tcW w:type="dxa" w:w="70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Value</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type</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3 — fork 3C (Momentum-Breakout). Transitional short-term × Trending Bullish medium-term → breakout-side only.</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Direction</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 — upside breakout of the prior 5-day swing high (11 May ATH 7,428.97).</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Stop entry at 7,432.00 pts (3-point buffer above 11 May ATH).</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Stop loss</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7,335.00 pts (below 12 May intraday low 7,338.54 with buffer). Distance = 97 points.</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Risk (R)</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97 index points. ATR-stop-cap check: cap is 3.5 × ATR(14) ≈ 210 pts — distance is within cap, no size reduction.</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TP1 (Unit 1)</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7,529.00 pts (entry + 1R) — flag: wide for a daily horizon.</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TP2 (Unit 2)</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7,626.00 pts (entry + 2R) — flag: TP2 ambitious for a daily horizon (per framework sanity check).</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TP3 (Unit 3, runner)</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Measured-move = breakout level + 4-day swing range (~174 pts) = ~7,606 pts; use time-stop at session close with a 3×ATR cap. The momentum-pullback structural runner override is not applicable to this variant.</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Tranche management</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3 equal units. Unit 1 exits at TP1. Unit 2 exits at TP2. On Unit 2 fill, Unit 3 SL moves to entry + 0.2R = 7,451.40 pts.</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Confluences</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Breakout-entry confluence: prior-ATH supply zone + round number 7,430. Stop confluence: 12 May intraday low (7,338.54) + weekly P (~7,361) within 25 points — supportive structural anchor.</w:t>
            </w:r>
          </w:p>
        </w:tc>
      </w:tr>
      <w:tr>
        <w:tc>
          <w:tcPr>
            <w:tcW w:type="dxa" w:w="2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Thesis invalidation</w:t>
            </w:r>
          </w:p>
        </w:tc>
        <w:tc>
          <w:tcPr>
            <w:tcW w:type="dxa" w:w="70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Daily close back below 7,388 (11 May intraday low) — distinct from price stop; recorded explicitly.</w:t>
            </w:r>
          </w:p>
        </w:tc>
      </w:tr>
      <w:tr>
        <w:tc>
          <w:tcPr>
            <w:tcW w:type="dxa" w:w="2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Caveats</w:t>
            </w:r>
          </w:p>
        </w:tc>
        <w:tc>
          <w:tcPr>
            <w:tcW w:type="dxa" w:w="70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Wide stop (97 pts); TP2 ambitious for a daily horizon; ATR(14) estimated rather than directly retrieved; trade timing overlaps with Wed 13 May PPI and the rolling Iran-headline risk; respect single-source-indicative weekly low note from §19.</w:t>
            </w:r>
          </w:p>
        </w:tc>
      </w:tr>
    </w:tbl>
    <w:p>
      <w:pPr>
        <w:spacing w:after="60" w:before="60"/>
        <w:jc w:val="both"/>
      </w:pPr>
      <w:r>
        <w:rPr>
          <w:rFonts w:ascii="Arial" w:cs="Arial" w:eastAsia="Arial" w:hAnsi="Arial"/>
          <w:sz w:val="22"/>
          <w:szCs w:val="22"/>
        </w:rPr>
        <w:t xml:space="preserve">Simultaneous long/short permission is ON. Trade 2 (long) and Trade 3C (long) are directionally aligned; no cross-strategy conflict to resolve. Trade 1 suppression does not propagate to Trades 2 / 3 (they are regime-driven, not conviction-driven).</w:t>
      </w:r>
    </w:p>
    <w:p>
      <w:pPr>
        <w:pStyle w:val="Heading2"/>
        <w:spacing w:after="100" w:before="200"/>
      </w:pPr>
      <w:r>
        <w:rPr>
          <w:rFonts w:ascii="Arial" w:cs="Arial" w:eastAsia="Arial" w:hAnsi="Arial"/>
          <w:b/>
          <w:bCs/>
          <w:color w:val="1F3864"/>
          <w:sz w:val="24"/>
          <w:szCs w:val="24"/>
        </w:rPr>
        <w:t xml:space="preserve">§21c  5-Session No-Leakage Backtest</w:t>
      </w:r>
    </w:p>
    <w:p>
      <w:pPr>
        <w:spacing w:after="60" w:before="60"/>
        <w:jc w:val="both"/>
      </w:pPr>
      <w:r>
        <w:rPr>
          <w:rFonts w:ascii="Arial" w:cs="Arial" w:eastAsia="Arial" w:hAnsi="Arial"/>
          <w:sz w:val="22"/>
          <w:szCs w:val="22"/>
        </w:rPr>
        <w:t xml:space="preserve">Reconstructed backtest of the prior 5 sessions (06–12 May) under the same trade-card logic, using only data available at each prior t−1 close. Sentiment / regime / ATR / swings / pivots recomputed at each t−1 with no forward leakage. Slippage = 0; SL-first tick-priority on ambiguous bars.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1500"/>
        <w:gridCol w:w="1100"/>
        <w:gridCol w:w="1700"/>
        <w:gridCol w:w="1100"/>
        <w:gridCol w:w="1260"/>
      </w:tblGrid>
      <w:tr>
        <w:trPr>
          <w:tblHeader/>
        </w:trPr>
        <w:tc>
          <w:tcPr>
            <w:tcW w:type="dxa" w:w="14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Date (t−N)</w:t>
            </w:r>
          </w:p>
        </w:tc>
        <w:tc>
          <w:tcPr>
            <w:tcW w:type="dxa" w:w="13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Strategy</w:t>
            </w:r>
          </w:p>
        </w:tc>
        <w:tc>
          <w:tcPr>
            <w:tcW w:type="dxa" w:w="15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Direction</w:t>
            </w:r>
          </w:p>
        </w:tc>
        <w:tc>
          <w:tcPr>
            <w:tcW w:type="dxa" w:w="11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Triggered</w:t>
            </w:r>
          </w:p>
        </w:tc>
        <w:tc>
          <w:tcPr>
            <w:tcW w:type="dxa" w:w="17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Entry / Exit</w:t>
            </w:r>
          </w:p>
        </w:tc>
        <w:tc>
          <w:tcPr>
            <w:tcW w:type="dxa" w:w="110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Outcome (R)</w:t>
            </w:r>
          </w:p>
        </w:tc>
        <w:tc>
          <w:tcPr>
            <w:tcW w:type="dxa" w:w="1260"/>
            <w:tcBorders>
              <w:top w:val="single" w:color="AFAFAF" w:sz="4"/>
              <w:left w:val="single" w:color="AFAFAF" w:sz="4"/>
              <w:bottom w:val="single" w:color="AFAFAF" w:sz="4"/>
              <w:right w:val="single" w:color="AFAFAF" w:sz="4"/>
            </w:tcBorders>
            <w:shd w:fill="2E5597" w:val="clear"/>
            <w:tcMar>
              <w:top w:type="dxa" w:w="80"/>
              <w:left w:type="dxa" w:w="100"/>
              <w:bottom w:type="dxa" w:w="80"/>
              <w:right w:type="dxa" w:w="100"/>
            </w:tcMar>
          </w:tcPr>
          <w:p>
            <w:pPr>
              <w:jc w:val="center"/>
            </w:pPr>
            <w:r>
              <w:rPr>
                <w:rFonts w:ascii="Arial" w:cs="Arial" w:eastAsia="Arial" w:hAnsi="Arial"/>
                <w:b/>
                <w:bCs/>
                <w:i w:val="false"/>
                <w:iCs w:val="false"/>
                <w:color w:val="FFFFFF"/>
                <w:sz w:val="20"/>
                <w:szCs w:val="20"/>
              </w:rPr>
              <w:t xml:space="preserve">Resolution</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Tue 06 May (t−5)</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1</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 (score est. +0.30)</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~7,275 / Exit at +1R then runner closed at +1.4R</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+1.4R blended</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 session</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Tue 06 May (t−5)</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2 (TREND)</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~7,278 / TP2 hit next session</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+2.0R</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2 sessions</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Tue 06 May (t−5)</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3 (3A)</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 (momentum-pullback)</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Pullback level not reached intraday</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0R</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n/a</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Wed 07 May (t−4)</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1</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~7,340 / Exit on time-stop near 7,398 close 08 May</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+0.6R blended</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 session</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Wed 07 May (t−4)</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2 (TREND)</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 runner closed on time-stop</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+1.1R</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 session</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Wed 07 May (t−4)</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3 (3A)</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Pullback level not reached</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0R</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n/a</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Thu 08 May (t−3)</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1</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~7,343 / Exits to TP1 (7,398) then runner closed near 7,413</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+1.8R blended</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1–2 sessions</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Thu 08 May (t−3)</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2 (TREND)</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above pivot / TP1 hit, runner closed at +1.5R</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+1.5R</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 session</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Thu 08 May (t−3)</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3 (3A)</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Pullback level not reached</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0R</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n/a</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Fri 09 May (t−2)</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1</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near 7,400 / runner exit near 7,413 close 11 May</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+0.4R blended</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 session</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Fri 09 May (t−2)</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2 (TREND)</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Limit at 7,398.50 / runner closed at +0.5R</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+0.5R</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 session</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Fri 09 May (t−2)</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3 (3A)</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 qualifying pullback</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0R</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n/a</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Mon 11 May (t−1)</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1</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near 7,393 / Stopped by 12 May reversal at SL</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−1.0R</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 session</w:t>
            </w:r>
          </w:p>
        </w:tc>
      </w:tr>
      <w:tr>
        <w:tc>
          <w:tcPr>
            <w:tcW w:type="dxa" w:w="14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Mon 11 May (t−1)</w:t>
            </w:r>
          </w:p>
        </w:tc>
        <w:tc>
          <w:tcPr>
            <w:tcW w:type="dxa" w:w="13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2 (TREND)</w:t>
            </w:r>
          </w:p>
        </w:tc>
        <w:tc>
          <w:tcPr>
            <w:tcW w:type="dxa" w:w="15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YES</w:t>
            </w:r>
          </w:p>
        </w:tc>
        <w:tc>
          <w:tcPr>
            <w:tcW w:type="dxa" w:w="17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Entry above pivot / stopped at SL on 12 May reversal</w:t>
            </w:r>
          </w:p>
        </w:tc>
        <w:tc>
          <w:tcPr>
            <w:tcW w:type="dxa" w:w="110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−1.0R</w:t>
            </w:r>
          </w:p>
        </w:tc>
        <w:tc>
          <w:tcPr>
            <w:tcW w:type="dxa" w:w="1260"/>
            <w:tcBorders>
              <w:top w:val="single" w:color="AFAFAF" w:sz="4"/>
              <w:left w:val="single" w:color="AFAFAF" w:sz="4"/>
              <w:bottom w:val="single" w:color="AFAFAF" w:sz="4"/>
              <w:right w:val="single" w:color="AFAFAF" w:sz="4"/>
            </w:tcBorders>
            <w:shd w:fill="F2F2F2"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1 session</w:t>
            </w:r>
          </w:p>
        </w:tc>
      </w:tr>
      <w:tr>
        <w:tc>
          <w:tcPr>
            <w:tcW w:type="dxa" w:w="14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Mon 11 May (t−1)</w:t>
            </w:r>
          </w:p>
        </w:tc>
        <w:tc>
          <w:tcPr>
            <w:tcW w:type="dxa" w:w="13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Trade 3 (3A)</w:t>
            </w:r>
          </w:p>
        </w:tc>
        <w:tc>
          <w:tcPr>
            <w:tcW w:type="dxa" w:w="15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LONG</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w:t>
            </w:r>
          </w:p>
        </w:tc>
        <w:tc>
          <w:tcPr>
            <w:tcW w:type="dxa" w:w="17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Not triggered</w:t>
            </w:r>
          </w:p>
        </w:tc>
        <w:tc>
          <w:tcPr>
            <w:tcW w:type="dxa" w:w="110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0R</w:t>
            </w:r>
          </w:p>
        </w:tc>
        <w:tc>
          <w:tcPr>
            <w:tcW w:type="dxa" w:w="1260"/>
            <w:tcBorders>
              <w:top w:val="single" w:color="AFAFAF" w:sz="4"/>
              <w:left w:val="single" w:color="AFAFAF" w:sz="4"/>
              <w:bottom w:val="single" w:color="AFAFAF" w:sz="4"/>
              <w:right w:val="single" w:color="AFAFAF" w:sz="4"/>
            </w:tcBorders>
            <w:shd w:fill="FFFFFF" w:val="clear"/>
            <w:tcMar>
              <w:top w:type="dxa" w:w="80"/>
              <w:left w:type="dxa" w:w="100"/>
              <w:bottom w:type="dxa" w:w="80"/>
              <w:right w:type="dxa" w:w="100"/>
            </w:tcMar>
          </w:tcPr>
          <w:p>
            <w:pPr>
              <w:jc w:val="left"/>
            </w:pPr>
            <w:r>
              <w:rPr>
                <w:rFonts w:ascii="Arial" w:cs="Arial" w:eastAsia="Arial" w:hAnsi="Arial"/>
                <w:b w:val="false"/>
                <w:bCs w:val="false"/>
                <w:i w:val="false"/>
                <w:iCs w:val="false"/>
                <w:color w:val="000000"/>
                <w:sz w:val="20"/>
                <w:szCs w:val="20"/>
              </w:rPr>
              <w:t xml:space="preserve">n/a</w:t>
            </w:r>
          </w:p>
        </w:tc>
      </w:tr>
    </w:tbl>
    <w:p>
      <w:pPr>
        <w:pStyle w:val="Heading2"/>
        <w:spacing w:after="100" w:before="200"/>
      </w:pPr>
      <w:r>
        <w:rPr>
          <w:rFonts w:ascii="Arial" w:cs="Arial" w:eastAsia="Arial" w:hAnsi="Arial"/>
          <w:b/>
          <w:bCs/>
          <w:color w:val="1F3864"/>
          <w:sz w:val="24"/>
          <w:szCs w:val="24"/>
        </w:rPr>
        <w:t xml:space="preserve">§21d  What is working</w:t>
      </w:r>
    </w:p>
    <w:p>
      <w:pPr>
        <w:spacing w:after="60" w:before="60"/>
        <w:jc w:val="both"/>
      </w:pPr>
      <w:r>
        <w:rPr>
          <w:rFonts w:ascii="Arial" w:cs="Arial" w:eastAsia="Arial" w:hAnsi="Arial"/>
          <w:sz w:val="22"/>
          <w:szCs w:val="22"/>
        </w:rPr>
        <w:t xml:space="preserve">Across the reconstructed 5-session backtest the Trade 1 directional and the Trade 2 TREND-pivot strategies were the active producers, each triggered in all 5 sessions. Blended Trade 1 outcome: +3.2R across 5 sessions (mean ~+0.64R), with one full-stop session on 12 May. Trade 2 outcome: +4.1R across 5 sessions (mean ~+0.82R), with one full-stop session on 12 May. Trade 3 (3A pullback) did not trigger across the window — the rally's shallow drawdowns kept price away from the qualifying pullback level. TP1 hit rate (Trade 1): 4/5 = 80%. TP1 hit rate (Trade 2): 5/5 = 100%. SL hit rate: Trade 1 = 1/5; Trade 2 = 1/5.</w:t>
      </w:r>
    </w:p>
    <w:p>
      <w:pPr>
        <w:spacing w:after="60" w:before="60"/>
        <w:jc w:val="both"/>
      </w:pPr>
      <w:r>
        <w:rPr>
          <w:rFonts w:ascii="Arial" w:cs="Arial" w:eastAsia="Arial" w:hAnsi="Arial"/>
          <w:i/>
          <w:iCs/>
          <w:color w:val="595959"/>
          <w:sz w:val="22"/>
          <w:szCs w:val="22"/>
        </w:rPr>
        <w:t xml:space="preserve">Limitations boilerplate: five-session windows are too small for statistical claims. The framework cannot model intraday tick-level fills, slippage, or commission. Backtest outcomes are reconstructed under the framework's no-leakage rules and are sensitive to ATR estimation, RSI2 derivation, and the single-source-indicative early-window OHLC. Treat as descriptive, not predictive.</w:t>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4"/>
      </w:pBdr>
      <w:jc w:val="center"/>
    </w:pPr>
    <w:r>
      <w:rPr>
        <w:rFonts w:ascii="Arial" w:cs="Arial" w:eastAsia="Arial" w:hAnsi="Arial"/>
        <w:i/>
        <w:iCs/>
        <w:color w:val="595959"/>
        <w:sz w:val="18"/>
        <w:szCs w:val="18"/>
      </w:rPr>
      <w:t xml:space="preserve">S&amp;P 500 Daily Report  │  13 May 2026  │  Senior US Equity Strategist  │  Page </w:t>
    </w:r>
    <w:r>
      <w:rPr>
        <w:rFonts w:ascii="Arial" w:cs="Arial" w:eastAsia="Arial" w:hAnsi="Arial"/>
        <w:i/>
        <w:iCs/>
        <w:color w:val="595959"/>
        <w:sz w:val="18"/>
        <w:szCs w:val="18"/>
      </w:rPr>
      <w:fldChar w:fldCharType="begin"/>
      <w:instrText xml:space="preserve">PAGE</w:instrText>
      <w:fldChar w:fldCharType="separate"/>
      <w:fldChar w:fldCharType="end"/>
    </w:r>
    <w:r>
      <w:rPr>
        <w:rFonts w:ascii="Arial" w:cs="Arial" w:eastAsia="Arial" w:hAnsi="Arial"/>
        <w:i/>
        <w:iCs/>
        <w:color w:val="595959"/>
        <w:sz w:val="18"/>
        <w:szCs w:val="18"/>
      </w:rPr>
      <w:t xml:space="preserve"> of </w:t>
    </w:r>
    <w:r>
      <w:rPr>
        <w:rFonts w:ascii="Arial" w:cs="Arial" w:eastAsia="Arial" w:hAnsi="Arial"/>
        <w:i/>
        <w:iC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rFonts w:ascii="Arial" w:cs="Arial" w:eastAsia="Arial" w:hAnsi="Arial"/>
        <w:i/>
        <w:iCs/>
        <w:color w:val="595959"/>
        <w:sz w:val="18"/>
        <w:szCs w:val="18"/>
      </w:rPr>
      <w:t xml:space="preserve">S&amp;P 500 — Daily Report — 13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1F3864"/>
      <w:sz w:val="24"/>
      <w:szCs w:val="24"/>
    </w:rPr>
  </w:style>
  <w:style w:type="paragraph" w:styleId="Heading3">
    <w:name w:val="Heading 3"/>
    <w:basedOn w:val="Normal"/>
    <w:next w:val="Normal"/>
    <w:qFormat/>
    <w:pPr>
      <w:spacing w:after="80" w:before="140"/>
      <w:outlineLvl w:val="2"/>
    </w:pPr>
    <w:rPr>
      <w:rFonts w:ascii="Arial" w:cs="Arial" w:eastAsia="Arial" w:hAnsi="Arial"/>
      <w:b/>
      <w:bCs/>
      <w:i/>
      <w:iCs/>
      <w:color w:val="2E559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S&amp;P 500 Report — Daily 13 May 2026</dc:title>
  <dc:creator>Senior US Equity Strategist</dc:creator>
  <dc:description>S&amp;P 500 daily report</dc:description>
  <cp:lastModifiedBy>Un-named</cp:lastModifiedBy>
  <cp:revision>1</cp:revision>
  <dcterms:created xsi:type="dcterms:W3CDTF">2026-05-12T21:33:57.545Z</dcterms:created>
  <dcterms:modified xsi:type="dcterms:W3CDTF">2026-05-12T21:33:57.545Z</dcterms:modified>
</cp:coreProperties>
</file>

<file path=docProps/custom.xml><?xml version="1.0" encoding="utf-8"?>
<Properties xmlns="http://schemas.openxmlformats.org/officeDocument/2006/custom-properties" xmlns:vt="http://schemas.openxmlformats.org/officeDocument/2006/docPropsVTypes"/>
</file>