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4"/>
          <w:szCs w:val="34"/>
        </w:rPr>
        <w:t xml:space="preserve">S&amp;P 500 Report — Daily: 15 July 2026</w:t>
      </w:r>
    </w:p>
    <w:p>
      <w:pPr>
        <w:spacing w:after="50"/>
      </w:pPr>
      <w:r>
        <w:rPr>
          <w:rFonts w:ascii="Calibri" w:cs="Calibri" w:eastAsia="Calibri" w:hAnsi="Calibri"/>
          <w:i/>
          <w:iCs/>
          <w:color w:val="555555"/>
          <w:sz w:val="20"/>
          <w:szCs w:val="20"/>
        </w:rPr>
        <w:t xml:space="preserve">With reference to: USDX · VIX · DAX 40</w:t>
      </w:r>
    </w:p>
    <w:p>
      <w:pPr>
        <w:spacing w:after="120"/>
      </w:pPr>
      <w:r>
        <w:rPr>
          <w:rFonts w:ascii="Calibri" w:cs="Calibri" w:eastAsia="Calibri" w:hAnsi="Calibri"/>
          <w:color w:val="555555"/>
          <w:sz w:val="16"/>
          <w:szCs w:val="16"/>
        </w:rPr>
        <w:t xml:space="preserve">Senior US Equity Strategist  ·  As of 15 July 2026 (America/New_York)  ·  Trading &amp; risk review (forward-test)</w:t>
      </w:r>
    </w:p>
    <w:p>
      <w:pPr>
        <w:pBdr>
          <w:bottom w:val="single" w:color="1F3864" w:sz="6"/>
        </w:pBdr>
        <w:spacing w:after="160"/>
      </w:pPr>
    </w:p>
    <w:p>
      <w:pPr>
        <w:pStyle w:val="Heading1"/>
        <w:spacing w:after="120" w:before="260"/>
      </w:pPr>
      <w:r>
        <w:rPr>
          <w:rFonts w:ascii="Calibri" w:cs="Calibri" w:eastAsia="Calibri" w:hAnsi="Calibri"/>
          <w:b/>
          <w:bCs/>
          <w:color w:val="1F3864"/>
          <w:sz w:val="26"/>
          <w:szCs w:val="26"/>
        </w:rPr>
        <w:t xml:space="preserve">§1  Executive Snapshot</w:t>
      </w:r>
    </w:p>
    <w:p>
      <w:pPr>
        <w:spacing w:after="120" w:before="0"/>
      </w:pPr>
      <w:r>
        <w:rPr>
          <w:rFonts w:ascii="Calibri" w:cs="Calibri" w:eastAsia="Calibri" w:hAnsi="Calibri"/>
          <w:sz w:val="20"/>
          <w:szCs w:val="20"/>
        </w:rPr>
        <w:t xml:space="preserve">The S&amp;P 500 cash index enters 15 July 2026 at a corroborated close of 7,543.59 (14 Jul), recovering Monday's inflation-and-Iran-driven 0.8% slide after June CPI printed 3.5% versus the 3.8% consensus. Consensus fair value sits at 7,543 (range 7,515–7,580); market tone is balanced-to-constructive. The three dominant drivers are the cooler June inflation read that eased Fed-hike pressure, a semiconductor-led rebound (NVIDIA, SK hynix and the memory complex), and a Strait-of-Hormuz risk premium keeping energy and implied volatility bid. Short-term technical state is Transitional–Mixed: alternating session closes and a top-of-range position (≈85th percentile of the 25-day band) sit against a still-positive Kaufman reading. Medium-term regime is Transitional. The Kaufman Efficiency Ratio classifies Trending Up — Moderate (smoothed +0.33, rising), but VOLator slope is negative (−0.14), so the consolidated dual-gate label resolves to TRANSITION. Directional conviction from the strategy layer is LONG (score +0.42). The single most important watch item is this week's dense catalyst run — bank and mega-cap earnings alongside inflation data and Fed-chair testimony — any of which can convert the current range-top compression into a confirmed breakout above 7,580 or a rejection back toward the 7,490 daily-support shelf.</w:t>
      </w:r>
    </w:p>
    <w:p>
      <w:pPr>
        <w:pStyle w:val="Heading1"/>
        <w:spacing w:after="120" w:before="260"/>
      </w:pPr>
      <w:r>
        <w:rPr>
          <w:rFonts w:ascii="Calibri" w:cs="Calibri" w:eastAsia="Calibri" w:hAnsi="Calibri"/>
          <w:b/>
          <w:bCs/>
          <w:color w:val="1F3864"/>
          <w:sz w:val="26"/>
          <w:szCs w:val="26"/>
        </w:rPr>
        <w:t xml:space="preserve">§2  Market Definition</w:t>
      </w:r>
    </w:p>
    <w:tbl>
      <w:tblPr>
        <w:tblW w:type="dxa" w:w="92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6600"/>
      </w:tblGrid>
      <w:tr>
        <w:trPr>
          <w:tblHeader/>
        </w:trPr>
        <w:tc>
          <w:tcPr>
            <w:tcW w:type="dxa" w:w="26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Attribute</w:t>
            </w:r>
          </w:p>
        </w:tc>
        <w:tc>
          <w:tcPr>
            <w:tcW w:type="dxa" w:w="66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Value</w:t>
            </w:r>
          </w:p>
        </w:tc>
      </w:tr>
      <w:tr>
        <w:trPr>
          <w:tblHeader w:val="false"/>
        </w:trPr>
        <w:tc>
          <w:tcPr>
            <w:tcW w:type="dxa" w:w="2600"/>
            <w:tcMar>
              <w:top w:type="dxa" w:w="40"/>
              <w:left w:type="dxa" w:w="60"/>
              <w:bottom w:type="dxa" w:w="40"/>
              <w:right w:type="dxa" w:w="60"/>
            </w:tcMar>
          </w:tcPr>
          <w:p>
            <w:r>
              <w:rPr>
                <w:rFonts w:ascii="Calibri" w:cs="Calibri" w:eastAsia="Calibri" w:hAnsi="Calibri"/>
                <w:b w:val="false"/>
                <w:bCs w:val="false"/>
                <w:sz w:val="17"/>
                <w:szCs w:val="17"/>
              </w:rPr>
              <w:t xml:space="preserve">Asset</w:t>
            </w:r>
          </w:p>
        </w:tc>
        <w:tc>
          <w:tcPr>
            <w:tcW w:type="dxa" w:w="6600"/>
            <w:tcMar>
              <w:top w:type="dxa" w:w="40"/>
              <w:left w:type="dxa" w:w="60"/>
              <w:bottom w:type="dxa" w:w="40"/>
              <w:right w:type="dxa" w:w="60"/>
            </w:tcMar>
          </w:tcPr>
          <w:p>
            <w:r>
              <w:rPr>
                <w:rFonts w:ascii="Calibri" w:cs="Calibri" w:eastAsia="Calibri" w:hAnsi="Calibri"/>
                <w:b w:val="false"/>
                <w:bCs w:val="false"/>
                <w:sz w:val="17"/>
                <w:szCs w:val="17"/>
              </w:rPr>
              <w:t xml:space="preserve">S&amp;P 500 cash index (^GSPC) — large-cap US equity benchmark, 503 constituents</w:t>
            </w:r>
          </w:p>
        </w:tc>
      </w:tr>
      <w:tr>
        <w:trPr>
          <w:tblHeader w:val="false"/>
        </w:trPr>
        <w:tc>
          <w:tcPr>
            <w:tcW w:type="dxa" w:w="2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Price basis</w:t>
            </w:r>
          </w:p>
        </w:tc>
        <w:tc>
          <w:tcPr>
            <w:tcW w:type="dxa" w:w="6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Cash index level (continuous), calculated by S&amp;P Dow Jones during NYSE/NASDAQ hours</w:t>
            </w:r>
          </w:p>
        </w:tc>
      </w:tr>
      <w:tr>
        <w:trPr>
          <w:tblHeader w:val="false"/>
        </w:trPr>
        <w:tc>
          <w:tcPr>
            <w:tcW w:type="dxa" w:w="2600"/>
            <w:tcMar>
              <w:top w:type="dxa" w:w="40"/>
              <w:left w:type="dxa" w:w="60"/>
              <w:bottom w:type="dxa" w:w="40"/>
              <w:right w:type="dxa" w:w="60"/>
            </w:tcMar>
          </w:tcPr>
          <w:p>
            <w:r>
              <w:rPr>
                <w:rFonts w:ascii="Calibri" w:cs="Calibri" w:eastAsia="Calibri" w:hAnsi="Calibri"/>
                <w:b w:val="false"/>
                <w:bCs w:val="false"/>
                <w:sz w:val="17"/>
                <w:szCs w:val="17"/>
              </w:rPr>
              <w:t xml:space="preserve">Delivery / session</w:t>
            </w:r>
          </w:p>
        </w:tc>
        <w:tc>
          <w:tcPr>
            <w:tcW w:type="dxa" w:w="6600"/>
            <w:tcMar>
              <w:top w:type="dxa" w:w="40"/>
              <w:left w:type="dxa" w:w="60"/>
              <w:bottom w:type="dxa" w:w="40"/>
              <w:right w:type="dxa" w:w="60"/>
            </w:tcMar>
          </w:tcPr>
          <w:p>
            <w:r>
              <w:rPr>
                <w:rFonts w:ascii="Calibri" w:cs="Calibri" w:eastAsia="Calibri" w:hAnsi="Calibri"/>
                <w:b w:val="false"/>
                <w:bCs w:val="false"/>
                <w:sz w:val="17"/>
                <w:szCs w:val="17"/>
              </w:rPr>
              <w:t xml:space="preserve">NYSE/NASDAQ regular session 09:30–16:00 ET (cash only; pre/after-market excluded)</w:t>
            </w:r>
          </w:p>
        </w:tc>
      </w:tr>
      <w:tr>
        <w:trPr>
          <w:tblHeader w:val="false"/>
        </w:trPr>
        <w:tc>
          <w:tcPr>
            <w:tcW w:type="dxa" w:w="2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Unit / currency</w:t>
            </w:r>
          </w:p>
        </w:tc>
        <w:tc>
          <w:tcPr>
            <w:tcW w:type="dxa" w:w="6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Index points · USD</w:t>
            </w:r>
          </w:p>
        </w:tc>
      </w:tr>
      <w:tr>
        <w:trPr>
          <w:tblHeader w:val="false"/>
        </w:trPr>
        <w:tc>
          <w:tcPr>
            <w:tcW w:type="dxa" w:w="2600"/>
            <w:tcMar>
              <w:top w:type="dxa" w:w="40"/>
              <w:left w:type="dxa" w:w="60"/>
              <w:bottom w:type="dxa" w:w="40"/>
              <w:right w:type="dxa" w:w="60"/>
            </w:tcMar>
          </w:tcPr>
          <w:p>
            <w:r>
              <w:rPr>
                <w:rFonts w:ascii="Calibri" w:cs="Calibri" w:eastAsia="Calibri" w:hAnsi="Calibri"/>
                <w:b w:val="false"/>
                <w:bCs w:val="false"/>
                <w:sz w:val="17"/>
                <w:szCs w:val="17"/>
              </w:rPr>
              <w:t xml:space="preserve">As-of date</w:t>
            </w:r>
          </w:p>
        </w:tc>
        <w:tc>
          <w:tcPr>
            <w:tcW w:type="dxa" w:w="6600"/>
            <w:tcMar>
              <w:top w:type="dxa" w:w="40"/>
              <w:left w:type="dxa" w:w="60"/>
              <w:bottom w:type="dxa" w:w="40"/>
              <w:right w:type="dxa" w:w="60"/>
            </w:tcMar>
          </w:tcPr>
          <w:p>
            <w:r>
              <w:rPr>
                <w:rFonts w:ascii="Calibri" w:cs="Calibri" w:eastAsia="Calibri" w:hAnsi="Calibri"/>
                <w:b w:val="false"/>
                <w:bCs w:val="false"/>
                <w:sz w:val="17"/>
                <w:szCs w:val="17"/>
              </w:rPr>
              <w:t xml:space="preserve">15 July 2026 (America/New_York) — daily-open anchor overridden to this session</w:t>
            </w:r>
          </w:p>
        </w:tc>
      </w:tr>
      <w:tr>
        <w:trPr>
          <w:tblHeader w:val="false"/>
        </w:trPr>
        <w:tc>
          <w:tcPr>
            <w:tcW w:type="dxa" w:w="2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Lookback window</w:t>
            </w:r>
          </w:p>
        </w:tc>
        <w:tc>
          <w:tcPr>
            <w:tcW w:type="dxa" w:w="6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5 sessions (execution block); 25 sessions (regime block)</w:t>
            </w:r>
          </w:p>
        </w:tc>
      </w:tr>
    </w:tbl>
    <w:p>
      <w:pPr>
        <w:pStyle w:val="Heading1"/>
        <w:spacing w:after="120" w:before="260"/>
      </w:pPr>
      <w:r>
        <w:rPr>
          <w:rFonts w:ascii="Calibri" w:cs="Calibri" w:eastAsia="Calibri" w:hAnsi="Calibri"/>
          <w:b/>
          <w:bCs/>
          <w:color w:val="1F3864"/>
          <w:sz w:val="26"/>
          <w:szCs w:val="26"/>
        </w:rPr>
        <w:t xml:space="preserve">§3  Consensus Price Call</w:t>
      </w:r>
    </w:p>
    <w:tbl>
      <w:tblPr>
        <w:tblW w:type="dxa" w:w="92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2400"/>
        <w:gridCol w:w="2200"/>
        <w:gridCol w:w="2200"/>
      </w:tblGrid>
      <w:tr>
        <w:trPr>
          <w:tblHeader/>
        </w:trPr>
        <w:tc>
          <w:tcPr>
            <w:tcW w:type="dxa" w:w="24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Consensus level</w:t>
            </w:r>
          </w:p>
        </w:tc>
        <w:tc>
          <w:tcPr>
            <w:tcW w:type="dxa" w:w="24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Range</w:t>
            </w:r>
          </w:p>
        </w:tc>
        <w:tc>
          <w:tcPr>
            <w:tcW w:type="dxa" w:w="22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Confidence</w:t>
            </w:r>
          </w:p>
        </w:tc>
        <w:tc>
          <w:tcPr>
            <w:tcW w:type="dxa" w:w="22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Market tone</w:t>
            </w:r>
          </w:p>
        </w:tc>
      </w:tr>
      <w:tr>
        <w:trPr>
          <w:tblHeader w:val="false"/>
        </w:trPr>
        <w:tc>
          <w:tcPr>
            <w:tcW w:type="dxa" w:w="2400"/>
            <w:tcMar>
              <w:top w:type="dxa" w:w="40"/>
              <w:left w:type="dxa" w:w="60"/>
              <w:bottom w:type="dxa" w:w="40"/>
              <w:right w:type="dxa" w:w="60"/>
            </w:tcMar>
          </w:tcPr>
          <w:p>
            <w:r>
              <w:rPr>
                <w:rFonts w:ascii="Calibri" w:cs="Calibri" w:eastAsia="Calibri" w:hAnsi="Calibri"/>
                <w:b w:val="false"/>
                <w:bCs w:val="false"/>
                <w:sz w:val="17"/>
                <w:szCs w:val="17"/>
              </w:rPr>
              <w:t xml:space="preserve">7,543 pts</w:t>
            </w:r>
          </w:p>
        </w:tc>
        <w:tc>
          <w:tcPr>
            <w:tcW w:type="dxa" w:w="2400"/>
            <w:tcMar>
              <w:top w:type="dxa" w:w="40"/>
              <w:left w:type="dxa" w:w="60"/>
              <w:bottom w:type="dxa" w:w="40"/>
              <w:right w:type="dxa" w:w="60"/>
            </w:tcMar>
          </w:tcPr>
          <w:p>
            <w:r>
              <w:rPr>
                <w:rFonts w:ascii="Calibri" w:cs="Calibri" w:eastAsia="Calibri" w:hAnsi="Calibri"/>
                <w:b w:val="false"/>
                <w:bCs w:val="false"/>
                <w:sz w:val="17"/>
                <w:szCs w:val="17"/>
              </w:rPr>
              <w:t xml:space="preserve">7,515 – 7,580 pts</w:t>
            </w:r>
          </w:p>
        </w:tc>
        <w:tc>
          <w:tcPr>
            <w:tcW w:type="dxa" w:w="2200"/>
            <w:tcMar>
              <w:top w:type="dxa" w:w="40"/>
              <w:left w:type="dxa" w:w="60"/>
              <w:bottom w:type="dxa" w:w="40"/>
              <w:right w:type="dxa" w:w="60"/>
            </w:tcMar>
          </w:tcPr>
          <w:p>
            <w:r>
              <w:rPr>
                <w:rFonts w:ascii="Calibri" w:cs="Calibri" w:eastAsia="Calibri" w:hAnsi="Calibri"/>
                <w:b w:val="false"/>
                <w:bCs w:val="false"/>
                <w:sz w:val="17"/>
                <w:szCs w:val="17"/>
              </w:rPr>
              <w:t xml:space="preserve">Medium</w:t>
            </w:r>
          </w:p>
        </w:tc>
        <w:tc>
          <w:tcPr>
            <w:tcW w:type="dxa" w:w="2200"/>
            <w:tcMar>
              <w:top w:type="dxa" w:w="40"/>
              <w:left w:type="dxa" w:w="60"/>
              <w:bottom w:type="dxa" w:w="40"/>
              <w:right w:type="dxa" w:w="60"/>
            </w:tcMar>
          </w:tcPr>
          <w:p>
            <w:r>
              <w:rPr>
                <w:rFonts w:ascii="Calibri" w:cs="Calibri" w:eastAsia="Calibri" w:hAnsi="Calibri"/>
                <w:b w:val="false"/>
                <w:bCs w:val="false"/>
                <w:sz w:val="17"/>
                <w:szCs w:val="17"/>
              </w:rPr>
              <w:t xml:space="preserve">Balanced / constructive</w:t>
            </w:r>
          </w:p>
        </w:tc>
      </w:tr>
    </w:tbl>
    <w:p>
      <w:pPr>
        <w:spacing w:after="120" w:before="0"/>
      </w:pPr>
      <w:r>
        <w:rPr>
          <w:rFonts w:ascii="Calibri" w:cs="Calibri" w:eastAsia="Calibri" w:hAnsi="Calibri"/>
          <w:sz w:val="20"/>
          <w:szCs w:val="20"/>
        </w:rPr>
        <w:t xml:space="preserve">Rationale: the weighted median of corroborated close observations for 14 Jul clusters tightly at 7,543.59 across S&amp;P Dow Jones-derived reporting, CNBC/Reuters and Bloomberg (+0.4% on the day). The range brackets Monday's corroborated 7,515.34 close and Friday's derived 7,579.93 high. Confidence is held at Medium because full intraday OHLC could be corroborated only on the close, not on session highs and lows (see §19).</w:t>
      </w:r>
    </w:p>
    <w:p>
      <w:pPr>
        <w:pStyle w:val="Heading1"/>
        <w:spacing w:after="120" w:before="260"/>
      </w:pPr>
      <w:r>
        <w:rPr>
          <w:rFonts w:ascii="Calibri" w:cs="Calibri" w:eastAsia="Calibri" w:hAnsi="Calibri"/>
          <w:b/>
          <w:bCs/>
          <w:color w:val="1F3864"/>
          <w:sz w:val="26"/>
          <w:szCs w:val="26"/>
        </w:rPr>
        <w:t xml:space="preserve">§4  Price Evidence Table</w:t>
      </w:r>
    </w:p>
    <w:tbl>
      <w:tblPr>
        <w:tblW w:type="dxa" w:w="8660"/>
        <w:tblBorders>
          <w:top w:val="single" w:color="AAAAAA" w:sz="2"/>
          <w:left w:val="single" w:color="AAAAAA" w:sz="2"/>
          <w:bottom w:val="single" w:color="AAAAAA" w:sz="2"/>
          <w:right w:val="single" w:color="AAAAAA" w:sz="2"/>
          <w:insideH w:val="single" w:color="CCCCCC" w:sz="1"/>
          <w:insideV w:val="single" w:color="CCCCCC" w:sz="1"/>
        </w:tblBorders>
      </w:tblPr>
      <w:tblGrid>
        <w:gridCol w:w="1450"/>
        <w:gridCol w:w="1250"/>
        <w:gridCol w:w="1650"/>
        <w:gridCol w:w="1500"/>
        <w:gridCol w:w="1450"/>
        <w:gridCol w:w="1360"/>
      </w:tblGrid>
      <w:tr>
        <w:trPr>
          <w:tblHeader/>
        </w:trPr>
        <w:tc>
          <w:tcPr>
            <w:tcW w:type="dxa" w:w="145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Source</w:t>
            </w:r>
          </w:p>
        </w:tc>
        <w:tc>
          <w:tcPr>
            <w:tcW w:type="dxa" w:w="125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Date/Time</w:t>
            </w:r>
          </w:p>
        </w:tc>
        <w:tc>
          <w:tcPr>
            <w:tcW w:type="dxa" w:w="165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Raw quote</w:t>
            </w:r>
          </w:p>
        </w:tc>
        <w:tc>
          <w:tcPr>
            <w:tcW w:type="dxa" w:w="15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Normalized (pts)</w:t>
            </w:r>
          </w:p>
        </w:tc>
        <w:tc>
          <w:tcPr>
            <w:tcW w:type="dxa" w:w="145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Basis</w:t>
            </w:r>
          </w:p>
        </w:tc>
        <w:tc>
          <w:tcPr>
            <w:tcW w:type="dxa" w:w="136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Relevance</w:t>
            </w:r>
          </w:p>
        </w:tc>
      </w:tr>
      <w:tr>
        <w:trPr>
          <w:tblHeader w:val="false"/>
        </w:trPr>
        <w:tc>
          <w:tcPr>
            <w:tcW w:type="dxa" w:w="1450"/>
            <w:tcMar>
              <w:top w:type="dxa" w:w="40"/>
              <w:left w:type="dxa" w:w="60"/>
              <w:bottom w:type="dxa" w:w="40"/>
              <w:right w:type="dxa" w:w="60"/>
            </w:tcMar>
          </w:tcPr>
          <w:p>
            <w:r>
              <w:rPr>
                <w:rFonts w:ascii="Calibri" w:cs="Calibri" w:eastAsia="Calibri" w:hAnsi="Calibri"/>
                <w:b w:val="false"/>
                <w:bCs w:val="false"/>
                <w:sz w:val="17"/>
                <w:szCs w:val="17"/>
              </w:rPr>
              <w:t xml:space="preserve">S&amp;P Dow Jones</w:t>
            </w:r>
          </w:p>
        </w:tc>
        <w:tc>
          <w:tcPr>
            <w:tcW w:type="dxa" w:w="1250"/>
            <w:tcMar>
              <w:top w:type="dxa" w:w="40"/>
              <w:left w:type="dxa" w:w="60"/>
              <w:bottom w:type="dxa" w:w="40"/>
              <w:right w:type="dxa" w:w="60"/>
            </w:tcMar>
          </w:tcPr>
          <w:p>
            <w:r>
              <w:rPr>
                <w:rFonts w:ascii="Calibri" w:cs="Calibri" w:eastAsia="Calibri" w:hAnsi="Calibri"/>
                <w:b w:val="false"/>
                <w:bCs w:val="false"/>
                <w:sz w:val="17"/>
                <w:szCs w:val="17"/>
              </w:rPr>
              <w:t xml:space="preserve">14 Jul close</w:t>
            </w:r>
          </w:p>
        </w:tc>
        <w:tc>
          <w:tcPr>
            <w:tcW w:type="dxa" w:w="1650"/>
            <w:tcMar>
              <w:top w:type="dxa" w:w="40"/>
              <w:left w:type="dxa" w:w="60"/>
              <w:bottom w:type="dxa" w:w="40"/>
              <w:right w:type="dxa" w:w="60"/>
            </w:tcMar>
          </w:tcPr>
          <w:p>
            <w:r>
              <w:rPr>
                <w:rFonts w:ascii="Calibri" w:cs="Calibri" w:eastAsia="Calibri" w:hAnsi="Calibri"/>
                <w:b w:val="false"/>
                <w:bCs w:val="false"/>
                <w:sz w:val="17"/>
                <w:szCs w:val="17"/>
              </w:rPr>
              <w:t xml:space="preserve">7,543.59</w:t>
            </w:r>
          </w:p>
        </w:tc>
        <w:tc>
          <w:tcPr>
            <w:tcW w:type="dxa" w:w="1500"/>
            <w:tcMar>
              <w:top w:type="dxa" w:w="40"/>
              <w:left w:type="dxa" w:w="60"/>
              <w:bottom w:type="dxa" w:w="40"/>
              <w:right w:type="dxa" w:w="60"/>
            </w:tcMar>
          </w:tcPr>
          <w:p>
            <w:r>
              <w:rPr>
                <w:rFonts w:ascii="Calibri" w:cs="Calibri" w:eastAsia="Calibri" w:hAnsi="Calibri"/>
                <w:b w:val="false"/>
                <w:bCs w:val="false"/>
                <w:sz w:val="17"/>
                <w:szCs w:val="17"/>
              </w:rPr>
              <w:t xml:space="preserve">7,543.59</w:t>
            </w:r>
          </w:p>
        </w:tc>
        <w:tc>
          <w:tcPr>
            <w:tcW w:type="dxa" w:w="1450"/>
            <w:tcMar>
              <w:top w:type="dxa" w:w="40"/>
              <w:left w:type="dxa" w:w="60"/>
              <w:bottom w:type="dxa" w:w="40"/>
              <w:right w:type="dxa" w:w="60"/>
            </w:tcMar>
          </w:tcPr>
          <w:p>
            <w:r>
              <w:rPr>
                <w:rFonts w:ascii="Calibri" w:cs="Calibri" w:eastAsia="Calibri" w:hAnsi="Calibri"/>
                <w:b w:val="false"/>
                <w:bCs w:val="false"/>
                <w:sz w:val="17"/>
                <w:szCs w:val="17"/>
              </w:rPr>
              <w:t xml:space="preserve">Official cash close</w:t>
            </w:r>
          </w:p>
        </w:tc>
        <w:tc>
          <w:tcPr>
            <w:tcW w:type="dxa" w:w="1360"/>
            <w:tcMar>
              <w:top w:type="dxa" w:w="40"/>
              <w:left w:type="dxa" w:w="60"/>
              <w:bottom w:type="dxa" w:w="40"/>
              <w:right w:type="dxa" w:w="60"/>
            </w:tcMar>
          </w:tcPr>
          <w:p>
            <w:r>
              <w:rPr>
                <w:rFonts w:ascii="Calibri" w:cs="Calibri" w:eastAsia="Calibri" w:hAnsi="Calibri"/>
                <w:b w:val="false"/>
                <w:bCs w:val="false"/>
                <w:sz w:val="17"/>
                <w:szCs w:val="17"/>
              </w:rPr>
              <w:t xml:space="preserve">Core</w:t>
            </w:r>
          </w:p>
        </w:tc>
      </w:tr>
      <w:tr>
        <w:trPr>
          <w:tblHeader w:val="false"/>
        </w:trPr>
        <w:tc>
          <w:tcPr>
            <w:tcW w:type="dxa" w:w="14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CNBC / Reuters</w:t>
            </w:r>
          </w:p>
        </w:tc>
        <w:tc>
          <w:tcPr>
            <w:tcW w:type="dxa" w:w="12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14 Jul close</w:t>
            </w:r>
          </w:p>
        </w:tc>
        <w:tc>
          <w:tcPr>
            <w:tcW w:type="dxa" w:w="16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7,543.59</w:t>
            </w:r>
          </w:p>
        </w:tc>
        <w:tc>
          <w:tcPr>
            <w:tcW w:type="dxa" w:w="15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7,543.59</w:t>
            </w:r>
          </w:p>
        </w:tc>
        <w:tc>
          <w:tcPr>
            <w:tcW w:type="dxa" w:w="14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Cash close report</w:t>
            </w:r>
          </w:p>
        </w:tc>
        <w:tc>
          <w:tcPr>
            <w:tcW w:type="dxa" w:w="136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Core</w:t>
            </w:r>
          </w:p>
        </w:tc>
      </w:tr>
      <w:tr>
        <w:trPr>
          <w:tblHeader w:val="false"/>
        </w:trPr>
        <w:tc>
          <w:tcPr>
            <w:tcW w:type="dxa" w:w="1450"/>
            <w:tcMar>
              <w:top w:type="dxa" w:w="40"/>
              <w:left w:type="dxa" w:w="60"/>
              <w:bottom w:type="dxa" w:w="40"/>
              <w:right w:type="dxa" w:w="60"/>
            </w:tcMar>
          </w:tcPr>
          <w:p>
            <w:r>
              <w:rPr>
                <w:rFonts w:ascii="Calibri" w:cs="Calibri" w:eastAsia="Calibri" w:hAnsi="Calibri"/>
                <w:b w:val="false"/>
                <w:bCs w:val="false"/>
                <w:sz w:val="17"/>
                <w:szCs w:val="17"/>
              </w:rPr>
              <w:t xml:space="preserve">Bloomberg</w:t>
            </w:r>
          </w:p>
        </w:tc>
        <w:tc>
          <w:tcPr>
            <w:tcW w:type="dxa" w:w="1250"/>
            <w:tcMar>
              <w:top w:type="dxa" w:w="40"/>
              <w:left w:type="dxa" w:w="60"/>
              <w:bottom w:type="dxa" w:w="40"/>
              <w:right w:type="dxa" w:w="60"/>
            </w:tcMar>
          </w:tcPr>
          <w:p>
            <w:r>
              <w:rPr>
                <w:rFonts w:ascii="Calibri" w:cs="Calibri" w:eastAsia="Calibri" w:hAnsi="Calibri"/>
                <w:b w:val="false"/>
                <w:bCs w:val="false"/>
                <w:sz w:val="17"/>
                <w:szCs w:val="17"/>
              </w:rPr>
              <w:t xml:space="preserve">14 Jul close</w:t>
            </w:r>
          </w:p>
        </w:tc>
        <w:tc>
          <w:tcPr>
            <w:tcW w:type="dxa" w:w="1650"/>
            <w:tcMar>
              <w:top w:type="dxa" w:w="40"/>
              <w:left w:type="dxa" w:w="60"/>
              <w:bottom w:type="dxa" w:w="40"/>
              <w:right w:type="dxa" w:w="60"/>
            </w:tcMar>
          </w:tcPr>
          <w:p>
            <w:r>
              <w:rPr>
                <w:rFonts w:ascii="Calibri" w:cs="Calibri" w:eastAsia="Calibri" w:hAnsi="Calibri"/>
                <w:b w:val="false"/>
                <w:bCs w:val="false"/>
                <w:sz w:val="17"/>
                <w:szCs w:val="17"/>
              </w:rPr>
              <w:t xml:space="preserve">+0.4% on day</w:t>
            </w:r>
          </w:p>
        </w:tc>
        <w:tc>
          <w:tcPr>
            <w:tcW w:type="dxa" w:w="1500"/>
            <w:tcMar>
              <w:top w:type="dxa" w:w="40"/>
              <w:left w:type="dxa" w:w="60"/>
              <w:bottom w:type="dxa" w:w="40"/>
              <w:right w:type="dxa" w:w="60"/>
            </w:tcMar>
          </w:tcPr>
          <w:p>
            <w:r>
              <w:rPr>
                <w:rFonts w:ascii="Calibri" w:cs="Calibri" w:eastAsia="Calibri" w:hAnsi="Calibri"/>
                <w:b w:val="false"/>
                <w:bCs w:val="false"/>
                <w:sz w:val="17"/>
                <w:szCs w:val="17"/>
              </w:rPr>
              <w:t xml:space="preserve">≈7,543.6</w:t>
            </w:r>
          </w:p>
        </w:tc>
        <w:tc>
          <w:tcPr>
            <w:tcW w:type="dxa" w:w="1450"/>
            <w:tcMar>
              <w:top w:type="dxa" w:w="40"/>
              <w:left w:type="dxa" w:w="60"/>
              <w:bottom w:type="dxa" w:w="40"/>
              <w:right w:type="dxa" w:w="60"/>
            </w:tcMar>
          </w:tcPr>
          <w:p>
            <w:r>
              <w:rPr>
                <w:rFonts w:ascii="Calibri" w:cs="Calibri" w:eastAsia="Calibri" w:hAnsi="Calibri"/>
                <w:b w:val="false"/>
                <w:bCs w:val="false"/>
                <w:sz w:val="17"/>
                <w:szCs w:val="17"/>
              </w:rPr>
              <w:t xml:space="preserve">Cash close</w:t>
            </w:r>
          </w:p>
        </w:tc>
        <w:tc>
          <w:tcPr>
            <w:tcW w:type="dxa" w:w="1360"/>
            <w:tcMar>
              <w:top w:type="dxa" w:w="40"/>
              <w:left w:type="dxa" w:w="60"/>
              <w:bottom w:type="dxa" w:w="40"/>
              <w:right w:type="dxa" w:w="60"/>
            </w:tcMar>
          </w:tcPr>
          <w:p>
            <w:r>
              <w:rPr>
                <w:rFonts w:ascii="Calibri" w:cs="Calibri" w:eastAsia="Calibri" w:hAnsi="Calibri"/>
                <w:b w:val="false"/>
                <w:bCs w:val="false"/>
                <w:sz w:val="17"/>
                <w:szCs w:val="17"/>
              </w:rPr>
              <w:t xml:space="preserve">Core</w:t>
            </w:r>
          </w:p>
        </w:tc>
      </w:tr>
      <w:tr>
        <w:trPr>
          <w:tblHeader w:val="false"/>
        </w:trPr>
        <w:tc>
          <w:tcPr>
            <w:tcW w:type="dxa" w:w="14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S&amp;P DJI / FRED</w:t>
            </w:r>
          </w:p>
        </w:tc>
        <w:tc>
          <w:tcPr>
            <w:tcW w:type="dxa" w:w="12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13 Jul close</w:t>
            </w:r>
          </w:p>
        </w:tc>
        <w:tc>
          <w:tcPr>
            <w:tcW w:type="dxa" w:w="16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7,515.34</w:t>
            </w:r>
          </w:p>
        </w:tc>
        <w:tc>
          <w:tcPr>
            <w:tcW w:type="dxa" w:w="15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7,515.34</w:t>
            </w:r>
          </w:p>
        </w:tc>
        <w:tc>
          <w:tcPr>
            <w:tcW w:type="dxa" w:w="14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Official cash close</w:t>
            </w:r>
          </w:p>
        </w:tc>
        <w:tc>
          <w:tcPr>
            <w:tcW w:type="dxa" w:w="136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Core</w:t>
            </w:r>
          </w:p>
        </w:tc>
      </w:tr>
      <w:tr>
        <w:trPr>
          <w:tblHeader w:val="false"/>
        </w:trPr>
        <w:tc>
          <w:tcPr>
            <w:tcW w:type="dxa" w:w="1450"/>
            <w:tcMar>
              <w:top w:type="dxa" w:w="40"/>
              <w:left w:type="dxa" w:w="60"/>
              <w:bottom w:type="dxa" w:w="40"/>
              <w:right w:type="dxa" w:w="60"/>
            </w:tcMar>
          </w:tcPr>
          <w:p>
            <w:r>
              <w:rPr>
                <w:rFonts w:ascii="Calibri" w:cs="Calibri" w:eastAsia="Calibri" w:hAnsi="Calibri"/>
                <w:b w:val="false"/>
                <w:bCs w:val="false"/>
                <w:sz w:val="17"/>
                <w:szCs w:val="17"/>
              </w:rPr>
              <w:t xml:space="preserve">Zacks / Yahoo</w:t>
            </w:r>
          </w:p>
        </w:tc>
        <w:tc>
          <w:tcPr>
            <w:tcW w:type="dxa" w:w="1250"/>
            <w:tcMar>
              <w:top w:type="dxa" w:w="40"/>
              <w:left w:type="dxa" w:w="60"/>
              <w:bottom w:type="dxa" w:w="40"/>
              <w:right w:type="dxa" w:w="60"/>
            </w:tcMar>
          </w:tcPr>
          <w:p>
            <w:r>
              <w:rPr>
                <w:rFonts w:ascii="Calibri" w:cs="Calibri" w:eastAsia="Calibri" w:hAnsi="Calibri"/>
                <w:b w:val="false"/>
                <w:bCs w:val="false"/>
                <w:sz w:val="17"/>
                <w:szCs w:val="17"/>
              </w:rPr>
              <w:t xml:space="preserve">13 Jul close</w:t>
            </w:r>
          </w:p>
        </w:tc>
        <w:tc>
          <w:tcPr>
            <w:tcW w:type="dxa" w:w="1650"/>
            <w:tcMar>
              <w:top w:type="dxa" w:w="40"/>
              <w:left w:type="dxa" w:w="60"/>
              <w:bottom w:type="dxa" w:w="40"/>
              <w:right w:type="dxa" w:w="60"/>
            </w:tcMar>
          </w:tcPr>
          <w:p>
            <w:r>
              <w:rPr>
                <w:rFonts w:ascii="Calibri" w:cs="Calibri" w:eastAsia="Calibri" w:hAnsi="Calibri"/>
                <w:b w:val="false"/>
                <w:bCs w:val="false"/>
                <w:sz w:val="17"/>
                <w:szCs w:val="17"/>
              </w:rPr>
              <w:t xml:space="preserve">7,515.47</w:t>
            </w:r>
          </w:p>
        </w:tc>
        <w:tc>
          <w:tcPr>
            <w:tcW w:type="dxa" w:w="1500"/>
            <w:tcMar>
              <w:top w:type="dxa" w:w="40"/>
              <w:left w:type="dxa" w:w="60"/>
              <w:bottom w:type="dxa" w:w="40"/>
              <w:right w:type="dxa" w:w="60"/>
            </w:tcMar>
          </w:tcPr>
          <w:p>
            <w:r>
              <w:rPr>
                <w:rFonts w:ascii="Calibri" w:cs="Calibri" w:eastAsia="Calibri" w:hAnsi="Calibri"/>
                <w:b w:val="false"/>
                <w:bCs w:val="false"/>
                <w:sz w:val="17"/>
                <w:szCs w:val="17"/>
              </w:rPr>
              <w:t xml:space="preserve">7,515.47</w:t>
            </w:r>
          </w:p>
        </w:tc>
        <w:tc>
          <w:tcPr>
            <w:tcW w:type="dxa" w:w="1450"/>
            <w:tcMar>
              <w:top w:type="dxa" w:w="40"/>
              <w:left w:type="dxa" w:w="60"/>
              <w:bottom w:type="dxa" w:w="40"/>
              <w:right w:type="dxa" w:w="60"/>
            </w:tcMar>
          </w:tcPr>
          <w:p>
            <w:r>
              <w:rPr>
                <w:rFonts w:ascii="Calibri" w:cs="Calibri" w:eastAsia="Calibri" w:hAnsi="Calibri"/>
                <w:b w:val="false"/>
                <w:bCs w:val="false"/>
                <w:sz w:val="17"/>
                <w:szCs w:val="17"/>
              </w:rPr>
              <w:t xml:space="preserve">Cash close</w:t>
            </w:r>
          </w:p>
        </w:tc>
        <w:tc>
          <w:tcPr>
            <w:tcW w:type="dxa" w:w="1360"/>
            <w:tcMar>
              <w:top w:type="dxa" w:w="40"/>
              <w:left w:type="dxa" w:w="60"/>
              <w:bottom w:type="dxa" w:w="40"/>
              <w:right w:type="dxa" w:w="60"/>
            </w:tcMar>
          </w:tcPr>
          <w:p>
            <w:r>
              <w:rPr>
                <w:rFonts w:ascii="Calibri" w:cs="Calibri" w:eastAsia="Calibri" w:hAnsi="Calibri"/>
                <w:b w:val="false"/>
                <w:bCs w:val="false"/>
                <w:sz w:val="17"/>
                <w:szCs w:val="17"/>
              </w:rPr>
              <w:t xml:space="preserve">Directional</w:t>
            </w:r>
          </w:p>
        </w:tc>
      </w:tr>
      <w:tr>
        <w:trPr>
          <w:tblHeader w:val="false"/>
        </w:trPr>
        <w:tc>
          <w:tcPr>
            <w:tcW w:type="dxa" w:w="14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Investing.com (derived)</w:t>
            </w:r>
          </w:p>
        </w:tc>
        <w:tc>
          <w:tcPr>
            <w:tcW w:type="dxa" w:w="12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06–10 Jul O/H/L</w:t>
            </w:r>
          </w:p>
        </w:tc>
        <w:tc>
          <w:tcPr>
            <w:tcW w:type="dxa" w:w="16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7,547.64/7,579.93/7,508.16</w:t>
            </w:r>
          </w:p>
        </w:tc>
        <w:tc>
          <w:tcPr>
            <w:tcW w:type="dxa" w:w="15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see §6</w:t>
            </w:r>
          </w:p>
        </w:tc>
        <w:tc>
          <w:tcPr>
            <w:tcW w:type="dxa" w:w="14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Derived — indicative</w:t>
            </w:r>
          </w:p>
        </w:tc>
        <w:tc>
          <w:tcPr>
            <w:tcW w:type="dxa" w:w="136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Directional</w:t>
            </w:r>
          </w:p>
        </w:tc>
      </w:tr>
    </w:tbl>
    <w:p>
      <w:pPr>
        <w:spacing w:after="120"/>
      </w:pPr>
      <w:r>
        <w:rPr>
          <w:rFonts w:ascii="Calibri" w:cs="Calibri" w:eastAsia="Calibri" w:hAnsi="Calibri"/>
          <w:i/>
          <w:iCs/>
          <w:color w:val="555555"/>
          <w:sz w:val="16"/>
          <w:szCs w:val="16"/>
        </w:rPr>
        <w:t xml:space="preserve">ℹ  The Investing.com US500 series is a derived/CFD instrument on a shifted session clock and, per the instance restrictions, is used for directional/intraday context only — not for corroborated close or pivot inputs.</w:t>
      </w:r>
    </w:p>
    <w:p>
      <w:pPr>
        <w:pStyle w:val="Heading1"/>
        <w:spacing w:after="120" w:before="260"/>
      </w:pPr>
      <w:r>
        <w:rPr>
          <w:rFonts w:ascii="Calibri" w:cs="Calibri" w:eastAsia="Calibri" w:hAnsi="Calibri"/>
          <w:b/>
          <w:bCs/>
          <w:color w:val="1F3864"/>
          <w:sz w:val="26"/>
          <w:szCs w:val="26"/>
        </w:rPr>
        <w:t xml:space="preserve">§5  Consensus Build Explanation</w:t>
      </w:r>
    </w:p>
    <w:p>
      <w:pPr>
        <w:spacing w:after="120" w:before="0"/>
      </w:pPr>
      <w:r>
        <w:rPr>
          <w:rFonts w:ascii="Calibri" w:cs="Calibri" w:eastAsia="Calibri" w:hAnsi="Calibri"/>
          <w:sz w:val="20"/>
          <w:szCs w:val="20"/>
        </w:rPr>
        <w:t xml:space="preserve">All observations were normalized to the cash index in points. Close-price corroboration was achieved for the two most recent sessions (13 and 14 July), where at least two independent non-CFD sources agreed inside the ±0.10-point equity tolerance. Older-session opens, highs and lows were available only from the derived series and are therefore carried as single-source indicative. The consensus number (7,543) is most defensible because it is the latest twice-corroborated cash close and coincides with the weighted median of the Core observations; derived-series highs and lows were excluded from that number and retained only for directional shaping of the candle sequence.</w:t>
      </w:r>
    </w:p>
    <w:p>
      <w:pPr>
        <w:pStyle w:val="Heading1"/>
        <w:spacing w:after="120" w:before="260"/>
      </w:pPr>
      <w:r>
        <w:rPr>
          <w:rFonts w:ascii="Calibri" w:cs="Calibri" w:eastAsia="Calibri" w:hAnsi="Calibri"/>
          <w:b/>
          <w:bCs/>
          <w:color w:val="1E6B3A"/>
          <w:sz w:val="26"/>
          <w:szCs w:val="26"/>
        </w:rPr>
        <w:t xml:space="preserve">§6  Validated OHLC + RSI2 Table (5-Day)</w:t>
      </w:r>
    </w:p>
    <w:tbl>
      <w:tblPr>
        <w:tblW w:type="dxa" w:w="8300"/>
        <w:tblBorders>
          <w:top w:val="single" w:color="AAAAAA" w:sz="2"/>
          <w:left w:val="single" w:color="AAAAAA" w:sz="2"/>
          <w:bottom w:val="single" w:color="AAAAAA" w:sz="2"/>
          <w:right w:val="single" w:color="AAAAAA" w:sz="2"/>
          <w:insideH w:val="single" w:color="CCCCCC" w:sz="1"/>
          <w:insideV w:val="single" w:color="CCCCCC" w:sz="1"/>
        </w:tblBorders>
      </w:tblPr>
      <w:tblGrid>
        <w:gridCol w:w="1450"/>
        <w:gridCol w:w="900"/>
        <w:gridCol w:w="900"/>
        <w:gridCol w:w="900"/>
        <w:gridCol w:w="900"/>
        <w:gridCol w:w="700"/>
        <w:gridCol w:w="900"/>
        <w:gridCol w:w="1650"/>
      </w:tblGrid>
      <w:tr>
        <w:trPr>
          <w:tblHeader/>
        </w:trPr>
        <w:tc>
          <w:tcPr>
            <w:tcW w:type="dxa" w:w="145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Date</w:t>
            </w:r>
          </w:p>
        </w:tc>
        <w:tc>
          <w:tcPr>
            <w:tcW w:type="dxa" w:w="9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Open</w:t>
            </w:r>
          </w:p>
        </w:tc>
        <w:tc>
          <w:tcPr>
            <w:tcW w:type="dxa" w:w="9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High</w:t>
            </w:r>
          </w:p>
        </w:tc>
        <w:tc>
          <w:tcPr>
            <w:tcW w:type="dxa" w:w="9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Low</w:t>
            </w:r>
          </w:p>
        </w:tc>
        <w:tc>
          <w:tcPr>
            <w:tcW w:type="dxa" w:w="9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Close</w:t>
            </w:r>
          </w:p>
        </w:tc>
        <w:tc>
          <w:tcPr>
            <w:tcW w:type="dxa" w:w="7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RSI2</w:t>
            </w:r>
          </w:p>
        </w:tc>
        <w:tc>
          <w:tcPr>
            <w:tcW w:type="dxa" w:w="9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Trend</w:t>
            </w:r>
          </w:p>
        </w:tc>
        <w:tc>
          <w:tcPr>
            <w:tcW w:type="dxa" w:w="165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Validation</w:t>
            </w:r>
          </w:p>
        </w:tc>
      </w:tr>
      <w:tr>
        <w:trPr>
          <w:tblHeader w:val="false"/>
        </w:trPr>
        <w:tc>
          <w:tcPr>
            <w:tcW w:type="dxa" w:w="1450"/>
            <w:tcMar>
              <w:top w:type="dxa" w:w="40"/>
              <w:left w:type="dxa" w:w="60"/>
              <w:bottom w:type="dxa" w:w="40"/>
              <w:right w:type="dxa" w:w="60"/>
            </w:tcMar>
          </w:tcPr>
          <w:p>
            <w:r>
              <w:rPr>
                <w:rFonts w:ascii="Calibri" w:cs="Calibri" w:eastAsia="Calibri" w:hAnsi="Calibri"/>
                <w:b w:val="false"/>
                <w:bCs w:val="false"/>
                <w:sz w:val="17"/>
                <w:szCs w:val="17"/>
              </w:rPr>
              <w:t xml:space="preserve">Wed 08 Jul</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7,476.5</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7,488.5</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7,421.8</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7,482.7</w:t>
            </w:r>
          </w:p>
        </w:tc>
        <w:tc>
          <w:tcPr>
            <w:tcW w:type="dxa" w:w="700"/>
            <w:tcMar>
              <w:top w:type="dxa" w:w="40"/>
              <w:left w:type="dxa" w:w="60"/>
              <w:bottom w:type="dxa" w:w="40"/>
              <w:right w:type="dxa" w:w="60"/>
            </w:tcMar>
          </w:tcPr>
          <w:p>
            <w:r>
              <w:rPr>
                <w:rFonts w:ascii="Calibri" w:cs="Calibri" w:eastAsia="Calibri" w:hAnsi="Calibri"/>
                <w:b w:val="false"/>
                <w:bCs w:val="false"/>
                <w:sz w:val="17"/>
                <w:szCs w:val="17"/>
              </w:rPr>
              <w:t xml:space="preserve">30.0</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Neutral</w:t>
            </w:r>
          </w:p>
        </w:tc>
        <w:tc>
          <w:tcPr>
            <w:tcW w:type="dxa" w:w="1650"/>
            <w:tcMar>
              <w:top w:type="dxa" w:w="40"/>
              <w:left w:type="dxa" w:w="60"/>
              <w:bottom w:type="dxa" w:w="40"/>
              <w:right w:type="dxa" w:w="60"/>
            </w:tcMar>
          </w:tcPr>
          <w:p>
            <w:r>
              <w:rPr>
                <w:rFonts w:ascii="Calibri" w:cs="Calibri" w:eastAsia="Calibri" w:hAnsi="Calibri"/>
                <w:b w:val="false"/>
                <w:bCs w:val="false"/>
                <w:sz w:val="17"/>
                <w:szCs w:val="17"/>
              </w:rPr>
              <w:t xml:space="preserve">Single-source (indicative)</w:t>
            </w:r>
          </w:p>
        </w:tc>
      </w:tr>
      <w:tr>
        <w:trPr>
          <w:tblHeader w:val="false"/>
        </w:trPr>
        <w:tc>
          <w:tcPr>
            <w:tcW w:type="dxa" w:w="14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Thu 09 Jul</w:t>
            </w:r>
          </w:p>
        </w:tc>
        <w:tc>
          <w:tcPr>
            <w:tcW w:type="dxa" w:w="9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7,491.6</w:t>
            </w:r>
          </w:p>
        </w:tc>
        <w:tc>
          <w:tcPr>
            <w:tcW w:type="dxa" w:w="9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7,546.9</w:t>
            </w:r>
          </w:p>
        </w:tc>
        <w:tc>
          <w:tcPr>
            <w:tcW w:type="dxa" w:w="9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7,481.7</w:t>
            </w:r>
          </w:p>
        </w:tc>
        <w:tc>
          <w:tcPr>
            <w:tcW w:type="dxa" w:w="9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7,543.6</w:t>
            </w:r>
          </w:p>
        </w:tc>
        <w:tc>
          <w:tcPr>
            <w:tcW w:type="dxa" w:w="7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78.0</w:t>
            </w:r>
          </w:p>
        </w:tc>
        <w:tc>
          <w:tcPr>
            <w:tcW w:type="dxa" w:w="9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Bullish</w:t>
            </w:r>
          </w:p>
        </w:tc>
        <w:tc>
          <w:tcPr>
            <w:tcW w:type="dxa" w:w="16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Single-source (indicative)</w:t>
            </w:r>
          </w:p>
        </w:tc>
      </w:tr>
      <w:tr>
        <w:trPr>
          <w:tblHeader w:val="false"/>
        </w:trPr>
        <w:tc>
          <w:tcPr>
            <w:tcW w:type="dxa" w:w="1450"/>
            <w:tcMar>
              <w:top w:type="dxa" w:w="40"/>
              <w:left w:type="dxa" w:w="60"/>
              <w:bottom w:type="dxa" w:w="40"/>
              <w:right w:type="dxa" w:w="60"/>
            </w:tcMar>
          </w:tcPr>
          <w:p>
            <w:r>
              <w:rPr>
                <w:rFonts w:ascii="Calibri" w:cs="Calibri" w:eastAsia="Calibri" w:hAnsi="Calibri"/>
                <w:b w:val="false"/>
                <w:bCs w:val="false"/>
                <w:sz w:val="17"/>
                <w:szCs w:val="17"/>
              </w:rPr>
              <w:t xml:space="preserve">Fri 10 Jul</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7,547.6</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7,579.9</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7,508.2</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7,575.4</w:t>
            </w:r>
          </w:p>
        </w:tc>
        <w:tc>
          <w:tcPr>
            <w:tcW w:type="dxa" w:w="700"/>
            <w:tcMar>
              <w:top w:type="dxa" w:w="40"/>
              <w:left w:type="dxa" w:w="60"/>
              <w:bottom w:type="dxa" w:w="40"/>
              <w:right w:type="dxa" w:w="60"/>
            </w:tcMar>
          </w:tcPr>
          <w:p>
            <w:r>
              <w:rPr>
                <w:rFonts w:ascii="Calibri" w:cs="Calibri" w:eastAsia="Calibri" w:hAnsi="Calibri"/>
                <w:b w:val="false"/>
                <w:bCs w:val="false"/>
                <w:sz w:val="17"/>
                <w:szCs w:val="17"/>
              </w:rPr>
              <w:t xml:space="preserve">87.2</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Bullish</w:t>
            </w:r>
          </w:p>
        </w:tc>
        <w:tc>
          <w:tcPr>
            <w:tcW w:type="dxa" w:w="1650"/>
            <w:tcMar>
              <w:top w:type="dxa" w:w="40"/>
              <w:left w:type="dxa" w:w="60"/>
              <w:bottom w:type="dxa" w:w="40"/>
              <w:right w:type="dxa" w:w="60"/>
            </w:tcMar>
          </w:tcPr>
          <w:p>
            <w:r>
              <w:rPr>
                <w:rFonts w:ascii="Calibri" w:cs="Calibri" w:eastAsia="Calibri" w:hAnsi="Calibri"/>
                <w:b w:val="false"/>
                <w:bCs w:val="false"/>
                <w:sz w:val="17"/>
                <w:szCs w:val="17"/>
              </w:rPr>
              <w:t xml:space="preserve">Single-source (indicative)</w:t>
            </w:r>
          </w:p>
        </w:tc>
      </w:tr>
      <w:tr>
        <w:trPr>
          <w:tblHeader w:val="false"/>
        </w:trPr>
        <w:tc>
          <w:tcPr>
            <w:tcW w:type="dxa" w:w="14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Mon 13 Jul</w:t>
            </w:r>
          </w:p>
        </w:tc>
        <w:tc>
          <w:tcPr>
            <w:tcW w:type="dxa" w:w="9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7,566.0*</w:t>
            </w:r>
          </w:p>
        </w:tc>
        <w:tc>
          <w:tcPr>
            <w:tcW w:type="dxa" w:w="9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7,566.0*</w:t>
            </w:r>
          </w:p>
        </w:tc>
        <w:tc>
          <w:tcPr>
            <w:tcW w:type="dxa" w:w="9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7,503.0*</w:t>
            </w:r>
          </w:p>
        </w:tc>
        <w:tc>
          <w:tcPr>
            <w:tcW w:type="dxa" w:w="9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7,515.3</w:t>
            </w:r>
          </w:p>
        </w:tc>
        <w:tc>
          <w:tcPr>
            <w:tcW w:type="dxa" w:w="7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33.8</w:t>
            </w:r>
          </w:p>
        </w:tc>
        <w:tc>
          <w:tcPr>
            <w:tcW w:type="dxa" w:w="9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Bearish</w:t>
            </w:r>
          </w:p>
        </w:tc>
        <w:tc>
          <w:tcPr>
            <w:tcW w:type="dxa" w:w="16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Close CORROBORATED; O/H/L indicative</w:t>
            </w:r>
          </w:p>
        </w:tc>
      </w:tr>
      <w:tr>
        <w:trPr>
          <w:tblHeader w:val="false"/>
        </w:trPr>
        <w:tc>
          <w:tcPr>
            <w:tcW w:type="dxa" w:w="1450"/>
            <w:tcMar>
              <w:top w:type="dxa" w:w="40"/>
              <w:left w:type="dxa" w:w="60"/>
              <w:bottom w:type="dxa" w:w="40"/>
              <w:right w:type="dxa" w:w="60"/>
            </w:tcMar>
          </w:tcPr>
          <w:p>
            <w:r>
              <w:rPr>
                <w:rFonts w:ascii="Calibri" w:cs="Calibri" w:eastAsia="Calibri" w:hAnsi="Calibri"/>
                <w:b w:val="false"/>
                <w:bCs w:val="false"/>
                <w:sz w:val="17"/>
                <w:szCs w:val="17"/>
              </w:rPr>
              <w:t xml:space="preserve">Tue 14 Jul</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7,536.7*</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7,557.4*</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7,513.2*</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7,543.6</w:t>
            </w:r>
          </w:p>
        </w:tc>
        <w:tc>
          <w:tcPr>
            <w:tcW w:type="dxa" w:w="700"/>
            <w:tcMar>
              <w:top w:type="dxa" w:w="40"/>
              <w:left w:type="dxa" w:w="60"/>
              <w:bottom w:type="dxa" w:w="40"/>
              <w:right w:type="dxa" w:w="60"/>
            </w:tcMar>
          </w:tcPr>
          <w:p>
            <w:r>
              <w:rPr>
                <w:rFonts w:ascii="Calibri" w:cs="Calibri" w:eastAsia="Calibri" w:hAnsi="Calibri"/>
                <w:b w:val="false"/>
                <w:bCs w:val="false"/>
                <w:sz w:val="17"/>
                <w:szCs w:val="17"/>
              </w:rPr>
              <w:t xml:space="preserve">58.0</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Bullish</w:t>
            </w:r>
          </w:p>
        </w:tc>
        <w:tc>
          <w:tcPr>
            <w:tcW w:type="dxa" w:w="1650"/>
            <w:tcMar>
              <w:top w:type="dxa" w:w="40"/>
              <w:left w:type="dxa" w:w="60"/>
              <w:bottom w:type="dxa" w:w="40"/>
              <w:right w:type="dxa" w:w="60"/>
            </w:tcMar>
          </w:tcPr>
          <w:p>
            <w:r>
              <w:rPr>
                <w:rFonts w:ascii="Calibri" w:cs="Calibri" w:eastAsia="Calibri" w:hAnsi="Calibri"/>
                <w:b w:val="false"/>
                <w:bCs w:val="false"/>
                <w:sz w:val="17"/>
                <w:szCs w:val="17"/>
              </w:rPr>
              <w:t xml:space="preserve">Close CORROBORATED; O/H/L indicative</w:t>
            </w:r>
          </w:p>
        </w:tc>
      </w:tr>
    </w:tbl>
    <w:p>
      <w:pPr>
        <w:spacing w:after="120"/>
      </w:pPr>
      <w:r>
        <w:rPr>
          <w:rFonts w:ascii="Calibri" w:cs="Calibri" w:eastAsia="Calibri" w:hAnsi="Calibri"/>
          <w:i/>
          <w:iCs/>
          <w:color w:val="555555"/>
          <w:sz w:val="16"/>
          <w:szCs w:val="16"/>
        </w:rPr>
        <w:t xml:space="preserve">Close in bold-equivalent final column. RSI2 fixed at period 2, computed from the validated close sequence. * = intraday field is single-source indicative and is not used for corroborated pivot inputs. Corroborated closes: 13 Jul 7,515.34 (S&amp;P DJI/FRED) and 14 Jul 7,543.59 (S&amp;P DJI/CNBC/Reuters).</w:t>
      </w:r>
    </w:p>
    <w:p>
      <w:pPr>
        <w:pStyle w:val="Heading1"/>
        <w:spacing w:after="120" w:before="260"/>
      </w:pPr>
      <w:r>
        <w:rPr>
          <w:rFonts w:ascii="Calibri" w:cs="Calibri" w:eastAsia="Calibri" w:hAnsi="Calibri"/>
          <w:b/>
          <w:bCs/>
          <w:color w:val="1E6B3A"/>
          <w:sz w:val="26"/>
          <w:szCs w:val="26"/>
        </w:rPr>
        <w:t xml:space="preserve">§7  Charts</w:t>
      </w:r>
    </w:p>
    <w:p>
      <w:pPr>
        <w:pStyle w:val="Heading2"/>
        <w:spacing w:after="70" w:before="160"/>
      </w:pPr>
      <w:r>
        <w:rPr>
          <w:rFonts w:ascii="Calibri" w:cs="Calibri" w:eastAsia="Calibri" w:hAnsi="Calibri"/>
          <w:b/>
          <w:bCs/>
          <w:color w:val="555555"/>
          <w:sz w:val="22"/>
          <w:szCs w:val="22"/>
        </w:rPr>
        <w:t xml:space="preserve">Chart 1 — 5-Day Candlestick</w:t>
      </w:r>
    </w:p>
    <w:p>
      <w:pPr>
        <w:spacing w:after="150" w:before="7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pStyle w:val="Heading2"/>
        <w:spacing w:after="70" w:before="160"/>
      </w:pPr>
      <w:r>
        <w:rPr>
          <w:rFonts w:ascii="Calibri" w:cs="Calibri" w:eastAsia="Calibri" w:hAnsi="Calibri"/>
          <w:b/>
          <w:bCs/>
          <w:color w:val="555555"/>
          <w:sz w:val="22"/>
          <w:szCs w:val="22"/>
        </w:rPr>
        <w:t xml:space="preserve">Chart 2 — Distance from Open</w:t>
      </w:r>
    </w:p>
    <w:p>
      <w:pPr>
        <w:spacing w:after="150" w:before="7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pStyle w:val="Heading2"/>
        <w:spacing w:after="70" w:before="160"/>
      </w:pPr>
      <w:r>
        <w:rPr>
          <w:rFonts w:ascii="Calibri" w:cs="Calibri" w:eastAsia="Calibri" w:hAnsi="Calibri"/>
          <w:b/>
          <w:bCs/>
          <w:color w:val="555555"/>
          <w:sz w:val="22"/>
          <w:szCs w:val="22"/>
        </w:rPr>
        <w:t xml:space="preserve">Chart 3 — 25-Session Structure</w:t>
      </w:r>
    </w:p>
    <w:p>
      <w:pPr>
        <w:spacing w:after="150" w:before="7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pStyle w:val="Heading2"/>
        <w:spacing w:after="70" w:before="160"/>
      </w:pPr>
      <w:r>
        <w:rPr>
          <w:rFonts w:ascii="Calibri" w:cs="Calibri" w:eastAsia="Calibri" w:hAnsi="Calibri"/>
          <w:b/>
          <w:bCs/>
          <w:color w:val="555555"/>
          <w:sz w:val="22"/>
          <w:szCs w:val="22"/>
        </w:rPr>
        <w:t xml:space="preserve">Chart 4 — Comparative Volatility (VOLator)</w:t>
      </w:r>
    </w:p>
    <w:p>
      <w:pPr>
        <w:spacing w:after="150" w:before="7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71825"/>
                    </a:xfrm>
                    <a:prstGeom prst="rect">
                      <a:avLst/>
                    </a:prstGeom>
                  </pic:spPr>
                </pic:pic>
              </a:graphicData>
            </a:graphic>
          </wp:inline>
        </w:drawing>
      </w:r>
    </w:p>
    <w:p>
      <w:pPr>
        <w:spacing w:after="120"/>
      </w:pPr>
      <w:r>
        <w:rPr>
          <w:rFonts w:ascii="Calibri" w:cs="Calibri" w:eastAsia="Calibri" w:hAnsi="Calibri"/>
          <w:i/>
          <w:iCs/>
          <w:color w:val="555555"/>
          <w:sz w:val="15"/>
          <w:szCs w:val="15"/>
        </w:rPr>
        <w:t xml:space="preserve">VOLator counter series are directional-illustrative (scaled −1…+1); the S&amp;P 500 series and its negative slope are computed from the validated ATR history. Counter volatility magnitudes are indicative.</w:t>
      </w:r>
    </w:p>
    <w:p>
      <w:pPr>
        <w:pStyle w:val="Heading2"/>
        <w:spacing w:after="70" w:before="160"/>
      </w:pPr>
      <w:r>
        <w:rPr>
          <w:rFonts w:ascii="Calibri" w:cs="Calibri" w:eastAsia="Calibri" w:hAnsi="Calibri"/>
          <w:b/>
          <w:bCs/>
          <w:color w:val="555555"/>
          <w:sz w:val="22"/>
          <w:szCs w:val="22"/>
        </w:rPr>
        <w:t xml:space="preserve">Chart 5 — Pivot Structure</w:t>
      </w:r>
    </w:p>
    <w:p>
      <w:pPr>
        <w:spacing w:after="150" w:before="7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962400"/>
                    </a:xfrm>
                    <a:prstGeom prst="rect">
                      <a:avLst/>
                    </a:prstGeom>
                  </pic:spPr>
                </pic:pic>
              </a:graphicData>
            </a:graphic>
          </wp:inline>
        </w:drawing>
      </w:r>
    </w:p>
    <w:p>
      <w:pPr>
        <w:pStyle w:val="Heading1"/>
        <w:spacing w:after="120" w:before="260"/>
      </w:pPr>
      <w:r>
        <w:rPr>
          <w:rFonts w:ascii="Calibri" w:cs="Calibri" w:eastAsia="Calibri" w:hAnsi="Calibri"/>
          <w:b/>
          <w:bCs/>
          <w:color w:val="1E6B3A"/>
          <w:sz w:val="26"/>
          <w:szCs w:val="26"/>
        </w:rPr>
        <w:t xml:space="preserve">§8  Short-Term Technical Analysis</w:t>
      </w:r>
    </w:p>
    <w:p>
      <w:pPr>
        <w:spacing w:after="120" w:before="0"/>
      </w:pPr>
      <w:r>
        <w:rPr>
          <w:rFonts w:ascii="Calibri" w:cs="Calibri" w:eastAsia="Calibri" w:hAnsi="Calibri"/>
          <w:sz w:val="20"/>
          <w:szCs w:val="20"/>
        </w:rPr>
        <w:t xml:space="preserve">Session-by-session (see §6): Wed 08 Jul closed mid-range after a wide down-day, RSI2 depressed at 30 — a neutral, oversold reset. Thu 09 Jul was a strong bullish body closing near its high with RSI2 snapping to 78, signalling momentum recovery. Fri 10 Jul extended the advance to the 5-day high (7,579.9), RSI2 stretched to 87 — bullish but overbought. Mon 13 Jul reversed hard: a bearish session closing in the lower third of its range with RSI2 collapsing to 34, the inflation-scare/Iran-blockade down-day. Tue 14 Jul recovered with a bullish close near the upper range (RSI2 58) as cooler CPI lifted chips.</w:t>
      </w:r>
    </w:p>
    <w:p>
      <w:pPr>
        <w:spacing w:after="120"/>
      </w:pPr>
      <w:r>
        <w:rPr>
          <w:rFonts w:ascii="Calibri" w:cs="Calibri" w:eastAsia="Calibri" w:hAnsi="Calibri"/>
          <w:b/>
          <w:bCs/>
          <w:sz w:val="20"/>
          <w:szCs w:val="20"/>
        </w:rPr>
        <w:t xml:space="preserve">Sequence assessment: </w:t>
      </w:r>
      <w:r>
        <w:rPr>
          <w:rFonts w:ascii="Calibri" w:cs="Calibri" w:eastAsia="Calibri" w:hAnsi="Calibri"/>
          <w:sz w:val="20"/>
          <w:szCs w:val="20"/>
        </w:rPr>
        <w:t xml:space="preserve">Indecision / Compression — alternating direction with prominent two-sided wicks and RSI2 oscillating from 30→87→34→58 without a persistent trend. Nearest support 7,481–7,503 (08 Jul low / 13 Jul low); nearest resistance 7,580 (10 Jul high).</w:t>
      </w:r>
    </w:p>
    <w:p>
      <w:pPr>
        <w:spacing w:after="120"/>
      </w:pPr>
      <w:r>
        <w:rPr>
          <w:rFonts w:ascii="Calibri" w:cs="Calibri" w:eastAsia="Calibri" w:hAnsi="Calibri"/>
          <w:b/>
          <w:bCs/>
          <w:sz w:val="20"/>
          <w:szCs w:val="20"/>
        </w:rPr>
        <w:t xml:space="preserve">Judgement label: </w:t>
      </w:r>
      <w:r>
        <w:rPr>
          <w:rFonts w:ascii="Calibri" w:cs="Calibri" w:eastAsia="Calibri" w:hAnsi="Calibri"/>
          <w:sz w:val="20"/>
          <w:szCs w:val="20"/>
        </w:rPr>
        <w:t xml:space="preserve">Indecision. This is consistent with the §9 Transitional regime.</w:t>
      </w:r>
    </w:p>
    <w:p>
      <w:pPr>
        <w:pStyle w:val="Heading1"/>
        <w:spacing w:after="120" w:before="260"/>
      </w:pPr>
      <w:r>
        <w:rPr>
          <w:rFonts w:ascii="Calibri" w:cs="Calibri" w:eastAsia="Calibri" w:hAnsi="Calibri"/>
          <w:b/>
          <w:bCs/>
          <w:color w:val="1E6B3A"/>
          <w:sz w:val="26"/>
          <w:szCs w:val="26"/>
        </w:rPr>
        <w:t xml:space="preserve">§9  Medium-Term Regime &amp; VOLator</w:t>
      </w:r>
    </w:p>
    <w:p>
      <w:pPr>
        <w:spacing w:after="120" w:before="0"/>
      </w:pPr>
      <w:r>
        <w:rPr>
          <w:rFonts w:ascii="Calibri" w:cs="Calibri" w:eastAsia="Calibri" w:hAnsi="Calibri"/>
          <w:sz w:val="20"/>
          <w:szCs w:val="20"/>
        </w:rPr>
        <w:t xml:space="preserve">Regime classification: Transitional. Supporting metrics over the 25-session window: overlap ratio 0.557 (marginally range-bound), directional persistence 0.50 (no directional edge), VOLator slope negative (−0.14, contracting), median RSI2 in the 45–55 band, and range-position bias at the 86th percentile (Range-Top Bias). Bias: Neutral with an upward lean given the range-top position.</w:t>
      </w:r>
    </w:p>
    <w:p>
      <w:pPr>
        <w:spacing w:after="120" w:before="0"/>
      </w:pPr>
      <w:r>
        <w:rPr>
          <w:rFonts w:ascii="Calibri" w:cs="Calibri" w:eastAsia="Calibri" w:hAnsi="Calibri"/>
          <w:sz w:val="20"/>
          <w:szCs w:val="20"/>
        </w:rPr>
        <w:t xml:space="preserve">VOLator current readings: S&amp;P 500 scaled volatility is mid-band and contracting (negative slope). VIX has eased from the Monday spike (17.2 → ~16.4) — contracting. DAX volatility subdued. USDX volatility low and stable. All counters point to compressing volatility, consistent with a market coiling near range resistance.</w:t>
      </w:r>
    </w:p>
    <w:p>
      <w:pPr>
        <w:spacing w:after="120"/>
      </w:pPr>
      <w:r>
        <w:rPr>
          <w:rFonts w:ascii="Calibri" w:cs="Calibri" w:eastAsia="Calibri" w:hAnsi="Calibri"/>
          <w:b/>
          <w:bCs/>
          <w:sz w:val="20"/>
          <w:szCs w:val="20"/>
        </w:rPr>
        <w:t xml:space="preserve">Kaufman confirmation: </w:t>
      </w:r>
      <w:r>
        <w:rPr>
          <w:rFonts w:ascii="Calibri" w:cs="Calibri" w:eastAsia="Calibri" w:hAnsi="Calibri"/>
          <w:sz w:val="20"/>
          <w:szCs w:val="20"/>
        </w:rPr>
        <w:t xml:space="preserve">KER classifies Trending Up — Moderate (smoothed +0.33, series rising). This contradicts the negative VOLator slope. Under the dual-gate consolidation rule the disagreement resolves the composite label to TRANSITION — KER argues for latent upward momentum, VOLator argues the move lacks volatility expansion; neither gate is satisfied unambiguously, so the transitional (breakout-pending) reading takes precedence.</w:t>
      </w:r>
    </w:p>
    <w:p>
      <w:pPr>
        <w:spacing w:after="120"/>
      </w:pPr>
      <w:r>
        <w:rPr>
          <w:rFonts w:ascii="Calibri" w:cs="Calibri" w:eastAsia="Calibri" w:hAnsi="Calibri"/>
          <w:b/>
          <w:bCs/>
          <w:sz w:val="20"/>
          <w:szCs w:val="20"/>
        </w:rPr>
        <w:t xml:space="preserve">Preferred trade protocol: </w:t>
      </w:r>
      <w:r>
        <w:rPr>
          <w:rFonts w:ascii="Calibri" w:cs="Calibri" w:eastAsia="Calibri" w:hAnsi="Calibri"/>
          <w:sz w:val="20"/>
          <w:szCs w:val="20"/>
        </w:rPr>
        <w:t xml:space="preserve">Reduced conviction — await breakout confirmation (Transitional regime, §Step-4 matrix).</w:t>
      </w:r>
    </w:p>
    <w:p>
      <w:pPr>
        <w:pStyle w:val="Heading1"/>
        <w:spacing w:after="120" w:before="260"/>
      </w:pPr>
      <w:r>
        <w:rPr>
          <w:rFonts w:ascii="Calibri" w:cs="Calibri" w:eastAsia="Calibri" w:hAnsi="Calibri"/>
          <w:b/>
          <w:bCs/>
          <w:color w:val="1E6B3A"/>
          <w:sz w:val="26"/>
          <w:szCs w:val="26"/>
        </w:rPr>
        <w:t xml:space="preserve">§10  Cross-Asset Analysis</w:t>
      </w:r>
    </w:p>
    <w:tbl>
      <w:tblPr>
        <w:tblW w:type="dxa" w:w="9200"/>
        <w:tblBorders>
          <w:top w:val="single" w:color="AAAAAA" w:sz="2"/>
          <w:left w:val="single" w:color="AAAAAA" w:sz="2"/>
          <w:bottom w:val="single" w:color="AAAAAA" w:sz="2"/>
          <w:right w:val="single" w:color="AAAAAA" w:sz="2"/>
          <w:insideH w:val="single" w:color="CCCCCC" w:sz="1"/>
          <w:insideV w:val="single" w:color="CCCCCC" w:sz="1"/>
        </w:tblBorders>
      </w:tblPr>
      <w:tblGrid>
        <w:gridCol w:w="1500"/>
        <w:gridCol w:w="900"/>
        <w:gridCol w:w="3200"/>
        <w:gridCol w:w="1400"/>
        <w:gridCol w:w="2200"/>
      </w:tblGrid>
      <w:tr>
        <w:trPr>
          <w:tblHeader/>
        </w:trPr>
        <w:tc>
          <w:tcPr>
            <w:tcW w:type="dxa" w:w="15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Counter</w:t>
            </w:r>
          </w:p>
        </w:tc>
        <w:tc>
          <w:tcPr>
            <w:tcW w:type="dxa" w:w="9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5-day dir.</w:t>
            </w:r>
          </w:p>
        </w:tc>
        <w:tc>
          <w:tcPr>
            <w:tcW w:type="dxa" w:w="32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Mechanism</w:t>
            </w:r>
          </w:p>
        </w:tc>
        <w:tc>
          <w:tcPr>
            <w:tcW w:type="dxa" w:w="14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Confirm status</w:t>
            </w:r>
          </w:p>
        </w:tc>
        <w:tc>
          <w:tcPr>
            <w:tcW w:type="dxa" w:w="22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Implication</w:t>
            </w:r>
          </w:p>
        </w:tc>
      </w:tr>
      <w:tr>
        <w:trPr>
          <w:tblHeader w:val="false"/>
        </w:trPr>
        <w:tc>
          <w:tcPr>
            <w:tcW w:type="dxa" w:w="1500"/>
            <w:tcMar>
              <w:top w:type="dxa" w:w="40"/>
              <w:left w:type="dxa" w:w="60"/>
              <w:bottom w:type="dxa" w:w="40"/>
              <w:right w:type="dxa" w:w="60"/>
            </w:tcMar>
          </w:tcPr>
          <w:p>
            <w:r>
              <w:rPr>
                <w:rFonts w:ascii="Calibri" w:cs="Calibri" w:eastAsia="Calibri" w:hAnsi="Calibri"/>
                <w:b w:val="false"/>
                <w:bCs w:val="false"/>
                <w:sz w:val="17"/>
                <w:szCs w:val="17"/>
              </w:rPr>
              <w:t xml:space="preserve">USDX</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Falling</w:t>
            </w:r>
          </w:p>
        </w:tc>
        <w:tc>
          <w:tcPr>
            <w:tcW w:type="dxa" w:w="3200"/>
            <w:tcMar>
              <w:top w:type="dxa" w:w="40"/>
              <w:left w:type="dxa" w:w="60"/>
              <w:bottom w:type="dxa" w:w="40"/>
              <w:right w:type="dxa" w:w="60"/>
            </w:tcMar>
          </w:tcPr>
          <w:p>
            <w:r>
              <w:rPr>
                <w:rFonts w:ascii="Calibri" w:cs="Calibri" w:eastAsia="Calibri" w:hAnsi="Calibri"/>
                <w:b w:val="false"/>
                <w:bCs w:val="false"/>
                <w:sz w:val="17"/>
                <w:szCs w:val="17"/>
              </w:rPr>
              <w:t xml:space="preserve">Softer dollar eases financial conditions and supports multinational earnings translation.</w:t>
            </w:r>
          </w:p>
        </w:tc>
        <w:tc>
          <w:tcPr>
            <w:tcW w:type="dxa" w:w="1400"/>
            <w:tcMar>
              <w:top w:type="dxa" w:w="40"/>
              <w:left w:type="dxa" w:w="60"/>
              <w:bottom w:type="dxa" w:w="40"/>
              <w:right w:type="dxa" w:w="60"/>
            </w:tcMar>
          </w:tcPr>
          <w:p>
            <w:r>
              <w:rPr>
                <w:rFonts w:ascii="Calibri" w:cs="Calibri" w:eastAsia="Calibri" w:hAnsi="Calibri"/>
                <w:b w:val="false"/>
                <w:bCs w:val="false"/>
                <w:sz w:val="17"/>
                <w:szCs w:val="17"/>
              </w:rPr>
              <w:t xml:space="preserve">Confirms (mild)</w:t>
            </w:r>
          </w:p>
        </w:tc>
        <w:tc>
          <w:tcPr>
            <w:tcW w:type="dxa" w:w="2200"/>
            <w:tcMar>
              <w:top w:type="dxa" w:w="40"/>
              <w:left w:type="dxa" w:w="60"/>
              <w:bottom w:type="dxa" w:w="40"/>
              <w:right w:type="dxa" w:w="60"/>
            </w:tcMar>
          </w:tcPr>
          <w:p>
            <w:r>
              <w:rPr>
                <w:rFonts w:ascii="Calibri" w:cs="Calibri" w:eastAsia="Calibri" w:hAnsi="Calibri"/>
                <w:b w:val="false"/>
                <w:bCs w:val="false"/>
                <w:sz w:val="17"/>
                <w:szCs w:val="17"/>
              </w:rPr>
              <w:t xml:space="preserve">Modest tailwind for S&amp;P 500 upside.</w:t>
            </w:r>
          </w:p>
        </w:tc>
      </w:tr>
      <w:tr>
        <w:trPr>
          <w:tblHeader w:val="false"/>
        </w:trPr>
        <w:tc>
          <w:tcPr>
            <w:tcW w:type="dxa" w:w="15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VIX</w:t>
            </w:r>
          </w:p>
        </w:tc>
        <w:tc>
          <w:tcPr>
            <w:tcW w:type="dxa" w:w="9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Falling</w:t>
            </w:r>
          </w:p>
        </w:tc>
        <w:tc>
          <w:tcPr>
            <w:tcW w:type="dxa" w:w="32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Easing implied volatility signals receding risk-off demand for hedges.</w:t>
            </w:r>
          </w:p>
        </w:tc>
        <w:tc>
          <w:tcPr>
            <w:tcW w:type="dxa" w:w="14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Confirms</w:t>
            </w:r>
          </w:p>
        </w:tc>
        <w:tc>
          <w:tcPr>
            <w:tcW w:type="dxa" w:w="22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Supports a constructive, breakout-pending lean.</w:t>
            </w:r>
          </w:p>
        </w:tc>
      </w:tr>
      <w:tr>
        <w:trPr>
          <w:tblHeader w:val="false"/>
        </w:trPr>
        <w:tc>
          <w:tcPr>
            <w:tcW w:type="dxa" w:w="1500"/>
            <w:tcMar>
              <w:top w:type="dxa" w:w="40"/>
              <w:left w:type="dxa" w:w="60"/>
              <w:bottom w:type="dxa" w:w="40"/>
              <w:right w:type="dxa" w:w="60"/>
            </w:tcMar>
          </w:tcPr>
          <w:p>
            <w:r>
              <w:rPr>
                <w:rFonts w:ascii="Calibri" w:cs="Calibri" w:eastAsia="Calibri" w:hAnsi="Calibri"/>
                <w:b w:val="false"/>
                <w:bCs w:val="false"/>
                <w:sz w:val="17"/>
                <w:szCs w:val="17"/>
              </w:rPr>
              <w:t xml:space="preserve">DAX 40</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Flat/Up</w:t>
            </w:r>
          </w:p>
        </w:tc>
        <w:tc>
          <w:tcPr>
            <w:tcW w:type="dxa" w:w="3200"/>
            <w:tcMar>
              <w:top w:type="dxa" w:w="40"/>
              <w:left w:type="dxa" w:w="60"/>
              <w:bottom w:type="dxa" w:w="40"/>
              <w:right w:type="dxa" w:w="60"/>
            </w:tcMar>
          </w:tcPr>
          <w:p>
            <w:r>
              <w:rPr>
                <w:rFonts w:ascii="Calibri" w:cs="Calibri" w:eastAsia="Calibri" w:hAnsi="Calibri"/>
                <w:b w:val="false"/>
                <w:bCs w:val="false"/>
                <w:sz w:val="17"/>
                <w:szCs w:val="17"/>
              </w:rPr>
              <w:t xml:space="preserve">European equity beta shares the global risk factor with US large-cap.</w:t>
            </w:r>
          </w:p>
        </w:tc>
        <w:tc>
          <w:tcPr>
            <w:tcW w:type="dxa" w:w="1400"/>
            <w:tcMar>
              <w:top w:type="dxa" w:w="40"/>
              <w:left w:type="dxa" w:w="60"/>
              <w:bottom w:type="dxa" w:w="40"/>
              <w:right w:type="dxa" w:w="60"/>
            </w:tcMar>
          </w:tcPr>
          <w:p>
            <w:r>
              <w:rPr>
                <w:rFonts w:ascii="Calibri" w:cs="Calibri" w:eastAsia="Calibri" w:hAnsi="Calibri"/>
                <w:b w:val="false"/>
                <w:bCs w:val="false"/>
                <w:sz w:val="17"/>
                <w:szCs w:val="17"/>
              </w:rPr>
              <w:t xml:space="preserve">Neutral</w:t>
            </w:r>
          </w:p>
        </w:tc>
        <w:tc>
          <w:tcPr>
            <w:tcW w:type="dxa" w:w="2200"/>
            <w:tcMar>
              <w:top w:type="dxa" w:w="40"/>
              <w:left w:type="dxa" w:w="60"/>
              <w:bottom w:type="dxa" w:w="40"/>
              <w:right w:type="dxa" w:w="60"/>
            </w:tcMar>
          </w:tcPr>
          <w:p>
            <w:r>
              <w:rPr>
                <w:rFonts w:ascii="Calibri" w:cs="Calibri" w:eastAsia="Calibri" w:hAnsi="Calibri"/>
                <w:b w:val="false"/>
                <w:bCs w:val="false"/>
                <w:sz w:val="17"/>
                <w:szCs w:val="17"/>
              </w:rPr>
              <w:t xml:space="preserve">No independent signal; mild risk-on confirmation.</w:t>
            </w:r>
          </w:p>
        </w:tc>
      </w:tr>
    </w:tbl>
    <w:p>
      <w:pPr>
        <w:spacing w:after="120"/>
      </w:pPr>
      <w:r>
        <w:rPr>
          <w:rFonts w:ascii="Calibri" w:cs="Calibri" w:eastAsia="Calibri" w:hAnsi="Calibri"/>
          <w:b/>
          <w:bCs/>
          <w:sz w:val="20"/>
          <w:szCs w:val="20"/>
        </w:rPr>
        <w:t xml:space="preserve">Aggregate cross-asset read: MIXED-to-CONFIRM. </w:t>
      </w:r>
      <w:r>
        <w:rPr>
          <w:rFonts w:ascii="Calibri" w:cs="Calibri" w:eastAsia="Calibri" w:hAnsi="Calibri"/>
          <w:sz w:val="20"/>
          <w:szCs w:val="20"/>
        </w:rPr>
        <w:t xml:space="preserve">No counter contradicts the constructive lean; USDX and VIX both ease in a risk-on direction, while DAX is neutral. No bold contradiction flag is raised.</w:t>
      </w:r>
    </w:p>
    <w:p>
      <w:pPr>
        <w:pStyle w:val="Heading1"/>
        <w:spacing w:after="120" w:before="260"/>
      </w:pPr>
      <w:r>
        <w:rPr>
          <w:rFonts w:ascii="Calibri" w:cs="Calibri" w:eastAsia="Calibri" w:hAnsi="Calibri"/>
          <w:b/>
          <w:bCs/>
          <w:color w:val="1E6B3A"/>
          <w:sz w:val="26"/>
          <w:szCs w:val="26"/>
        </w:rPr>
        <w:t xml:space="preserve">§11  Floor Pivot Analysis</w:t>
      </w:r>
    </w:p>
    <w:p>
      <w:pPr>
        <w:spacing w:after="120"/>
      </w:pPr>
      <w:r>
        <w:rPr>
          <w:rFonts w:ascii="Calibri" w:cs="Calibri" w:eastAsia="Calibri" w:hAnsi="Calibri"/>
          <w:i/>
          <w:iCs/>
          <w:color w:val="555555"/>
          <w:sz w:val="16"/>
          <w:szCs w:val="16"/>
        </w:rPr>
        <w:t xml:space="preserve">Source status: prior-period H/L/C are single-source indicative (see §19). All pivot tiers below are therefore flagged </w:t>
      </w:r>
      <w:r>
        <w:rPr>
          <w:rFonts w:ascii="Calibri" w:cs="Calibri" w:eastAsia="Calibri" w:hAnsi="Calibri"/>
          <w:b/>
          <w:bCs/>
          <w:i/>
          <w:iCs/>
          <w:color w:val="9C6500"/>
          <w:sz w:val="16"/>
          <w:szCs w:val="16"/>
        </w:rPr>
        <w:t xml:space="preserve">indicative only</w:t>
      </w:r>
      <w:r>
        <w:rPr>
          <w:rFonts w:ascii="Calibri" w:cs="Calibri" w:eastAsia="Calibri" w:hAnsi="Calibri"/>
          <w:i/>
          <w:iCs/>
          <w:color w:val="555555"/>
          <w:sz w:val="16"/>
          <w:szCs w:val="16"/>
        </w:rPr>
        <w:t xml:space="preserve"> and are not usable as corroborated limit levels.</w:t>
      </w:r>
    </w:p>
    <w:p>
      <w:pPr>
        <w:pStyle w:val="Heading2"/>
        <w:spacing w:after="70" w:before="160"/>
      </w:pPr>
      <w:r>
        <w:rPr>
          <w:rFonts w:ascii="Calibri" w:cs="Calibri" w:eastAsia="Calibri" w:hAnsi="Calibri"/>
          <w:b/>
          <w:bCs/>
          <w:color w:val="555555"/>
          <w:sz w:val="22"/>
          <w:szCs w:val="22"/>
        </w:rPr>
        <w:t xml:space="preserve">Daily pivots (from 13 Jul H/L/C — indicative)</w:t>
      </w:r>
    </w:p>
    <w:tbl>
      <w:tblPr>
        <w:tblW w:type="dxa" w:w="3800"/>
        <w:tblBorders>
          <w:top w:val="single" w:color="AAAAAA" w:sz="2"/>
          <w:left w:val="single" w:color="AAAAAA" w:sz="2"/>
          <w:bottom w:val="single" w:color="AAAAAA" w:sz="2"/>
          <w:right w:val="single" w:color="AAAAAA" w:sz="2"/>
          <w:insideH w:val="single" w:color="CCCCCC" w:sz="1"/>
          <w:insideV w:val="single" w:color="CCCCCC" w:sz="1"/>
        </w:tblBorders>
      </w:tblPr>
      <w:tblGrid>
        <w:gridCol w:w="1600"/>
        <w:gridCol w:w="2200"/>
      </w:tblGrid>
      <w:tr>
        <w:trPr>
          <w:tblHeader/>
        </w:trPr>
        <w:tc>
          <w:tcPr>
            <w:tcW w:type="dxa" w:w="1600"/>
            <w:shd w:fill="9C6500" w:val="clear"/>
            <w:tcMar>
              <w:top w:type="dxa" w:w="40"/>
              <w:left w:type="dxa" w:w="60"/>
              <w:bottom w:type="dxa" w:w="40"/>
              <w:right w:type="dxa" w:w="60"/>
            </w:tcMar>
          </w:tcPr>
          <w:p>
            <w:r>
              <w:rPr>
                <w:rFonts w:ascii="Calibri" w:cs="Calibri" w:eastAsia="Calibri" w:hAnsi="Calibri"/>
                <w:b/>
                <w:bCs/>
                <w:color w:val="FFFFFF"/>
                <w:sz w:val="17"/>
                <w:szCs w:val="17"/>
              </w:rPr>
              <w:t xml:space="preserve">Level</w:t>
            </w:r>
          </w:p>
        </w:tc>
        <w:tc>
          <w:tcPr>
            <w:tcW w:type="dxa" w:w="2200"/>
            <w:shd w:fill="9C6500" w:val="clear"/>
            <w:tcMar>
              <w:top w:type="dxa" w:w="40"/>
              <w:left w:type="dxa" w:w="60"/>
              <w:bottom w:type="dxa" w:w="40"/>
              <w:right w:type="dxa" w:w="60"/>
            </w:tcMar>
          </w:tcPr>
          <w:p>
            <w:r>
              <w:rPr>
                <w:rFonts w:ascii="Calibri" w:cs="Calibri" w:eastAsia="Calibri" w:hAnsi="Calibri"/>
                <w:b/>
                <w:bCs/>
                <w:color w:val="FFFFFF"/>
                <w:sz w:val="17"/>
                <w:szCs w:val="17"/>
              </w:rPr>
              <w:t xml:space="preserve">Value (pts)</w:t>
            </w:r>
          </w:p>
        </w:tc>
      </w:tr>
      <w:tr>
        <w:trPr>
          <w:tblHeader w:val="false"/>
        </w:trPr>
        <w:tc>
          <w:tcPr>
            <w:tcW w:type="dxa" w:w="1600"/>
            <w:tcMar>
              <w:top w:type="dxa" w:w="40"/>
              <w:left w:type="dxa" w:w="60"/>
              <w:bottom w:type="dxa" w:w="40"/>
              <w:right w:type="dxa" w:w="60"/>
            </w:tcMar>
          </w:tcPr>
          <w:p>
            <w:r>
              <w:rPr>
                <w:rFonts w:ascii="Calibri" w:cs="Calibri" w:eastAsia="Calibri" w:hAnsi="Calibri"/>
                <w:b w:val="false"/>
                <w:bCs w:val="false"/>
                <w:sz w:val="17"/>
                <w:szCs w:val="17"/>
              </w:rPr>
              <w:t xml:space="preserve">R5</w:t>
            </w:r>
          </w:p>
        </w:tc>
        <w:tc>
          <w:tcPr>
            <w:tcW w:type="dxa" w:w="2200"/>
            <w:tcMar>
              <w:top w:type="dxa" w:w="40"/>
              <w:left w:type="dxa" w:w="60"/>
              <w:bottom w:type="dxa" w:w="40"/>
              <w:right w:type="dxa" w:w="60"/>
            </w:tcMar>
          </w:tcPr>
          <w:p>
            <w:r>
              <w:rPr>
                <w:rFonts w:ascii="Calibri" w:cs="Calibri" w:eastAsia="Calibri" w:hAnsi="Calibri"/>
                <w:b w:val="false"/>
                <w:bCs w:val="false"/>
                <w:sz w:val="17"/>
                <w:szCs w:val="17"/>
              </w:rPr>
              <w:t xml:space="preserve">7,742.2</w:t>
            </w:r>
          </w:p>
        </w:tc>
      </w:tr>
      <w:tr>
        <w:trPr>
          <w:tblHeader w:val="false"/>
        </w:trPr>
        <w:tc>
          <w:tcPr>
            <w:tcW w:type="dxa" w:w="1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R4</w:t>
            </w:r>
          </w:p>
        </w:tc>
        <w:tc>
          <w:tcPr>
            <w:tcW w:type="dxa" w:w="22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7,679.2</w:t>
            </w:r>
          </w:p>
        </w:tc>
      </w:tr>
      <w:tr>
        <w:trPr>
          <w:tblHeader w:val="false"/>
        </w:trPr>
        <w:tc>
          <w:tcPr>
            <w:tcW w:type="dxa" w:w="1600"/>
            <w:tcMar>
              <w:top w:type="dxa" w:w="40"/>
              <w:left w:type="dxa" w:w="60"/>
              <w:bottom w:type="dxa" w:w="40"/>
              <w:right w:type="dxa" w:w="60"/>
            </w:tcMar>
          </w:tcPr>
          <w:p>
            <w:r>
              <w:rPr>
                <w:rFonts w:ascii="Calibri" w:cs="Calibri" w:eastAsia="Calibri" w:hAnsi="Calibri"/>
                <w:b w:val="false"/>
                <w:bCs w:val="false"/>
                <w:sz w:val="17"/>
                <w:szCs w:val="17"/>
              </w:rPr>
              <w:t xml:space="preserve">R3</w:t>
            </w:r>
          </w:p>
        </w:tc>
        <w:tc>
          <w:tcPr>
            <w:tcW w:type="dxa" w:w="2200"/>
            <w:tcMar>
              <w:top w:type="dxa" w:w="40"/>
              <w:left w:type="dxa" w:w="60"/>
              <w:bottom w:type="dxa" w:w="40"/>
              <w:right w:type="dxa" w:w="60"/>
            </w:tcMar>
          </w:tcPr>
          <w:p>
            <w:r>
              <w:rPr>
                <w:rFonts w:ascii="Calibri" w:cs="Calibri" w:eastAsia="Calibri" w:hAnsi="Calibri"/>
                <w:b w:val="false"/>
                <w:bCs w:val="false"/>
                <w:sz w:val="17"/>
                <w:szCs w:val="17"/>
              </w:rPr>
              <w:t xml:space="preserve">7,616.2</w:t>
            </w:r>
          </w:p>
        </w:tc>
      </w:tr>
      <w:tr>
        <w:trPr>
          <w:tblHeader w:val="false"/>
        </w:trPr>
        <w:tc>
          <w:tcPr>
            <w:tcW w:type="dxa" w:w="1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R2</w:t>
            </w:r>
          </w:p>
        </w:tc>
        <w:tc>
          <w:tcPr>
            <w:tcW w:type="dxa" w:w="22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7,591.1</w:t>
            </w:r>
          </w:p>
        </w:tc>
      </w:tr>
      <w:tr>
        <w:trPr>
          <w:tblHeader w:val="false"/>
        </w:trPr>
        <w:tc>
          <w:tcPr>
            <w:tcW w:type="dxa" w:w="1600"/>
            <w:tcMar>
              <w:top w:type="dxa" w:w="40"/>
              <w:left w:type="dxa" w:w="60"/>
              <w:bottom w:type="dxa" w:w="40"/>
              <w:right w:type="dxa" w:w="60"/>
            </w:tcMar>
          </w:tcPr>
          <w:p>
            <w:r>
              <w:rPr>
                <w:rFonts w:ascii="Calibri" w:cs="Calibri" w:eastAsia="Calibri" w:hAnsi="Calibri"/>
                <w:b w:val="false"/>
                <w:bCs w:val="false"/>
                <w:sz w:val="17"/>
                <w:szCs w:val="17"/>
              </w:rPr>
              <w:t xml:space="preserve">R1</w:t>
            </w:r>
          </w:p>
        </w:tc>
        <w:tc>
          <w:tcPr>
            <w:tcW w:type="dxa" w:w="2200"/>
            <w:tcMar>
              <w:top w:type="dxa" w:w="40"/>
              <w:left w:type="dxa" w:w="60"/>
              <w:bottom w:type="dxa" w:w="40"/>
              <w:right w:type="dxa" w:w="60"/>
            </w:tcMar>
          </w:tcPr>
          <w:p>
            <w:r>
              <w:rPr>
                <w:rFonts w:ascii="Calibri" w:cs="Calibri" w:eastAsia="Calibri" w:hAnsi="Calibri"/>
                <w:b w:val="false"/>
                <w:bCs w:val="false"/>
                <w:sz w:val="17"/>
                <w:szCs w:val="17"/>
              </w:rPr>
              <w:t xml:space="preserve">7,553.2</w:t>
            </w:r>
          </w:p>
        </w:tc>
      </w:tr>
      <w:tr>
        <w:trPr>
          <w:tblHeader w:val="false"/>
        </w:trPr>
        <w:tc>
          <w:tcPr>
            <w:tcW w:type="dxa" w:w="1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P</w:t>
            </w:r>
          </w:p>
        </w:tc>
        <w:tc>
          <w:tcPr>
            <w:tcW w:type="dxa" w:w="22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7,528.1</w:t>
            </w:r>
          </w:p>
        </w:tc>
      </w:tr>
      <w:tr>
        <w:trPr>
          <w:tblHeader w:val="false"/>
        </w:trPr>
        <w:tc>
          <w:tcPr>
            <w:tcW w:type="dxa" w:w="1600"/>
            <w:tcMar>
              <w:top w:type="dxa" w:w="40"/>
              <w:left w:type="dxa" w:w="60"/>
              <w:bottom w:type="dxa" w:w="40"/>
              <w:right w:type="dxa" w:w="60"/>
            </w:tcMar>
          </w:tcPr>
          <w:p>
            <w:r>
              <w:rPr>
                <w:rFonts w:ascii="Calibri" w:cs="Calibri" w:eastAsia="Calibri" w:hAnsi="Calibri"/>
                <w:b w:val="false"/>
                <w:bCs w:val="false"/>
                <w:sz w:val="17"/>
                <w:szCs w:val="17"/>
              </w:rPr>
              <w:t xml:space="preserve">S1</w:t>
            </w:r>
          </w:p>
        </w:tc>
        <w:tc>
          <w:tcPr>
            <w:tcW w:type="dxa" w:w="2200"/>
            <w:tcMar>
              <w:top w:type="dxa" w:w="40"/>
              <w:left w:type="dxa" w:w="60"/>
              <w:bottom w:type="dxa" w:w="40"/>
              <w:right w:type="dxa" w:w="60"/>
            </w:tcMar>
          </w:tcPr>
          <w:p>
            <w:r>
              <w:rPr>
                <w:rFonts w:ascii="Calibri" w:cs="Calibri" w:eastAsia="Calibri" w:hAnsi="Calibri"/>
                <w:b w:val="false"/>
                <w:bCs w:val="false"/>
                <w:sz w:val="17"/>
                <w:szCs w:val="17"/>
              </w:rPr>
              <w:t xml:space="preserve">7,490.2</w:t>
            </w:r>
          </w:p>
        </w:tc>
      </w:tr>
      <w:tr>
        <w:trPr>
          <w:tblHeader w:val="false"/>
        </w:trPr>
        <w:tc>
          <w:tcPr>
            <w:tcW w:type="dxa" w:w="1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S2</w:t>
            </w:r>
          </w:p>
        </w:tc>
        <w:tc>
          <w:tcPr>
            <w:tcW w:type="dxa" w:w="22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7,465.1</w:t>
            </w:r>
          </w:p>
        </w:tc>
      </w:tr>
      <w:tr>
        <w:trPr>
          <w:tblHeader w:val="false"/>
        </w:trPr>
        <w:tc>
          <w:tcPr>
            <w:tcW w:type="dxa" w:w="1600"/>
            <w:tcMar>
              <w:top w:type="dxa" w:w="40"/>
              <w:left w:type="dxa" w:w="60"/>
              <w:bottom w:type="dxa" w:w="40"/>
              <w:right w:type="dxa" w:w="60"/>
            </w:tcMar>
          </w:tcPr>
          <w:p>
            <w:r>
              <w:rPr>
                <w:rFonts w:ascii="Calibri" w:cs="Calibri" w:eastAsia="Calibri" w:hAnsi="Calibri"/>
                <w:b w:val="false"/>
                <w:bCs w:val="false"/>
                <w:sz w:val="17"/>
                <w:szCs w:val="17"/>
              </w:rPr>
              <w:t xml:space="preserve">S3</w:t>
            </w:r>
          </w:p>
        </w:tc>
        <w:tc>
          <w:tcPr>
            <w:tcW w:type="dxa" w:w="2200"/>
            <w:tcMar>
              <w:top w:type="dxa" w:w="40"/>
              <w:left w:type="dxa" w:w="60"/>
              <w:bottom w:type="dxa" w:w="40"/>
              <w:right w:type="dxa" w:w="60"/>
            </w:tcMar>
          </w:tcPr>
          <w:p>
            <w:r>
              <w:rPr>
                <w:rFonts w:ascii="Calibri" w:cs="Calibri" w:eastAsia="Calibri" w:hAnsi="Calibri"/>
                <w:b w:val="false"/>
                <w:bCs w:val="false"/>
                <w:sz w:val="17"/>
                <w:szCs w:val="17"/>
              </w:rPr>
              <w:t xml:space="preserve">7,427.2</w:t>
            </w:r>
          </w:p>
        </w:tc>
      </w:tr>
      <w:tr>
        <w:trPr>
          <w:tblHeader w:val="false"/>
        </w:trPr>
        <w:tc>
          <w:tcPr>
            <w:tcW w:type="dxa" w:w="1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S4</w:t>
            </w:r>
          </w:p>
        </w:tc>
        <w:tc>
          <w:tcPr>
            <w:tcW w:type="dxa" w:w="22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7,364.2</w:t>
            </w:r>
          </w:p>
        </w:tc>
      </w:tr>
      <w:tr>
        <w:trPr>
          <w:tblHeader w:val="false"/>
        </w:trPr>
        <w:tc>
          <w:tcPr>
            <w:tcW w:type="dxa" w:w="1600"/>
            <w:tcMar>
              <w:top w:type="dxa" w:w="40"/>
              <w:left w:type="dxa" w:w="60"/>
              <w:bottom w:type="dxa" w:w="40"/>
              <w:right w:type="dxa" w:w="60"/>
            </w:tcMar>
          </w:tcPr>
          <w:p>
            <w:r>
              <w:rPr>
                <w:rFonts w:ascii="Calibri" w:cs="Calibri" w:eastAsia="Calibri" w:hAnsi="Calibri"/>
                <w:b w:val="false"/>
                <w:bCs w:val="false"/>
                <w:sz w:val="17"/>
                <w:szCs w:val="17"/>
              </w:rPr>
              <w:t xml:space="preserve">S5</w:t>
            </w:r>
          </w:p>
        </w:tc>
        <w:tc>
          <w:tcPr>
            <w:tcW w:type="dxa" w:w="2200"/>
            <w:tcMar>
              <w:top w:type="dxa" w:w="40"/>
              <w:left w:type="dxa" w:w="60"/>
              <w:bottom w:type="dxa" w:w="40"/>
              <w:right w:type="dxa" w:w="60"/>
            </w:tcMar>
          </w:tcPr>
          <w:p>
            <w:r>
              <w:rPr>
                <w:rFonts w:ascii="Calibri" w:cs="Calibri" w:eastAsia="Calibri" w:hAnsi="Calibri"/>
                <w:b w:val="false"/>
                <w:bCs w:val="false"/>
                <w:sz w:val="17"/>
                <w:szCs w:val="17"/>
              </w:rPr>
              <w:t xml:space="preserve">7,301.2</w:t>
            </w:r>
          </w:p>
        </w:tc>
      </w:tr>
    </w:tbl>
    <w:p>
      <w:pPr>
        <w:pStyle w:val="Heading2"/>
        <w:spacing w:after="70" w:before="160"/>
      </w:pPr>
      <w:r>
        <w:rPr>
          <w:rFonts w:ascii="Calibri" w:cs="Calibri" w:eastAsia="Calibri" w:hAnsi="Calibri"/>
          <w:b/>
          <w:bCs/>
          <w:color w:val="555555"/>
          <w:sz w:val="22"/>
          <w:szCs w:val="22"/>
        </w:rPr>
        <w:t xml:space="preserve">Weekly (W/E 10 Jul) &amp; Monthly (June) pivots — indicative</w:t>
      </w:r>
    </w:p>
    <w:tbl>
      <w:tblPr>
        <w:tblW w:type="dxa" w:w="5200"/>
        <w:tblBorders>
          <w:top w:val="single" w:color="AAAAAA" w:sz="2"/>
          <w:left w:val="single" w:color="AAAAAA" w:sz="2"/>
          <w:bottom w:val="single" w:color="AAAAAA" w:sz="2"/>
          <w:right w:val="single" w:color="AAAAAA" w:sz="2"/>
          <w:insideH w:val="single" w:color="CCCCCC" w:sz="1"/>
          <w:insideV w:val="single" w:color="CCCCCC" w:sz="1"/>
        </w:tblBorders>
      </w:tblPr>
      <w:tblGrid>
        <w:gridCol w:w="1900"/>
        <w:gridCol w:w="1650"/>
        <w:gridCol w:w="1650"/>
      </w:tblGrid>
      <w:tr>
        <w:trPr>
          <w:tblHeader/>
        </w:trPr>
        <w:tc>
          <w:tcPr>
            <w:tcW w:type="dxa" w:w="1900"/>
            <w:shd w:fill="9C6500" w:val="clear"/>
            <w:tcMar>
              <w:top w:type="dxa" w:w="40"/>
              <w:left w:type="dxa" w:w="60"/>
              <w:bottom w:type="dxa" w:w="40"/>
              <w:right w:type="dxa" w:w="60"/>
            </w:tcMar>
          </w:tcPr>
          <w:p>
            <w:r>
              <w:rPr>
                <w:rFonts w:ascii="Calibri" w:cs="Calibri" w:eastAsia="Calibri" w:hAnsi="Calibri"/>
                <w:b/>
                <w:bCs/>
                <w:color w:val="FFFFFF"/>
                <w:sz w:val="17"/>
                <w:szCs w:val="17"/>
              </w:rPr>
              <w:t xml:space="preserve">Level</w:t>
            </w:r>
          </w:p>
        </w:tc>
        <w:tc>
          <w:tcPr>
            <w:tcW w:type="dxa" w:w="1650"/>
            <w:shd w:fill="9C6500" w:val="clear"/>
            <w:tcMar>
              <w:top w:type="dxa" w:w="40"/>
              <w:left w:type="dxa" w:w="60"/>
              <w:bottom w:type="dxa" w:w="40"/>
              <w:right w:type="dxa" w:w="60"/>
            </w:tcMar>
          </w:tcPr>
          <w:p>
            <w:r>
              <w:rPr>
                <w:rFonts w:ascii="Calibri" w:cs="Calibri" w:eastAsia="Calibri" w:hAnsi="Calibri"/>
                <w:b/>
                <w:bCs/>
                <w:color w:val="FFFFFF"/>
                <w:sz w:val="17"/>
                <w:szCs w:val="17"/>
              </w:rPr>
              <w:t xml:space="preserve">Weekly</w:t>
            </w:r>
          </w:p>
        </w:tc>
        <w:tc>
          <w:tcPr>
            <w:tcW w:type="dxa" w:w="1650"/>
            <w:shd w:fill="9C6500" w:val="clear"/>
            <w:tcMar>
              <w:top w:type="dxa" w:w="40"/>
              <w:left w:type="dxa" w:w="60"/>
              <w:bottom w:type="dxa" w:w="40"/>
              <w:right w:type="dxa" w:w="60"/>
            </w:tcMar>
          </w:tcPr>
          <w:p>
            <w:r>
              <w:rPr>
                <w:rFonts w:ascii="Calibri" w:cs="Calibri" w:eastAsia="Calibri" w:hAnsi="Calibri"/>
                <w:b/>
                <w:bCs/>
                <w:color w:val="FFFFFF"/>
                <w:sz w:val="17"/>
                <w:szCs w:val="17"/>
              </w:rPr>
              <w:t xml:space="preserve">Monthly</w:t>
            </w:r>
          </w:p>
        </w:tc>
      </w:tr>
      <w:tr>
        <w:trPr>
          <w:tblHeader w:val="false"/>
        </w:trPr>
        <w:tc>
          <w:tcPr>
            <w:tcW w:type="dxa" w:w="1900"/>
            <w:tcMar>
              <w:top w:type="dxa" w:w="40"/>
              <w:left w:type="dxa" w:w="60"/>
              <w:bottom w:type="dxa" w:w="40"/>
              <w:right w:type="dxa" w:w="60"/>
            </w:tcMar>
          </w:tcPr>
          <w:p>
            <w:r>
              <w:rPr>
                <w:rFonts w:ascii="Calibri" w:cs="Calibri" w:eastAsia="Calibri" w:hAnsi="Calibri"/>
                <w:b w:val="false"/>
                <w:bCs w:val="false"/>
                <w:sz w:val="17"/>
                <w:szCs w:val="17"/>
              </w:rPr>
              <w:t xml:space="preserve">R2</w:t>
            </w:r>
          </w:p>
        </w:tc>
        <w:tc>
          <w:tcPr>
            <w:tcW w:type="dxa" w:w="1650"/>
            <w:tcMar>
              <w:top w:type="dxa" w:w="40"/>
              <w:left w:type="dxa" w:w="60"/>
              <w:bottom w:type="dxa" w:w="40"/>
              <w:right w:type="dxa" w:w="60"/>
            </w:tcMar>
          </w:tcPr>
          <w:p>
            <w:r>
              <w:rPr>
                <w:rFonts w:ascii="Calibri" w:cs="Calibri" w:eastAsia="Calibri" w:hAnsi="Calibri"/>
                <w:b w:val="false"/>
                <w:bCs w:val="false"/>
                <w:sz w:val="17"/>
                <w:szCs w:val="17"/>
              </w:rPr>
              <w:t xml:space="preserve">7,681.2</w:t>
            </w:r>
          </w:p>
        </w:tc>
        <w:tc>
          <w:tcPr>
            <w:tcW w:type="dxa" w:w="1650"/>
            <w:tcMar>
              <w:top w:type="dxa" w:w="40"/>
              <w:left w:type="dxa" w:w="60"/>
              <w:bottom w:type="dxa" w:w="40"/>
              <w:right w:type="dxa" w:w="60"/>
            </w:tcMar>
          </w:tcPr>
          <w:p>
            <w:r>
              <w:rPr>
                <w:rFonts w:ascii="Calibri" w:cs="Calibri" w:eastAsia="Calibri" w:hAnsi="Calibri"/>
                <w:b w:val="false"/>
                <w:bCs w:val="false"/>
                <w:sz w:val="17"/>
                <w:szCs w:val="17"/>
              </w:rPr>
              <w:t xml:space="preserve">7,898.5</w:t>
            </w:r>
          </w:p>
        </w:tc>
      </w:tr>
      <w:tr>
        <w:trPr>
          <w:tblHeader w:val="false"/>
        </w:trPr>
        <w:tc>
          <w:tcPr>
            <w:tcW w:type="dxa" w:w="19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R1</w:t>
            </w:r>
          </w:p>
        </w:tc>
        <w:tc>
          <w:tcPr>
            <w:tcW w:type="dxa" w:w="16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7,610.7</w:t>
            </w:r>
          </w:p>
        </w:tc>
        <w:tc>
          <w:tcPr>
            <w:tcW w:type="dxa" w:w="16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7,632.4</w:t>
            </w:r>
          </w:p>
        </w:tc>
      </w:tr>
      <w:tr>
        <w:trPr>
          <w:tblHeader w:val="false"/>
        </w:trPr>
        <w:tc>
          <w:tcPr>
            <w:tcW w:type="dxa" w:w="1900"/>
            <w:tcMar>
              <w:top w:type="dxa" w:w="40"/>
              <w:left w:type="dxa" w:w="60"/>
              <w:bottom w:type="dxa" w:w="40"/>
              <w:right w:type="dxa" w:w="60"/>
            </w:tcMar>
          </w:tcPr>
          <w:p>
            <w:r>
              <w:rPr>
                <w:rFonts w:ascii="Calibri" w:cs="Calibri" w:eastAsia="Calibri" w:hAnsi="Calibri"/>
                <w:b w:val="false"/>
                <w:bCs w:val="false"/>
                <w:sz w:val="17"/>
                <w:szCs w:val="17"/>
              </w:rPr>
              <w:t xml:space="preserve">P</w:t>
            </w:r>
          </w:p>
        </w:tc>
        <w:tc>
          <w:tcPr>
            <w:tcW w:type="dxa" w:w="1650"/>
            <w:tcMar>
              <w:top w:type="dxa" w:w="40"/>
              <w:left w:type="dxa" w:w="60"/>
              <w:bottom w:type="dxa" w:w="40"/>
              <w:right w:type="dxa" w:w="60"/>
            </w:tcMar>
          </w:tcPr>
          <w:p>
            <w:r>
              <w:rPr>
                <w:rFonts w:ascii="Calibri" w:cs="Calibri" w:eastAsia="Calibri" w:hAnsi="Calibri"/>
                <w:b w:val="false"/>
                <w:bCs w:val="false"/>
                <w:sz w:val="17"/>
                <w:szCs w:val="17"/>
              </w:rPr>
              <w:t xml:space="preserve">7,544.7</w:t>
            </w:r>
          </w:p>
        </w:tc>
        <w:tc>
          <w:tcPr>
            <w:tcW w:type="dxa" w:w="1650"/>
            <w:tcMar>
              <w:top w:type="dxa" w:w="40"/>
              <w:left w:type="dxa" w:w="60"/>
              <w:bottom w:type="dxa" w:w="40"/>
              <w:right w:type="dxa" w:w="60"/>
            </w:tcMar>
          </w:tcPr>
          <w:p>
            <w:r>
              <w:rPr>
                <w:rFonts w:ascii="Calibri" w:cs="Calibri" w:eastAsia="Calibri" w:hAnsi="Calibri"/>
                <w:b w:val="false"/>
                <w:bCs w:val="false"/>
                <w:sz w:val="17"/>
                <w:szCs w:val="17"/>
              </w:rPr>
              <w:t xml:space="preserve">7,444.9</w:t>
            </w:r>
          </w:p>
        </w:tc>
      </w:tr>
      <w:tr>
        <w:trPr>
          <w:tblHeader w:val="false"/>
        </w:trPr>
        <w:tc>
          <w:tcPr>
            <w:tcW w:type="dxa" w:w="19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S1</w:t>
            </w:r>
          </w:p>
        </w:tc>
        <w:tc>
          <w:tcPr>
            <w:tcW w:type="dxa" w:w="16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7,509.4</w:t>
            </w:r>
          </w:p>
        </w:tc>
        <w:tc>
          <w:tcPr>
            <w:tcW w:type="dxa" w:w="16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7,311.8</w:t>
            </w:r>
          </w:p>
        </w:tc>
      </w:tr>
      <w:tr>
        <w:trPr>
          <w:tblHeader w:val="false"/>
        </w:trPr>
        <w:tc>
          <w:tcPr>
            <w:tcW w:type="dxa" w:w="1900"/>
            <w:tcMar>
              <w:top w:type="dxa" w:w="40"/>
              <w:left w:type="dxa" w:w="60"/>
              <w:bottom w:type="dxa" w:w="40"/>
              <w:right w:type="dxa" w:w="60"/>
            </w:tcMar>
          </w:tcPr>
          <w:p>
            <w:r>
              <w:rPr>
                <w:rFonts w:ascii="Calibri" w:cs="Calibri" w:eastAsia="Calibri" w:hAnsi="Calibri"/>
                <w:b w:val="false"/>
                <w:bCs w:val="false"/>
                <w:sz w:val="17"/>
                <w:szCs w:val="17"/>
              </w:rPr>
              <w:t xml:space="preserve">S2</w:t>
            </w:r>
          </w:p>
        </w:tc>
        <w:tc>
          <w:tcPr>
            <w:tcW w:type="dxa" w:w="1650"/>
            <w:tcMar>
              <w:top w:type="dxa" w:w="40"/>
              <w:left w:type="dxa" w:w="60"/>
              <w:bottom w:type="dxa" w:w="40"/>
              <w:right w:type="dxa" w:w="60"/>
            </w:tcMar>
          </w:tcPr>
          <w:p>
            <w:r>
              <w:rPr>
                <w:rFonts w:ascii="Calibri" w:cs="Calibri" w:eastAsia="Calibri" w:hAnsi="Calibri"/>
                <w:b w:val="false"/>
                <w:bCs w:val="false"/>
                <w:sz w:val="17"/>
                <w:szCs w:val="17"/>
              </w:rPr>
              <w:t xml:space="preserve">7,443.4</w:t>
            </w:r>
          </w:p>
        </w:tc>
        <w:tc>
          <w:tcPr>
            <w:tcW w:type="dxa" w:w="1650"/>
            <w:tcMar>
              <w:top w:type="dxa" w:w="40"/>
              <w:left w:type="dxa" w:w="60"/>
              <w:bottom w:type="dxa" w:w="40"/>
              <w:right w:type="dxa" w:w="60"/>
            </w:tcMar>
          </w:tcPr>
          <w:p>
            <w:r>
              <w:rPr>
                <w:rFonts w:ascii="Calibri" w:cs="Calibri" w:eastAsia="Calibri" w:hAnsi="Calibri"/>
                <w:b w:val="false"/>
                <w:bCs w:val="false"/>
                <w:sz w:val="17"/>
                <w:szCs w:val="17"/>
              </w:rPr>
              <w:t xml:space="preserve">7,124.3</w:t>
            </w:r>
          </w:p>
        </w:tc>
      </w:tr>
    </w:tbl>
    <w:p>
      <w:pPr>
        <w:spacing w:after="120" w:before="0"/>
      </w:pPr>
      <w:r>
        <w:rPr>
          <w:rFonts w:ascii="Calibri" w:cs="Calibri" w:eastAsia="Calibri" w:hAnsi="Calibri"/>
          <w:sz w:val="20"/>
          <w:szCs w:val="20"/>
        </w:rPr>
        <w:t xml:space="preserve">Position narrative: the 14 Jul close (7,543.6) sits fractionally above the daily pivot P (7,528) and essentially on the weekly pivot (7,545) — a balance point. It is below daily R1 (7,553) and the 5-day/range high (7,580). A daily-close push through 7,553→7,580 opens R2 (7,591); failure here exposes S1 (7,490). No sub-0.05% daily/weekly/monthly confluence zone is present, though the weekly P and daily P bracket price within ~16 points.</w:t>
      </w:r>
    </w:p>
    <w:p>
      <w:pPr>
        <w:pStyle w:val="Heading1"/>
        <w:spacing w:after="120" w:before="260"/>
      </w:pPr>
      <w:r>
        <w:rPr>
          <w:rFonts w:ascii="Calibri" w:cs="Calibri" w:eastAsia="Calibri" w:hAnsi="Calibri"/>
          <w:b/>
          <w:bCs/>
          <w:color w:val="9C6500"/>
          <w:sz w:val="26"/>
          <w:szCs w:val="26"/>
        </w:rPr>
        <w:t xml:space="preserve">§12  Key Market Considerations</w:t>
      </w:r>
    </w:p>
    <w:p>
      <w:pPr>
        <w:spacing w:after="120"/>
      </w:pPr>
      <w:r>
        <w:rPr>
          <w:rFonts w:ascii="Calibri" w:cs="Calibri" w:eastAsia="Calibri" w:hAnsi="Calibri"/>
          <w:b/>
          <w:bCs/>
          <w:sz w:val="20"/>
          <w:szCs w:val="20"/>
        </w:rPr>
        <w:t xml:space="preserve">Demand / earnings (price-supportive). </w:t>
      </w:r>
      <w:r>
        <w:rPr>
          <w:rFonts w:ascii="Calibri" w:cs="Calibri" w:eastAsia="Calibri" w:hAnsi="Calibri"/>
          <w:sz w:val="20"/>
          <w:szCs w:val="20"/>
        </w:rPr>
        <w:t xml:space="preserve">Q2 bank earnings beat strongly (Goldman EPS $20.98 vs ~$14.48 expected; JPMorgan, Citi beats), and a semiconductor rebound (NVDA +4%, SK hynix +12.8%, Micron) is lifting the tape. Cyclical.</w:t>
      </w:r>
    </w:p>
    <w:p>
      <w:pPr>
        <w:spacing w:after="120"/>
      </w:pPr>
      <w:r>
        <w:rPr>
          <w:rFonts w:ascii="Calibri" w:cs="Calibri" w:eastAsia="Calibri" w:hAnsi="Calibri"/>
          <w:b/>
          <w:bCs/>
          <w:sz w:val="20"/>
          <w:szCs w:val="20"/>
        </w:rPr>
        <w:t xml:space="preserve">Inflation / policy (price-supportive this week). </w:t>
      </w:r>
      <w:r>
        <w:rPr>
          <w:rFonts w:ascii="Calibri" w:cs="Calibri" w:eastAsia="Calibri" w:hAnsi="Calibri"/>
          <w:sz w:val="20"/>
          <w:szCs w:val="20"/>
        </w:rPr>
        <w:t xml:space="preserve">June CPI 3.5% vs 3.8% consensus, with the first monthly decline since 2020, eased the immediate Fed-hike threat — though markets still price meaningful odds of a September hike. Cyclical.</w:t>
      </w:r>
    </w:p>
    <w:p>
      <w:pPr>
        <w:spacing w:after="120"/>
      </w:pPr>
      <w:r>
        <w:rPr>
          <w:rFonts w:ascii="Calibri" w:cs="Calibri" w:eastAsia="Calibri" w:hAnsi="Calibri"/>
          <w:b/>
          <w:bCs/>
          <w:sz w:val="20"/>
          <w:szCs w:val="20"/>
        </w:rPr>
        <w:t xml:space="preserve">Energy / geopolitics (price-negative risk). </w:t>
      </w:r>
      <w:r>
        <w:rPr>
          <w:rFonts w:ascii="Calibri" w:cs="Calibri" w:eastAsia="Calibri" w:hAnsi="Calibri"/>
          <w:sz w:val="20"/>
          <w:szCs w:val="20"/>
        </w:rPr>
        <w:t xml:space="preserve">Strait-of-Hormuz escalation pushed WTI up sharply; a sustained oil spike is a stagflationary headwind and the main downside channel. Cyclical but fast-moving.</w:t>
      </w:r>
    </w:p>
    <w:p>
      <w:pPr>
        <w:spacing w:after="120"/>
      </w:pPr>
      <w:r>
        <w:rPr>
          <w:rFonts w:ascii="Calibri" w:cs="Calibri" w:eastAsia="Calibri" w:hAnsi="Calibri"/>
          <w:b/>
          <w:bCs/>
          <w:sz w:val="20"/>
          <w:szCs w:val="20"/>
        </w:rPr>
        <w:t xml:space="preserve">Single-name drag (idiosyncratic). </w:t>
      </w:r>
      <w:r>
        <w:rPr>
          <w:rFonts w:ascii="Calibri" w:cs="Calibri" w:eastAsia="Calibri" w:hAnsi="Calibri"/>
          <w:sz w:val="20"/>
          <w:szCs w:val="20"/>
        </w:rPr>
        <w:t xml:space="preserve">IBM's ~25% drop on a profit warning is weighing on the Dow more than the S&amp;P but signals software/infrastructure demand softness. Cyclical.</w:t>
      </w:r>
    </w:p>
    <w:p>
      <w:pPr>
        <w:spacing w:after="120"/>
      </w:pPr>
      <w:r>
        <w:rPr>
          <w:rFonts w:ascii="Calibri" w:cs="Calibri" w:eastAsia="Calibri" w:hAnsi="Calibri"/>
          <w:b/>
          <w:bCs/>
          <w:sz w:val="20"/>
          <w:szCs w:val="20"/>
        </w:rPr>
        <w:t xml:space="preserve">Near-term catalysts (see §13d). </w:t>
      </w:r>
      <w:r>
        <w:rPr>
          <w:rFonts w:ascii="Calibri" w:cs="Calibri" w:eastAsia="Calibri" w:hAnsi="Calibri"/>
          <w:sz w:val="20"/>
          <w:szCs w:val="20"/>
        </w:rPr>
        <w:t xml:space="preserve">Remaining bank/mega-cap earnings, PPI, and Fed-chair Warsh testimony all fall inside the 5-day horizon and are the primary breakout/rejection triggers.</w:t>
      </w:r>
    </w:p>
    <w:p>
      <w:pPr>
        <w:pStyle w:val="Heading1"/>
        <w:spacing w:after="120" w:before="260"/>
      </w:pPr>
      <w:r>
        <w:rPr>
          <w:rFonts w:ascii="Calibri" w:cs="Calibri" w:eastAsia="Calibri" w:hAnsi="Calibri"/>
          <w:b/>
          <w:bCs/>
          <w:color w:val="9C6500"/>
          <w:sz w:val="26"/>
          <w:szCs w:val="26"/>
        </w:rPr>
        <w:t xml:space="preserve">§13  Sentiment, News &amp; Calendar</w:t>
      </w:r>
    </w:p>
    <w:p>
      <w:pPr>
        <w:pStyle w:val="Heading2"/>
        <w:spacing w:after="70" w:before="160"/>
      </w:pPr>
      <w:r>
        <w:rPr>
          <w:rFonts w:ascii="Calibri" w:cs="Calibri" w:eastAsia="Calibri" w:hAnsi="Calibri"/>
          <w:b/>
          <w:bCs/>
          <w:color w:val="555555"/>
          <w:sz w:val="22"/>
          <w:szCs w:val="22"/>
        </w:rPr>
        <w:t xml:space="preserve">§13a  Per-Article Sentiment</w:t>
      </w:r>
    </w:p>
    <w:tbl>
      <w:tblPr>
        <w:tblW w:type="dxa" w:w="9350"/>
        <w:tblBorders>
          <w:top w:val="single" w:color="AAAAAA" w:sz="2"/>
          <w:left w:val="single" w:color="AAAAAA" w:sz="2"/>
          <w:bottom w:val="single" w:color="AAAAAA" w:sz="2"/>
          <w:right w:val="single" w:color="AAAAAA" w:sz="2"/>
          <w:insideH w:val="single" w:color="CCCCCC" w:sz="1"/>
          <w:insideV w:val="single" w:color="CCCCCC" w:sz="1"/>
        </w:tblBorders>
      </w:tblPr>
      <w:tblGrid>
        <w:gridCol w:w="1450"/>
        <w:gridCol w:w="1150"/>
        <w:gridCol w:w="2450"/>
        <w:gridCol w:w="1300"/>
        <w:gridCol w:w="1400"/>
        <w:gridCol w:w="1600"/>
      </w:tblGrid>
      <w:tr>
        <w:trPr>
          <w:tblHeader/>
        </w:trPr>
        <w:tc>
          <w:tcPr>
            <w:tcW w:type="dxa" w:w="145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Source</w:t>
            </w:r>
          </w:p>
        </w:tc>
        <w:tc>
          <w:tcPr>
            <w:tcW w:type="dxa" w:w="115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Date</w:t>
            </w:r>
          </w:p>
        </w:tc>
        <w:tc>
          <w:tcPr>
            <w:tcW w:type="dxa" w:w="245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Headline (abbrev.)</w:t>
            </w:r>
          </w:p>
        </w:tc>
        <w:tc>
          <w:tcPr>
            <w:tcW w:type="dxa" w:w="13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Class.</w:t>
            </w:r>
          </w:p>
        </w:tc>
        <w:tc>
          <w:tcPr>
            <w:tcW w:type="dxa" w:w="14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Sentiment</w:t>
            </w:r>
          </w:p>
        </w:tc>
        <w:tc>
          <w:tcPr>
            <w:tcW w:type="dxa" w:w="16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Derivation quote</w:t>
            </w:r>
          </w:p>
        </w:tc>
      </w:tr>
      <w:tr>
        <w:trPr>
          <w:tblHeader w:val="false"/>
        </w:trPr>
        <w:tc>
          <w:tcPr>
            <w:tcW w:type="dxa" w:w="1450"/>
            <w:tcMar>
              <w:top w:type="dxa" w:w="40"/>
              <w:left w:type="dxa" w:w="60"/>
              <w:bottom w:type="dxa" w:w="40"/>
              <w:right w:type="dxa" w:w="60"/>
            </w:tcMar>
          </w:tcPr>
          <w:p>
            <w:r>
              <w:rPr>
                <w:rFonts w:ascii="Calibri" w:cs="Calibri" w:eastAsia="Calibri" w:hAnsi="Calibri"/>
                <w:b w:val="false"/>
                <w:bCs w:val="false"/>
                <w:sz w:val="17"/>
                <w:szCs w:val="17"/>
              </w:rPr>
              <w:t xml:space="preserve">CNBC</w:t>
            </w:r>
          </w:p>
        </w:tc>
        <w:tc>
          <w:tcPr>
            <w:tcW w:type="dxa" w:w="1150"/>
            <w:tcMar>
              <w:top w:type="dxa" w:w="40"/>
              <w:left w:type="dxa" w:w="60"/>
              <w:bottom w:type="dxa" w:w="40"/>
              <w:right w:type="dxa" w:w="60"/>
            </w:tcMar>
          </w:tcPr>
          <w:p>
            <w:r>
              <w:rPr>
                <w:rFonts w:ascii="Calibri" w:cs="Calibri" w:eastAsia="Calibri" w:hAnsi="Calibri"/>
                <w:b w:val="false"/>
                <w:bCs w:val="false"/>
                <w:sz w:val="17"/>
                <w:szCs w:val="17"/>
              </w:rPr>
              <w:t xml:space="preserve">14 Jul</w:t>
            </w:r>
          </w:p>
        </w:tc>
        <w:tc>
          <w:tcPr>
            <w:tcW w:type="dxa" w:w="2450"/>
            <w:tcMar>
              <w:top w:type="dxa" w:w="40"/>
              <w:left w:type="dxa" w:w="60"/>
              <w:bottom w:type="dxa" w:w="40"/>
              <w:right w:type="dxa" w:w="60"/>
            </w:tcMar>
          </w:tcPr>
          <w:p>
            <w:r>
              <w:rPr>
                <w:rFonts w:ascii="Calibri" w:cs="Calibri" w:eastAsia="Calibri" w:hAnsi="Calibri"/>
                <w:b w:val="false"/>
                <w:bCs w:val="false"/>
                <w:sz w:val="17"/>
                <w:szCs w:val="17"/>
              </w:rPr>
              <w:t xml:space="preserve">S&amp;P 500 higher as CPI comes in soft</w:t>
            </w:r>
          </w:p>
        </w:tc>
        <w:tc>
          <w:tcPr>
            <w:tcW w:type="dxa" w:w="1300"/>
            <w:tcMar>
              <w:top w:type="dxa" w:w="40"/>
              <w:left w:type="dxa" w:w="60"/>
              <w:bottom w:type="dxa" w:w="40"/>
              <w:right w:type="dxa" w:w="60"/>
            </w:tcMar>
          </w:tcPr>
          <w:p>
            <w:r>
              <w:rPr>
                <w:rFonts w:ascii="Calibri" w:cs="Calibri" w:eastAsia="Calibri" w:hAnsi="Calibri"/>
                <w:b w:val="false"/>
                <w:bCs w:val="false"/>
                <w:sz w:val="17"/>
                <w:szCs w:val="17"/>
              </w:rPr>
              <w:t xml:space="preserve">Media</w:t>
            </w:r>
          </w:p>
        </w:tc>
        <w:tc>
          <w:tcPr>
            <w:tcW w:type="dxa" w:w="1400"/>
            <w:tcMar>
              <w:top w:type="dxa" w:w="40"/>
              <w:left w:type="dxa" w:w="60"/>
              <w:bottom w:type="dxa" w:w="40"/>
              <w:right w:type="dxa" w:w="60"/>
            </w:tcMar>
          </w:tcPr>
          <w:p>
            <w:r>
              <w:rPr>
                <w:rFonts w:ascii="Calibri" w:cs="Calibri" w:eastAsia="Calibri" w:hAnsi="Calibri"/>
                <w:b w:val="false"/>
                <w:bCs w:val="false"/>
                <w:sz w:val="17"/>
                <w:szCs w:val="17"/>
              </w:rPr>
              <w:t xml:space="preserve">Bullish</w:t>
            </w:r>
          </w:p>
        </w:tc>
        <w:tc>
          <w:tcPr>
            <w:tcW w:type="dxa" w:w="1600"/>
            <w:tcMar>
              <w:top w:type="dxa" w:w="40"/>
              <w:left w:type="dxa" w:w="60"/>
              <w:bottom w:type="dxa" w:w="40"/>
              <w:right w:type="dxa" w:w="60"/>
            </w:tcMar>
          </w:tcPr>
          <w:p>
            <w:r>
              <w:rPr>
                <w:rFonts w:ascii="Calibri" w:cs="Calibri" w:eastAsia="Calibri" w:hAnsi="Calibri"/>
                <w:b w:val="false"/>
                <w:bCs w:val="false"/>
                <w:sz w:val="17"/>
                <w:szCs w:val="17"/>
              </w:rPr>
              <w:t xml:space="preserve">"closed higher... boosted by semiconductor stocks"</w:t>
            </w:r>
          </w:p>
        </w:tc>
      </w:tr>
      <w:tr>
        <w:trPr>
          <w:tblHeader w:val="false"/>
        </w:trPr>
        <w:tc>
          <w:tcPr>
            <w:tcW w:type="dxa" w:w="14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Reuters/Zacks</w:t>
            </w:r>
          </w:p>
        </w:tc>
        <w:tc>
          <w:tcPr>
            <w:tcW w:type="dxa" w:w="11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14 Jul</w:t>
            </w:r>
          </w:p>
        </w:tc>
        <w:tc>
          <w:tcPr>
            <w:tcW w:type="dxa" w:w="24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Wall St closed lower Monday on oil, Iran</w:t>
            </w:r>
          </w:p>
        </w:tc>
        <w:tc>
          <w:tcPr>
            <w:tcW w:type="dxa" w:w="13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Media</w:t>
            </w:r>
          </w:p>
        </w:tc>
        <w:tc>
          <w:tcPr>
            <w:tcW w:type="dxa" w:w="14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Bearish</w:t>
            </w:r>
          </w:p>
        </w:tc>
        <w:tc>
          <w:tcPr>
            <w:tcW w:type="dxa" w:w="1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"rising oil prices and escalating U.S.-Iran tensions"</w:t>
            </w:r>
          </w:p>
        </w:tc>
      </w:tr>
      <w:tr>
        <w:trPr>
          <w:tblHeader w:val="false"/>
        </w:trPr>
        <w:tc>
          <w:tcPr>
            <w:tcW w:type="dxa" w:w="1450"/>
            <w:tcMar>
              <w:top w:type="dxa" w:w="40"/>
              <w:left w:type="dxa" w:w="60"/>
              <w:bottom w:type="dxa" w:w="40"/>
              <w:right w:type="dxa" w:w="60"/>
            </w:tcMar>
          </w:tcPr>
          <w:p>
            <w:r>
              <w:rPr>
                <w:rFonts w:ascii="Calibri" w:cs="Calibri" w:eastAsia="Calibri" w:hAnsi="Calibri"/>
                <w:b w:val="false"/>
                <w:bCs w:val="false"/>
                <w:sz w:val="17"/>
                <w:szCs w:val="17"/>
              </w:rPr>
              <w:t xml:space="preserve">Bloomberg</w:t>
            </w:r>
          </w:p>
        </w:tc>
        <w:tc>
          <w:tcPr>
            <w:tcW w:type="dxa" w:w="1150"/>
            <w:tcMar>
              <w:top w:type="dxa" w:w="40"/>
              <w:left w:type="dxa" w:w="60"/>
              <w:bottom w:type="dxa" w:w="40"/>
              <w:right w:type="dxa" w:w="60"/>
            </w:tcMar>
          </w:tcPr>
          <w:p>
            <w:r>
              <w:rPr>
                <w:rFonts w:ascii="Calibri" w:cs="Calibri" w:eastAsia="Calibri" w:hAnsi="Calibri"/>
                <w:b w:val="false"/>
                <w:bCs w:val="false"/>
                <w:sz w:val="17"/>
                <w:szCs w:val="17"/>
              </w:rPr>
              <w:t xml:space="preserve">14 Jul</w:t>
            </w:r>
          </w:p>
        </w:tc>
        <w:tc>
          <w:tcPr>
            <w:tcW w:type="dxa" w:w="2450"/>
            <w:tcMar>
              <w:top w:type="dxa" w:w="40"/>
              <w:left w:type="dxa" w:w="60"/>
              <w:bottom w:type="dxa" w:w="40"/>
              <w:right w:type="dxa" w:w="60"/>
            </w:tcMar>
          </w:tcPr>
          <w:p>
            <w:r>
              <w:rPr>
                <w:rFonts w:ascii="Calibri" w:cs="Calibri" w:eastAsia="Calibri" w:hAnsi="Calibri"/>
                <w:b w:val="false"/>
                <w:bCs w:val="false"/>
                <w:sz w:val="17"/>
                <w:szCs w:val="17"/>
              </w:rPr>
              <w:t xml:space="preserve">US stocks rose after cooler CPI</w:t>
            </w:r>
          </w:p>
        </w:tc>
        <w:tc>
          <w:tcPr>
            <w:tcW w:type="dxa" w:w="1300"/>
            <w:tcMar>
              <w:top w:type="dxa" w:w="40"/>
              <w:left w:type="dxa" w:w="60"/>
              <w:bottom w:type="dxa" w:w="40"/>
              <w:right w:type="dxa" w:w="60"/>
            </w:tcMar>
          </w:tcPr>
          <w:p>
            <w:r>
              <w:rPr>
                <w:rFonts w:ascii="Calibri" w:cs="Calibri" w:eastAsia="Calibri" w:hAnsi="Calibri"/>
                <w:b w:val="false"/>
                <w:bCs w:val="false"/>
                <w:sz w:val="17"/>
                <w:szCs w:val="17"/>
              </w:rPr>
              <w:t xml:space="preserve">Media</w:t>
            </w:r>
          </w:p>
        </w:tc>
        <w:tc>
          <w:tcPr>
            <w:tcW w:type="dxa" w:w="1400"/>
            <w:tcMar>
              <w:top w:type="dxa" w:w="40"/>
              <w:left w:type="dxa" w:w="60"/>
              <w:bottom w:type="dxa" w:w="40"/>
              <w:right w:type="dxa" w:w="60"/>
            </w:tcMar>
          </w:tcPr>
          <w:p>
            <w:r>
              <w:rPr>
                <w:rFonts w:ascii="Calibri" w:cs="Calibri" w:eastAsia="Calibri" w:hAnsi="Calibri"/>
                <w:b w:val="false"/>
                <w:bCs w:val="false"/>
                <w:sz w:val="17"/>
                <w:szCs w:val="17"/>
              </w:rPr>
              <w:t xml:space="preserve">Bullish</w:t>
            </w:r>
          </w:p>
        </w:tc>
        <w:tc>
          <w:tcPr>
            <w:tcW w:type="dxa" w:w="1600"/>
            <w:tcMar>
              <w:top w:type="dxa" w:w="40"/>
              <w:left w:type="dxa" w:w="60"/>
              <w:bottom w:type="dxa" w:w="40"/>
              <w:right w:type="dxa" w:w="60"/>
            </w:tcMar>
          </w:tcPr>
          <w:p>
            <w:r>
              <w:rPr>
                <w:rFonts w:ascii="Calibri" w:cs="Calibri" w:eastAsia="Calibri" w:hAnsi="Calibri"/>
                <w:b w:val="false"/>
                <w:bCs w:val="false"/>
                <w:sz w:val="17"/>
                <w:szCs w:val="17"/>
              </w:rPr>
              <w:t xml:space="preserve">"reversing Monday's slump"</w:t>
            </w:r>
          </w:p>
        </w:tc>
      </w:tr>
      <w:tr>
        <w:trPr>
          <w:tblHeader w:val="false"/>
        </w:trPr>
        <w:tc>
          <w:tcPr>
            <w:tcW w:type="dxa" w:w="14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Schwab</w:t>
            </w:r>
          </w:p>
        </w:tc>
        <w:tc>
          <w:tcPr>
            <w:tcW w:type="dxa" w:w="11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14 Jul</w:t>
            </w:r>
          </w:p>
        </w:tc>
        <w:tc>
          <w:tcPr>
            <w:tcW w:type="dxa" w:w="24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Stocks recovering on cooler CPI, bank beats</w:t>
            </w:r>
          </w:p>
        </w:tc>
        <w:tc>
          <w:tcPr>
            <w:tcW w:type="dxa" w:w="13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Trade</w:t>
            </w:r>
          </w:p>
        </w:tc>
        <w:tc>
          <w:tcPr>
            <w:tcW w:type="dxa" w:w="14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Bullish</w:t>
            </w:r>
          </w:p>
        </w:tc>
        <w:tc>
          <w:tcPr>
            <w:tcW w:type="dxa" w:w="1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"strong Q2 earnings from the big banks lift sentiment"</w:t>
            </w:r>
          </w:p>
        </w:tc>
      </w:tr>
      <w:tr>
        <w:trPr>
          <w:tblHeader w:val="false"/>
        </w:trPr>
        <w:tc>
          <w:tcPr>
            <w:tcW w:type="dxa" w:w="1450"/>
            <w:tcMar>
              <w:top w:type="dxa" w:w="40"/>
              <w:left w:type="dxa" w:w="60"/>
              <w:bottom w:type="dxa" w:w="40"/>
              <w:right w:type="dxa" w:w="60"/>
            </w:tcMar>
          </w:tcPr>
          <w:p>
            <w:r>
              <w:rPr>
                <w:rFonts w:ascii="Calibri" w:cs="Calibri" w:eastAsia="Calibri" w:hAnsi="Calibri"/>
                <w:b w:val="false"/>
                <w:bCs w:val="false"/>
                <w:sz w:val="17"/>
                <w:szCs w:val="17"/>
              </w:rPr>
              <w:t xml:space="preserve">Trading Economics</w:t>
            </w:r>
          </w:p>
        </w:tc>
        <w:tc>
          <w:tcPr>
            <w:tcW w:type="dxa" w:w="1150"/>
            <w:tcMar>
              <w:top w:type="dxa" w:w="40"/>
              <w:left w:type="dxa" w:w="60"/>
              <w:bottom w:type="dxa" w:w="40"/>
              <w:right w:type="dxa" w:w="60"/>
            </w:tcMar>
          </w:tcPr>
          <w:p>
            <w:r>
              <w:rPr>
                <w:rFonts w:ascii="Calibri" w:cs="Calibri" w:eastAsia="Calibri" w:hAnsi="Calibri"/>
                <w:b w:val="false"/>
                <w:bCs w:val="false"/>
                <w:sz w:val="17"/>
                <w:szCs w:val="17"/>
              </w:rPr>
              <w:t xml:space="preserve">14 Jul</w:t>
            </w:r>
          </w:p>
        </w:tc>
        <w:tc>
          <w:tcPr>
            <w:tcW w:type="dxa" w:w="2450"/>
            <w:tcMar>
              <w:top w:type="dxa" w:w="40"/>
              <w:left w:type="dxa" w:w="60"/>
              <w:bottom w:type="dxa" w:w="40"/>
              <w:right w:type="dxa" w:w="60"/>
            </w:tcMar>
          </w:tcPr>
          <w:p>
            <w:r>
              <w:rPr>
                <w:rFonts w:ascii="Calibri" w:cs="Calibri" w:eastAsia="Calibri" w:hAnsi="Calibri"/>
                <w:b w:val="false"/>
                <w:bCs w:val="false"/>
                <w:sz w:val="17"/>
                <w:szCs w:val="17"/>
              </w:rPr>
              <w:t xml:space="preserve">Futures lower on Iran blockade</w:t>
            </w:r>
          </w:p>
        </w:tc>
        <w:tc>
          <w:tcPr>
            <w:tcW w:type="dxa" w:w="1300"/>
            <w:tcMar>
              <w:top w:type="dxa" w:w="40"/>
              <w:left w:type="dxa" w:w="60"/>
              <w:bottom w:type="dxa" w:w="40"/>
              <w:right w:type="dxa" w:w="60"/>
            </w:tcMar>
          </w:tcPr>
          <w:p>
            <w:r>
              <w:rPr>
                <w:rFonts w:ascii="Calibri" w:cs="Calibri" w:eastAsia="Calibri" w:hAnsi="Calibri"/>
                <w:b w:val="false"/>
                <w:bCs w:val="false"/>
                <w:sz w:val="17"/>
                <w:szCs w:val="17"/>
              </w:rPr>
              <w:t xml:space="preserve">Trade</w:t>
            </w:r>
          </w:p>
        </w:tc>
        <w:tc>
          <w:tcPr>
            <w:tcW w:type="dxa" w:w="1400"/>
            <w:tcMar>
              <w:top w:type="dxa" w:w="40"/>
              <w:left w:type="dxa" w:w="60"/>
              <w:bottom w:type="dxa" w:w="40"/>
              <w:right w:type="dxa" w:w="60"/>
            </w:tcMar>
          </w:tcPr>
          <w:p>
            <w:r>
              <w:rPr>
                <w:rFonts w:ascii="Calibri" w:cs="Calibri" w:eastAsia="Calibri" w:hAnsi="Calibri"/>
                <w:b w:val="false"/>
                <w:bCs w:val="false"/>
                <w:sz w:val="17"/>
                <w:szCs w:val="17"/>
              </w:rPr>
              <w:t xml:space="preserve">Bearish</w:t>
            </w:r>
          </w:p>
        </w:tc>
        <w:tc>
          <w:tcPr>
            <w:tcW w:type="dxa" w:w="1600"/>
            <w:tcMar>
              <w:top w:type="dxa" w:w="40"/>
              <w:left w:type="dxa" w:w="60"/>
              <w:bottom w:type="dxa" w:w="40"/>
              <w:right w:type="dxa" w:w="60"/>
            </w:tcMar>
          </w:tcPr>
          <w:p>
            <w:r>
              <w:rPr>
                <w:rFonts w:ascii="Calibri" w:cs="Calibri" w:eastAsia="Calibri" w:hAnsi="Calibri"/>
                <w:b w:val="false"/>
                <w:bCs w:val="false"/>
                <w:sz w:val="17"/>
                <w:szCs w:val="17"/>
              </w:rPr>
              <w:t xml:space="preserve">"concerns... central banks may need to raise rates"</w:t>
            </w:r>
          </w:p>
        </w:tc>
      </w:tr>
      <w:tr>
        <w:trPr>
          <w:tblHeader w:val="false"/>
        </w:trPr>
        <w:tc>
          <w:tcPr>
            <w:tcW w:type="dxa" w:w="14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24/7 Wall St</w:t>
            </w:r>
          </w:p>
        </w:tc>
        <w:tc>
          <w:tcPr>
            <w:tcW w:type="dxa" w:w="11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14 Jul</w:t>
            </w:r>
          </w:p>
        </w:tc>
        <w:tc>
          <w:tcPr>
            <w:tcW w:type="dxa" w:w="24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SPY regaining ground on inflation report</w:t>
            </w:r>
          </w:p>
        </w:tc>
        <w:tc>
          <w:tcPr>
            <w:tcW w:type="dxa" w:w="13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Media</w:t>
            </w:r>
          </w:p>
        </w:tc>
        <w:tc>
          <w:tcPr>
            <w:tcW w:type="dxa" w:w="14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Neutral</w:t>
            </w:r>
          </w:p>
        </w:tc>
        <w:tc>
          <w:tcPr>
            <w:tcW w:type="dxa" w:w="1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"markets are mixed"</w:t>
            </w:r>
          </w:p>
        </w:tc>
      </w:tr>
    </w:tbl>
    <w:p>
      <w:pPr>
        <w:pStyle w:val="Heading2"/>
        <w:spacing w:after="70" w:before="160"/>
      </w:pPr>
      <w:r>
        <w:rPr>
          <w:rFonts w:ascii="Calibri" w:cs="Calibri" w:eastAsia="Calibri" w:hAnsi="Calibri"/>
          <w:b/>
          <w:bCs/>
          <w:color w:val="555555"/>
          <w:sz w:val="22"/>
          <w:szCs w:val="22"/>
        </w:rPr>
        <w:t xml:space="preserve">§13b  Aggregate Sentiment Summary</w:t>
      </w:r>
    </w:p>
    <w:p>
      <w:pPr>
        <w:spacing w:after="120"/>
      </w:pPr>
      <w:r>
        <w:rPr>
          <w:rFonts w:ascii="Calibri" w:cs="Calibri" w:eastAsia="Calibri" w:hAnsi="Calibri"/>
          <w:b/>
          <w:bCs/>
          <w:sz w:val="20"/>
          <w:szCs w:val="20"/>
        </w:rPr>
        <w:t xml:space="preserve">3 Bullish (1 trade, 2 media), 2 Bearish (1 trade, 1 media), 1 Neutral (media) = Mixed-to-Bullish. Numeric tilt = +0.20 (source-class weighted). </w:t>
      </w:r>
      <w:r>
        <w:rPr>
          <w:rFonts w:ascii="Calibri" w:cs="Calibri" w:eastAsia="Calibri" w:hAnsi="Calibri"/>
          <w:sz w:val="20"/>
          <w:szCs w:val="20"/>
        </w:rPr>
        <w:t xml:space="preserve">Low-confidence flag not triggered (6 articles). Divergence: sentiment leans mildly bullish while price is balanced at range resistance — no strong divergence; the constructive tilt is consistent with the §9 range-top position.</w:t>
      </w:r>
    </w:p>
    <w:p>
      <w:pPr>
        <w:pStyle w:val="Heading2"/>
        <w:spacing w:after="70" w:before="160"/>
      </w:pPr>
      <w:r>
        <w:rPr>
          <w:rFonts w:ascii="Calibri" w:cs="Calibri" w:eastAsia="Calibri" w:hAnsi="Calibri"/>
          <w:b/>
          <w:bCs/>
          <w:color w:val="555555"/>
          <w:sz w:val="22"/>
          <w:szCs w:val="22"/>
        </w:rPr>
        <w:t xml:space="preserve">§13c  News Calendar — Previous Period</w:t>
      </w:r>
    </w:p>
    <w:tbl>
      <w:tblPr>
        <w:tblW w:type="dxa" w:w="9160"/>
        <w:tblBorders>
          <w:top w:val="single" w:color="AAAAAA" w:sz="2"/>
          <w:left w:val="single" w:color="AAAAAA" w:sz="2"/>
          <w:bottom w:val="single" w:color="AAAAAA" w:sz="2"/>
          <w:right w:val="single" w:color="AAAAAA" w:sz="2"/>
          <w:insideH w:val="single" w:color="CCCCCC" w:sz="1"/>
          <w:insideV w:val="single" w:color="CCCCCC" w:sz="1"/>
        </w:tblBorders>
      </w:tblPr>
      <w:tblGrid>
        <w:gridCol w:w="1250"/>
        <w:gridCol w:w="2100"/>
        <w:gridCol w:w="2100"/>
        <w:gridCol w:w="900"/>
        <w:gridCol w:w="2810"/>
      </w:tblGrid>
      <w:tr>
        <w:trPr>
          <w:tblHeader/>
        </w:trPr>
        <w:tc>
          <w:tcPr>
            <w:tcW w:type="dxa" w:w="125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Date</w:t>
            </w:r>
          </w:p>
        </w:tc>
        <w:tc>
          <w:tcPr>
            <w:tcW w:type="dxa" w:w="21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Event</w:t>
            </w:r>
          </w:p>
        </w:tc>
        <w:tc>
          <w:tcPr>
            <w:tcW w:type="dxa" w:w="21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Context</w:t>
            </w:r>
          </w:p>
        </w:tc>
        <w:tc>
          <w:tcPr>
            <w:tcW w:type="dxa" w:w="9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Impact</w:t>
            </w:r>
          </w:p>
        </w:tc>
        <w:tc>
          <w:tcPr>
            <w:tcW w:type="dxa" w:w="281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Implication for S&amp;P 500</w:t>
            </w:r>
          </w:p>
        </w:tc>
      </w:tr>
      <w:tr>
        <w:trPr>
          <w:tblHeader w:val="false"/>
        </w:trPr>
        <w:tc>
          <w:tcPr>
            <w:tcW w:type="dxa" w:w="1250"/>
            <w:tcMar>
              <w:top w:type="dxa" w:w="40"/>
              <w:left w:type="dxa" w:w="60"/>
              <w:bottom w:type="dxa" w:w="40"/>
              <w:right w:type="dxa" w:w="60"/>
            </w:tcMar>
          </w:tcPr>
          <w:p>
            <w:r>
              <w:rPr>
                <w:rFonts w:ascii="Calibri" w:cs="Calibri" w:eastAsia="Calibri" w:hAnsi="Calibri"/>
                <w:b w:val="false"/>
                <w:bCs w:val="false"/>
                <w:sz w:val="17"/>
                <w:szCs w:val="17"/>
              </w:rPr>
              <w:t xml:space="preserve">Mon 13 Jul</w:t>
            </w:r>
          </w:p>
        </w:tc>
        <w:tc>
          <w:tcPr>
            <w:tcW w:type="dxa" w:w="2100"/>
            <w:tcMar>
              <w:top w:type="dxa" w:w="40"/>
              <w:left w:type="dxa" w:w="60"/>
              <w:bottom w:type="dxa" w:w="40"/>
              <w:right w:type="dxa" w:w="60"/>
            </w:tcMar>
          </w:tcPr>
          <w:p>
            <w:r>
              <w:rPr>
                <w:rFonts w:ascii="Calibri" w:cs="Calibri" w:eastAsia="Calibri" w:hAnsi="Calibri"/>
                <w:b w:val="false"/>
                <w:bCs w:val="false"/>
                <w:sz w:val="17"/>
                <w:szCs w:val="17"/>
              </w:rPr>
              <w:t xml:space="preserve">Iran/Hormuz blockade threat</w:t>
            </w:r>
          </w:p>
        </w:tc>
        <w:tc>
          <w:tcPr>
            <w:tcW w:type="dxa" w:w="2100"/>
            <w:tcMar>
              <w:top w:type="dxa" w:w="40"/>
              <w:left w:type="dxa" w:w="60"/>
              <w:bottom w:type="dxa" w:w="40"/>
              <w:right w:type="dxa" w:w="60"/>
            </w:tcMar>
          </w:tcPr>
          <w:p>
            <w:r>
              <w:rPr>
                <w:rFonts w:ascii="Calibri" w:cs="Calibri" w:eastAsia="Calibri" w:hAnsi="Calibri"/>
                <w:b w:val="false"/>
                <w:bCs w:val="false"/>
                <w:sz w:val="17"/>
                <w:szCs w:val="17"/>
              </w:rPr>
              <w:t xml:space="preserve">Oil spike</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High</w:t>
            </w:r>
          </w:p>
        </w:tc>
        <w:tc>
          <w:tcPr>
            <w:tcW w:type="dxa" w:w="2810"/>
            <w:tcMar>
              <w:top w:type="dxa" w:w="40"/>
              <w:left w:type="dxa" w:w="60"/>
              <w:bottom w:type="dxa" w:w="40"/>
              <w:right w:type="dxa" w:w="60"/>
            </w:tcMar>
          </w:tcPr>
          <w:p>
            <w:r>
              <w:rPr>
                <w:rFonts w:ascii="Calibri" w:cs="Calibri" w:eastAsia="Calibri" w:hAnsi="Calibri"/>
                <w:b w:val="false"/>
                <w:bCs w:val="false"/>
                <w:sz w:val="17"/>
                <w:szCs w:val="17"/>
              </w:rPr>
              <w:t xml:space="preserve">Risk-off; index −0.8%, VIX +14%.</w:t>
            </w:r>
          </w:p>
        </w:tc>
      </w:tr>
      <w:tr>
        <w:trPr>
          <w:tblHeader w:val="false"/>
        </w:trPr>
        <w:tc>
          <w:tcPr>
            <w:tcW w:type="dxa" w:w="12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Tue 14 Jul</w:t>
            </w:r>
          </w:p>
        </w:tc>
        <w:tc>
          <w:tcPr>
            <w:tcW w:type="dxa" w:w="21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June CPI 3.5% (vs 3.8%)</w:t>
            </w:r>
          </w:p>
        </w:tc>
        <w:tc>
          <w:tcPr>
            <w:tcW w:type="dxa" w:w="21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First MoM decline since 2020</w:t>
            </w:r>
          </w:p>
        </w:tc>
        <w:tc>
          <w:tcPr>
            <w:tcW w:type="dxa" w:w="9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High</w:t>
            </w:r>
          </w:p>
        </w:tc>
        <w:tc>
          <w:tcPr>
            <w:tcW w:type="dxa" w:w="281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Risk-on; index +0.4%, chips rebound.</w:t>
            </w:r>
          </w:p>
        </w:tc>
      </w:tr>
      <w:tr>
        <w:trPr>
          <w:tblHeader w:val="false"/>
        </w:trPr>
        <w:tc>
          <w:tcPr>
            <w:tcW w:type="dxa" w:w="1250"/>
            <w:tcMar>
              <w:top w:type="dxa" w:w="40"/>
              <w:left w:type="dxa" w:w="60"/>
              <w:bottom w:type="dxa" w:w="40"/>
              <w:right w:type="dxa" w:w="60"/>
            </w:tcMar>
          </w:tcPr>
          <w:p>
            <w:r>
              <w:rPr>
                <w:rFonts w:ascii="Calibri" w:cs="Calibri" w:eastAsia="Calibri" w:hAnsi="Calibri"/>
                <w:b w:val="false"/>
                <w:bCs w:val="false"/>
                <w:sz w:val="17"/>
                <w:szCs w:val="17"/>
              </w:rPr>
              <w:t xml:space="preserve">Tue 14 Jul</w:t>
            </w:r>
          </w:p>
        </w:tc>
        <w:tc>
          <w:tcPr>
            <w:tcW w:type="dxa" w:w="2100"/>
            <w:tcMar>
              <w:top w:type="dxa" w:w="40"/>
              <w:left w:type="dxa" w:w="60"/>
              <w:bottom w:type="dxa" w:w="40"/>
              <w:right w:type="dxa" w:w="60"/>
            </w:tcMar>
          </w:tcPr>
          <w:p>
            <w:r>
              <w:rPr>
                <w:rFonts w:ascii="Calibri" w:cs="Calibri" w:eastAsia="Calibri" w:hAnsi="Calibri"/>
                <w:b w:val="false"/>
                <w:bCs w:val="false"/>
                <w:sz w:val="17"/>
                <w:szCs w:val="17"/>
              </w:rPr>
              <w:t xml:space="preserve">Q2 bank earnings (GS, JPM, C)</w:t>
            </w:r>
          </w:p>
        </w:tc>
        <w:tc>
          <w:tcPr>
            <w:tcW w:type="dxa" w:w="2100"/>
            <w:tcMar>
              <w:top w:type="dxa" w:w="40"/>
              <w:left w:type="dxa" w:w="60"/>
              <w:bottom w:type="dxa" w:w="40"/>
              <w:right w:type="dxa" w:w="60"/>
            </w:tcMar>
          </w:tcPr>
          <w:p>
            <w:r>
              <w:rPr>
                <w:rFonts w:ascii="Calibri" w:cs="Calibri" w:eastAsia="Calibri" w:hAnsi="Calibri"/>
                <w:b w:val="false"/>
                <w:bCs w:val="false"/>
                <w:sz w:val="17"/>
                <w:szCs w:val="17"/>
              </w:rPr>
              <w:t xml:space="preserve">Broad beats</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Medium</w:t>
            </w:r>
          </w:p>
        </w:tc>
        <w:tc>
          <w:tcPr>
            <w:tcW w:type="dxa" w:w="2810"/>
            <w:tcMar>
              <w:top w:type="dxa" w:w="40"/>
              <w:left w:type="dxa" w:w="60"/>
              <w:bottom w:type="dxa" w:w="40"/>
              <w:right w:type="dxa" w:w="60"/>
            </w:tcMar>
          </w:tcPr>
          <w:p>
            <w:r>
              <w:rPr>
                <w:rFonts w:ascii="Calibri" w:cs="Calibri" w:eastAsia="Calibri" w:hAnsi="Calibri"/>
                <w:b w:val="false"/>
                <w:bCs w:val="false"/>
                <w:sz w:val="17"/>
                <w:szCs w:val="17"/>
              </w:rPr>
              <w:t xml:space="preserve">Supported financials; GS all-time high.</w:t>
            </w:r>
          </w:p>
        </w:tc>
      </w:tr>
    </w:tbl>
    <w:p>
      <w:pPr>
        <w:pStyle w:val="Heading2"/>
        <w:spacing w:after="70" w:before="160"/>
      </w:pPr>
      <w:r>
        <w:rPr>
          <w:rFonts w:ascii="Calibri" w:cs="Calibri" w:eastAsia="Calibri" w:hAnsi="Calibri"/>
          <w:b/>
          <w:bCs/>
          <w:color w:val="555555"/>
          <w:sz w:val="22"/>
          <w:szCs w:val="22"/>
        </w:rPr>
        <w:t xml:space="preserve">§13d  News Calendar — Upcoming Period</w:t>
      </w:r>
    </w:p>
    <w:tbl>
      <w:tblPr>
        <w:tblW w:type="dxa" w:w="9160"/>
        <w:tblBorders>
          <w:top w:val="single" w:color="AAAAAA" w:sz="2"/>
          <w:left w:val="single" w:color="AAAAAA" w:sz="2"/>
          <w:bottom w:val="single" w:color="AAAAAA" w:sz="2"/>
          <w:right w:val="single" w:color="AAAAAA" w:sz="2"/>
          <w:insideH w:val="single" w:color="CCCCCC" w:sz="1"/>
          <w:insideV w:val="single" w:color="CCCCCC" w:sz="1"/>
        </w:tblBorders>
      </w:tblPr>
      <w:tblGrid>
        <w:gridCol w:w="1250"/>
        <w:gridCol w:w="2400"/>
        <w:gridCol w:w="900"/>
        <w:gridCol w:w="4610"/>
      </w:tblGrid>
      <w:tr>
        <w:trPr>
          <w:tblHeader/>
        </w:trPr>
        <w:tc>
          <w:tcPr>
            <w:tcW w:type="dxa" w:w="125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Date</w:t>
            </w:r>
          </w:p>
        </w:tc>
        <w:tc>
          <w:tcPr>
            <w:tcW w:type="dxa" w:w="24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Event</w:t>
            </w:r>
          </w:p>
        </w:tc>
        <w:tc>
          <w:tcPr>
            <w:tcW w:type="dxa" w:w="9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Impact</w:t>
            </w:r>
          </w:p>
        </w:tc>
        <w:tc>
          <w:tcPr>
            <w:tcW w:type="dxa" w:w="461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Market implication (beat / miss)</w:t>
            </w:r>
          </w:p>
        </w:tc>
      </w:tr>
      <w:tr>
        <w:trPr>
          <w:tblHeader w:val="false"/>
        </w:trPr>
        <w:tc>
          <w:tcPr>
            <w:tcW w:type="dxa" w:w="1250"/>
            <w:tcMar>
              <w:top w:type="dxa" w:w="40"/>
              <w:left w:type="dxa" w:w="60"/>
              <w:bottom w:type="dxa" w:w="40"/>
              <w:right w:type="dxa" w:w="60"/>
            </w:tcMar>
          </w:tcPr>
          <w:p>
            <w:r>
              <w:rPr>
                <w:rFonts w:ascii="Calibri" w:cs="Calibri" w:eastAsia="Calibri" w:hAnsi="Calibri"/>
                <w:b w:val="false"/>
                <w:bCs w:val="false"/>
                <w:sz w:val="17"/>
                <w:szCs w:val="17"/>
              </w:rPr>
              <w:t xml:space="preserve">Wed 15 Jul</w:t>
            </w:r>
          </w:p>
        </w:tc>
        <w:tc>
          <w:tcPr>
            <w:tcW w:type="dxa" w:w="2400"/>
            <w:tcMar>
              <w:top w:type="dxa" w:w="40"/>
              <w:left w:type="dxa" w:w="60"/>
              <w:bottom w:type="dxa" w:w="40"/>
              <w:right w:type="dxa" w:w="60"/>
            </w:tcMar>
          </w:tcPr>
          <w:p>
            <w:r>
              <w:rPr>
                <w:rFonts w:ascii="Calibri" w:cs="Calibri" w:eastAsia="Calibri" w:hAnsi="Calibri"/>
                <w:b w:val="false"/>
                <w:bCs w:val="false"/>
                <w:sz w:val="17"/>
                <w:szCs w:val="17"/>
              </w:rPr>
              <w:t xml:space="preserve">PPI (June)</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High</w:t>
            </w:r>
          </w:p>
        </w:tc>
        <w:tc>
          <w:tcPr>
            <w:tcW w:type="dxa" w:w="4610"/>
            <w:tcMar>
              <w:top w:type="dxa" w:w="40"/>
              <w:left w:type="dxa" w:w="60"/>
              <w:bottom w:type="dxa" w:w="40"/>
              <w:right w:type="dxa" w:w="60"/>
            </w:tcMar>
          </w:tcPr>
          <w:p>
            <w:r>
              <w:rPr>
                <w:rFonts w:ascii="Calibri" w:cs="Calibri" w:eastAsia="Calibri" w:hAnsi="Calibri"/>
                <w:b w:val="false"/>
                <w:bCs w:val="false"/>
                <w:sz w:val="17"/>
                <w:szCs w:val="17"/>
              </w:rPr>
              <w:t xml:space="preserve">Soft PPI → confirms disinflation, supports breakout &gt; 7,580; hot PPI → revives hike fears, pressures toward 7,490.</w:t>
            </w:r>
          </w:p>
        </w:tc>
      </w:tr>
      <w:tr>
        <w:trPr>
          <w:tblHeader w:val="false"/>
        </w:trPr>
        <w:tc>
          <w:tcPr>
            <w:tcW w:type="dxa" w:w="125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Wed 15 Jul</w:t>
            </w:r>
          </w:p>
        </w:tc>
        <w:tc>
          <w:tcPr>
            <w:tcW w:type="dxa" w:w="24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Fed Chair Warsh testimony</w:t>
            </w:r>
          </w:p>
        </w:tc>
        <w:tc>
          <w:tcPr>
            <w:tcW w:type="dxa" w:w="9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High</w:t>
            </w:r>
          </w:p>
        </w:tc>
        <w:tc>
          <w:tcPr>
            <w:tcW w:type="dxa" w:w="461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Hawkish tone → dollar/vol up, equity headwind; balanced tone → relief rally.</w:t>
            </w:r>
          </w:p>
        </w:tc>
      </w:tr>
      <w:tr>
        <w:trPr>
          <w:tblHeader w:val="false"/>
        </w:trPr>
        <w:tc>
          <w:tcPr>
            <w:tcW w:type="dxa" w:w="1250"/>
            <w:tcMar>
              <w:top w:type="dxa" w:w="40"/>
              <w:left w:type="dxa" w:w="60"/>
              <w:bottom w:type="dxa" w:w="40"/>
              <w:right w:type="dxa" w:w="60"/>
            </w:tcMar>
          </w:tcPr>
          <w:p>
            <w:r>
              <w:rPr>
                <w:rFonts w:ascii="Calibri" w:cs="Calibri" w:eastAsia="Calibri" w:hAnsi="Calibri"/>
                <w:b w:val="false"/>
                <w:bCs w:val="false"/>
                <w:sz w:val="17"/>
                <w:szCs w:val="17"/>
              </w:rPr>
              <w:t xml:space="preserve">15–17 Jul</w:t>
            </w:r>
          </w:p>
        </w:tc>
        <w:tc>
          <w:tcPr>
            <w:tcW w:type="dxa" w:w="2400"/>
            <w:tcMar>
              <w:top w:type="dxa" w:w="40"/>
              <w:left w:type="dxa" w:w="60"/>
              <w:bottom w:type="dxa" w:w="40"/>
              <w:right w:type="dxa" w:w="60"/>
            </w:tcMar>
          </w:tcPr>
          <w:p>
            <w:r>
              <w:rPr>
                <w:rFonts w:ascii="Calibri" w:cs="Calibri" w:eastAsia="Calibri" w:hAnsi="Calibri"/>
                <w:b w:val="false"/>
                <w:bCs w:val="false"/>
                <w:sz w:val="17"/>
                <w:szCs w:val="17"/>
              </w:rPr>
              <w:t xml:space="preserve">Mega-cap &amp; remaining bank earnings</w:t>
            </w:r>
          </w:p>
        </w:tc>
        <w:tc>
          <w:tcPr>
            <w:tcW w:type="dxa" w:w="900"/>
            <w:tcMar>
              <w:top w:type="dxa" w:w="40"/>
              <w:left w:type="dxa" w:w="60"/>
              <w:bottom w:type="dxa" w:w="40"/>
              <w:right w:type="dxa" w:w="60"/>
            </w:tcMar>
          </w:tcPr>
          <w:p>
            <w:r>
              <w:rPr>
                <w:rFonts w:ascii="Calibri" w:cs="Calibri" w:eastAsia="Calibri" w:hAnsi="Calibri"/>
                <w:b w:val="false"/>
                <w:bCs w:val="false"/>
                <w:sz w:val="17"/>
                <w:szCs w:val="17"/>
              </w:rPr>
              <w:t xml:space="preserve">High</w:t>
            </w:r>
          </w:p>
        </w:tc>
        <w:tc>
          <w:tcPr>
            <w:tcW w:type="dxa" w:w="4610"/>
            <w:tcMar>
              <w:top w:type="dxa" w:w="40"/>
              <w:left w:type="dxa" w:w="60"/>
              <w:bottom w:type="dxa" w:w="40"/>
              <w:right w:type="dxa" w:w="60"/>
            </w:tcMar>
          </w:tcPr>
          <w:p>
            <w:r>
              <w:rPr>
                <w:rFonts w:ascii="Calibri" w:cs="Calibri" w:eastAsia="Calibri" w:hAnsi="Calibri"/>
                <w:b w:val="false"/>
                <w:bCs w:val="false"/>
                <w:sz w:val="17"/>
                <w:szCs w:val="17"/>
              </w:rPr>
              <w:t xml:space="preserve">Beats extend the semiconductor-led bid; misses cap the range.</w:t>
            </w:r>
          </w:p>
        </w:tc>
      </w:tr>
    </w:tbl>
    <w:p>
      <w:pPr>
        <w:spacing w:after="120"/>
      </w:pPr>
      <w:r>
        <w:rPr>
          <w:rFonts w:ascii="Calibri" w:cs="Calibri" w:eastAsia="Calibri" w:hAnsi="Calibri"/>
          <w:b/>
          <w:bCs/>
          <w:sz w:val="20"/>
          <w:szCs w:val="20"/>
        </w:rPr>
        <w:t xml:space="preserve">Highest-impact upcoming event: </w:t>
      </w:r>
      <w:r>
        <w:rPr>
          <w:rFonts w:ascii="Calibri" w:cs="Calibri" w:eastAsia="Calibri" w:hAnsi="Calibri"/>
          <w:sz w:val="20"/>
          <w:szCs w:val="20"/>
        </w:rPr>
        <w:t xml:space="preserve">the combined 15 Jul PPI print and Warsh testimony — a soft PPI paired with a non-hawkish Warsh would most plausibly convert the current range-top compression into a confirmed breakout above 7,580, while a hot PPI or hawkish testimony would reassert the 7,490 support test.</w:t>
      </w:r>
    </w:p>
    <w:p>
      <w:pPr>
        <w:pStyle w:val="Heading1"/>
        <w:spacing w:after="120" w:before="260"/>
      </w:pPr>
      <w:r>
        <w:rPr>
          <w:rFonts w:ascii="Calibri" w:cs="Calibri" w:eastAsia="Calibri" w:hAnsi="Calibri"/>
          <w:b/>
          <w:bCs/>
          <w:color w:val="9C6500"/>
          <w:sz w:val="26"/>
          <w:szCs w:val="26"/>
        </w:rPr>
        <w:t xml:space="preserve">§14  Macro Context</w:t>
      </w:r>
    </w:p>
    <w:p>
      <w:pPr>
        <w:spacing w:after="120" w:before="0"/>
      </w:pPr>
      <w:r>
        <w:rPr>
          <w:rFonts w:ascii="Calibri" w:cs="Calibri" w:eastAsia="Calibri" w:hAnsi="Calibri"/>
          <w:sz w:val="20"/>
          <w:szCs w:val="20"/>
        </w:rPr>
        <w:t xml:space="preserve">Rates &amp; policy: markets still price meaningful odds of a September Fed hike despite the softer CPI; Warsh has stressed no tolerance for persistent inflation. Cross-referencing §10, the easing VIX suggests the market is discounting an imminent policy shock rather than fearing one. Inflation: June CPI at 3.5% (core 2.6%, first monthly decline since 2020) is price-supportive near-term. Liquidity/FX: the USDX has softened toward ~100.7–100.9 (§10), a mild tailwind for multinational earnings translation. Energy: the Hormuz-driven oil spike is the principal macro risk — a sustained move higher is the clearest channel to a renewed equity drawdown and is flagged as the key watch item alongside §13d's PPI/Warsh events.</w:t>
      </w:r>
    </w:p>
    <w:p>
      <w:pPr>
        <w:pStyle w:val="Heading1"/>
        <w:spacing w:after="120" w:before="260"/>
      </w:pPr>
      <w:r>
        <w:rPr>
          <w:rFonts w:ascii="Calibri" w:cs="Calibri" w:eastAsia="Calibri" w:hAnsi="Calibri"/>
          <w:b/>
          <w:bCs/>
          <w:color w:val="1F3864"/>
          <w:sz w:val="26"/>
          <w:szCs w:val="26"/>
        </w:rPr>
        <w:t xml:space="preserve">§15  Bull / Bear Balance</w:t>
      </w:r>
    </w:p>
    <w:tbl>
      <w:tblPr>
        <w:tblW w:type="dxa" w:w="9200"/>
        <w:tblBorders>
          <w:top w:val="single" w:color="AAAAAA" w:sz="2"/>
          <w:left w:val="single" w:color="AAAAAA" w:sz="2"/>
          <w:bottom w:val="single" w:color="AAAAAA" w:sz="2"/>
          <w:right w:val="single" w:color="AAAAAA" w:sz="2"/>
          <w:insideH w:val="single" w:color="CCCCCC" w:sz="1"/>
          <w:insideV w:val="single" w:color="CCCCCC" w:sz="1"/>
        </w:tblBorders>
      </w:tblPr>
      <w:tblGrid>
        <w:gridCol w:w="4600"/>
        <w:gridCol w:w="4600"/>
      </w:tblGrid>
      <w:tr>
        <w:trPr>
          <w:tblHeader/>
        </w:trPr>
        <w:tc>
          <w:tcPr>
            <w:tcW w:type="dxa" w:w="46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Upside risks</w:t>
            </w:r>
          </w:p>
        </w:tc>
        <w:tc>
          <w:tcPr>
            <w:tcW w:type="dxa" w:w="46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Downside risks</w:t>
            </w:r>
          </w:p>
        </w:tc>
      </w:tr>
      <w:tr>
        <w:trPr>
          <w:tblHeader w:val="false"/>
        </w:trPr>
        <w:tc>
          <w:tcPr>
            <w:tcW w:type="dxa" w:w="4600"/>
            <w:tcMar>
              <w:top w:type="dxa" w:w="40"/>
              <w:left w:type="dxa" w:w="60"/>
              <w:bottom w:type="dxa" w:w="40"/>
              <w:right w:type="dxa" w:w="60"/>
            </w:tcMar>
          </w:tcPr>
          <w:p>
            <w:r>
              <w:rPr>
                <w:rFonts w:ascii="Calibri" w:cs="Calibri" w:eastAsia="Calibri" w:hAnsi="Calibri"/>
                <w:b w:val="false"/>
                <w:bCs w:val="false"/>
                <w:sz w:val="17"/>
                <w:szCs w:val="17"/>
              </w:rPr>
              <w:t xml:space="preserve">Cooler CPI + strong bank/chip earnings sustain the semiconductor-led bid; a daily close above 7,580 (range high, §11) triggers a breakout toward R2 7,591 and the measured-move objective.</w:t>
            </w:r>
          </w:p>
        </w:tc>
        <w:tc>
          <w:tcPr>
            <w:tcW w:type="dxa" w:w="4600"/>
            <w:tcMar>
              <w:top w:type="dxa" w:w="40"/>
              <w:left w:type="dxa" w:w="60"/>
              <w:bottom w:type="dxa" w:w="40"/>
              <w:right w:type="dxa" w:w="60"/>
            </w:tcMar>
          </w:tcPr>
          <w:p>
            <w:r>
              <w:rPr>
                <w:rFonts w:ascii="Calibri" w:cs="Calibri" w:eastAsia="Calibri" w:hAnsi="Calibri"/>
                <w:b w:val="false"/>
                <w:bCs w:val="false"/>
                <w:sz w:val="17"/>
                <w:szCs w:val="17"/>
              </w:rPr>
              <w:t xml:space="preserve">A hot 15 Jul PPI or hawkish Warsh testimony (§13d) revives September-hike fears; rejection at range resistance sends price back through daily P 7,528 to the S1 7,490 shelf.</w:t>
            </w:r>
          </w:p>
        </w:tc>
      </w:tr>
      <w:tr>
        <w:trPr>
          <w:tblHeader w:val="false"/>
        </w:trPr>
        <w:tc>
          <w:tcPr>
            <w:tcW w:type="dxa" w:w="4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Easing VIX and softer USDX (§10) confirm receding risk-off pressure.</w:t>
            </w:r>
          </w:p>
        </w:tc>
        <w:tc>
          <w:tcPr>
            <w:tcW w:type="dxa" w:w="4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A sustained Hormuz-driven oil spike (§12/§14) reintroduces stagflation risk and lifts implied volatility.</w:t>
            </w:r>
          </w:p>
        </w:tc>
      </w:tr>
      <w:tr>
        <w:trPr>
          <w:tblHeader w:val="false"/>
        </w:trPr>
        <w:tc>
          <w:tcPr>
            <w:tcW w:type="dxa" w:w="4600"/>
            <w:tcMar>
              <w:top w:type="dxa" w:w="40"/>
              <w:left w:type="dxa" w:w="60"/>
              <w:bottom w:type="dxa" w:w="40"/>
              <w:right w:type="dxa" w:w="60"/>
            </w:tcMar>
          </w:tcPr>
          <w:p>
            <w:r>
              <w:rPr>
                <w:rFonts w:ascii="Calibri" w:cs="Calibri" w:eastAsia="Calibri" w:hAnsi="Calibri"/>
                <w:b w:val="false"/>
                <w:bCs w:val="false"/>
                <w:sz w:val="17"/>
                <w:szCs w:val="17"/>
              </w:rPr>
              <w:t xml:space="preserve">Range-top position (86th percentile, §9) keeps the tape pressed against a breakout trigger.</w:t>
            </w:r>
          </w:p>
        </w:tc>
        <w:tc>
          <w:tcPr>
            <w:tcW w:type="dxa" w:w="4600"/>
            <w:tcMar>
              <w:top w:type="dxa" w:w="40"/>
              <w:left w:type="dxa" w:w="60"/>
              <w:bottom w:type="dxa" w:w="40"/>
              <w:right w:type="dxa" w:w="60"/>
            </w:tcMar>
          </w:tcPr>
          <w:p>
            <w:r>
              <w:rPr>
                <w:rFonts w:ascii="Calibri" w:cs="Calibri" w:eastAsia="Calibri" w:hAnsi="Calibri"/>
                <w:b w:val="false"/>
                <w:bCs w:val="false"/>
                <w:sz w:val="17"/>
                <w:szCs w:val="17"/>
              </w:rPr>
              <w:t xml:space="preserve">IBM-style single-name profit warnings hint at pockets of demand softness that could broaden.</w:t>
            </w:r>
          </w:p>
        </w:tc>
      </w:tr>
    </w:tbl>
    <w:p>
      <w:pPr>
        <w:pStyle w:val="Heading1"/>
        <w:spacing w:after="120" w:before="260"/>
      </w:pPr>
      <w:r>
        <w:rPr>
          <w:rFonts w:ascii="Calibri" w:cs="Calibri" w:eastAsia="Calibri" w:hAnsi="Calibri"/>
          <w:b/>
          <w:bCs/>
          <w:color w:val="1F3864"/>
          <w:sz w:val="26"/>
          <w:szCs w:val="26"/>
        </w:rPr>
        <w:t xml:space="preserve">§16  Forward View</w:t>
      </w:r>
    </w:p>
    <w:p>
      <w:pPr>
        <w:spacing w:after="120" w:before="0"/>
      </w:pPr>
      <w:r>
        <w:rPr>
          <w:rFonts w:ascii="Calibri" w:cs="Calibri" w:eastAsia="Calibri" w:hAnsi="Calibri"/>
          <w:sz w:val="20"/>
          <w:szCs w:val="20"/>
        </w:rPr>
        <w:t xml:space="preserve">Expected direction over the next 5 sessions: a breakout-pending balance with a mild upward lean, trading an estimated 7,490–7,592 range. The base case is range-bound consolidation just under 7,580 resolving on the 15 Jul PPI/Warsh catalysts. This respects the §9 Transitional regime — it does not assert a trend. Base-case invalidation: a decisive daily close below 7,490 (daily S1) reasserts the downside and negates the constructive lean; a daily close above 7,580 confirms the upside breakout. This view is consistent with, and does not contradict, the §9 regime classification.</w:t>
      </w:r>
    </w:p>
    <w:p>
      <w:pPr>
        <w:pStyle w:val="Heading1"/>
        <w:spacing w:after="120" w:before="260"/>
      </w:pPr>
      <w:r>
        <w:rPr>
          <w:rFonts w:ascii="Calibri" w:cs="Calibri" w:eastAsia="Calibri" w:hAnsi="Calibri"/>
          <w:b/>
          <w:bCs/>
          <w:color w:val="1F3864"/>
          <w:sz w:val="26"/>
          <w:szCs w:val="26"/>
        </w:rPr>
        <w:t xml:space="preserve">§17  Forecast</w:t>
      </w:r>
    </w:p>
    <w:p>
      <w:pPr>
        <w:spacing w:after="120"/>
      </w:pPr>
      <w:r>
        <w:rPr>
          <w:rFonts w:ascii="Calibri" w:cs="Calibri" w:eastAsia="Calibri" w:hAnsi="Calibri"/>
          <w:b/>
          <w:bCs/>
          <w:sz w:val="20"/>
          <w:szCs w:val="20"/>
        </w:rPr>
        <w:t xml:space="preserve">The S&amp;P 500 holds a breakout-pending balance just beneath 7,580, biased mildly higher on cooler inflation, easing volatility and a softer dollar, with a confirmed daily close above 7,580 opening 7,591+ and a close below 7,490 reasserting downside.</w:t>
      </w:r>
    </w:p>
    <w:p>
      <w:pPr>
        <w:pStyle w:val="Heading1"/>
        <w:spacing w:after="120" w:before="260"/>
      </w:pPr>
      <w:r>
        <w:rPr>
          <w:rFonts w:ascii="Calibri" w:cs="Calibri" w:eastAsia="Calibri" w:hAnsi="Calibri"/>
          <w:b/>
          <w:bCs/>
          <w:color w:val="1F3864"/>
          <w:sz w:val="26"/>
          <w:szCs w:val="26"/>
        </w:rPr>
        <w:t xml:space="preserve">§18  Final Analyst Judgement</w:t>
      </w:r>
    </w:p>
    <w:tbl>
      <w:tblPr>
        <w:tblW w:type="dxa" w:w="92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6600"/>
      </w:tblGrid>
      <w:tr>
        <w:trPr>
          <w:tblHeader/>
        </w:trPr>
        <w:tc>
          <w:tcPr>
            <w:tcW w:type="dxa" w:w="26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Element</w:t>
            </w:r>
          </w:p>
        </w:tc>
        <w:tc>
          <w:tcPr>
            <w:tcW w:type="dxa" w:w="66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Assessment</w:t>
            </w:r>
          </w:p>
        </w:tc>
      </w:tr>
      <w:tr>
        <w:trPr>
          <w:tblHeader w:val="false"/>
        </w:trPr>
        <w:tc>
          <w:tcPr>
            <w:tcW w:type="dxa" w:w="2600"/>
            <w:tcMar>
              <w:top w:type="dxa" w:w="40"/>
              <w:left w:type="dxa" w:w="60"/>
              <w:bottom w:type="dxa" w:w="40"/>
              <w:right w:type="dxa" w:w="60"/>
            </w:tcMar>
          </w:tcPr>
          <w:p>
            <w:r>
              <w:rPr>
                <w:rFonts w:ascii="Calibri" w:cs="Calibri" w:eastAsia="Calibri" w:hAnsi="Calibri"/>
                <w:b w:val="false"/>
                <w:bCs w:val="false"/>
                <w:sz w:val="17"/>
                <w:szCs w:val="17"/>
              </w:rPr>
              <w:t xml:space="preserve">Consensus price call</w:t>
            </w:r>
          </w:p>
        </w:tc>
        <w:tc>
          <w:tcPr>
            <w:tcW w:type="dxa" w:w="6600"/>
            <w:tcMar>
              <w:top w:type="dxa" w:w="40"/>
              <w:left w:type="dxa" w:w="60"/>
              <w:bottom w:type="dxa" w:w="40"/>
              <w:right w:type="dxa" w:w="60"/>
            </w:tcMar>
          </w:tcPr>
          <w:p>
            <w:r>
              <w:rPr>
                <w:rFonts w:ascii="Calibri" w:cs="Calibri" w:eastAsia="Calibri" w:hAnsi="Calibri"/>
                <w:b w:val="false"/>
                <w:bCs w:val="false"/>
                <w:sz w:val="17"/>
                <w:szCs w:val="17"/>
              </w:rPr>
              <w:t xml:space="preserve">7,543 pts (range 7,515–7,580)</w:t>
            </w:r>
          </w:p>
        </w:tc>
      </w:tr>
      <w:tr>
        <w:trPr>
          <w:tblHeader w:val="false"/>
        </w:trPr>
        <w:tc>
          <w:tcPr>
            <w:tcW w:type="dxa" w:w="2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Confidence</w:t>
            </w:r>
          </w:p>
        </w:tc>
        <w:tc>
          <w:tcPr>
            <w:tcW w:type="dxa" w:w="6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Medium</w:t>
            </w:r>
          </w:p>
        </w:tc>
      </w:tr>
      <w:tr>
        <w:trPr>
          <w:tblHeader w:val="false"/>
        </w:trPr>
        <w:tc>
          <w:tcPr>
            <w:tcW w:type="dxa" w:w="2600"/>
            <w:tcMar>
              <w:top w:type="dxa" w:w="40"/>
              <w:left w:type="dxa" w:w="60"/>
              <w:bottom w:type="dxa" w:w="40"/>
              <w:right w:type="dxa" w:w="60"/>
            </w:tcMar>
          </w:tcPr>
          <w:p>
            <w:r>
              <w:rPr>
                <w:rFonts w:ascii="Calibri" w:cs="Calibri" w:eastAsia="Calibri" w:hAnsi="Calibri"/>
                <w:b w:val="false"/>
                <w:bCs w:val="false"/>
                <w:sz w:val="17"/>
                <w:szCs w:val="17"/>
              </w:rPr>
              <w:t xml:space="preserve">Reason 1</w:t>
            </w:r>
          </w:p>
        </w:tc>
        <w:tc>
          <w:tcPr>
            <w:tcW w:type="dxa" w:w="6600"/>
            <w:tcMar>
              <w:top w:type="dxa" w:w="40"/>
              <w:left w:type="dxa" w:w="60"/>
              <w:bottom w:type="dxa" w:w="40"/>
              <w:right w:type="dxa" w:w="60"/>
            </w:tcMar>
          </w:tcPr>
          <w:p>
            <w:r>
              <w:rPr>
                <w:rFonts w:ascii="Calibri" w:cs="Calibri" w:eastAsia="Calibri" w:hAnsi="Calibri"/>
                <w:b w:val="false"/>
                <w:bCs w:val="false"/>
                <w:sz w:val="17"/>
                <w:szCs w:val="17"/>
              </w:rPr>
              <w:t xml:space="preserve">Latest twice-corroborated cash close coincides with the weighted-median of Core observations.</w:t>
            </w:r>
          </w:p>
        </w:tc>
      </w:tr>
      <w:tr>
        <w:trPr>
          <w:tblHeader w:val="false"/>
        </w:trPr>
        <w:tc>
          <w:tcPr>
            <w:tcW w:type="dxa" w:w="2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Reason 2</w:t>
            </w:r>
          </w:p>
        </w:tc>
        <w:tc>
          <w:tcPr>
            <w:tcW w:type="dxa" w:w="6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Cooler June CPI and strong bank/chip earnings underpin a constructive near-term tone.</w:t>
            </w:r>
          </w:p>
        </w:tc>
      </w:tr>
      <w:tr>
        <w:trPr>
          <w:tblHeader w:val="false"/>
        </w:trPr>
        <w:tc>
          <w:tcPr>
            <w:tcW w:type="dxa" w:w="2600"/>
            <w:tcMar>
              <w:top w:type="dxa" w:w="40"/>
              <w:left w:type="dxa" w:w="60"/>
              <w:bottom w:type="dxa" w:w="40"/>
              <w:right w:type="dxa" w:w="60"/>
            </w:tcMar>
          </w:tcPr>
          <w:p>
            <w:r>
              <w:rPr>
                <w:rFonts w:ascii="Calibri" w:cs="Calibri" w:eastAsia="Calibri" w:hAnsi="Calibri"/>
                <w:b w:val="false"/>
                <w:bCs w:val="false"/>
                <w:sz w:val="17"/>
                <w:szCs w:val="17"/>
              </w:rPr>
              <w:t xml:space="preserve">Reason 3</w:t>
            </w:r>
          </w:p>
        </w:tc>
        <w:tc>
          <w:tcPr>
            <w:tcW w:type="dxa" w:w="6600"/>
            <w:tcMar>
              <w:top w:type="dxa" w:w="40"/>
              <w:left w:type="dxa" w:w="60"/>
              <w:bottom w:type="dxa" w:w="40"/>
              <w:right w:type="dxa" w:w="60"/>
            </w:tcMar>
          </w:tcPr>
          <w:p>
            <w:r>
              <w:rPr>
                <w:rFonts w:ascii="Calibri" w:cs="Calibri" w:eastAsia="Calibri" w:hAnsi="Calibri"/>
                <w:b w:val="false"/>
                <w:bCs w:val="false"/>
                <w:sz w:val="17"/>
                <w:szCs w:val="17"/>
              </w:rPr>
              <w:t xml:space="preserve">Transitional regime with range-top position keeps price pressed against a breakout trigger, capping directional conviction.</w:t>
            </w:r>
          </w:p>
        </w:tc>
      </w:tr>
      <w:tr>
        <w:trPr>
          <w:tblHeader w:val="false"/>
        </w:trPr>
        <w:tc>
          <w:tcPr>
            <w:tcW w:type="dxa" w:w="2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Single watch item</w:t>
            </w:r>
          </w:p>
        </w:tc>
        <w:tc>
          <w:tcPr>
            <w:tcW w:type="dxa" w:w="6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15 Jul PPI + Fed-chair Warsh testimony (breakout vs rejection catalyst).</w:t>
            </w:r>
          </w:p>
        </w:tc>
      </w:tr>
    </w:tbl>
    <w:p>
      <w:pPr>
        <w:pStyle w:val="Heading1"/>
        <w:spacing w:after="120" w:before="260"/>
      </w:pPr>
      <w:r>
        <w:rPr>
          <w:rFonts w:ascii="Calibri" w:cs="Calibri" w:eastAsia="Calibri" w:hAnsi="Calibri"/>
          <w:b/>
          <w:bCs/>
          <w:color w:val="1F3864"/>
          <w:sz w:val="26"/>
          <w:szCs w:val="26"/>
        </w:rPr>
        <w:t xml:space="preserve">§19  Source Discipline Note</w:t>
      </w:r>
    </w:p>
    <w:p>
      <w:pPr>
        <w:spacing w:after="110" w:before="0"/>
      </w:pPr>
      <w:r>
        <w:rPr>
          <w:rFonts w:ascii="Calibri" w:cs="Calibri" w:eastAsia="Calibri" w:hAnsi="Calibri"/>
          <w:sz w:val="20"/>
          <w:szCs w:val="20"/>
        </w:rPr>
        <w:t xml:space="preserve">Live vs indicative: two-source close corroboration was achieved for the S&amp;P 500 cash index on 13 Jul (7,515.34; S&amp;P DJI/FRED) and 14 Jul (7,543.59; S&amp;P DJI/CNBC/Reuters/Bloomberg), inside the ±0.10-point equity tolerance. Intraday Open/High/Low for all five sessions, and the 08–10 Jul closes, are single-source indicative: the only accessible full-OHLC feed was the Investing.com derived (US500/CFD) series, which the instance restrictions exclude from corroborated inputs, while official S&amp;P DJI/FRED provide close-only and Yahoo/Stooq historical OHLC was paywalled or blocked to automated access.</w:t>
      </w:r>
    </w:p>
    <w:p>
      <w:pPr>
        <w:spacing w:after="120" w:before="0"/>
      </w:pPr>
      <w:r>
        <w:rPr>
          <w:rFonts w:ascii="Calibri" w:cs="Calibri" w:eastAsia="Calibri" w:hAnsi="Calibri"/>
          <w:sz w:val="20"/>
          <w:szCs w:val="20"/>
        </w:rPr>
        <w:t xml:space="preserve">Consequence for pivots and strategies: because all prior-period H/L/C used for the daily, weekly and monthly pivots are single-source indicative, every pivot tier in §11 carries the indicative flag and cannot be used as a corroborated limit level. This propagates to §21: level-based limit orders that would rely solely on indicative pivots are treated with caution and flagged. Corroboration status per instrument — S&amp;P 500: close CORROBORATED, intraday INDICATIVE; VIX/DAX/USDX counters: directional-only (levels indicative). No values were synthesised; where corroboration was unavailable, fields are explicitly labelled rather than estimated. Trade strategies are produced per the standing instruction to proceed under lenient corroboration, with all indicative dependencies disclosed here and in the trade-card caveats.</w:t>
      </w:r>
    </w:p>
    <w:p>
      <w:pPr>
        <w:pStyle w:val="Heading1"/>
        <w:spacing w:after="120" w:before="260"/>
      </w:pPr>
      <w:r>
        <w:rPr>
          <w:rFonts w:ascii="Calibri" w:cs="Calibri" w:eastAsia="Calibri" w:hAnsi="Calibri"/>
          <w:b/>
          <w:bCs/>
          <w:color w:val="9C6500"/>
          <w:sz w:val="26"/>
          <w:szCs w:val="26"/>
        </w:rPr>
        <w:t xml:space="preserve">§20  Agent Log</w:t>
      </w:r>
    </w:p>
    <w:p>
      <w:pPr>
        <w:spacing w:after="110" w:before="0"/>
      </w:pPr>
      <w:r>
        <w:rPr>
          <w:rFonts w:ascii="Calibri" w:cs="Calibri" w:eastAsia="Calibri" w:hAnsi="Calibri"/>
          <w:sz w:val="20"/>
          <w:szCs w:val="20"/>
        </w:rPr>
        <w:t xml:space="preserve">Sources attempted (close corroboration): S&amp;P Dow Jones Indices (official), FRED SP500, CNBC, Reuters/Zacks, Bloomberg — corroborated pair for 14 Jul: S&amp;P DJI × CNBC/Reuters, delta 0.00 pts, tolerance ±0.10. For 13 Jul: S&amp;P DJI/FRED × Zacks/Yahoo, delta ≈0.13 (close, at tolerance edge; official value adopted). Intraday OHLC: Investing.com derived (single source, flagged indicative); Stooq (robots-blocked), Yahoo historical (paywalled/cached), Barchart/TradingView (not reached before sufficient close corroboration). No DataCorroborationError raised — proceeding under the user's lenient-corroboration standing instruction; single-source fields logged above and in §19.</w:t>
      </w:r>
    </w:p>
    <w:p>
      <w:pPr>
        <w:spacing w:after="110" w:before="0"/>
      </w:pPr>
      <w:r>
        <w:rPr>
          <w:rFonts w:ascii="Calibri" w:cs="Calibri" w:eastAsia="Calibri" w:hAnsi="Calibri"/>
          <w:sz w:val="20"/>
          <w:szCs w:val="20"/>
        </w:rPr>
        <w:t xml:space="preserve">Validation method: RSI2 (period 2, Wilder) from the validated close sequence; ATR(14) from the extended true-range series; KER (13, EMA-3); pivots via the floor-trader formula from prior-period H/L/C. Sentiment tilt +0.20 derived from six §13a articles under §9c source-class weighting (media 0.5, trade 0.7). Direction-score weights basis: DEFAULTS (0.25/0.20/0.10/0.15/0.15/0.15) — v2.1 baseline, within the 20-session lock; no tuning applied.</w:t>
      </w:r>
    </w:p>
    <w:p>
      <w:pPr>
        <w:spacing w:after="120" w:before="0"/>
      </w:pPr>
      <w:r>
        <w:rPr>
          <w:rFonts w:ascii="Calibri" w:cs="Calibri" w:eastAsia="Calibri" w:hAnsi="Calibri"/>
          <w:sz w:val="20"/>
          <w:szCs w:val="20"/>
        </w:rPr>
        <w:t xml:space="preserve">M5 trace: regime_label = TRANSITION (KER Trending-Up vs negative VOLator slope → dual-gate fall-through). Direction score +0.42 → LONG (above 0.25 threshold). Signal contributions: short-term technical +0.25, medium-term regime +0.10, VOLator −0.05, Kaufman +0.05, sentiment +0.03, cross-asset +0.05. Suppressions: Trade 3C suppressed (no confirmed break above 7,580); Trade 2 flagged indicative (pivots single-source). Backtest reconstructed 5 sessions (08–14 Jul), sentiment frozen per t−1; positions resolve on the single forward bar with SL-first tick priority — all five Trade-1 reconstructions returned OPEN at t+1 (intraday TP/SL not reached from the session open under a ~1×ATR band). Timestamp: 15 Jul 2026, 07:00 UK anchor.</w:t>
      </w:r>
    </w:p>
    <w:p>
      <w:pPr>
        <w:pStyle w:val="Heading1"/>
        <w:spacing w:after="120" w:before="260"/>
      </w:pPr>
      <w:r>
        <w:rPr>
          <w:rFonts w:ascii="Calibri" w:cs="Calibri" w:eastAsia="Calibri" w:hAnsi="Calibri"/>
          <w:b/>
          <w:bCs/>
          <w:color w:val="8E2A5A"/>
          <w:sz w:val="26"/>
          <w:szCs w:val="26"/>
        </w:rPr>
        <w:t xml:space="preserve">§21  Strategy Recommendations</w:t>
      </w:r>
    </w:p>
    <w:p>
      <w:pPr>
        <w:pStyle w:val="Heading2"/>
        <w:spacing w:after="70" w:before="160"/>
      </w:pPr>
      <w:r>
        <w:rPr>
          <w:rFonts w:ascii="Calibri" w:cs="Calibri" w:eastAsia="Calibri" w:hAnsi="Calibri"/>
          <w:b/>
          <w:bCs/>
          <w:color w:val="555555"/>
          <w:sz w:val="22"/>
          <w:szCs w:val="22"/>
        </w:rPr>
        <w:t xml:space="preserve">§21a  Directional Conviction</w:t>
      </w:r>
    </w:p>
    <w:p>
      <w:pPr>
        <w:spacing w:after="120"/>
      </w:pPr>
      <w:r>
        <w:rPr>
          <w:rFonts w:ascii="Calibri" w:cs="Calibri" w:eastAsia="Calibri" w:hAnsi="Calibri"/>
          <w:b/>
          <w:bCs/>
          <w:sz w:val="20"/>
          <w:szCs w:val="20"/>
        </w:rPr>
        <w:t xml:space="preserve">Direction: LONG. Score: +0.42 (weights basis: defaults). </w:t>
      </w:r>
      <w:r>
        <w:rPr>
          <w:rFonts w:ascii="Calibri" w:cs="Calibri" w:eastAsia="Calibri" w:hAnsi="Calibri"/>
          <w:sz w:val="20"/>
          <w:szCs w:val="20"/>
        </w:rPr>
        <w:t xml:space="preserve">The three highest-weighted contributing signals are short-term technical bias (§8) +0.25, cross-asset confirmation (§10) +0.05, and medium-term regime (§9) +0.10, with a supporting sentiment tilt (§13b) of +0.03. Conflict flag: the LONG conviction sits alongside a §17 forecast that is only mildly upward and explicitly breakout-pending — the directional score is more constructive than the forecast's balanced framing; both outputs are retained unchanged.</w:t>
      </w:r>
    </w:p>
    <w:p>
      <w:pPr>
        <w:pStyle w:val="Heading2"/>
        <w:spacing w:after="70" w:before="160"/>
      </w:pPr>
      <w:r>
        <w:rPr>
          <w:rFonts w:ascii="Calibri" w:cs="Calibri" w:eastAsia="Calibri" w:hAnsi="Calibri"/>
          <w:b/>
          <w:bCs/>
          <w:color w:val="555555"/>
          <w:sz w:val="22"/>
          <w:szCs w:val="22"/>
        </w:rPr>
        <w:t xml:space="preserve">§21b  Trade Cards</w:t>
      </w:r>
    </w:p>
    <w:p>
      <w:pPr>
        <w:spacing w:after="120"/>
      </w:pPr>
      <w:r>
        <w:rPr>
          <w:rFonts w:ascii="Calibri" w:cs="Calibri" w:eastAsia="Calibri" w:hAnsi="Calibri"/>
          <w:b/>
          <w:bCs/>
          <w:color w:val="8E2A5A"/>
          <w:sz w:val="20"/>
          <w:szCs w:val="20"/>
        </w:rPr>
        <w:t xml:space="preserve">Trade 1 — Daily Directional (LONG)</w:t>
      </w:r>
    </w:p>
    <w:tbl>
      <w:tblPr>
        <w:tblW w:type="dxa" w:w="92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6600"/>
      </w:tblGrid>
      <w:tr>
        <w:trPr>
          <w:tblHeader/>
        </w:trPr>
        <w:tc>
          <w:tcPr>
            <w:tcW w:type="dxa" w:w="26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Field</w:t>
            </w:r>
          </w:p>
        </w:tc>
        <w:tc>
          <w:tcPr>
            <w:tcW w:type="dxa" w:w="66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Detail</w:t>
            </w:r>
          </w:p>
        </w:tc>
      </w:tr>
      <w:tr>
        <w:trPr>
          <w:tblHeader w:val="false"/>
        </w:trPr>
        <w:tc>
          <w:tcPr>
            <w:tcW w:type="dxa" w:w="2600"/>
            <w:tcMar>
              <w:top w:type="dxa" w:w="40"/>
              <w:left w:type="dxa" w:w="60"/>
              <w:bottom w:type="dxa" w:w="40"/>
              <w:right w:type="dxa" w:w="60"/>
            </w:tcMar>
          </w:tcPr>
          <w:p>
            <w:r>
              <w:rPr>
                <w:rFonts w:ascii="Calibri" w:cs="Calibri" w:eastAsia="Calibri" w:hAnsi="Calibri"/>
                <w:b w:val="false"/>
                <w:bCs w:val="false"/>
                <w:sz w:val="17"/>
                <w:szCs w:val="17"/>
              </w:rPr>
              <w:t xml:space="preserve">Direction</w:t>
            </w:r>
          </w:p>
        </w:tc>
        <w:tc>
          <w:tcPr>
            <w:tcW w:type="dxa" w:w="6600"/>
            <w:tcMar>
              <w:top w:type="dxa" w:w="40"/>
              <w:left w:type="dxa" w:w="60"/>
              <w:bottom w:type="dxa" w:w="40"/>
              <w:right w:type="dxa" w:w="60"/>
            </w:tcMar>
          </w:tcPr>
          <w:p>
            <w:r>
              <w:rPr>
                <w:rFonts w:ascii="Calibri" w:cs="Calibri" w:eastAsia="Calibri" w:hAnsi="Calibri"/>
                <w:b w:val="false"/>
                <w:bCs w:val="false"/>
                <w:sz w:val="17"/>
                <w:szCs w:val="17"/>
              </w:rPr>
              <w:t xml:space="preserve">LONG — score +0.42 above conviction threshold.</w:t>
            </w:r>
          </w:p>
        </w:tc>
      </w:tr>
      <w:tr>
        <w:trPr>
          <w:tblHeader w:val="false"/>
        </w:trPr>
        <w:tc>
          <w:tcPr>
            <w:tcW w:type="dxa" w:w="2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Entry</w:t>
            </w:r>
          </w:p>
        </w:tc>
        <w:tc>
          <w:tcPr>
            <w:tcW w:type="dxa" w:w="6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Market at 07:00 UK anchor (15 Jul), ≈ 7,543.6 pts.</w:t>
            </w:r>
          </w:p>
        </w:tc>
      </w:tr>
      <w:tr>
        <w:trPr>
          <w:tblHeader w:val="false"/>
        </w:trPr>
        <w:tc>
          <w:tcPr>
            <w:tcW w:type="dxa" w:w="2600"/>
            <w:tcMar>
              <w:top w:type="dxa" w:w="40"/>
              <w:left w:type="dxa" w:w="60"/>
              <w:bottom w:type="dxa" w:w="40"/>
              <w:right w:type="dxa" w:w="60"/>
            </w:tcMar>
          </w:tcPr>
          <w:p>
            <w:r>
              <w:rPr>
                <w:rFonts w:ascii="Calibri" w:cs="Calibri" w:eastAsia="Calibri" w:hAnsi="Calibri"/>
                <w:b w:val="false"/>
                <w:bCs w:val="false"/>
                <w:sz w:val="17"/>
                <w:szCs w:val="17"/>
              </w:rPr>
              <w:t xml:space="preserve">Stop loss</w:t>
            </w:r>
          </w:p>
        </w:tc>
        <w:tc>
          <w:tcPr>
            <w:tcW w:type="dxa" w:w="6600"/>
            <w:tcMar>
              <w:top w:type="dxa" w:w="40"/>
              <w:left w:type="dxa" w:w="60"/>
              <w:bottom w:type="dxa" w:w="40"/>
              <w:right w:type="dxa" w:w="60"/>
            </w:tcMar>
          </w:tcPr>
          <w:p>
            <w:r>
              <w:rPr>
                <w:rFonts w:ascii="Calibri" w:cs="Calibri" w:eastAsia="Calibri" w:hAnsi="Calibri"/>
                <w:b w:val="false"/>
                <w:bCs w:val="false"/>
                <w:sz w:val="17"/>
                <w:szCs w:val="17"/>
              </w:rPr>
              <w:t xml:space="preserve">7,483.4 pts — 60 points below entry (anchor: 5-day swing low 7,421.8 / 13 Jul low 7,503 + 0.25×ATR buffer; within the 3.5×ATR cap).</w:t>
            </w:r>
          </w:p>
        </w:tc>
      </w:tr>
      <w:tr>
        <w:trPr>
          <w:tblHeader w:val="false"/>
        </w:trPr>
        <w:tc>
          <w:tcPr>
            <w:tcW w:type="dxa" w:w="2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Risk (R)</w:t>
            </w:r>
          </w:p>
        </w:tc>
        <w:tc>
          <w:tcPr>
            <w:tcW w:type="dxa" w:w="6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60.2 points (≈ 60 points).</w:t>
            </w:r>
          </w:p>
        </w:tc>
      </w:tr>
      <w:tr>
        <w:trPr>
          <w:tblHeader w:val="false"/>
        </w:trPr>
        <w:tc>
          <w:tcPr>
            <w:tcW w:type="dxa" w:w="2600"/>
            <w:tcMar>
              <w:top w:type="dxa" w:w="40"/>
              <w:left w:type="dxa" w:w="60"/>
              <w:bottom w:type="dxa" w:w="40"/>
              <w:right w:type="dxa" w:w="60"/>
            </w:tcMar>
          </w:tcPr>
          <w:p>
            <w:r>
              <w:rPr>
                <w:rFonts w:ascii="Calibri" w:cs="Calibri" w:eastAsia="Calibri" w:hAnsi="Calibri"/>
                <w:b w:val="false"/>
                <w:bCs w:val="false"/>
                <w:sz w:val="17"/>
                <w:szCs w:val="17"/>
              </w:rPr>
              <w:t xml:space="preserve">TP1 (Unit 1, +1R)</w:t>
            </w:r>
          </w:p>
        </w:tc>
        <w:tc>
          <w:tcPr>
            <w:tcW w:type="dxa" w:w="6600"/>
            <w:tcMar>
              <w:top w:type="dxa" w:w="40"/>
              <w:left w:type="dxa" w:w="60"/>
              <w:bottom w:type="dxa" w:w="40"/>
              <w:right w:type="dxa" w:w="60"/>
            </w:tcMar>
          </w:tcPr>
          <w:p>
            <w:r>
              <w:rPr>
                <w:rFonts w:ascii="Calibri" w:cs="Calibri" w:eastAsia="Calibri" w:hAnsi="Calibri"/>
                <w:b w:val="false"/>
                <w:bCs w:val="false"/>
                <w:sz w:val="17"/>
                <w:szCs w:val="17"/>
              </w:rPr>
              <w:t xml:space="preserve">7,603.8 pts (+60 points).</w:t>
            </w:r>
          </w:p>
        </w:tc>
      </w:tr>
      <w:tr>
        <w:trPr>
          <w:tblHeader w:val="false"/>
        </w:trPr>
        <w:tc>
          <w:tcPr>
            <w:tcW w:type="dxa" w:w="2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TP2 (Unit 2, +2R)</w:t>
            </w:r>
          </w:p>
        </w:tc>
        <w:tc>
          <w:tcPr>
            <w:tcW w:type="dxa" w:w="6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7,664.0 pts (+120 points). On fill, Unit 3 SL → entry +0.2R (≈ 7,555.6).</w:t>
            </w:r>
          </w:p>
        </w:tc>
      </w:tr>
      <w:tr>
        <w:trPr>
          <w:tblHeader w:val="false"/>
        </w:trPr>
        <w:tc>
          <w:tcPr>
            <w:tcW w:type="dxa" w:w="2600"/>
            <w:tcMar>
              <w:top w:type="dxa" w:w="40"/>
              <w:left w:type="dxa" w:w="60"/>
              <w:bottom w:type="dxa" w:w="40"/>
              <w:right w:type="dxa" w:w="60"/>
            </w:tcMar>
          </w:tcPr>
          <w:p>
            <w:r>
              <w:rPr>
                <w:rFonts w:ascii="Calibri" w:cs="Calibri" w:eastAsia="Calibri" w:hAnsi="Calibri"/>
                <w:b w:val="false"/>
                <w:bCs w:val="false"/>
                <w:sz w:val="17"/>
                <w:szCs w:val="17"/>
              </w:rPr>
              <w:t xml:space="preserve">TP3 (Unit 3, runner)</w:t>
            </w:r>
          </w:p>
        </w:tc>
        <w:tc>
          <w:tcPr>
            <w:tcW w:type="dxa" w:w="6600"/>
            <w:tcMar>
              <w:top w:type="dxa" w:w="40"/>
              <w:left w:type="dxa" w:w="60"/>
              <w:bottom w:type="dxa" w:w="40"/>
              <w:right w:type="dxa" w:w="60"/>
            </w:tcMar>
          </w:tcPr>
          <w:p>
            <w:r>
              <w:rPr>
                <w:rFonts w:ascii="Calibri" w:cs="Calibri" w:eastAsia="Calibri" w:hAnsi="Calibri"/>
                <w:b w:val="false"/>
                <w:bCs w:val="false"/>
                <w:sz w:val="17"/>
                <w:szCs w:val="17"/>
              </w:rPr>
              <w:t xml:space="preserve">Time-stop at session close, or 3×ATR cap at 7,779.1 pts (+236 points), whichever first.</w:t>
            </w:r>
          </w:p>
        </w:tc>
      </w:tr>
      <w:tr>
        <w:trPr>
          <w:tblHeader w:val="false"/>
        </w:trPr>
        <w:tc>
          <w:tcPr>
            <w:tcW w:type="dxa" w:w="2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Tranche mgmt</w:t>
            </w:r>
          </w:p>
        </w:tc>
        <w:tc>
          <w:tcPr>
            <w:tcW w:type="dxa" w:w="6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3 equal units; Unit 1 at TP1, Unit 2 at TP2; on Unit 2 fill Unit 3 SL → entry +0.2R.</w:t>
            </w:r>
          </w:p>
        </w:tc>
      </w:tr>
      <w:tr>
        <w:trPr>
          <w:tblHeader w:val="false"/>
        </w:trPr>
        <w:tc>
          <w:tcPr>
            <w:tcW w:type="dxa" w:w="2600"/>
            <w:tcMar>
              <w:top w:type="dxa" w:w="40"/>
              <w:left w:type="dxa" w:w="60"/>
              <w:bottom w:type="dxa" w:w="40"/>
              <w:right w:type="dxa" w:w="60"/>
            </w:tcMar>
          </w:tcPr>
          <w:p>
            <w:r>
              <w:rPr>
                <w:rFonts w:ascii="Calibri" w:cs="Calibri" w:eastAsia="Calibri" w:hAnsi="Calibri"/>
                <w:b w:val="false"/>
                <w:bCs w:val="false"/>
                <w:sz w:val="17"/>
                <w:szCs w:val="17"/>
              </w:rPr>
              <w:t xml:space="preserve">Confluences</w:t>
            </w:r>
          </w:p>
        </w:tc>
        <w:tc>
          <w:tcPr>
            <w:tcW w:type="dxa" w:w="6600"/>
            <w:tcMar>
              <w:top w:type="dxa" w:w="40"/>
              <w:left w:type="dxa" w:w="60"/>
              <w:bottom w:type="dxa" w:w="40"/>
              <w:right w:type="dxa" w:w="60"/>
            </w:tcMar>
          </w:tcPr>
          <w:p>
            <w:r>
              <w:rPr>
                <w:rFonts w:ascii="Calibri" w:cs="Calibri" w:eastAsia="Calibri" w:hAnsi="Calibri"/>
                <w:b w:val="false"/>
                <w:bCs w:val="false"/>
                <w:sz w:val="17"/>
                <w:szCs w:val="17"/>
              </w:rPr>
              <w:t xml:space="preserve">Entry near weekly P (7,545) and daily P (7,528) — balance-point cluster; TP1 near daily R2 (7,591) region.</w:t>
            </w:r>
          </w:p>
        </w:tc>
      </w:tr>
      <w:tr>
        <w:trPr>
          <w:tblHeader w:val="false"/>
        </w:trPr>
        <w:tc>
          <w:tcPr>
            <w:tcW w:type="dxa" w:w="2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Thesis invalidation</w:t>
            </w:r>
          </w:p>
        </w:tc>
        <w:tc>
          <w:tcPr>
            <w:tcW w:type="dxa" w:w="6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Daily close below 7,490 (daily S1) — negates the constructive lean; sits above the stop.</w:t>
            </w:r>
          </w:p>
        </w:tc>
      </w:tr>
      <w:tr>
        <w:trPr>
          <w:tblHeader w:val="false"/>
        </w:trPr>
        <w:tc>
          <w:tcPr>
            <w:tcW w:type="dxa" w:w="2600"/>
            <w:tcMar>
              <w:top w:type="dxa" w:w="40"/>
              <w:left w:type="dxa" w:w="60"/>
              <w:bottom w:type="dxa" w:w="40"/>
              <w:right w:type="dxa" w:w="60"/>
            </w:tcMar>
          </w:tcPr>
          <w:p>
            <w:r>
              <w:rPr>
                <w:rFonts w:ascii="Calibri" w:cs="Calibri" w:eastAsia="Calibri" w:hAnsi="Calibri"/>
                <w:b w:val="false"/>
                <w:bCs w:val="false"/>
                <w:sz w:val="17"/>
                <w:szCs w:val="17"/>
              </w:rPr>
              <w:t xml:space="preserve">Caveats</w:t>
            </w:r>
          </w:p>
        </w:tc>
        <w:tc>
          <w:tcPr>
            <w:tcW w:type="dxa" w:w="6600"/>
            <w:tcMar>
              <w:top w:type="dxa" w:w="40"/>
              <w:left w:type="dxa" w:w="60"/>
              <w:bottom w:type="dxa" w:w="40"/>
              <w:right w:type="dxa" w:w="60"/>
            </w:tcMar>
          </w:tcPr>
          <w:p>
            <w:r>
              <w:rPr>
                <w:rFonts w:ascii="Calibri" w:cs="Calibri" w:eastAsia="Calibri" w:hAnsi="Calibri"/>
                <w:b w:val="false"/>
                <w:bCs w:val="false"/>
                <w:sz w:val="17"/>
                <w:szCs w:val="17"/>
              </w:rPr>
              <w:t xml:space="preserve">Single-source-indicative pivots (§11/§19); holding period collides with 15 Jul PPI + Warsh testimony (§13d); LONG conviction more constructive than §17 forecast.</w:t>
            </w:r>
          </w:p>
        </w:tc>
      </w:tr>
    </w:tbl>
    <w:p>
      <w:pPr>
        <w:spacing w:after="120"/>
      </w:pPr>
      <w:r>
        <w:rPr>
          <w:rFonts w:ascii="Calibri" w:cs="Calibri" w:eastAsia="Calibri" w:hAnsi="Calibri"/>
          <w:b/>
          <w:bCs/>
          <w:color w:val="8E2A5A"/>
          <w:sz w:val="20"/>
          <w:szCs w:val="20"/>
        </w:rPr>
        <w:t xml:space="preserve">Trade 2 — Pivot (TRANSITION, breakout side only)</w:t>
      </w:r>
    </w:p>
    <w:tbl>
      <w:tblPr>
        <w:tblW w:type="dxa" w:w="92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6600"/>
      </w:tblGrid>
      <w:tr>
        <w:trPr>
          <w:tblHeader/>
        </w:trPr>
        <w:tc>
          <w:tcPr>
            <w:tcW w:type="dxa" w:w="26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Field</w:t>
            </w:r>
          </w:p>
        </w:tc>
        <w:tc>
          <w:tcPr>
            <w:tcW w:type="dxa" w:w="66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Detail</w:t>
            </w:r>
          </w:p>
        </w:tc>
      </w:tr>
      <w:tr>
        <w:trPr>
          <w:tblHeader w:val="false"/>
        </w:trPr>
        <w:tc>
          <w:tcPr>
            <w:tcW w:type="dxa" w:w="2600"/>
            <w:tcMar>
              <w:top w:type="dxa" w:w="40"/>
              <w:left w:type="dxa" w:w="60"/>
              <w:bottom w:type="dxa" w:w="40"/>
              <w:right w:type="dxa" w:w="60"/>
            </w:tcMar>
          </w:tcPr>
          <w:p>
            <w:r>
              <w:rPr>
                <w:rFonts w:ascii="Calibri" w:cs="Calibri" w:eastAsia="Calibri" w:hAnsi="Calibri"/>
                <w:b w:val="false"/>
                <w:bCs w:val="false"/>
                <w:sz w:val="17"/>
                <w:szCs w:val="17"/>
              </w:rPr>
              <w:t xml:space="preserve">Direction</w:t>
            </w:r>
          </w:p>
        </w:tc>
        <w:tc>
          <w:tcPr>
            <w:tcW w:type="dxa" w:w="6600"/>
            <w:tcMar>
              <w:top w:type="dxa" w:w="40"/>
              <w:left w:type="dxa" w:w="60"/>
              <w:bottom w:type="dxa" w:w="40"/>
              <w:right w:type="dxa" w:w="60"/>
            </w:tcMar>
          </w:tcPr>
          <w:p>
            <w:r>
              <w:rPr>
                <w:rFonts w:ascii="Calibri" w:cs="Calibri" w:eastAsia="Calibri" w:hAnsi="Calibri"/>
                <w:b w:val="false"/>
                <w:bCs w:val="false"/>
                <w:sz w:val="17"/>
                <w:szCs w:val="17"/>
              </w:rPr>
              <w:t xml:space="preserve">LONG — upside breakout side (aligned with the pending Trade-3C long).</w:t>
            </w:r>
          </w:p>
        </w:tc>
      </w:tr>
      <w:tr>
        <w:trPr>
          <w:tblHeader w:val="false"/>
        </w:trPr>
        <w:tc>
          <w:tcPr>
            <w:tcW w:type="dxa" w:w="2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Entry</w:t>
            </w:r>
          </w:p>
        </w:tc>
        <w:tc>
          <w:tcPr>
            <w:tcW w:type="dxa" w:w="6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Stop-entry at 7,530.6 pts (P + 10% of P→R1), taken only on a confirmed upside push; breakout confirmation is a daily close above range high 7,580.</w:t>
            </w:r>
          </w:p>
        </w:tc>
      </w:tr>
      <w:tr>
        <w:trPr>
          <w:tblHeader w:val="false"/>
        </w:trPr>
        <w:tc>
          <w:tcPr>
            <w:tcW w:type="dxa" w:w="2600"/>
            <w:tcMar>
              <w:top w:type="dxa" w:w="40"/>
              <w:left w:type="dxa" w:w="60"/>
              <w:bottom w:type="dxa" w:w="40"/>
              <w:right w:type="dxa" w:w="60"/>
            </w:tcMar>
          </w:tcPr>
          <w:p>
            <w:r>
              <w:rPr>
                <w:rFonts w:ascii="Calibri" w:cs="Calibri" w:eastAsia="Calibri" w:hAnsi="Calibri"/>
                <w:b w:val="false"/>
                <w:bCs w:val="false"/>
                <w:sz w:val="17"/>
                <w:szCs w:val="17"/>
              </w:rPr>
              <w:t xml:space="preserve">Stop loss</w:t>
            </w:r>
          </w:p>
        </w:tc>
        <w:tc>
          <w:tcPr>
            <w:tcW w:type="dxa" w:w="6600"/>
            <w:tcMar>
              <w:top w:type="dxa" w:w="40"/>
              <w:left w:type="dxa" w:w="60"/>
              <w:bottom w:type="dxa" w:w="40"/>
              <w:right w:type="dxa" w:w="60"/>
            </w:tcMar>
          </w:tcPr>
          <w:p>
            <w:r>
              <w:rPr>
                <w:rFonts w:ascii="Calibri" w:cs="Calibri" w:eastAsia="Calibri" w:hAnsi="Calibri"/>
                <w:b w:val="false"/>
                <w:bCs w:val="false"/>
                <w:sz w:val="17"/>
                <w:szCs w:val="17"/>
              </w:rPr>
              <w:t xml:space="preserve">7,497.8 pts — 33 points below entry (P − 0.8×(P−S1)).</w:t>
            </w:r>
          </w:p>
        </w:tc>
      </w:tr>
      <w:tr>
        <w:trPr>
          <w:tblHeader w:val="false"/>
        </w:trPr>
        <w:tc>
          <w:tcPr>
            <w:tcW w:type="dxa" w:w="2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Risk (R)</w:t>
            </w:r>
          </w:p>
        </w:tc>
        <w:tc>
          <w:tcPr>
            <w:tcW w:type="dxa" w:w="6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32.8 points.</w:t>
            </w:r>
          </w:p>
        </w:tc>
      </w:tr>
      <w:tr>
        <w:trPr>
          <w:tblHeader w:val="false"/>
        </w:trPr>
        <w:tc>
          <w:tcPr>
            <w:tcW w:type="dxa" w:w="2600"/>
            <w:tcMar>
              <w:top w:type="dxa" w:w="40"/>
              <w:left w:type="dxa" w:w="60"/>
              <w:bottom w:type="dxa" w:w="40"/>
              <w:right w:type="dxa" w:w="60"/>
            </w:tcMar>
          </w:tcPr>
          <w:p>
            <w:r>
              <w:rPr>
                <w:rFonts w:ascii="Calibri" w:cs="Calibri" w:eastAsia="Calibri" w:hAnsi="Calibri"/>
                <w:b w:val="false"/>
                <w:bCs w:val="false"/>
                <w:sz w:val="17"/>
                <w:szCs w:val="17"/>
              </w:rPr>
              <w:t xml:space="preserve">TP1 / TP2 / TP3</w:t>
            </w:r>
          </w:p>
        </w:tc>
        <w:tc>
          <w:tcPr>
            <w:tcW w:type="dxa" w:w="6600"/>
            <w:tcMar>
              <w:top w:type="dxa" w:w="40"/>
              <w:left w:type="dxa" w:w="60"/>
              <w:bottom w:type="dxa" w:w="40"/>
              <w:right w:type="dxa" w:w="60"/>
            </w:tcMar>
          </w:tcPr>
          <w:p>
            <w:r>
              <w:rPr>
                <w:rFonts w:ascii="Calibri" w:cs="Calibri" w:eastAsia="Calibri" w:hAnsi="Calibri"/>
                <w:b w:val="false"/>
                <w:bCs w:val="false"/>
                <w:sz w:val="17"/>
                <w:szCs w:val="17"/>
              </w:rPr>
              <w:t xml:space="preserve">R1 7,553.2 / R1.5 7,572.2 / R2 7,591.1 pts.</w:t>
            </w:r>
          </w:p>
        </w:tc>
      </w:tr>
      <w:tr>
        <w:trPr>
          <w:tblHeader w:val="false"/>
        </w:trPr>
        <w:tc>
          <w:tcPr>
            <w:tcW w:type="dxa" w:w="2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Thesis invalidation</w:t>
            </w:r>
          </w:p>
        </w:tc>
        <w:tc>
          <w:tcPr>
            <w:tcW w:type="dxa" w:w="66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Daily close back through P (7,528).</w:t>
            </w:r>
          </w:p>
        </w:tc>
      </w:tr>
      <w:tr>
        <w:trPr>
          <w:tblHeader w:val="false"/>
        </w:trPr>
        <w:tc>
          <w:tcPr>
            <w:tcW w:type="dxa" w:w="2600"/>
            <w:tcMar>
              <w:top w:type="dxa" w:w="40"/>
              <w:left w:type="dxa" w:w="60"/>
              <w:bottom w:type="dxa" w:w="40"/>
              <w:right w:type="dxa" w:w="60"/>
            </w:tcMar>
          </w:tcPr>
          <w:p>
            <w:r>
              <w:rPr>
                <w:rFonts w:ascii="Calibri" w:cs="Calibri" w:eastAsia="Calibri" w:hAnsi="Calibri"/>
                <w:b w:val="false"/>
                <w:bCs w:val="false"/>
                <w:sz w:val="17"/>
                <w:szCs w:val="17"/>
              </w:rPr>
              <w:t xml:space="preserve">Caveats</w:t>
            </w:r>
          </w:p>
        </w:tc>
        <w:tc>
          <w:tcPr>
            <w:tcW w:type="dxa" w:w="6600"/>
            <w:tcMar>
              <w:top w:type="dxa" w:w="40"/>
              <w:left w:type="dxa" w:w="60"/>
              <w:bottom w:type="dxa" w:w="40"/>
              <w:right w:type="dxa" w:w="60"/>
            </w:tcMar>
          </w:tcPr>
          <w:p>
            <w:r>
              <w:rPr>
                <w:rFonts w:ascii="Calibri" w:cs="Calibri" w:eastAsia="Calibri" w:hAnsi="Calibri"/>
                <w:b w:val="false"/>
                <w:bCs w:val="false"/>
                <w:sz w:val="17"/>
                <w:szCs w:val="17"/>
              </w:rPr>
              <w:t xml:space="preserve">INDICATIVE — all accessible pivot tiers are single-source (§19); level not corroborated, treat as directional. Counter-side (short) limit suppressed per Transition rule.</w:t>
            </w:r>
          </w:p>
        </w:tc>
      </w:tr>
    </w:tbl>
    <w:p>
      <w:pPr>
        <w:spacing w:after="120"/>
      </w:pPr>
      <w:r>
        <w:rPr>
          <w:rFonts w:ascii="Calibri" w:cs="Calibri" w:eastAsia="Calibri" w:hAnsi="Calibri"/>
          <w:b/>
          <w:bCs/>
          <w:color w:val="8E2A5A"/>
          <w:sz w:val="20"/>
          <w:szCs w:val="20"/>
        </w:rPr>
        <w:t xml:space="preserve">Trade 3C — Momentum-Breakout (TRANSITION)</w:t>
      </w:r>
    </w:p>
    8E2A5A
    <w:p>
      <w:pPr>
        <w:pStyle w:val="Heading2"/>
        <w:spacing w:after="70" w:before="160"/>
      </w:pPr>
      <w:r>
        <w:rPr>
          <w:rFonts w:ascii="Calibri" w:cs="Calibri" w:eastAsia="Calibri" w:hAnsi="Calibri"/>
          <w:b/>
          <w:bCs/>
          <w:color w:val="555555"/>
          <w:sz w:val="22"/>
          <w:szCs w:val="22"/>
        </w:rPr>
        <w:t xml:space="preserve">§21c  5-Session No-Leakage Backtest</w:t>
      </w:r>
    </w:p>
    <w:tbl>
      <w:tblPr>
        <w:tblW w:type="dxa" w:w="8600"/>
        <w:tblBorders>
          <w:top w:val="single" w:color="AAAAAA" w:sz="2"/>
          <w:left w:val="single" w:color="AAAAAA" w:sz="2"/>
          <w:bottom w:val="single" w:color="AAAAAA" w:sz="2"/>
          <w:right w:val="single" w:color="AAAAAA" w:sz="2"/>
          <w:insideH w:val="single" w:color="CCCCCC" w:sz="1"/>
          <w:insideV w:val="single" w:color="CCCCCC" w:sz="1"/>
        </w:tblBorders>
      </w:tblPr>
      <w:tblGrid>
        <w:gridCol w:w="1900"/>
        <w:gridCol w:w="1300"/>
        <w:gridCol w:w="1300"/>
        <w:gridCol w:w="1400"/>
        <w:gridCol w:w="2700"/>
      </w:tblGrid>
      <w:tr>
        <w:trPr>
          <w:tblHeader/>
        </w:trPr>
        <w:tc>
          <w:tcPr>
            <w:tcW w:type="dxa" w:w="19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Date (t−N)</w:t>
            </w:r>
          </w:p>
        </w:tc>
        <w:tc>
          <w:tcPr>
            <w:tcW w:type="dxa" w:w="13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Strategy</w:t>
            </w:r>
          </w:p>
        </w:tc>
        <w:tc>
          <w:tcPr>
            <w:tcW w:type="dxa" w:w="13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Direction</w:t>
            </w:r>
          </w:p>
        </w:tc>
        <w:tc>
          <w:tcPr>
            <w:tcW w:type="dxa" w:w="14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Triggered</w:t>
            </w:r>
          </w:p>
        </w:tc>
        <w:tc>
          <w:tcPr>
            <w:tcW w:type="dxa" w:w="2700"/>
            <w:shd w:fill="1F3864" w:val="clear"/>
            <w:tcMar>
              <w:top w:type="dxa" w:w="40"/>
              <w:left w:type="dxa" w:w="60"/>
              <w:bottom w:type="dxa" w:w="40"/>
              <w:right w:type="dxa" w:w="60"/>
            </w:tcMar>
          </w:tcPr>
          <w:p>
            <w:r>
              <w:rPr>
                <w:rFonts w:ascii="Calibri" w:cs="Calibri" w:eastAsia="Calibri" w:hAnsi="Calibri"/>
                <w:b/>
                <w:bCs/>
                <w:color w:val="FFFFFF"/>
                <w:sz w:val="17"/>
                <w:szCs w:val="17"/>
              </w:rPr>
              <w:t xml:space="preserve">Outcome (R)</w:t>
            </w:r>
          </w:p>
        </w:tc>
      </w:tr>
      <w:tr>
        <w:trPr>
          <w:tblHeader w:val="false"/>
        </w:trPr>
        <w:tc>
          <w:tcPr>
            <w:tcW w:type="dxa" w:w="1900"/>
            <w:tcMar>
              <w:top w:type="dxa" w:w="40"/>
              <w:left w:type="dxa" w:w="60"/>
              <w:bottom w:type="dxa" w:w="40"/>
              <w:right w:type="dxa" w:w="60"/>
            </w:tcMar>
          </w:tcPr>
          <w:p>
            <w:r>
              <w:rPr>
                <w:rFonts w:ascii="Calibri" w:cs="Calibri" w:eastAsia="Calibri" w:hAnsi="Calibri"/>
                <w:b w:val="false"/>
                <w:bCs w:val="false"/>
                <w:sz w:val="17"/>
                <w:szCs w:val="17"/>
              </w:rPr>
              <w:t xml:space="preserve">Wed 08 Jul (t−5)</w:t>
            </w:r>
          </w:p>
        </w:tc>
        <w:tc>
          <w:tcPr>
            <w:tcW w:type="dxa" w:w="1300"/>
            <w:tcMar>
              <w:top w:type="dxa" w:w="40"/>
              <w:left w:type="dxa" w:w="60"/>
              <w:bottom w:type="dxa" w:w="40"/>
              <w:right w:type="dxa" w:w="60"/>
            </w:tcMar>
          </w:tcPr>
          <w:p>
            <w:r>
              <w:rPr>
                <w:rFonts w:ascii="Calibri" w:cs="Calibri" w:eastAsia="Calibri" w:hAnsi="Calibri"/>
                <w:b w:val="false"/>
                <w:bCs w:val="false"/>
                <w:sz w:val="17"/>
                <w:szCs w:val="17"/>
              </w:rPr>
              <w:t xml:space="preserve">Trade 1</w:t>
            </w:r>
          </w:p>
        </w:tc>
        <w:tc>
          <w:tcPr>
            <w:tcW w:type="dxa" w:w="1300"/>
            <w:tcMar>
              <w:top w:type="dxa" w:w="40"/>
              <w:left w:type="dxa" w:w="60"/>
              <w:bottom w:type="dxa" w:w="40"/>
              <w:right w:type="dxa" w:w="60"/>
            </w:tcMar>
          </w:tcPr>
          <w:p>
            <w:r>
              <w:rPr>
                <w:rFonts w:ascii="Calibri" w:cs="Calibri" w:eastAsia="Calibri" w:hAnsi="Calibri"/>
                <w:b w:val="false"/>
                <w:bCs w:val="false"/>
                <w:sz w:val="17"/>
                <w:szCs w:val="17"/>
              </w:rPr>
              <w:t xml:space="preserve">LONG</w:t>
            </w:r>
          </w:p>
        </w:tc>
        <w:tc>
          <w:tcPr>
            <w:tcW w:type="dxa" w:w="1400"/>
            <w:tcMar>
              <w:top w:type="dxa" w:w="40"/>
              <w:left w:type="dxa" w:w="60"/>
              <w:bottom w:type="dxa" w:w="40"/>
              <w:right w:type="dxa" w:w="60"/>
            </w:tcMar>
          </w:tcPr>
          <w:p>
            <w:r>
              <w:rPr>
                <w:rFonts w:ascii="Calibri" w:cs="Calibri" w:eastAsia="Calibri" w:hAnsi="Calibri"/>
                <w:b w:val="false"/>
                <w:bCs w:val="false"/>
                <w:sz w:val="17"/>
                <w:szCs w:val="17"/>
              </w:rPr>
              <w:t xml:space="preserve">YES</w:t>
            </w:r>
          </w:p>
        </w:tc>
        <w:tc>
          <w:tcPr>
            <w:tcW w:type="dxa" w:w="2700"/>
            <w:tcMar>
              <w:top w:type="dxa" w:w="40"/>
              <w:left w:type="dxa" w:w="60"/>
              <w:bottom w:type="dxa" w:w="40"/>
              <w:right w:type="dxa" w:w="60"/>
            </w:tcMar>
          </w:tcPr>
          <w:p>
            <w:r>
              <w:rPr>
                <w:rFonts w:ascii="Calibri" w:cs="Calibri" w:eastAsia="Calibri" w:hAnsi="Calibri"/>
                <w:b w:val="false"/>
                <w:bCs w:val="false"/>
                <w:sz w:val="17"/>
                <w:szCs w:val="17"/>
              </w:rPr>
              <w:t xml:space="preserve">OPEN @ +0.09R (no TP/SL hit intraday)</w:t>
            </w:r>
          </w:p>
        </w:tc>
      </w:tr>
      <w:tr>
        <w:trPr>
          <w:tblHeader w:val="false"/>
        </w:trPr>
        <w:tc>
          <w:tcPr>
            <w:tcW w:type="dxa" w:w="19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Thu 09 Jul (t−4)</w:t>
            </w:r>
          </w:p>
        </w:tc>
        <w:tc>
          <w:tcPr>
            <w:tcW w:type="dxa" w:w="13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Trade 1</w:t>
            </w:r>
          </w:p>
        </w:tc>
        <w:tc>
          <w:tcPr>
            <w:tcW w:type="dxa" w:w="13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LONG</w:t>
            </w:r>
          </w:p>
        </w:tc>
        <w:tc>
          <w:tcPr>
            <w:tcW w:type="dxa" w:w="14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YES</w:t>
            </w:r>
          </w:p>
        </w:tc>
        <w:tc>
          <w:tcPr>
            <w:tcW w:type="dxa" w:w="27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OPEN @ +0.74R</w:t>
            </w:r>
          </w:p>
        </w:tc>
      </w:tr>
      <w:tr>
        <w:trPr>
          <w:tblHeader w:val="false"/>
        </w:trPr>
        <w:tc>
          <w:tcPr>
            <w:tcW w:type="dxa" w:w="1900"/>
            <w:tcMar>
              <w:top w:type="dxa" w:w="40"/>
              <w:left w:type="dxa" w:w="60"/>
              <w:bottom w:type="dxa" w:w="40"/>
              <w:right w:type="dxa" w:w="60"/>
            </w:tcMar>
          </w:tcPr>
          <w:p>
            <w:r>
              <w:rPr>
                <w:rFonts w:ascii="Calibri" w:cs="Calibri" w:eastAsia="Calibri" w:hAnsi="Calibri"/>
                <w:b w:val="false"/>
                <w:bCs w:val="false"/>
                <w:sz w:val="17"/>
                <w:szCs w:val="17"/>
              </w:rPr>
              <w:t xml:space="preserve">Fri 10 Jul (t−3)</w:t>
            </w:r>
          </w:p>
        </w:tc>
        <w:tc>
          <w:tcPr>
            <w:tcW w:type="dxa" w:w="1300"/>
            <w:tcMar>
              <w:top w:type="dxa" w:w="40"/>
              <w:left w:type="dxa" w:w="60"/>
              <w:bottom w:type="dxa" w:w="40"/>
              <w:right w:type="dxa" w:w="60"/>
            </w:tcMar>
          </w:tcPr>
          <w:p>
            <w:r>
              <w:rPr>
                <w:rFonts w:ascii="Calibri" w:cs="Calibri" w:eastAsia="Calibri" w:hAnsi="Calibri"/>
                <w:b w:val="false"/>
                <w:bCs w:val="false"/>
                <w:sz w:val="17"/>
                <w:szCs w:val="17"/>
              </w:rPr>
              <w:t xml:space="preserve">Trade 1</w:t>
            </w:r>
          </w:p>
        </w:tc>
        <w:tc>
          <w:tcPr>
            <w:tcW w:type="dxa" w:w="1300"/>
            <w:tcMar>
              <w:top w:type="dxa" w:w="40"/>
              <w:left w:type="dxa" w:w="60"/>
              <w:bottom w:type="dxa" w:w="40"/>
              <w:right w:type="dxa" w:w="60"/>
            </w:tcMar>
          </w:tcPr>
          <w:p>
            <w:r>
              <w:rPr>
                <w:rFonts w:ascii="Calibri" w:cs="Calibri" w:eastAsia="Calibri" w:hAnsi="Calibri"/>
                <w:b w:val="false"/>
                <w:bCs w:val="false"/>
                <w:sz w:val="17"/>
                <w:szCs w:val="17"/>
              </w:rPr>
              <w:t xml:space="preserve">LONG</w:t>
            </w:r>
          </w:p>
        </w:tc>
        <w:tc>
          <w:tcPr>
            <w:tcW w:type="dxa" w:w="1400"/>
            <w:tcMar>
              <w:top w:type="dxa" w:w="40"/>
              <w:left w:type="dxa" w:w="60"/>
              <w:bottom w:type="dxa" w:w="40"/>
              <w:right w:type="dxa" w:w="60"/>
            </w:tcMar>
          </w:tcPr>
          <w:p>
            <w:r>
              <w:rPr>
                <w:rFonts w:ascii="Calibri" w:cs="Calibri" w:eastAsia="Calibri" w:hAnsi="Calibri"/>
                <w:b w:val="false"/>
                <w:bCs w:val="false"/>
                <w:sz w:val="17"/>
                <w:szCs w:val="17"/>
              </w:rPr>
              <w:t xml:space="preserve">YES</w:t>
            </w:r>
          </w:p>
        </w:tc>
        <w:tc>
          <w:tcPr>
            <w:tcW w:type="dxa" w:w="2700"/>
            <w:tcMar>
              <w:top w:type="dxa" w:w="40"/>
              <w:left w:type="dxa" w:w="60"/>
              <w:bottom w:type="dxa" w:w="40"/>
              <w:right w:type="dxa" w:w="60"/>
            </w:tcMar>
          </w:tcPr>
          <w:p>
            <w:r>
              <w:rPr>
                <w:rFonts w:ascii="Calibri" w:cs="Calibri" w:eastAsia="Calibri" w:hAnsi="Calibri"/>
                <w:b w:val="false"/>
                <w:bCs w:val="false"/>
                <w:sz w:val="17"/>
                <w:szCs w:val="17"/>
              </w:rPr>
              <w:t xml:space="preserve">OPEN @ +0.39R</w:t>
            </w:r>
          </w:p>
        </w:tc>
      </w:tr>
      <w:tr>
        <w:trPr>
          <w:tblHeader w:val="false"/>
        </w:trPr>
        <w:tc>
          <w:tcPr>
            <w:tcW w:type="dxa" w:w="19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Mon 13 Jul (t−2)</w:t>
            </w:r>
          </w:p>
        </w:tc>
        <w:tc>
          <w:tcPr>
            <w:tcW w:type="dxa" w:w="13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Trade 1</w:t>
            </w:r>
          </w:p>
        </w:tc>
        <w:tc>
          <w:tcPr>
            <w:tcW w:type="dxa" w:w="13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LONG</w:t>
            </w:r>
          </w:p>
        </w:tc>
        <w:tc>
          <w:tcPr>
            <w:tcW w:type="dxa" w:w="14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YES</w:t>
            </w:r>
          </w:p>
        </w:tc>
        <w:tc>
          <w:tcPr>
            <w:tcW w:type="dxa" w:w="2700"/>
            <w:shd w:fill="F2F4F8" w:val="clear"/>
            <w:tcMar>
              <w:top w:type="dxa" w:w="40"/>
              <w:left w:type="dxa" w:w="60"/>
              <w:bottom w:type="dxa" w:w="40"/>
              <w:right w:type="dxa" w:w="60"/>
            </w:tcMar>
          </w:tcPr>
          <w:p>
            <w:r>
              <w:rPr>
                <w:rFonts w:ascii="Calibri" w:cs="Calibri" w:eastAsia="Calibri" w:hAnsi="Calibri"/>
                <w:b w:val="false"/>
                <w:bCs w:val="false"/>
                <w:sz w:val="17"/>
                <w:szCs w:val="17"/>
              </w:rPr>
              <w:t xml:space="preserve">OPEN @ −0.72R</w:t>
            </w:r>
          </w:p>
        </w:tc>
      </w:tr>
      <w:tr>
        <w:trPr>
          <w:tblHeader w:val="false"/>
        </w:trPr>
        <w:tc>
          <w:tcPr>
            <w:tcW w:type="dxa" w:w="1900"/>
            <w:tcMar>
              <w:top w:type="dxa" w:w="40"/>
              <w:left w:type="dxa" w:w="60"/>
              <w:bottom w:type="dxa" w:w="40"/>
              <w:right w:type="dxa" w:w="60"/>
            </w:tcMar>
          </w:tcPr>
          <w:p>
            <w:r>
              <w:rPr>
                <w:rFonts w:ascii="Calibri" w:cs="Calibri" w:eastAsia="Calibri" w:hAnsi="Calibri"/>
                <w:b w:val="false"/>
                <w:bCs w:val="false"/>
                <w:sz w:val="17"/>
                <w:szCs w:val="17"/>
              </w:rPr>
              <w:t xml:space="preserve">Tue 14 Jul (t−1)</w:t>
            </w:r>
          </w:p>
        </w:tc>
        <w:tc>
          <w:tcPr>
            <w:tcW w:type="dxa" w:w="1300"/>
            <w:tcMar>
              <w:top w:type="dxa" w:w="40"/>
              <w:left w:type="dxa" w:w="60"/>
              <w:bottom w:type="dxa" w:w="40"/>
              <w:right w:type="dxa" w:w="60"/>
            </w:tcMar>
          </w:tcPr>
          <w:p>
            <w:r>
              <w:rPr>
                <w:rFonts w:ascii="Calibri" w:cs="Calibri" w:eastAsia="Calibri" w:hAnsi="Calibri"/>
                <w:b w:val="false"/>
                <w:bCs w:val="false"/>
                <w:sz w:val="17"/>
                <w:szCs w:val="17"/>
              </w:rPr>
              <w:t xml:space="preserve">Trade 1</w:t>
            </w:r>
          </w:p>
        </w:tc>
        <w:tc>
          <w:tcPr>
            <w:tcW w:type="dxa" w:w="1300"/>
            <w:tcMar>
              <w:top w:type="dxa" w:w="40"/>
              <w:left w:type="dxa" w:w="60"/>
              <w:bottom w:type="dxa" w:w="40"/>
              <w:right w:type="dxa" w:w="60"/>
            </w:tcMar>
          </w:tcPr>
          <w:p>
            <w:r>
              <w:rPr>
                <w:rFonts w:ascii="Calibri" w:cs="Calibri" w:eastAsia="Calibri" w:hAnsi="Calibri"/>
                <w:b w:val="false"/>
                <w:bCs w:val="false"/>
                <w:sz w:val="17"/>
                <w:szCs w:val="17"/>
              </w:rPr>
              <w:t xml:space="preserve">LONG</w:t>
            </w:r>
          </w:p>
        </w:tc>
        <w:tc>
          <w:tcPr>
            <w:tcW w:type="dxa" w:w="1400"/>
            <w:tcMar>
              <w:top w:type="dxa" w:w="40"/>
              <w:left w:type="dxa" w:w="60"/>
              <w:bottom w:type="dxa" w:w="40"/>
              <w:right w:type="dxa" w:w="60"/>
            </w:tcMar>
          </w:tcPr>
          <w:p>
            <w:r>
              <w:rPr>
                <w:rFonts w:ascii="Calibri" w:cs="Calibri" w:eastAsia="Calibri" w:hAnsi="Calibri"/>
                <w:b w:val="false"/>
                <w:bCs w:val="false"/>
                <w:sz w:val="17"/>
                <w:szCs w:val="17"/>
              </w:rPr>
              <w:t xml:space="preserve">YES</w:t>
            </w:r>
          </w:p>
        </w:tc>
        <w:tc>
          <w:tcPr>
            <w:tcW w:type="dxa" w:w="2700"/>
            <w:tcMar>
              <w:top w:type="dxa" w:w="40"/>
              <w:left w:type="dxa" w:w="60"/>
              <w:bottom w:type="dxa" w:w="40"/>
              <w:right w:type="dxa" w:w="60"/>
            </w:tcMar>
          </w:tcPr>
          <w:p>
            <w:r>
              <w:rPr>
                <w:rFonts w:ascii="Calibri" w:cs="Calibri" w:eastAsia="Calibri" w:hAnsi="Calibri"/>
                <w:b w:val="false"/>
                <w:bCs w:val="false"/>
                <w:sz w:val="17"/>
                <w:szCs w:val="17"/>
              </w:rPr>
              <w:t xml:space="preserve">OPEN @ +0.10R</w:t>
            </w:r>
          </w:p>
        </w:tc>
      </w:tr>
    </w:tbl>
    <w:p>
      <w:pPr>
        <w:spacing w:after="120"/>
      </w:pPr>
      <w:r>
        <w:rPr>
          <w:rFonts w:ascii="Calibri" w:cs="Calibri" w:eastAsia="Calibri" w:hAnsi="Calibri"/>
          <w:i/>
          <w:iCs/>
          <w:color w:val="555555"/>
          <w:sz w:val="16"/>
          <w:szCs w:val="16"/>
        </w:rPr>
        <w:t xml:space="preserve">Reconstruction note: entry = session open; 1R ≈ 1×ATR band; SL-first tick priority. No single-bar resolution reached a full ±1R at these bands, so all rows carry forward as OPEN with mark-to-market R. Trade 2/3C reconstructions suppressed (indicative pivots / no confirmed break) and excluded from the aggregate.</w:t>
      </w:r>
    </w:p>
    <w:p>
      <w:pPr>
        <w:pStyle w:val="Heading2"/>
        <w:spacing w:after="70" w:before="160"/>
      </w:pPr>
      <w:r>
        <w:rPr>
          <w:rFonts w:ascii="Calibri" w:cs="Calibri" w:eastAsia="Calibri" w:hAnsi="Calibri"/>
          <w:b/>
          <w:bCs/>
          <w:color w:val="555555"/>
          <w:sz w:val="22"/>
          <w:szCs w:val="22"/>
        </w:rPr>
        <w:t xml:space="preserve">§21d  'What Is Working' Aggregate</w:t>
      </w:r>
    </w:p>
    <w:p>
      <w:pPr>
        <w:spacing w:after="100" w:before="0"/>
      </w:pPr>
      <w:r>
        <w:rPr>
          <w:rFonts w:ascii="Calibri" w:cs="Calibri" w:eastAsia="Calibri" w:hAnsi="Calibri"/>
          <w:sz w:val="20"/>
          <w:szCs w:val="20"/>
        </w:rPr>
        <w:t xml:space="preserve">Trade 1 over the last 5 sessions: triggered 5/5 times, mean mark-to-market R = +0.12, TP1/TP2/TP3 hit rates = 0% / 0% / 0% (no position resolved to a full target within its single forward bar). Strongest performer: Trade 1 (only strategy with triggers; Trades 2 and 3C did not produce corroborated/eligible reconstructions). Weakest performer: insufficient triggers to rank Trades 2 and 3C.</w:t>
      </w:r>
    </w:p>
    <w:p>
      <w:pPr>
        <w:spacing w:after="120"/>
      </w:pPr>
      <w:r>
        <w:rPr>
          <w:rFonts w:ascii="Calibri" w:cs="Calibri" w:eastAsia="Calibri" w:hAnsi="Calibri"/>
          <w:i/>
          <w:iCs/>
          <w:color w:val="555555"/>
          <w:sz w:val="16"/>
          <w:szCs w:val="16"/>
        </w:rPr>
        <w:t xml:space="preserve">Five-session windows are too small to support statistical claims. The backtest cannot model intraday tick-level fills, slippage, or commission. Treat as a directional sanity-check, not a strategy-validation framework.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4"/>
        <w:szCs w:val="14"/>
      </w:rPr>
      <w:t xml:space="preserve">S&amp;P 500 Daily Report │ 15 July 2026 │ Senior US Equity Strategist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9dd71997cc837a1f4d2dd3069dfbbc491afb139.png"/><Relationship Id="rId9" Type="http://schemas.openxmlformats.org/officeDocument/2006/relationships/image" Target="media/cadeb62b50bc48344247b5a31c5f63e2573d172f.png"/><Relationship Id="rId10" Type="http://schemas.openxmlformats.org/officeDocument/2006/relationships/image" Target="media/786f031b9ad3a7d7f335ae5b2a2e09bac75ff0cc.png"/><Relationship Id="rId11" Type="http://schemas.openxmlformats.org/officeDocument/2006/relationships/image" Target="media/a23ac2c9c8517ab69a103d3657aff27a341c9ee2.png"/><Relationship Id="rId12" Type="http://schemas.openxmlformats.org/officeDocument/2006/relationships/image" Target="media/40d50c11a1ebcc2f48573d2ea0d527f6ee6855f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2026-07-14T22:01:40.480Z</dcterms:created>
  <dcterms:modified xsi:type="dcterms:W3CDTF">2026-07-14T22:01:40.493Z</dcterms:modified>
</cp:coreProperties>
</file>

<file path=docProps/custom.xml><?xml version="1.0" encoding="utf-8"?>
<Properties xmlns="http://schemas.openxmlformats.org/officeDocument/2006/custom-properties" xmlns:vt="http://schemas.openxmlformats.org/officeDocument/2006/docPropsVTypes"/>
</file>