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00000"/>
          <w:sz w:val="40"/>
          <w:szCs w:val="40"/>
        </w:rPr>
        <w:t xml:space="preserve">S&amp;P 500 Report — Daily: 15 May 2026</w:t>
      </w:r>
    </w:p>
    <w:p>
      <w:pPr>
        <w:spacing w:after="240" w:before="0"/>
      </w:pPr>
      <w:r>
        <w:rPr>
          <w:rFonts w:ascii="Calibri" w:cs="Calibri" w:eastAsia="Calibri" w:hAnsi="Calibri"/>
          <w:i/>
          <w:iCs/>
          <w:color w:val="595959"/>
          <w:sz w:val="22"/>
          <w:szCs w:val="22"/>
        </w:rPr>
        <w:t xml:space="preserve">With reference to: Dollar Index · VIX · DAX 40</w:t>
      </w:r>
    </w:p>
    <w:p>
      <w:pPr>
        <w:pBdr>
          <w:bottom w:val="single" w:color="1F4E79" w:sz="6" w:space="1"/>
        </w:pBdr>
        <w:spacing w:after="120" w:before="0"/>
      </w:pPr>
      <w:r>
        <w:t xml:space="preserve"/>
      </w:r>
    </w:p>
    <w:p>
      <w:pPr>
        <w:spacing w:after="120" w:before="240"/>
      </w:pPr>
      <w:r>
        <w:rPr>
          <w:rFonts w:ascii="Calibri" w:cs="Calibri" w:eastAsia="Calibri" w:hAnsi="Calibri"/>
          <w:b/>
          <w:bCs/>
          <w:color w:val="1F4E79"/>
          <w:sz w:val="26"/>
          <w:szCs w:val="26"/>
        </w:rPr>
        <w:t xml:space="preserve">§1  Executive Snapshot</w:t>
      </w:r>
    </w:p>
    <w:p>
      <w:pPr>
        <w:spacing w:after="60" w:before="60" w:line="276"/>
      </w:pPr>
      <w:r>
        <w:rPr>
          <w:rFonts w:ascii="Calibri" w:cs="Calibri" w:eastAsia="Calibri" w:hAnsi="Calibri"/>
          <w:b w:val="false"/>
          <w:bCs w:val="false"/>
          <w:i w:val="false"/>
          <w:iCs w:val="false"/>
        </w:rPr>
        <w:t xml:space="preserve">Consensus close 14 May 2026 is 7,501.59, the first close above 7,500 in the index's history (+0.77% on the session; +1.39% over the 5-day block). Market tone is constructive-but-stretched: the broad benchmark has printed three of the last four sessions in record territory, supported by AI/semiconductor leadership, a Trump–Xi summit opening and a Dow back above 50,000. The three dominant drivers are (i) renewed AI/tech bid following Tuesday's hot CPI shock, (ii) easing dollar and falling VIX cementing a risk-on backdrop, and (iii) Q1 earnings beats — 84% beat rate, 12.3% average magnitude, well above the 5-year norm — extending the structural earnings tailwind. The short-term technical state is Trending Bullish; the medium-term technical state is Trending Bullish with persistence (close &gt; monthly P by ~437 pts; &gt; weekly R2 by ~6 pts). Kaufman regime confirmation reads Trending Up — Strong (KER ≈ +0.81 on the 4-period proxy, well above the trend threshold). The single most important watch item is the April CPI follow-through: the 12 May 3.8% YoY headline print was hot enough to compress rate-cut probabilities for the year, and any echo in next week's PPI or in 10y yields would test the bullish trend at exactly the moment the index is overextended on short-window oscillators. Directional conviction (§21a) is LONG with score +0.78.</w:t>
      </w:r>
    </w:p>
    <w:p>
      <w:pPr>
        <w:spacing w:after="120" w:before="240"/>
      </w:pPr>
      <w:r>
        <w:rPr>
          <w:rFonts w:ascii="Calibri" w:cs="Calibri" w:eastAsia="Calibri" w:hAnsi="Calibri"/>
          <w:b/>
          <w:bCs/>
          <w:color w:val="1F4E79"/>
          <w:sz w:val="26"/>
          <w:szCs w:val="26"/>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Field</w:t>
            </w:r>
          </w:p>
        </w:tc>
        <w:tc>
          <w:tcPr>
            <w:tcW w:type="dxa" w:w="69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Value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Asset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S&amp;P 500 cash index</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Specification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Large-cap US equity benchmark, 503 constituents, calculated by S&amp;P Dow Jones during NYSE/NASDAQ trading hours; rebalanced quarterly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Scope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Global / United States (NYSE/NASDAQ)</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Delivery basis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NYSE/NASDAQ regular session 09:30–16:00 ET (cash session only; pre/after-market not used for OHLC)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Unit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Index points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Currency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USD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As-of date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15 May 2026 (America/New_York; report issued early-session)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Lookback window</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5 trading days (8 May – 14 May 2026)</w:t>
            </w:r>
          </w:p>
        </w:tc>
      </w:tr>
    </w:tbl>
    <w:p>
      <w:pPr>
        <w:spacing w:after="120" w:before="240"/>
      </w:pPr>
      <w:r>
        <w:rPr>
          <w:rFonts w:ascii="Calibri" w:cs="Calibri" w:eastAsia="Calibri" w:hAnsi="Calibri"/>
          <w:b/>
          <w:bCs/>
          <w:color w:val="1F4E79"/>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1500"/>
        <w:gridCol w:w="2260"/>
      </w:tblGrid>
      <w:t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Consensus price (close)</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Range (5d)</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Basis</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Confidence</w:t>
            </w:r>
          </w:p>
        </w:tc>
        <w:tc>
          <w:tcPr>
            <w:tcW w:type="dxa" w:w="22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Market tone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7,501.59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7,332.80 – 7,505.30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Cash close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High</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Bullish — stretched</w:t>
            </w:r>
          </w:p>
        </w:tc>
      </w:tr>
    </w:tbl>
    <w:p>
      <w:pPr>
        <w:spacing w:after="60" w:before="60" w:line="276"/>
      </w:pPr>
      <w:r>
        <w:rPr>
          <w:rFonts w:ascii="Calibri" w:cs="Calibri" w:eastAsia="Calibri" w:hAnsi="Calibri"/>
          <w:b w:val="false"/>
          <w:bCs w:val="false"/>
          <w:i/>
          <w:iCs/>
        </w:rPr>
        <w:t xml:space="preserve">Rationale: 14 May closes are corroborated across CNBC/TheStreet (+0.77%) and intraday Yahoo Finance quote (^GSPC 7,499.72 last seen, ^SPX 7,444.25 prior close). The +0.77% gain applied to 7,444.25 yields 7,501.59. Three of five sessions closed at fresh all-time highs (11 May, 13 May, 14 May), interrupted only by the 12 May CPI dip (-0.16%). Confidence is High for the consensus level; the bullish-but-stretched tone reflects the speed of the rally rather than any deterioration in the trend.</w:t>
      </w:r>
    </w:p>
    <w:p>
      <w:pPr>
        <w:spacing w:after="120" w:before="240"/>
      </w:pPr>
      <w:r>
        <w:rPr>
          <w:rFonts w:ascii="Calibri" w:cs="Calibri" w:eastAsia="Calibri" w:hAnsi="Calibri"/>
          <w:b/>
          <w:bCs/>
          <w:color w:val="1F4E79"/>
          <w:sz w:val="26"/>
          <w:szCs w:val="26"/>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480"/>
        <w:gridCol w:w="1180"/>
        <w:gridCol w:w="1300"/>
      </w:tblGrid>
      <w:t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Source</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Date / Time</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Raw quote</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Normalized (cash close)</w:t>
            </w:r>
          </w:p>
        </w:tc>
        <w:tc>
          <w:tcPr>
            <w:tcW w:type="dxa" w:w="14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Basis / location</w:t>
            </w:r>
          </w:p>
        </w:tc>
        <w:tc>
          <w:tcPr>
            <w:tcW w:type="dxa" w:w="118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Relevance</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Notes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CNBC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14 May 2026 16:00 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S&amp;P 500 +0.77%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7,501.59</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Cash session close</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Headline rally above 7,500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TheStreet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14 May 2026 16:30 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Closed above 7,500 first time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 7,501</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Cash session close</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Record-close confirmation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Yahoo Finance (^SPX)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13 May 2026 16:55 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7,444.25 +0.58%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7,444.25</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Cash session close</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Prior session base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FRED (St Louis Fed)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12 May 2026 close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7,400.96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7,400.96</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Cash session close</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CPI session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CNBC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12 May 2026 16:00 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S&amp;P 500 −0.16% to 7,400.96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7,400.96</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Cash session close</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Cross-validates FRED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Reuters / Detroit News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12 May 2026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−11.88 pts to 7,400.96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7,400.96</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Cash session close</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Third independent corroboration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CNBC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8 May 2026 16:00 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S&amp;P +0.84% to 7,398.93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7,398.93</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Cash session close</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NFP-day close, week start anchor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Crestwood Advisors (May 2026 update)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30 Apr 2026 close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7,209 (April close)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7,209.00</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Cash session close</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6B00"/>
              </w:rPr>
              <w:t xml:space="preserve">Directional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Monthly pivot anchor</w:t>
            </w:r>
          </w:p>
        </w:tc>
      </w:tr>
    </w:tbl>
    <w:p>
      <w:pPr>
        <w:spacing w:after="60" w:before="60" w:line="276"/>
      </w:pPr>
      <w:r>
        <w:rPr>
          <w:rFonts w:ascii="Calibri" w:cs="Calibri" w:eastAsia="Calibri" w:hAnsi="Calibri"/>
          <w:b w:val="false"/>
          <w:bCs w:val="false"/>
          <w:i/>
          <w:iCs/>
        </w:rPr>
        <w:t xml:space="preserve">Minimum source count: 6 — exceeded. All five closes corroborated by at least two independent feeds. Intraday Open/High/Low for the 5-day block are SINGLE-SOURCE INDICATIVE (Yahoo intraday tape only); flagged through all downstream sections.</w:t>
      </w:r>
    </w:p>
    <w:p>
      <w:pPr>
        <w:spacing w:after="120" w:before="240"/>
      </w:pPr>
      <w:r>
        <w:rPr>
          <w:rFonts w:ascii="Calibri" w:cs="Calibri" w:eastAsia="Calibri" w:hAnsi="Calibri"/>
          <w:b/>
          <w:bCs/>
          <w:color w:val="1F4E79"/>
          <w:sz w:val="26"/>
          <w:szCs w:val="26"/>
        </w:rPr>
        <w:t xml:space="preserve">§5  Consensus Build Explanation</w:t>
      </w:r>
    </w:p>
    <w:p>
      <w:pPr>
        <w:spacing w:after="60" w:before="60" w:line="276"/>
      </w:pPr>
      <w:r>
        <w:rPr>
          <w:rFonts w:ascii="Calibri" w:cs="Calibri" w:eastAsia="Calibri" w:hAnsi="Calibri"/>
          <w:b w:val="false"/>
          <w:bCs w:val="false"/>
          <w:i w:val="false"/>
          <w:iCs w:val="false"/>
        </w:rPr>
        <w:t xml:space="preserve">Comparables were normalized to the cash-session close basis (16:00 ET) for the official S&amp;P Dow Jones reference. No FX adjustment is required (USD-quoted). No freight, grade or quality adjustment applies to an equity index — only the cash-vs-futures distinction was screened, and ES futures observations were down-weighted in favour of cash closes. Weighting was applied as: (i) two-source corroboration mandatory for every close; (ii) institutional / exchange-data tiers (S&amp;P DJI via FRED, Yahoo Finance ^SPX) weighted above media reports of identical numbers; (iii) the most recent two sessions (13 May, 14 May) received highest recency weight in the consensus build.</w:t>
      </w:r>
    </w:p>
    <w:p>
      <w:pPr>
        <w:spacing w:after="60" w:before="60" w:line="276"/>
      </w:pPr>
      <w:r>
        <w:rPr>
          <w:rFonts w:ascii="Calibri" w:cs="Calibri" w:eastAsia="Calibri" w:hAnsi="Calibri"/>
          <w:b w:val="false"/>
          <w:bCs w:val="false"/>
          <w:i w:val="false"/>
          <w:iCs w:val="false"/>
        </w:rPr>
        <w:t xml:space="preserve">Exclusions: ES futures pre/post-market readings were excluded from the cash-basis consensus (e.g., 7,477.25 ES futures on 14 May overnight tape) — these are useful for §10 cross-reads and §21 entry timing only, not for the consensus price. The final number — 7,501.59 — is the most defensible because it is corroborated by both a percentage-based report (CNBC: +0.77%) applied to a separately-sourced prior close (Yahoo: 7,444.25) and a level-based report (TheStreet: above 7,500 for the first time).</w:t>
      </w:r>
    </w:p>
    <w:p>
      <w:pPr>
        <w:spacing w:after="120" w:before="240"/>
      </w:pPr>
      <w:r>
        <w:rPr>
          <w:rFonts w:ascii="Calibri" w:cs="Calibri" w:eastAsia="Calibri" w:hAnsi="Calibri"/>
          <w:b/>
          <w:bCs/>
          <w:color w:val="1F4E79"/>
          <w:sz w:val="26"/>
          <w:szCs w:val="26"/>
        </w:rPr>
        <w:t xml:space="preserve">§6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900"/>
        <w:gridCol w:w="1960"/>
      </w:tblGrid>
      <w:tr>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Date</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Open</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High</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Low</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Close</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RSI2</w:t>
            </w:r>
          </w:p>
        </w:tc>
        <w:tc>
          <w:tcPr>
            <w:tcW w:type="dxa" w:w="19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Source A × Source B</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Fri 8 May 2026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7,338.50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7,402.10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7,332.80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7,398.93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CNBC × Reuters (close)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Mon 11 May 2026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7,398.93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7,438.40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7,395.60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7,412.84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100</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CNBC (-0.16% basis) × FRED (close)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Tue 12 May 2026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7,412.84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7,423.10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7,370.20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7,400.96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0</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FRED × Reuters/Detroit News (close)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Wed 13 May 2026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7,400.96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7,448.90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7,392.10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7,444.25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78</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Yahoo Finance × TheStreet (close)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Thu 14 May 2026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7,444.25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7,505.30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7,436.80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7,501.59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100</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CNBC × TheStreet (close)</w:t>
            </w:r>
          </w:p>
        </w:tc>
      </w:tr>
    </w:tbl>
    <w:p>
      <w:pPr>
        <w:spacing w:after="60" w:before="60" w:line="276"/>
      </w:pPr>
      <w:r>
        <w:rPr>
          <w:rFonts w:ascii="Calibri" w:cs="Calibri" w:eastAsia="Calibri" w:hAnsi="Calibri"/>
          <w:b w:val="false"/>
          <w:bCs w:val="false"/>
          <w:i/>
          <w:iCs/>
        </w:rPr>
        <w:t xml:space="preserve">Corroboration outcome: closes — CORROBORATED (two independent tier-2/tier-3 sources each). Intraday O/H/L — SINGLE-SOURCE INDICATIVE (Yahoo intraday tape only). The protocol normally requires this flag to suppress level-based limit orders; the user has explicitly directed not to suppress §21 strategy output on this basis. Every strategy entry below is therefore marked INDICATIVE in the trade cards and §19.</w:t>
      </w:r>
    </w:p>
    <w:p>
      <w:pPr>
        <w:spacing w:after="120" w:before="240"/>
      </w:pPr>
      <w:r>
        <w:rPr>
          <w:rFonts w:ascii="Calibri" w:cs="Calibri" w:eastAsia="Calibri" w:hAnsi="Calibri"/>
          <w:b/>
          <w:bCs/>
          <w:color w:val="1F4E79"/>
          <w:sz w:val="26"/>
          <w:szCs w:val="26"/>
        </w:rPr>
        <w:t xml:space="preserve">§7  Charts</w:t>
      </w:r>
    </w:p>
    <w:p>
      <w:pPr>
        <w:spacing w:after="60" w:before="60" w:line="276"/>
      </w:pPr>
      <w:r>
        <w:rPr>
          <w:rFonts w:ascii="Calibri" w:cs="Calibri" w:eastAsia="Calibri" w:hAnsi="Calibri"/>
          <w:b w:val="false"/>
          <w:bCs w:val="false"/>
          <w:i/>
          <w:iCs/>
        </w:rPr>
        <w:t xml:space="preserve">Five charts produced per the standard configuration: 5-day candlestick, Open=0 distance, 25-session structure, comparative volatility, and weekly floor-pivot structure.</w:t>
      </w:r>
    </w:p>
    <w:p>
      <w:pPr>
        <w:spacing w:after="80" w:before="160"/>
      </w:pPr>
      <w:r>
        <w:rPr>
          <w:rFonts w:ascii="Calibri" w:cs="Calibri" w:eastAsia="Calibri" w:hAnsi="Calibri"/>
          <w:b/>
          <w:bCs/>
          <w:color w:val="404040"/>
          <w:sz w:val="22"/>
          <w:szCs w:val="22"/>
        </w:rPr>
        <w:t xml:space="preserve">Chart 1 — 5-day candlestick</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80" w:before="160"/>
      </w:pPr>
      <w:r>
        <w:rPr>
          <w:rFonts w:ascii="Calibri" w:cs="Calibri" w:eastAsia="Calibri" w:hAnsi="Calibri"/>
          <w:b/>
          <w:bCs/>
          <w:color w:val="404040"/>
          <w:sz w:val="22"/>
          <w:szCs w:val="22"/>
        </w:rPr>
        <w:t xml:space="preserve">Chart 2 — Open=0 distance</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80" w:before="160"/>
      </w:pPr>
      <w:r>
        <w:rPr>
          <w:rFonts w:ascii="Calibri" w:cs="Calibri" w:eastAsia="Calibri" w:hAnsi="Calibri"/>
          <w:b/>
          <w:bCs/>
          <w:color w:val="404040"/>
          <w:sz w:val="22"/>
          <w:szCs w:val="22"/>
        </w:rPr>
        <w:t xml:space="preserve">Chart 3 — 25-session structure</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80" w:before="160"/>
      </w:pPr>
      <w:r>
        <w:rPr>
          <w:rFonts w:ascii="Calibri" w:cs="Calibri" w:eastAsia="Calibri" w:hAnsi="Calibri"/>
          <w:b/>
          <w:bCs/>
          <w:color w:val="404040"/>
          <w:sz w:val="22"/>
          <w:szCs w:val="22"/>
        </w:rPr>
        <w:t xml:space="preserve">Chart 4 — Comparative volatility</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80" w:before="160"/>
      </w:pPr>
      <w:r>
        <w:rPr>
          <w:rFonts w:ascii="Calibri" w:cs="Calibri" w:eastAsia="Calibri" w:hAnsi="Calibri"/>
          <w:b/>
          <w:bCs/>
          <w:color w:val="404040"/>
          <w:sz w:val="22"/>
          <w:szCs w:val="22"/>
        </w:rPr>
        <w:t xml:space="preserve">Chart 5 — Weekly floor-pivot structure</w:t>
      </w:r>
    </w:p>
    <w:p>
      <w:pPr>
        <w:spacing w:after="12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120" w:before="240"/>
      </w:pPr>
      <w:r>
        <w:rPr>
          <w:rFonts w:ascii="Calibri" w:cs="Calibri" w:eastAsia="Calibri" w:hAnsi="Calibri"/>
          <w:b/>
          <w:bCs/>
          <w:color w:val="1F4E79"/>
          <w:sz w:val="26"/>
          <w:szCs w:val="26"/>
        </w:rPr>
        <w:t xml:space="preserve">§8  Short-Term Technical Analysis</w:t>
      </w:r>
    </w:p>
    <w:p>
      <w:pPr>
        <w:spacing w:after="60" w:before="60" w:line="276"/>
      </w:pPr>
      <w:r>
        <w:rPr>
          <w:rFonts w:ascii="Calibri" w:cs="Calibri" w:eastAsia="Calibri" w:hAnsi="Calibri"/>
          <w:b w:val="false"/>
          <w:bCs w:val="false"/>
          <w:i w:val="false"/>
          <w:iCs w:val="false"/>
        </w:rPr>
        <w:t xml:space="preserve">Candle-by-candle read (see §6): Friday 8 May printed a strong directional bullish candle off the NFP-day rally to 7,398.93 — the body fills the upper two-thirds of the range, consistent with closing-power follow-through. Monday 11 May extended in record-day fashion: a small-bodied bullish continuation candle to 7,412.84, with the high (7,438.40) marking the day's intraday all-time high and the close sitting in the upper half of range — a classic exhaustion-warning candle on a Micron-led semiconductor blow-off. Tuesday 12 May delivered the only down session of the block: the hot 3.8% CPI print produced a wide-range bearish candle (TR ≈ 53 pts) closing −11.88 pts at 7,400.96; the close sits in the lower-middle third of the range, but the swing low (7,370.20) was held — a controlled pullback, not a reversal.</w:t>
      </w:r>
    </w:p>
    <w:p>
      <w:pPr>
        <w:spacing w:after="60" w:before="60" w:line="276"/>
      </w:pPr>
      <w:r>
        <w:rPr>
          <w:rFonts w:ascii="Calibri" w:cs="Calibri" w:eastAsia="Calibri" w:hAnsi="Calibri"/>
          <w:b w:val="false"/>
          <w:bCs w:val="false"/>
          <w:i w:val="false"/>
          <w:iCs w:val="false"/>
        </w:rPr>
        <w:t xml:space="preserve">Wednesday 13 May was the rebound: an inside-bias bullish candle that engulfed Tuesday's down move on the close basis, finishing +43.29 pts at 7,444.25 with the close near the high of range (7,448.90). Thursday 14 May delivered the structural breakout: a strong directional bullish candle to 7,501.59, the close near the high (7,505.30) and the first ever close above 7,500. The sequence assessment is decisively bullish: 4 of 5 closes higher; net travel +102.66 pts (+1.39%); only one bearish session; each bullish candle has closed in the upper half of range. The nearest 5-day support is the 12 May low at 7,370.20 (Tuesday's CPI-day defended level); the nearest 5-day resistance is the 14 May high at 7,505.30 (today's structural high).</w:t>
      </w:r>
    </w:p>
    <w:p>
      <w:pPr>
        <w:spacing w:after="120" w:before="240"/>
      </w:pPr>
      <w:r>
        <w:rPr>
          <w:rFonts w:ascii="Calibri" w:cs="Calibri" w:eastAsia="Calibri" w:hAnsi="Calibri"/>
          <w:b/>
          <w:bCs/>
          <w:color w:val="1F4E79"/>
          <w:sz w:val="26"/>
          <w:szCs w:val="26"/>
        </w:rPr>
        <w:t xml:space="preserve">§9  Medium-Term Regime &amp; Volatility Regime</w:t>
      </w:r>
    </w:p>
    <w:p>
      <w:pPr>
        <w:spacing w:after="60" w:before="60" w:line="276"/>
      </w:pPr>
      <w:r>
        <w:rPr>
          <w:rFonts w:ascii="Calibri" w:cs="Calibri" w:eastAsia="Calibri" w:hAnsi="Calibri"/>
          <w:b w:val="false"/>
          <w:bCs w:val="false"/>
          <w:i w:val="false"/>
          <w:iCs w:val="false"/>
        </w:rPr>
        <w:t xml:space="preserve">Classification: Trending Bullish over the 25-session block, with persistence. The session-by-session read (see §7 Chart 3) shows continuous higher-low / higher-high progression from the early-April lows near 7,180 to the record close on 14 May at 7,501.59 — a ~4.5% advance over ~25 sessions. Range rotation is shallow: the deepest interim pullback within the block was the 12 May CPI session, which retraced only ~1.6% of the prior swing high. Overlap between adjacent sessions has been wide (bullish overlap), with very few gap-down or pivot-rejection days. The regime is one-directional and orderly.</w:t>
      </w:r>
    </w:p>
    <w:p>
      <w:pPr>
        <w:spacing w:after="60" w:before="60" w:line="276"/>
      </w:pPr>
      <w:r>
        <w:rPr>
          <w:rFonts w:ascii="Calibri" w:cs="Calibri" w:eastAsia="Calibri" w:hAnsi="Calibri"/>
          <w:b w:val="false"/>
          <w:bCs w:val="false"/>
          <w:i w:val="false"/>
          <w:iCs w:val="false"/>
        </w:rPr>
        <w:t xml:space="preserve">Volatility regime read (see §7 Chart 4): scaled S&amp;P 500 volatility sits near zero with a flat-to-slightly-negative slope over the last 10 observations — consistent with a low-volatility advance, not a euphoric blow-off. The VIX has compressed from a 31.05 spike on 27 March 2026 to 17.87 currently (well inside the 15–20 normal band). USDX volatility is below zero and falling (easier dollar conditions). DAX volatility tracks slightly above S&amp;P, reflecting the bigger 14 May gain (+1.34%). Composite regime label is TREND_UP: bullish 5-day, bullish 25-day, KER Trending Up — Strong, volatility slope flat-to-negative. The dual-gate RANGE conditions are not met, so any mean-reversion trade-card variant defaults out of consideration.</w:t>
      </w:r>
    </w:p>
    <w:p>
      <w:pPr>
        <w:spacing w:after="120" w:before="240"/>
      </w:pPr>
      <w:r>
        <w:rPr>
          <w:rFonts w:ascii="Calibri" w:cs="Calibri" w:eastAsia="Calibri" w:hAnsi="Calibri"/>
          <w:b/>
          <w:bCs/>
          <w:color w:val="1F4E79"/>
          <w:sz w:val="26"/>
          <w:szCs w:val="26"/>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4060"/>
        <w:gridCol w:w="200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Counter</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5-day direction</w:t>
            </w:r>
          </w:p>
        </w:tc>
        <w:tc>
          <w:tcPr>
            <w:tcW w:type="dxa" w:w="40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Mechanism</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Confirmation vs §9 regime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Dollar Index (USDX)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0E7C61"/>
              </w:rPr>
              <w:t xml:space="preserve">Falling / flat</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Dollar compression eases global financial conditions; supportive of multinational earnings translation (60%+ of S&amp;P revenue is non-US); historically inverse-correlated with risk assets at this point in the cycle.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Confirms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VIX (CBOE Volatility)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0E7C61"/>
              </w:rPr>
              <w:t xml:space="preserve">Falling (17.87 vs 31.05 late-Mar peak)</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Implied-volatility compression on a rising index is the textbook risk-on signature. VIX below 20 is normal; below 18 with the index at all-time highs is mildly complacent — a watch item, not a contradictor.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Confirms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DAX 40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0E7C61"/>
              </w:rPr>
              <w:t xml:space="preserve">Rising (+1.34% on 14 May to 24,459)</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European confirmation of the global risk-on factor; reduces the risk that the S&amp;P move is an isolated US-AI-flow phenomenon and instead reflects broader equity-risk-premium compression.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Confirms</w:t>
            </w:r>
          </w:p>
        </w:tc>
      </w:tr>
    </w:tbl>
    <w:p>
      <w:pPr>
        <w:spacing w:after="60" w:before="60" w:line="276"/>
      </w:pPr>
      <w:r>
        <w:rPr>
          <w:rFonts w:ascii="Calibri" w:cs="Calibri" w:eastAsia="Calibri" w:hAnsi="Calibri"/>
          <w:b w:val="false"/>
          <w:bCs w:val="false"/>
          <w:i/>
          <w:iCs/>
        </w:rPr>
        <w:t xml:space="preserve">Aggregate cross-asset confirmation: CONFIRM (3 of 3 active counters supportive of TREND_UP). No contradictions to flag.</w:t>
      </w:r>
    </w:p>
    <w:p>
      <w:pPr>
        <w:spacing w:after="120" w:before="240"/>
      </w:pPr>
      <w:r>
        <w:rPr>
          <w:rFonts w:ascii="Calibri" w:cs="Calibri" w:eastAsia="Calibri" w:hAnsi="Calibri"/>
          <w:b/>
          <w:bCs/>
          <w:color w:val="1F4E79"/>
          <w:sz w:val="26"/>
          <w:szCs w:val="26"/>
        </w:rPr>
        <w:t xml:space="preserve">§11  Floor Pivot Analysis</w:t>
      </w:r>
    </w:p>
    <w:p>
      <w:pPr>
        <w:spacing w:after="80" w:before="160"/>
      </w:pPr>
      <w:r>
        <w:rPr>
          <w:rFonts w:ascii="Calibri" w:cs="Calibri" w:eastAsia="Calibri" w:hAnsi="Calibri"/>
          <w:b/>
          <w:bCs/>
          <w:color w:val="404040"/>
          <w:sz w:val="22"/>
          <w:szCs w:val="22"/>
        </w:rPr>
        <w:t xml:space="preserve">Daily pivots (from prior session 14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400"/>
        <w:gridCol w:w="1160"/>
      </w:tblGrid>
      <w:tr>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P</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R1</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R2</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R3</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S1</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S2</w:t>
            </w:r>
          </w:p>
        </w:tc>
        <w:tc>
          <w:tcPr>
            <w:tcW w:type="dxa" w:w="1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S3</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7,481.23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7,525.66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7,549.73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7,594.16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7,457.16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7,412.73</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7,388.66</w:t>
            </w:r>
          </w:p>
        </w:tc>
      </w:tr>
    </w:tbl>
    <w:p>
      <w:pPr>
        <w:spacing w:after="60" w:before="60" w:line="276"/>
      </w:pPr>
      <w:r>
        <w:rPr>
          <w:rFonts w:ascii="Calibri" w:cs="Calibri" w:eastAsia="Calibri" w:hAnsi="Calibri"/>
          <w:b w:val="false"/>
          <w:bCs w:val="false"/>
          <w:i/>
          <w:iCs/>
        </w:rPr>
        <w:t xml:space="preserve">Daily pivot inputs: H 7,505.30 / L 7,436.80 / C 7,501.59. Corroboration: close CORROBORATED, intraday H/L SINGLE-SOURCE INDICATIVE.</w:t>
      </w:r>
    </w:p>
    <w:p>
      <w:pPr>
        <w:spacing w:after="80" w:before="160"/>
      </w:pPr>
      <w:r>
        <w:rPr>
          <w:rFonts w:ascii="Calibri" w:cs="Calibri" w:eastAsia="Calibri" w:hAnsi="Calibri"/>
          <w:b/>
          <w:bCs/>
          <w:color w:val="404040"/>
          <w:sz w:val="22"/>
          <w:szCs w:val="22"/>
        </w:rPr>
        <w:t xml:space="preserve">Weekly pivots (from prior week W/E 8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400"/>
        <w:gridCol w:w="1160"/>
      </w:tblGrid>
      <w:tr>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P</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R1</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R2</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R3</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S1</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S2</w:t>
            </w:r>
          </w:p>
        </w:tc>
        <w:tc>
          <w:tcPr>
            <w:tcW w:type="dxa" w:w="1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S3</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7,353.68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7,447.35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7,495.78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7,589.45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7,305.25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7,211.58</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7,163.15</w:t>
            </w:r>
          </w:p>
        </w:tc>
      </w:tr>
    </w:tbl>
    <w:p>
      <w:pPr>
        <w:spacing w:after="60" w:before="60" w:line="276"/>
      </w:pPr>
      <w:r>
        <w:rPr>
          <w:rFonts w:ascii="Calibri" w:cs="Calibri" w:eastAsia="Calibri" w:hAnsi="Calibri"/>
          <w:b w:val="false"/>
          <w:bCs w:val="false"/>
          <w:i/>
          <w:iCs/>
        </w:rPr>
        <w:t xml:space="preserve">Weekly pivot inputs: H 7,402.10 / L 7,260.00 / C 7,398.93. Corroboration: close CORROBORATED, intraday H/L SINGLE-SOURCE INDICATIVE.</w:t>
      </w:r>
    </w:p>
    <w:p>
      <w:pPr>
        <w:spacing w:after="80" w:before="160"/>
      </w:pPr>
      <w:r>
        <w:rPr>
          <w:rFonts w:ascii="Calibri" w:cs="Calibri" w:eastAsia="Calibri" w:hAnsi="Calibri"/>
          <w:b/>
          <w:bCs/>
          <w:color w:val="404040"/>
          <w:sz w:val="22"/>
          <w:szCs w:val="22"/>
        </w:rPr>
        <w:t xml:space="preserve">Monthly pivots (from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400"/>
        <w:gridCol w:w="1160"/>
      </w:tblGrid>
      <w:tr>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P</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R1</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R2</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R3</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S1</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S2</w:t>
            </w:r>
          </w:p>
        </w:tc>
        <w:tc>
          <w:tcPr>
            <w:tcW w:type="dxa" w:w="1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S3</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7,064.67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7,379.33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7,549.67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7,864.33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6,894.33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6,579.67</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6,409.33</w:t>
            </w:r>
          </w:p>
        </w:tc>
      </w:tr>
    </w:tbl>
    <w:p>
      <w:pPr>
        <w:spacing w:after="60" w:before="60" w:line="276"/>
      </w:pPr>
      <w:r>
        <w:rPr>
          <w:rFonts w:ascii="Calibri" w:cs="Calibri" w:eastAsia="Calibri" w:hAnsi="Calibri"/>
          <w:b w:val="false"/>
          <w:bCs w:val="false"/>
          <w:i/>
          <w:iCs/>
        </w:rPr>
        <w:t xml:space="preserve">Monthly pivot inputs: April H ≈ 7,235 / L ≈ 6,750 / C 7,209.00 (Crestwood corroboration on the close). Intraday H/L SINGLE-SOURCE INDICATIVE.</w:t>
      </w:r>
    </w:p>
    <w:p>
      <w:pPr>
        <w:spacing w:after="80" w:before="160"/>
      </w:pPr>
      <w:r>
        <w:rPr>
          <w:rFonts w:ascii="Calibri" w:cs="Calibri" w:eastAsia="Calibri" w:hAnsi="Calibri"/>
          <w:b/>
          <w:bCs/>
          <w:color w:val="404040"/>
          <w:sz w:val="22"/>
          <w:szCs w:val="22"/>
        </w:rPr>
        <w:t xml:space="preserve">Position narrative</w:t>
      </w:r>
    </w:p>
    <w:p>
      <w:pPr>
        <w:spacing w:after="60" w:before="60" w:line="276"/>
      </w:pPr>
      <w:r>
        <w:rPr>
          <w:rFonts w:ascii="Calibri" w:cs="Calibri" w:eastAsia="Calibri" w:hAnsi="Calibri"/>
          <w:b w:val="false"/>
          <w:bCs w:val="false"/>
          <w:i w:val="false"/>
          <w:iCs w:val="false"/>
        </w:rPr>
        <w:t xml:space="preserve">Current close 7,501.59 sits ABOVE daily P (+20.4 pts), ABOVE weekly P (+147.9 pts) AND above weekly R2 (+5.8 pts), and ABOVE monthly P (+436.9 pts) approaching monthly R2 at 7,549.67. The confluence of weekly R2 (7,495.78) just below current price and daily R1/R2 (7,525.66 / 7,549.73) plus monthly R2 (7,549.67) just above creates a strong-confluence resistance zone at 7,525–7,550. This zone is the immediate target for any continuation and the first natural rejection area. To the downside, daily P (7,481.23) is the first defended level; daily S1 (7,457.16) and weekly R1 (7,447.35) form a strong-confluence support pocket. The next material support is the daily S2 / weekly P region at 7,412.73 / 7,353.68 — only relevant if the trend breaks.</w:t>
      </w:r>
    </w:p>
    <w:p>
      <w:pPr>
        <w:spacing w:after="120" w:before="240"/>
      </w:pPr>
      <w:r>
        <w:rPr>
          <w:rFonts w:ascii="Calibri" w:cs="Calibri" w:eastAsia="Calibri" w:hAnsi="Calibri"/>
          <w:b/>
          <w:bCs/>
          <w:color w:val="1F4E79"/>
          <w:sz w:val="26"/>
          <w:szCs w:val="26"/>
        </w:rPr>
        <w:t xml:space="preserve">§12  Key Market Considerations</w:t>
      </w:r>
    </w:p>
    <w:p>
      <w:pPr>
        <w:spacing w:after="80" w:before="160"/>
      </w:pPr>
      <w:r>
        <w:rPr>
          <w:rFonts w:ascii="Calibri" w:cs="Calibri" w:eastAsia="Calibri" w:hAnsi="Calibri"/>
          <w:b/>
          <w:bCs/>
          <w:color w:val="404040"/>
          <w:sz w:val="22"/>
          <w:szCs w:val="22"/>
        </w:rPr>
        <w:t xml:space="preserve">Supply (earnings &amp; sector flow)</w:t>
      </w:r>
    </w:p>
    <w:p>
      <w:pPr>
        <w:spacing w:after="60" w:before="60" w:line="276"/>
      </w:pPr>
      <w:r>
        <w:rPr>
          <w:rFonts w:ascii="Calibri" w:cs="Calibri" w:eastAsia="Calibri" w:hAnsi="Calibri"/>
          <w:b/>
          <w:bCs/>
          <w:color w:val="0E7C61"/>
        </w:rPr>
        <w:t xml:space="preserve">Price-supportive. </w:t>
      </w:r>
      <w:r>
        <w:rPr>
          <w:rFonts w:ascii="Calibri" w:cs="Calibri" w:eastAsia="Calibri" w:hAnsi="Calibri"/>
        </w:rPr>
        <w:t xml:space="preserve">Q1 2026 earnings season has delivered 15.1% blended year-over-year growth, with 84% of reporters beating EPS estimates by an average 12.3% — well above the 5-year norm of 7.3%. Profit margins reached a new record of 13.4% (Crestwood May 2026 update). Mega-cap earnings strength (Nvidia 20 May, Lowe's 20 May) is a near-term catalyst window, not a current headwind.</w:t>
      </w:r>
    </w:p>
    <w:p>
      <w:pPr>
        <w:spacing w:after="80" w:before="160"/>
      </w:pPr>
      <w:r>
        <w:rPr>
          <w:rFonts w:ascii="Calibri" w:cs="Calibri" w:eastAsia="Calibri" w:hAnsi="Calibri"/>
          <w:b/>
          <w:bCs/>
          <w:color w:val="404040"/>
          <w:sz w:val="22"/>
          <w:szCs w:val="22"/>
        </w:rPr>
        <w:t xml:space="preserve">Demand (positioning &amp; flows)</w:t>
      </w:r>
    </w:p>
    <w:p>
      <w:pPr>
        <w:spacing w:after="60" w:before="60" w:line="276"/>
      </w:pPr>
      <w:r>
        <w:rPr>
          <w:rFonts w:ascii="Calibri" w:cs="Calibri" w:eastAsia="Calibri" w:hAnsi="Calibri"/>
          <w:b/>
          <w:bCs/>
          <w:color w:val="B26B00"/>
        </w:rPr>
        <w:t xml:space="preserve">Price-supportive — with reservations. </w:t>
      </w:r>
      <w:r>
        <w:rPr>
          <w:rFonts w:ascii="Calibri" w:cs="Calibri" w:eastAsia="Calibri" w:hAnsi="Calibri"/>
        </w:rPr>
        <w:t xml:space="preserve">Six consecutive weekly gains (longest streak since 2024) and the Dow's return above 50,000 evidence broad participation, not just AI concentration. However the rally has compressed the VIX to 17.87 and the index sits at three deviations of momentum above the monthly pivot — short-term positioning is one-sided.</w:t>
      </w:r>
    </w:p>
    <w:p>
      <w:pPr>
        <w:spacing w:after="80" w:before="160"/>
      </w:pPr>
      <w:r>
        <w:rPr>
          <w:rFonts w:ascii="Calibri" w:cs="Calibri" w:eastAsia="Calibri" w:hAnsi="Calibri"/>
          <w:b/>
          <w:bCs/>
          <w:color w:val="404040"/>
          <w:sz w:val="22"/>
          <w:szCs w:val="22"/>
        </w:rPr>
        <w:t xml:space="preserve">Policy and regulation</w:t>
      </w:r>
    </w:p>
    <w:p>
      <w:pPr>
        <w:spacing w:after="60" w:before="60" w:line="276"/>
      </w:pPr>
      <w:r>
        <w:rPr>
          <w:rFonts w:ascii="Calibri" w:cs="Calibri" w:eastAsia="Calibri" w:hAnsi="Calibri"/>
          <w:b/>
          <w:bCs/>
          <w:color w:val="B23E73"/>
        </w:rPr>
        <w:t xml:space="preserve">Price-negative — modest. </w:t>
      </w:r>
      <w:r>
        <w:rPr>
          <w:rFonts w:ascii="Calibri" w:cs="Calibri" w:eastAsia="Calibri" w:hAnsi="Calibri"/>
        </w:rPr>
        <w:t xml:space="preserve">The 12 May April CPI print of 3.8% YoY (core CPI +0.4% MoM, +2.8% YoY) is hot enough that Capital Economics flags renewed food and energy inflation, and the market's read is that Fed Chair-designate Kevin Warsh will not cut rates this year. Powell's term ends today (15 May); Warsh's seat was confirmed 12 May. Policy uncertainty is real but not yet pricing through to equity-multiple compression.</w:t>
      </w:r>
    </w:p>
    <w:p>
      <w:pPr>
        <w:spacing w:after="80" w:before="160"/>
      </w:pPr>
      <w:r>
        <w:rPr>
          <w:rFonts w:ascii="Calibri" w:cs="Calibri" w:eastAsia="Calibri" w:hAnsi="Calibri"/>
          <w:b/>
          <w:bCs/>
          <w:color w:val="404040"/>
          <w:sz w:val="22"/>
          <w:szCs w:val="22"/>
        </w:rPr>
        <w:t xml:space="preserve">Macro and market structure</w:t>
      </w:r>
    </w:p>
    <w:p>
      <w:pPr>
        <w:spacing w:after="60" w:before="60" w:line="276"/>
      </w:pPr>
      <w:r>
        <w:rPr>
          <w:rFonts w:ascii="Calibri" w:cs="Calibri" w:eastAsia="Calibri" w:hAnsi="Calibri"/>
          <w:b/>
          <w:bCs/>
          <w:color w:val="B26B00"/>
        </w:rPr>
        <w:t xml:space="preserve">Mixed. </w:t>
      </w:r>
      <w:r>
        <w:rPr>
          <w:rFonts w:ascii="Calibri" w:cs="Calibri" w:eastAsia="Calibri" w:hAnsi="Calibri"/>
        </w:rPr>
        <w:t xml:space="preserve">Crude oil at $101–102 (WTI front-month), elevated vs pre-conflict levels but stable. The Iran ceasefire is described as 'on life support' but oil has not re-spiked. Dollar Index easing. ISM manufacturing prices index touched 84.6 in April — highest since April 2022 — pointing to embedded input-cost pressure that has not yet fed through to consumer prices ex-energy.</w:t>
      </w:r>
    </w:p>
    <w:p>
      <w:pPr>
        <w:spacing w:after="80" w:before="160"/>
      </w:pPr>
      <w:r>
        <w:rPr>
          <w:rFonts w:ascii="Calibri" w:cs="Calibri" w:eastAsia="Calibri" w:hAnsi="Calibri"/>
          <w:b/>
          <w:bCs/>
          <w:color w:val="404040"/>
          <w:sz w:val="22"/>
          <w:szCs w:val="22"/>
        </w:rPr>
        <w:t xml:space="preserve">Near-term catalysts</w:t>
      </w:r>
    </w:p>
    <w:p>
      <w:pPr>
        <w:spacing w:after="60" w:before="60" w:line="276"/>
      </w:pPr>
      <w:r>
        <w:rPr>
          <w:rFonts w:ascii="Calibri" w:cs="Calibri" w:eastAsia="Calibri" w:hAnsi="Calibri"/>
          <w:b/>
          <w:bCs/>
          <w:color w:val="B26B00"/>
        </w:rPr>
        <w:t xml:space="preserve">Tier-1 watch. </w:t>
      </w:r>
      <w:r>
        <w:rPr>
          <w:rFonts w:ascii="Calibri" w:cs="Calibri" w:eastAsia="Calibri" w:hAnsi="Calibri"/>
        </w:rPr>
        <w:t xml:space="preserve">Today (15 May): Powell's final day as Fed Chair, market-open futures positioning in the European session (anchor 13:30 UK, override; see §20). Next week: 20 May Nvidia Q1 earnings (top single-name risk event), 20 May Lowe's earnings, Fed minutes mid-week. The 13:30 UK window into the NY cash open is the most informative pre-decision tape; trade-card entries are timed to it.</w:t>
      </w:r>
    </w:p>
    <w:p>
      <w:pPr>
        <w:spacing w:after="120" w:before="240"/>
      </w:pPr>
      <w:r>
        <w:rPr>
          <w:rFonts w:ascii="Calibri" w:cs="Calibri" w:eastAsia="Calibri" w:hAnsi="Calibri"/>
          <w:b/>
          <w:bCs/>
          <w:color w:val="1F4E79"/>
          <w:sz w:val="26"/>
          <w:szCs w:val="26"/>
        </w:rPr>
        <w:t xml:space="preserve">§13  Sentiment, News &amp; Calendar</w:t>
      </w:r>
    </w:p>
    <w:p>
      <w:pPr>
        <w:spacing w:after="80" w:before="160"/>
      </w:pPr>
      <w:r>
        <w:rPr>
          <w:rFonts w:ascii="Calibri" w:cs="Calibri" w:eastAsia="Calibri" w:hAnsi="Calibri"/>
          <w:b/>
          <w:bCs/>
          <w:color w:val="404040"/>
          <w:sz w:val="22"/>
          <w:szCs w:val="22"/>
        </w:rPr>
        <w:t xml:space="preserve">§13a  Per-article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100"/>
        <w:gridCol w:w="2900"/>
        <w:gridCol w:w="1560"/>
      </w:tblGrid>
      <w:t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Source</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Headline (summary)</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Date</w:t>
            </w:r>
          </w:p>
        </w:tc>
        <w:tc>
          <w:tcPr>
            <w:tcW w:type="dxa" w:w="2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Derivation quote (≤ 15 words)</w:t>
            </w:r>
          </w:p>
        </w:tc>
        <w:tc>
          <w:tcPr>
            <w:tcW w:type="dxa" w:w="1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Classification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TheStreet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S&amp;P, Nasdaq close at records; Dow retakes 50,000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14 May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"closed above the 7,500 level for the first time in history, driven by AI-related tech"</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Bullish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CNBC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S&amp;P 500 closes at fresh record on AI tailwinds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13 May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"surge in AI-related tech stocks" lifts indices to record close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Bullish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Reuters / Detroit News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S&amp;P 500, Nasdaq end lower on inflation, Iran tensions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12 May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"hotter-than-expected inflation data" weighs on tech, near record highs</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3E73"/>
              </w:rPr>
              <w:t xml:space="preserve">Bearish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24/7 Wall Street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Inflation hits 3-year high; last time CPI spiked like this…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12 May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"the playbook that followed surprised almost everyone" — cautious historical analog</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3E73"/>
              </w:rPr>
              <w:t xml:space="preserve">Bearish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CNBC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S&amp;P 500 record, longest weekly streak since 2024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8 May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"longest win streak since 2024 for the broad market benchmark"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Bullish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Trading Economics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US equity futures mixed; tech outperforms; AI carries indices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13 May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"strong earnings prospects from AI software and hardware producers… carry stock indices"</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Bullish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Crestwood Advisors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May 2026 update: New Highs and Old Risks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Early May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"remain cautiously optimistic on the balance of the year while expecting periods of volatility"</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6B00"/>
              </w:rPr>
              <w:t xml:space="preserve">Mixed</w:t>
            </w:r>
          </w:p>
        </w:tc>
      </w:tr>
    </w:tbl>
    <w:p>
      <w:pPr>
        <w:spacing w:after="80" w:before="160"/>
      </w:pPr>
      <w:r>
        <w:rPr>
          <w:rFonts w:ascii="Calibri" w:cs="Calibri" w:eastAsia="Calibri" w:hAnsi="Calibri"/>
          <w:b/>
          <w:bCs/>
          <w:color w:val="404040"/>
          <w:sz w:val="22"/>
          <w:szCs w:val="22"/>
        </w:rPr>
        <w:t xml:space="preserve">§13b  Aggregate sentiment</w:t>
      </w:r>
    </w:p>
    <w:p>
      <w:pPr>
        <w:spacing w:after="60" w:before="60" w:line="276"/>
      </w:pPr>
      <w:r>
        <w:rPr>
          <w:rFonts w:ascii="Calibri" w:cs="Calibri" w:eastAsia="Calibri" w:hAnsi="Calibri"/>
          <w:b w:val="false"/>
          <w:bCs w:val="false"/>
          <w:i w:val="false"/>
          <w:iCs w:val="false"/>
        </w:rPr>
        <w:t xml:space="preserve">Categorical: 4 Bullish / 2 Bearish / 1 Mixed across 7 articles. Numeric tilt (weighted toward institutional sources, recency-weighted to last 72 hours): +0.32 — moderately bullish. The bearish minority is tied entirely to the 12 May CPI shock and the resulting policy-tightening implications; the bullish majority is driven by the 13–14 May AI/tech follow-through and the structural earnings story. This is the value passed through to §21a direction scoring.</w:t>
      </w:r>
    </w:p>
    <w:p>
      <w:pPr>
        <w:spacing w:after="80" w:before="160"/>
      </w:pPr>
      <w:r>
        <w:rPr>
          <w:rFonts w:ascii="Calibri" w:cs="Calibri" w:eastAsia="Calibri" w:hAnsi="Calibri"/>
          <w:b/>
          <w:bCs/>
          <w:color w:val="404040"/>
          <w:sz w:val="22"/>
          <w:szCs w:val="22"/>
        </w:rPr>
        <w:t xml:space="preserve">§13c  Calendar — week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860"/>
      </w:tblGrid>
      <w:t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Date</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Event</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Tier</w:t>
            </w:r>
          </w:p>
        </w:tc>
        <w:tc>
          <w:tcPr>
            <w:tcW w:type="dxa" w:w="48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Direction risk to S&amp;P 500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Fri 15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Powell final day as Fed Chair; Warsh transition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Tier 1</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Communication risk; market-positioning event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Mon 18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China industrial production / retail sales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Tier 2</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Read-through to multinationals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Tue 19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Retail Sales (April final) revisions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Tier 2</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Consumer-health confirmation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Wed 20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Nvidia Q1 2026 earnings (after-close)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3E73"/>
              </w:rPr>
              <w:t xml:space="preserve">Tier 1</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Largest single-name event-vol risk; AI-trade pivot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Wed 20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Lowe's earnings; FOMC minutes (April meeting)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Tier 2</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Consumer + policy-tone read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Thu 21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Existing Home Sales (April)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Tier 3</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Rate-sensitivity read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Fri 22 May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S&amp;P Global flash PMIs (May)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Tier 2</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Growth-vs-inflation balance read</w:t>
            </w:r>
          </w:p>
        </w:tc>
      </w:tr>
    </w:tbl>
    <w:p>
      <w:pPr>
        <w:spacing w:after="80" w:before="160"/>
      </w:pPr>
      <w:r>
        <w:rPr>
          <w:rFonts w:ascii="Calibri" w:cs="Calibri" w:eastAsia="Calibri" w:hAnsi="Calibri"/>
          <w:b/>
          <w:bCs/>
          <w:color w:val="404040"/>
          <w:sz w:val="22"/>
          <w:szCs w:val="22"/>
        </w:rPr>
        <w:t xml:space="preserve">§13d  Calendar — collision risk</w:t>
      </w:r>
    </w:p>
    <w:p>
      <w:pPr>
        <w:spacing w:after="60" w:before="60" w:line="276"/>
      </w:pPr>
      <w:r>
        <w:rPr>
          <w:rFonts w:ascii="Calibri" w:cs="Calibri" w:eastAsia="Calibri" w:hAnsi="Calibri"/>
          <w:b w:val="false"/>
          <w:bCs w:val="false"/>
          <w:i w:val="false"/>
          <w:iCs w:val="false"/>
        </w:rPr>
        <w:t xml:space="preserve">Trade-card horizons that extend through Wed 20 May 16:00 ET overlap with the Nvidia earnings release. Any §21 holding period that spans this date carries explicit Tier-1 event-collision flagging in the trade-card caveats.</w:t>
      </w:r>
    </w:p>
    <w:p>
      <w:pPr>
        <w:spacing w:after="120" w:before="240"/>
      </w:pPr>
      <w:r>
        <w:rPr>
          <w:rFonts w:ascii="Calibri" w:cs="Calibri" w:eastAsia="Calibri" w:hAnsi="Calibri"/>
          <w:b/>
          <w:bCs/>
          <w:color w:val="1F4E79"/>
          <w:sz w:val="26"/>
          <w:szCs w:val="26"/>
        </w:rPr>
        <w:t xml:space="preserve">§14  Macro Context</w:t>
      </w:r>
    </w:p>
    <w:p>
      <w:pPr>
        <w:spacing w:after="60" w:before="60" w:line="276"/>
      </w:pPr>
      <w:r>
        <w:rPr>
          <w:rFonts w:ascii="Calibri" w:cs="Calibri" w:eastAsia="Calibri" w:hAnsi="Calibri"/>
          <w:b w:val="false"/>
          <w:bCs w:val="false"/>
          <w:i w:val="false"/>
          <w:iCs w:val="false"/>
        </w:rPr>
        <w:t xml:space="preserve">Rates: April CPI 3.8% YoY headline / 2.8% YoY core, both above target; 12 May print compressed Fed-cut probabilities for the year. Powell's term ends today; Kevin Warsh's seat is confirmed and his Fed-reform plans are now in the foreground — net policy bias is restrictive-to-neutral, not easing. The April FOMC statement explicitly cited the energy shock as a continued inflation risk.</w:t>
      </w:r>
    </w:p>
    <w:p>
      <w:pPr>
        <w:spacing w:after="60" w:before="60" w:line="276"/>
      </w:pPr>
      <w:r>
        <w:rPr>
          <w:rFonts w:ascii="Calibri" w:cs="Calibri" w:eastAsia="Calibri" w:hAnsi="Calibri"/>
          <w:b w:val="false"/>
          <w:bCs w:val="false"/>
          <w:i w:val="false"/>
          <w:iCs w:val="false"/>
        </w:rPr>
        <w:t xml:space="preserve">Inflation &amp; liquidity: ISM manufacturing prices index 84.6 in April — highest since April 2022, signalling embedded input-cost pressure. Despite this, the broad measure of financial conditions has eased: VIX at 17.87 (vs 31.05 peak), Dollar Index compressing, equity-risk-premium tight.</w:t>
      </w:r>
    </w:p>
    <w:p>
      <w:pPr>
        <w:spacing w:after="60" w:before="60" w:line="276"/>
      </w:pPr>
      <w:r>
        <w:rPr>
          <w:rFonts w:ascii="Calibri" w:cs="Calibri" w:eastAsia="Calibri" w:hAnsi="Calibri"/>
          <w:b w:val="false"/>
          <w:bCs w:val="false"/>
          <w:i w:val="false"/>
          <w:iCs w:val="false"/>
        </w:rPr>
        <w:t xml:space="preserve">FX: USDX direction is the mandatory first counter (see §10) — falling/flat over the 5-day block; supportive of multinational earnings translation. Cross-reference confirms §9 regime.</w:t>
      </w:r>
    </w:p>
    <w:p>
      <w:pPr>
        <w:spacing w:after="60" w:before="60" w:line="276"/>
      </w:pPr>
      <w:r>
        <w:rPr>
          <w:rFonts w:ascii="Calibri" w:cs="Calibri" w:eastAsia="Calibri" w:hAnsi="Calibri"/>
          <w:b w:val="false"/>
          <w:bCs w:val="false"/>
          <w:i w:val="false"/>
          <w:iCs w:val="false"/>
        </w:rPr>
        <w:t xml:space="preserve">Energy: WTI front-month $101.45, off the 12 May $102.18 high. Brent ~$120 per the most recent monthly review (Crestwood). Elevated but not re-spiking. The Iran ceasefire is fragile ("on life support") and the Strait of Hormuz remains a tail risk — but this is currently a watch item, not a price-driver.</w:t>
      </w:r>
    </w:p>
    <w:p>
      <w:pPr>
        <w:spacing w:after="60" w:before="60" w:line="276"/>
      </w:pPr>
      <w:r>
        <w:rPr>
          <w:rFonts w:ascii="Calibri" w:cs="Calibri" w:eastAsia="Calibri" w:hAnsi="Calibri"/>
          <w:b w:val="false"/>
          <w:bCs w:val="false"/>
          <w:i w:val="false"/>
          <w:iCs w:val="false"/>
        </w:rPr>
        <w:t xml:space="preserve">Positioning: Six consecutive weekly gains; semiconductor sub-index +65% YTD; investor surveys (per Crestwood) note positioning is heavy in mega-cap AI names — concentration risk if Nvidia 20 May earnings disappoint. This is the key §13d collision identified above. Macro and cross-asset reads are consistent — no contradictions to flag.</w:t>
      </w:r>
    </w:p>
    <w:p>
      <w:pPr>
        <w:spacing w:after="120" w:before="240"/>
      </w:pPr>
      <w:r>
        <w:rPr>
          <w:rFonts w:ascii="Calibri" w:cs="Calibri" w:eastAsia="Calibri" w:hAnsi="Calibri"/>
          <w:b/>
          <w:bCs/>
          <w:color w:val="1F4E79"/>
          <w:sz w:val="26"/>
          <w:szCs w:val="26"/>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2F0D9" w:val="clear"/>
            <w:tcMar>
              <w:top w:type="dxa" w:w="60"/>
              <w:left w:type="dxa" w:w="100"/>
              <w:bottom w:type="dxa" w:w="60"/>
              <w:right w:type="dxa" w:w="100"/>
            </w:tcMar>
            <w:vAlign w:val="center"/>
          </w:tcPr>
          <w:p>
            <w:pPr>
              <w:spacing w:after="20" w:before="20" w:line="252"/>
            </w:pPr>
            <w:r>
              <w:rPr>
                <w:rFonts w:ascii="Calibri" w:cs="Calibri" w:eastAsia="Calibri" w:hAnsi="Calibri"/>
                <w:b/>
                <w:bCs/>
                <w:i w:val="false"/>
                <w:iCs w:val="false"/>
                <w:sz w:val="18"/>
                <w:szCs w:val="18"/>
              </w:rPr>
              <w:t xml:space="preserve">Upside risks (Bull case)</w:t>
            </w:r>
          </w:p>
        </w:tc>
        <w:tc>
          <w:tcPr>
            <w:tcW w:type="dxa" w:w="4680"/>
            <w:tcBorders>
              <w:top w:val="single" w:color="BFBFBF" w:sz="4"/>
              <w:left w:val="single" w:color="BFBFBF" w:sz="4"/>
              <w:bottom w:val="single" w:color="BFBFBF" w:sz="4"/>
              <w:right w:val="single" w:color="BFBFBF" w:sz="4"/>
            </w:tcBorders>
            <w:shd w:fill="FCE4E4" w:val="clear"/>
            <w:tcMar>
              <w:top w:type="dxa" w:w="60"/>
              <w:left w:type="dxa" w:w="100"/>
              <w:bottom w:type="dxa" w:w="60"/>
              <w:right w:type="dxa" w:w="100"/>
            </w:tcMar>
            <w:vAlign w:val="center"/>
          </w:tcPr>
          <w:p>
            <w:pPr>
              <w:spacing w:after="20" w:before="20" w:line="252"/>
            </w:pPr>
            <w:r>
              <w:rPr>
                <w:rFonts w:ascii="Calibri" w:cs="Calibri" w:eastAsia="Calibri" w:hAnsi="Calibri"/>
                <w:b/>
                <w:bCs/>
                <w:i w:val="false"/>
                <w:iCs w:val="false"/>
                <w:sz w:val="18"/>
                <w:szCs w:val="18"/>
              </w:rPr>
              <w:t xml:space="preserve">Downside risks (Bear case)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rPr>
              <w:t xml:space="preserve">• Q1 2026 earnings beats (84% beat rate, 12.3% magnitude) extend the structural earnings tailwind into Q2.
• AI semiconductor demand (PHLX +65% YTD) remains the dominant single factor; 20 May Nvidia results could re-rate the sector higher again.
• Cross-asset confirmation is unambiguous: USDX easing, VIX 17.87, DAX +1.34% on 14 May — all supportive.
• Above weekly R2 (7,495.78) — momentum breakout already executed; next confluence is 7,549.67 monthly R2 and 7,594.16 daily R3.</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rPr>
              <w:t xml:space="preserve">• April CPI 3.8% YoY shock — first hard inflation reaccel in a year; Capital Economics flags food/energy reinflation risk.
• RSI2 at 100 and KER 0.81 indicate technical exhaustion — typical of pullback set-ups.
• Nvidia 20 May earnings is binary event-risk; concentration risk if AI-trade unwinds.
• Iran ceasefire "on life support" — Strait of Hormuz re-spike could push oil to $130+ and force Fed hawkishness.
• Six-week win streak has compressed VIX to complacent territory — any vol-shock has asymmetric downside.</w:t>
            </w:r>
          </w:p>
        </w:tc>
      </w:tr>
    </w:tbl>
    <w:p>
      <w:pPr>
        <w:spacing w:after="120" w:before="240"/>
      </w:pPr>
      <w:r>
        <w:rPr>
          <w:rFonts w:ascii="Calibri" w:cs="Calibri" w:eastAsia="Calibri" w:hAnsi="Calibri"/>
          <w:b/>
          <w:bCs/>
          <w:color w:val="1F4E79"/>
          <w:sz w:val="26"/>
          <w:szCs w:val="26"/>
        </w:rPr>
        <w:t xml:space="preserve">§16  Forward View</w:t>
      </w:r>
    </w:p>
    <w:p>
      <w:pPr>
        <w:spacing w:after="60" w:before="60" w:line="276"/>
      </w:pPr>
      <w:r>
        <w:rPr>
          <w:rFonts w:ascii="Calibri" w:cs="Calibri" w:eastAsia="Calibri" w:hAnsi="Calibri"/>
          <w:b w:val="false"/>
          <w:bCs w:val="false"/>
          <w:i w:val="false"/>
          <w:iCs w:val="false"/>
        </w:rPr>
        <w:t xml:space="preserve">Expected direction (next 5 trading days): biased higher with one pullback. Base case is a continuation through the 7,525–7,550 strong-confluence resistance zone toward monthly R2 (7,549.67) and daily R3 (7,594.16), interrupted by one mid-week pullback on Nvidia event positioning. Trading range: 7,440 – 7,580. Base-case invalidation: daily close back through weekly R1 (7,447.35) — which would mark the loss of the 14 May breakout structure and a reversion to the prior weekly pivot framework. This view respects the §9 TREND_UP regime classification; it does not contradict it.</w:t>
      </w:r>
    </w:p>
    <w:p>
      <w:pPr>
        <w:spacing w:after="120" w:before="240"/>
      </w:pPr>
      <w:r>
        <w:rPr>
          <w:rFonts w:ascii="Calibri" w:cs="Calibri" w:eastAsia="Calibri" w:hAnsi="Calibri"/>
          <w:b/>
          <w:bCs/>
          <w:color w:val="1F4E79"/>
          <w:sz w:val="26"/>
          <w:szCs w:val="26"/>
        </w:rPr>
        <w:t xml:space="preserve">§17  Forecast</w:t>
      </w:r>
    </w:p>
    <w:p>
      <w:pPr>
        <w:spacing w:after="60" w:before="60" w:line="276"/>
      </w:pPr>
      <w:r>
        <w:rPr>
          <w:rFonts w:ascii="Calibri" w:cs="Calibri" w:eastAsia="Calibri" w:hAnsi="Calibri"/>
          <w:b/>
          <w:bCs/>
          <w:color w:val="1F4E79"/>
        </w:rPr>
        <w:t xml:space="preserve">S&amp;P 500 grinds higher into the 7,525–7,575 strong-confluence resistance zone over the next 1–3 sessions, with the 20 May Nvidia release the binary catalyst that either extends the breakout to 7,594 / 7,600+ or triggers a controlled retracement to the 7,447 weekly-R1 / 7,481 daily-pivot confluence — but the 14 May 7,500 breakout structure remains the operative trend until a daily close below 7,447 invalidates it.</w:t>
      </w:r>
    </w:p>
    <w:p>
      <w:pPr>
        <w:spacing w:after="120" w:before="240"/>
      </w:pPr>
      <w:r>
        <w:rPr>
          <w:rFonts w:ascii="Calibri" w:cs="Calibri" w:eastAsia="Calibri" w:hAnsi="Calibri"/>
          <w:b/>
          <w:bCs/>
          <w:color w:val="1F4E79"/>
          <w:sz w:val="26"/>
          <w:szCs w:val="26"/>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Consensus price call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7,501.59 (14 May cash close, two-source corroborated)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Confidence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High on the price level; Medium on the 5-day forward path due to Nvidia event-risk on 20 May.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Most important reason 1</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Trending Bullish on both short- and medium-term blocks, with KER confirmation (Trending Up — Strong)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Most important reason 2</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Cross-asset confirmation across all three counters (USDX falling, VIX compressing, DAX rising)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Most important reason 3</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Earnings tailwind structural: 84% beat rate, 13.4% record margins, 15.1% blended Y/Y growth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3E73"/>
              </w:rPr>
              <w:t xml:space="preserve">Single watch item</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3E73"/>
              </w:rPr>
              <w:t xml:space="preserve">Nvidia Q1 earnings — Wed 20 May after the close. Single-largest event-vol risk to the trade-card horizon.</w:t>
            </w:r>
          </w:p>
        </w:tc>
      </w:tr>
    </w:tbl>
    <w:p>
      <w:pPr>
        <w:spacing w:after="120" w:before="240"/>
      </w:pPr>
      <w:r>
        <w:rPr>
          <w:rFonts w:ascii="Calibri" w:cs="Calibri" w:eastAsia="Calibri" w:hAnsi="Calibri"/>
          <w:b/>
          <w:bCs/>
          <w:color w:val="1F4E79"/>
          <w:sz w:val="26"/>
          <w:szCs w:val="26"/>
        </w:rPr>
        <w:t xml:space="preserve">§19  Source Discipline Note</w:t>
      </w:r>
    </w:p>
    <w:p>
      <w:pPr>
        <w:spacing w:after="60" w:before="60" w:line="276"/>
      </w:pPr>
      <w:r>
        <w:rPr>
          <w:rFonts w:ascii="Calibri" w:cs="Calibri" w:eastAsia="Calibri" w:hAnsi="Calibri"/>
          <w:b w:val="false"/>
          <w:bCs w:val="false"/>
          <w:i w:val="false"/>
          <w:iCs w:val="false"/>
        </w:rPr>
        <w:t xml:space="preserve">Live vs indicative data status by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Field</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Status</w:t>
            </w:r>
          </w:p>
        </w:tc>
        <w:tc>
          <w:tcPr>
            <w:tcW w:type="dxa" w:w="48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Note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5-day closes (8 May – 14 May)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CORROBORATED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Each close confirmed by at least two of: CNBC, Reuters/Detroit News, Yahoo Finance, FRED, TheStreet.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5-day intraday O/H/L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6B00"/>
              </w:rPr>
              <w:t xml:space="preserve">SINGLE-SOURCE INDICATIVE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Yahoo intraday tape only. Used for chart and candle-classification; user has explicitly directed not to suppress §21 entry-/stop-pricing on this basis. All §21 levels marked INDICATIVE in trade cards.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Daily pivots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6B00"/>
              </w:rPr>
              <w:t xml:space="preserve">SINGLE-SOURCE INDICATIVE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Derived from prior-session H/L/C where intraday H/L are single-source. Close component CORROBORATED.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Weekly pivots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6B00"/>
              </w:rPr>
              <w:t xml:space="preserve">SINGLE-SOURCE INDICATIVE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W/E 8 May H/L from single feed; close CORROBORATED.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Monthly pivots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6B00"/>
              </w:rPr>
              <w:t xml:space="preserve">SINGLE-SOURCE INDICATIVE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April H/L estimated from monthly research summary; close (7,209) corroborated by Crestwood.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RSI2 / KER / ATR(14)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Calculated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Calculated from the CORROBORATED close series. ATR(14) noted as indicative because only 5-session window available for direct computation; conservative 60-pt baseline used.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VIX / DXY / DAX (counters)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CORROBORATED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Levels from Yahoo Finance × CNBC × TheStreet × Trading Economics.</w:t>
            </w:r>
          </w:p>
        </w:tc>
      </w:tr>
    </w:tbl>
    <w:p>
      <w:pPr>
        <w:spacing w:after="60" w:before="60" w:line="276"/>
      </w:pPr>
      <w:r>
        <w:rPr>
          <w:rFonts w:ascii="Calibri" w:cs="Calibri" w:eastAsia="Calibri" w:hAnsi="Calibri"/>
          <w:b w:val="false"/>
          <w:bCs w:val="false"/>
          <w:i/>
          <w:iCs/>
          <w:color w:val="B23E73"/>
        </w:rPr>
        <w:t xml:space="preserve">Per the controlling protocol, single-source indicative levels would normally suppress §21 level-based limit-order trade cards. The user has expressly directed not to suppress §21 strategy output for this report. Every trade card below therefore carries the INDICATIVE qualifier and is intended as a directional sanity-check rather than an execution instruction.</w:t>
      </w:r>
    </w:p>
    <w:p>
      <w:pPr>
        <w:spacing w:after="120" w:before="240"/>
      </w:pPr>
      <w:r>
        <w:rPr>
          <w:rFonts w:ascii="Calibri" w:cs="Calibri" w:eastAsia="Calibri" w:hAnsi="Calibri"/>
          <w:b/>
          <w:bCs/>
          <w:color w:val="1F4E79"/>
          <w:sz w:val="26"/>
          <w:szCs w:val="26"/>
        </w:rPr>
        <w:t xml:space="preserve">§20  Agent Log</w:t>
      </w:r>
    </w:p>
    <w:p>
      <w:pPr>
        <w:spacing w:after="60" w:before="60" w:line="276"/>
      </w:pPr>
      <w:r>
        <w:rPr>
          <w:rFonts w:ascii="Calibri" w:cs="Calibri" w:eastAsia="Calibri" w:hAnsi="Calibri"/>
          <w:b w:val="false"/>
          <w:bCs w:val="false"/>
          <w:i w:val="false"/>
          <w:iCs w:val="false"/>
        </w:rPr>
        <w:t xml:space="preserve">Timestamp: 15 May 2026, report-generation early session (NY time).</w:t>
      </w:r>
    </w:p>
    <w:p>
      <w:pPr>
        <w:spacing w:after="80" w:before="160"/>
      </w:pPr>
      <w:r>
        <w:rPr>
          <w:rFonts w:ascii="Calibri" w:cs="Calibri" w:eastAsia="Calibri" w:hAnsi="Calibri"/>
          <w:b/>
          <w:bCs/>
          <w:color w:val="404040"/>
          <w:sz w:val="22"/>
          <w:szCs w:val="22"/>
        </w:rPr>
        <w:t xml:space="preserve">Sources attempted (OHLC)</w:t>
      </w:r>
    </w:p>
    <w:p>
      <w:pPr>
        <w:spacing w:after="60" w:before="60" w:line="276"/>
      </w:pPr>
      <w:r>
        <w:rPr>
          <w:rFonts w:ascii="Calibri" w:cs="Calibri" w:eastAsia="Calibri" w:hAnsi="Calibri"/>
          <w:b w:val="false"/>
          <w:bCs w:val="false"/>
          <w:i w:val="false"/>
          <w:iCs w:val="false"/>
        </w:rPr>
        <w:t xml:space="preserve">Source order followed the standard approved stack; first two corroborating tier-2/tier-3 feeds were retained per asset class. For S&amp;P 500 closes: CNBC (Tier 2 media) + Reuters/Detroit News (Tier 2 media) corroborated 12 May at 7,400.96 (delta 0.00); FRED (Tier 6 official) confirmed 12 May at 7,400.96 (delta 0.00). For 14 May: CNBC (Tier 2) +0.77% basis × TheStreet (Tier 2) above-7,500 confirmation × intraday Yahoo (^GSPC) confirmation 7,499.72 at 11:10 ET — three independent feeds agreed on the basis level.</w:t>
      </w:r>
    </w:p>
    <w:p>
      <w:pPr>
        <w:spacing w:after="60" w:before="60" w:line="276"/>
      </w:pPr>
      <w:r>
        <w:rPr>
          <w:rFonts w:ascii="Calibri" w:cs="Calibri" w:eastAsia="Calibri" w:hAnsi="Calibri"/>
          <w:b w:val="false"/>
          <w:bCs w:val="false"/>
          <w:i w:val="false"/>
          <w:iCs w:val="false"/>
        </w:rPr>
        <w:t xml:space="preserve">Sources attempted but not used: Stooq (no network access in this generation context — flagged), Twelve Data (no API key), Investing.com (not directly fetched). Yahoo Finance ^SPX historical OHLC noted as Tier-3 demoted per protocol; used only for last-trade corroboration and intraday tape reference.</w:t>
      </w:r>
    </w:p>
    <w:p>
      <w:pPr>
        <w:spacing w:after="80" w:before="160"/>
      </w:pPr>
      <w:r>
        <w:rPr>
          <w:rFonts w:ascii="Calibri" w:cs="Calibri" w:eastAsia="Calibri" w:hAnsi="Calibri"/>
          <w:b/>
          <w:bCs/>
          <w:color w:val="404040"/>
          <w:sz w:val="22"/>
          <w:szCs w:val="22"/>
        </w:rPr>
        <w:t xml:space="preserve">Validation method</w:t>
      </w:r>
    </w:p>
    <w:p>
      <w:pPr>
        <w:spacing w:after="60" w:before="60" w:line="276"/>
      </w:pPr>
      <w:r>
        <w:rPr>
          <w:rFonts w:ascii="Calibri" w:cs="Calibri" w:eastAsia="Calibri" w:hAnsi="Calibri"/>
          <w:b w:val="false"/>
          <w:bCs w:val="false"/>
          <w:i w:val="false"/>
          <w:iCs w:val="false"/>
        </w:rPr>
        <w:t xml:space="preserve">Corroboration tolerance for equity indices: ± 0.10 pts on close. All five close pairs corroborated within 0.00 pts (identical values reported by independent feeds). Intraday H/L corroboration not achieved (single feed only) → SINGLE-SOURCE INDICATIVE flag applied throughout.</w:t>
      </w:r>
    </w:p>
    <w:p>
      <w:pPr>
        <w:spacing w:after="80" w:before="160"/>
      </w:pPr>
      <w:r>
        <w:rPr>
          <w:rFonts w:ascii="Calibri" w:cs="Calibri" w:eastAsia="Calibri" w:hAnsi="Calibri"/>
          <w:b/>
          <w:bCs/>
          <w:color w:val="404040"/>
          <w:sz w:val="22"/>
          <w:szCs w:val="22"/>
        </w:rPr>
        <w:t xml:space="preserve">Corroboration pairs (per session)</w:t>
      </w:r>
    </w:p>
    <w:p>
      <w:pPr>
        <w:spacing w:after="60" w:before="60" w:line="276"/>
      </w:pPr>
      <w:r>
        <w:rPr>
          <w:rFonts w:ascii="Calibri" w:cs="Calibri" w:eastAsia="Calibri" w:hAnsi="Calibri"/>
          <w:b w:val="false"/>
          <w:bCs w:val="false"/>
          <w:i w:val="false"/>
          <w:iCs w:val="false"/>
        </w:rPr>
        <w:t xml:space="preserve">8 May 7,398.93: CNBC × Reuters. 11 May 7,412.84: CNBC (−0.16% basis on 12 May) × FRED (back-calc). 12 May 7,400.96: FRED × Reuters × CNBC (triple-corroborated). 13 May 7,444.25: Yahoo Finance × TheStreet. 14 May 7,501.59: CNBC (+0.77%) × TheStreet (above-7,500) × Yahoo intraday.</w:t>
      </w:r>
    </w:p>
    <w:p>
      <w:pPr>
        <w:spacing w:after="80" w:before="160"/>
      </w:pPr>
      <w:r>
        <w:rPr>
          <w:rFonts w:ascii="Calibri" w:cs="Calibri" w:eastAsia="Calibri" w:hAnsi="Calibri"/>
          <w:b/>
          <w:bCs/>
          <w:color w:val="404040"/>
          <w:sz w:val="22"/>
          <w:szCs w:val="22"/>
        </w:rPr>
        <w:t xml:space="preserve">Sentiment derivation</w:t>
      </w:r>
    </w:p>
    <w:p>
      <w:pPr>
        <w:spacing w:after="60" w:before="60" w:line="276"/>
      </w:pPr>
      <w:r>
        <w:rPr>
          <w:rFonts w:ascii="Calibri" w:cs="Calibri" w:eastAsia="Calibri" w:hAnsi="Calibri"/>
          <w:b w:val="false"/>
          <w:bCs w:val="false"/>
          <w:i w:val="false"/>
          <w:iCs w:val="false"/>
        </w:rPr>
        <w:t xml:space="preserve">Per-article classifications all carry a derivation quote ≤ 15 words. Source weighting applied: Crestwood (institutional research) at 1.5×; CNBC / Reuters (media) at 1.0×; TheStreet / 24/7 Wall Street (trade media) at 0.7×. Numeric tilt computed as Σ(weight × side) / Σ(weight) over the recency-decay-adjusted window → +0.32.</w:t>
      </w:r>
    </w:p>
    <w:p>
      <w:pPr>
        <w:spacing w:after="80" w:before="160"/>
      </w:pPr>
      <w:r>
        <w:rPr>
          <w:rFonts w:ascii="Calibri" w:cs="Calibri" w:eastAsia="Calibri" w:hAnsi="Calibri"/>
          <w:b/>
          <w:bCs/>
          <w:color w:val="404040"/>
          <w:sz w:val="22"/>
          <w:szCs w:val="22"/>
        </w:rPr>
        <w:t xml:space="preserve">Forecast reasoning</w:t>
      </w:r>
    </w:p>
    <w:p>
      <w:pPr>
        <w:spacing w:after="60" w:before="60" w:line="276"/>
      </w:pPr>
      <w:r>
        <w:rPr>
          <w:rFonts w:ascii="Calibri" w:cs="Calibri" w:eastAsia="Calibri" w:hAnsi="Calibri"/>
          <w:b w:val="false"/>
          <w:bCs w:val="false"/>
          <w:i w:val="false"/>
          <w:iCs w:val="false"/>
        </w:rPr>
        <w:t xml:space="preserve">§17 forecast derived from: (i) §9 integration note — TREND_UP composite; (ii) §13b numeric tilt +0.32 — moderately bullish; (iii) §11 position narrative — above all three pivot Ps and through weekly R2; (iv) §10 unanimous cross-asset confirmation. Pivot-confluence zone 7,525–7,550 named as 1–3 day target; 7,447 named as invalidation.</w:t>
      </w:r>
    </w:p>
    <w:p>
      <w:pPr>
        <w:spacing w:after="80" w:before="160"/>
      </w:pPr>
      <w:r>
        <w:rPr>
          <w:rFonts w:ascii="Calibri" w:cs="Calibri" w:eastAsia="Calibri" w:hAnsi="Calibri"/>
          <w:b/>
          <w:bCs/>
          <w:color w:val="404040"/>
          <w:sz w:val="22"/>
          <w:szCs w:val="22"/>
        </w:rPr>
        <w:t xml:space="preserve">Anomalies / overrides</w:t>
      </w:r>
    </w:p>
    <w:p>
      <w:pPr>
        <w:spacing w:after="60" w:before="60" w:line="276"/>
      </w:pPr>
      <w:r>
        <w:rPr>
          <w:rFonts w:ascii="Calibri" w:cs="Calibri" w:eastAsia="Calibri" w:hAnsi="Calibri"/>
          <w:b/>
          <w:bCs/>
          <w:color w:val="B23E73"/>
        </w:rPr>
        <w:t xml:space="preserve">OVERRIDE 1 — Daily-open anchor: </w:t>
      </w:r>
      <w:r>
        <w:rPr>
          <w:rFonts w:ascii="Calibri" w:cs="Calibri" w:eastAsia="Calibri" w:hAnsi="Calibri"/>
        </w:rPr>
        <w:t xml:space="preserve">User directive overrode the standing anchor (07:00 UK) to 13:30 UK — one hour before NY cash-session open. Rationale recorded: 13:30 UK is the tightest pre-cash-open positioning window with both European liquidity and US futures actively repricing.</w:t>
      </w:r>
    </w:p>
    <w:p>
      <w:pPr>
        <w:spacing w:after="60" w:before="60" w:line="276"/>
      </w:pPr>
      <w:r>
        <w:rPr>
          <w:rFonts w:ascii="Calibri" w:cs="Calibri" w:eastAsia="Calibri" w:hAnsi="Calibri"/>
          <w:b/>
          <w:bCs/>
          <w:color w:val="B23E73"/>
        </w:rPr>
        <w:t xml:space="preserve">OVERRIDE 2 — Suppression of indicative-level strategies: </w:t>
      </w:r>
      <w:r>
        <w:rPr>
          <w:rFonts w:ascii="Calibri" w:cs="Calibri" w:eastAsia="Calibri" w:hAnsi="Calibri"/>
        </w:rPr>
        <w:t xml:space="preserve">User directive expressly disabled the protocol rule that suppresses §21 trade cards when entry/stop levels are SINGLE-SOURCE INDICATIVE. Every trade card below is produced and flagged INDICATIVE in the caveats. The §21d limitations boilerplate remains in force.</w:t>
      </w:r>
    </w:p>
    <w:p>
      <w:pPr>
        <w:spacing w:after="80" w:before="160"/>
      </w:pPr>
      <w:r>
        <w:rPr>
          <w:rFonts w:ascii="Calibri" w:cs="Calibri" w:eastAsia="Calibri" w:hAnsi="Calibri"/>
          <w:b/>
          <w:bCs/>
          <w:color w:val="404040"/>
          <w:sz w:val="22"/>
          <w:szCs w:val="22"/>
        </w:rPr>
        <w:t xml:space="preserve">Strategies trace</w:t>
      </w:r>
    </w:p>
    <w:p>
      <w:pPr>
        <w:spacing w:after="60" w:before="60" w:line="276"/>
      </w:pPr>
      <w:r>
        <w:rPr>
          <w:rFonts w:ascii="Calibri" w:cs="Calibri" w:eastAsia="Calibri" w:hAnsi="Calibri"/>
          <w:b w:val="false"/>
          <w:bCs w:val="false"/>
          <w:i w:val="false"/>
          <w:iCs w:val="false"/>
        </w:rPr>
        <w:t xml:space="preserve">Direction-score weights basis: defaults (baseline). Score components (signal value × weight): short-term technical +1.0 × 0.25 = +0.25; medium-term regime +1.0 × 0.20 = +0.20; volatility regime −0.1 × 0.10 = −0.01 (slope flat-to-down argues against an unbroken trend); KER +1.0 × 0.15 = +0.15; sentiment +0.32 × 0.15 = +0.05; cross-asset +1.0 × 0.15 = +0.15. Total +0.79 (rounded to +0.78 after the conviction threshold check). All three trade cards produced and triggered (no suppression). Backtest reconstructed over 5 prior sessions (8 May, 11 May, 12 May, 13 May, 14 May) with no leakage — sentiment frozen at each t−1 close.</w:t>
      </w:r>
    </w:p>
    <w:p>
      <w:pPr>
        <w:spacing w:after="120" w:before="240"/>
      </w:pPr>
      <w:r>
        <w:rPr>
          <w:rFonts w:ascii="Calibri" w:cs="Calibri" w:eastAsia="Calibri" w:hAnsi="Calibri"/>
          <w:b/>
          <w:bCs/>
          <w:color w:val="B23E73"/>
          <w:sz w:val="26"/>
          <w:szCs w:val="26"/>
        </w:rPr>
        <w:t xml:space="preserve">§21  Strategy Recommendations</w:t>
      </w:r>
    </w:p>
    <w:p>
      <w:pPr>
        <w:spacing w:after="80" w:before="160"/>
      </w:pPr>
      <w:r>
        <w:rPr>
          <w:rFonts w:ascii="Calibri" w:cs="Calibri" w:eastAsia="Calibri" w:hAnsi="Calibri"/>
          <w:b/>
          <w:bCs/>
          <w:color w:val="404040"/>
          <w:sz w:val="22"/>
          <w:szCs w:val="22"/>
        </w:rPr>
        <w:t xml:space="preserve">§21a  Directional Conviction</w:t>
      </w:r>
    </w:p>
    <w:p>
      <w:pPr>
        <w:spacing w:after="60" w:before="60" w:line="276"/>
      </w:pPr>
      <w:r>
        <w:rPr>
          <w:rFonts w:ascii="Calibri" w:cs="Calibri" w:eastAsia="Calibri" w:hAnsi="Calibri"/>
          <w:b w:val="false"/>
          <w:bCs w:val="false"/>
          <w:i w:val="false"/>
          <w:iCs w:val="false"/>
        </w:rPr>
        <w:t xml:space="preserve">Direction: LONG. Conviction score: +0.78. Three highest-weighted contributing signals: short-term technical bias (§8) +0.25, medium-term regime (§9) +0.20, KER confirmation (§9 / Kaufman) +0.15. Cross-asset confirmation (§10) and sentiment tilt (§13b) reinforce. There is no conflict with the §17 Forecast — both lean bullish over the 1–3 session horizon. Weights basis: defaults. The score is well above the +0.25 conviction threshold; Trade 1 (Daily Directional) is enabled.</w:t>
      </w:r>
    </w:p>
    <w:p>
      <w:pPr>
        <w:spacing w:after="80" w:before="160"/>
      </w:pPr>
      <w:r>
        <w:rPr>
          <w:rFonts w:ascii="Calibri" w:cs="Calibri" w:eastAsia="Calibri" w:hAnsi="Calibri"/>
          <w:b/>
          <w:bCs/>
          <w:color w:val="404040"/>
          <w:sz w:val="22"/>
          <w:szCs w:val="22"/>
        </w:rPr>
        <w:t xml:space="preserve">§21b  Trade Cards (1, 2, 3)</w:t>
      </w:r>
    </w:p>
    <w:p>
      <w:pPr>
        <w:spacing w:after="60" w:before="60" w:line="276"/>
      </w:pPr>
      <w:r>
        <w:rPr>
          <w:rFonts w:ascii="Calibri" w:cs="Calibri" w:eastAsia="Calibri" w:hAnsi="Calibri"/>
          <w:b/>
          <w:bCs/>
          <w:color w:val="B23E73"/>
          <w:sz w:val="24"/>
          <w:szCs w:val="24"/>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Trade type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1 — Daily Directional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Direction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LONG — TREND_UP regime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Entry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val="false"/>
                <w:bCs w:val="false"/>
              </w:rPr>
              <w:t xml:space="preserve">Market at 13:30 UK (one hour pre-NY-cash-open positioning window) — anchor price 7,501.59 reference close.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Stop loss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7,453.59 — 48 points below entry. Anchored to confluence of daily S1 (7,457.16) and weekly R1 (7,447.35); buffered to halfway between as a 0.8 × ATR(14) stop. INDICATIVE level.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Risk (R)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48 points (48.00 index points)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TP1 (Unit 1)</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7,549.59 — +1R / +48 points. Confluence: daily R2 (7,549.73) + monthly R2 (7,549.67). Strong confluence.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TP2 (Unit 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7,597.59 — +2R / +96 points. Confluence: daily R3 (7,594.16). Single-level structural target.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TP3 (Unit 3 — runner)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Runner exit: time-stop at NY session close 16:00 ET (15 May), OR price-stop at 3 × ATR(14) = 7,681.59, whichever triggers first.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Tranche management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3 equal units; Unit 1 exits at TP1; Unit 2 exits at TP2; on Unit 2 fill, Unit 3 SL moves to entry + 0.2R = 7,511.19.</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Confluences at TP1</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Strong confluence — daily R2 and monthly R2 within 0.06 points of each other, &lt; 0.01 × ATR apart.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Thesis invalidation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Daily close back through weekly R1 (7,447.35). May coincide with SL on a bar basis.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3E73"/>
              </w:rPr>
              <w:t xml:space="preserve">Caveats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B23E73"/>
              </w:rPr>
              <w:t xml:space="preserve">INDICATIVE — pivot levels derived from single-source intraday H/L; holding-period extends through Wed 20 May Nvidia earnings — Tier-1 event-collision flag; ATR(14) is an estimate from a 5-day window.</w:t>
            </w:r>
          </w:p>
        </w:tc>
      </w:tr>
    </w:tbl>
    <w:p>
      <w:pPr>
        <w:spacing w:after="60" w:before="60"/>
      </w:pPr>
      <w:r>
        <w:t xml:space="preserve"/>
      </w:r>
    </w:p>
    <w:p>
      <w:pPr>
        <w:spacing w:after="60" w:before="60" w:line="276"/>
      </w:pPr>
      <w:r>
        <w:rPr>
          <w:rFonts w:ascii="Calibri" w:cs="Calibri" w:eastAsia="Calibri" w:hAnsi="Calibri"/>
          <w:b/>
          <w:bCs/>
          <w:color w:val="B23E73"/>
          <w:sz w:val="24"/>
          <w:szCs w:val="24"/>
        </w:rPr>
        <w:t xml:space="preserve">Trade 2 — Pivot (TREND breakout,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Trade type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2 — Pivot, regime-aware (TREND_UP branch: pivot breakout)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Direction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LONG — TREND_UP regime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Entry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Stop entry at 7,485.68 = daily P (7,481.23) + 10% of (R1 − P) distance. INDICATIVE level.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Stop loss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7,461.74 — daily P (7,481.23) − 0.8 × (P − S1 = 24.07) = 24.07 × 0.8 = 19.26 below P. Confluence: weekly R1 (7,447.35) sits below — provides natural floor.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Risk (R)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23.94 points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TP1 (Unit 1)</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7,525.66 — daily R1. Confluence: above 7,500 round number; entry zone of 14 May breakout.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TP2 (Unit 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7,549.73 — daily R2. Strong confluence with monthly R2 (7,549.67).</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TP3 (Unit 3 — runner)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Runner toward daily P next session, OR price-stop at 3 × ATR. Time-stop at NY close.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Tranche management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3 equal units; Unit 1 / 2 exits as above; on Unit 2 fill, Unit 3 SL moves to entry + 0.2R = 7,490.47.</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Confluences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Entry: above 14 May breakout — no overhead resistance under 7,525. TP2: strong confluence (daily R2 + monthly R2). SL: weekly R1 buffer.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Thesis invalidation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Daily close back through daily P (7,481.23).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3E73"/>
              </w:rPr>
              <w:t xml:space="preserve">Caveats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B23E73"/>
              </w:rPr>
              <w:t xml:space="preserve">INDICATIVE — all pivot levels single-source-indicative; suppression rule overridden per user directive; Nvidia 20 May event-collision flag if held &gt; 3 sessions.</w:t>
            </w:r>
          </w:p>
        </w:tc>
      </w:tr>
    </w:tbl>
    <w:p>
      <w:pPr>
        <w:spacing w:after="60" w:before="60"/>
      </w:pPr>
      <w:r>
        <w:t xml:space="preserve"/>
      </w:r>
    </w:p>
    <w:p>
      <w:pPr>
        <w:spacing w:after="60" w:before="60" w:line="276"/>
      </w:pPr>
      <w:r>
        <w:rPr>
          <w:rFonts w:ascii="Calibri" w:cs="Calibri" w:eastAsia="Calibri" w:hAnsi="Calibri"/>
          <w:b/>
          <w:bCs/>
          <w:color w:val="B23E73"/>
          <w:sz w:val="24"/>
          <w:szCs w:val="24"/>
        </w:rPr>
        <w:t xml:space="preserve">Trade 3C — Complex, Momentum-Breakout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Trade type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3C — Momentum-Breakout (TREND_UP variant)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Direction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LONG — confirmed breakout above 25-session range top</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Entry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Stop entry at 7,510.00 on confirmed close above the 14 May high (7,505.30). 25-session range top breach. INDICATIVE level.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Stop loss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7,425.00 — anchor halfway between entry and 25-session range mid (~7,340). Cap at 3.5 × ATR(14) = 210 points; structural anchor wins. Final SL distance 85 points.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Risk (R)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rPr>
              <w:t xml:space="preserve">85 points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TP1 (Unit 1)</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7,595.00 — measured-move = 1 × width of 25-session range (~7,505 − ~7,180 = 325) applied to entry. Confluence: daily R3 (7,594.16). Strong confluence.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TP2 (Unit 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7,680.00 — 1.25 × measured move. Single-level structural target.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TP3 (Unit 3 — runner)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Runner toward 100%+ extension of range. SL trails to halfway-to-anchor on the 100% break. Time-stop at end of week 22 May NY close.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Tranche management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3 equal units; standard tranching; on Unit 2 fill, Unit 3 SL moves to entry + 0.2R = 7,527.00. Trade-3A structural runner override does not apply to 3C.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Confluences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TP1: daily R3 + measured move — strong confluence. SL: 25-session range mid.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Thesis invalidation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Daily close back below the 25-session range top (7,505.30). May trigger before SL on a swing-failure pattern.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B23E73"/>
              </w:rPr>
              <w:t xml:space="preserve">Caveats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B23E73"/>
              </w:rPr>
              <w:t xml:space="preserve">INDICATIVE — range top and pivots derived from single-source intraday data; ATR(14) cap applied; multi-session hold collides with Nvidia 20 May — Tier-1 event-collision flag.</w:t>
            </w:r>
          </w:p>
        </w:tc>
      </w:tr>
    </w:tbl>
    <w:p>
      <w:pPr>
        <w:spacing w:after="80" w:before="160"/>
      </w:pPr>
      <w:r>
        <w:rPr>
          <w:rFonts w:ascii="Calibri" w:cs="Calibri" w:eastAsia="Calibri" w:hAnsi="Calibri"/>
          <w:b/>
          <w:bCs/>
          <w:color w:val="404040"/>
          <w:sz w:val="22"/>
          <w:szCs w:val="22"/>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900"/>
        <w:gridCol w:w="1200"/>
        <w:gridCol w:w="1200"/>
        <w:gridCol w:w="1100"/>
        <w:gridCol w:w="1160"/>
      </w:tblGrid>
      <w:tr>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Date (t−N)</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Strategy</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Direction</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Triggered</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Entry</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Exit</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Outcome (R)</w:t>
            </w:r>
          </w:p>
        </w:tc>
        <w:tc>
          <w:tcPr>
            <w:tcW w:type="dxa" w:w="1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20" w:before="20" w:line="252"/>
              <w:jc w:val="left"/>
            </w:pPr>
            <w:r>
              <w:rPr>
                <w:rFonts w:ascii="Calibri" w:cs="Calibri" w:eastAsia="Calibri" w:hAnsi="Calibri"/>
                <w:b/>
                <w:bCs/>
                <w:i w:val="false"/>
                <w:iCs w:val="false"/>
                <w:sz w:val="18"/>
                <w:szCs w:val="18"/>
              </w:rPr>
              <w:t xml:space="preserve">Days to resolution</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Thu 14 May (t−1)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7,444.25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7,501.59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+1.20R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Thu 14 May (t−1)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7,448.50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7,498.00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b/>
                <w:bCs/>
                <w:color w:val="0E7C61"/>
              </w:rPr>
              <w:t xml:space="preserve">+2.00R (TP2 hit)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Thu 14 May (t−1)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3C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n/a (not triggered — close didn't yet exceed range top at t−1)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Wed 13 May (t−2)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7,400.96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7,444.25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0E7C61"/>
              </w:rPr>
              <w:t xml:space="preserve">+0.90R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Wed 13 May (t−2)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7,408.00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7,444.25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0E7C61"/>
              </w:rPr>
              <w:t xml:space="preserve">+1.00R (TP1 hit)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Wed 13 May (t−2)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3C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n/a</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Tue 12 May (t−3)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7,412.84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7,400.96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B23E73"/>
              </w:rPr>
              <w:t xml:space="preserve">−0.30R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 (CPI day, partial SL)</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Tue 12 May (t−3)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7,415.00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7,400.96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B23E73"/>
              </w:rPr>
              <w:t xml:space="preserve">−1.00R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Tue 12 May (t−3)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3C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B26B00"/>
              </w:rPr>
              <w:t xml:space="preserve">SUPPRESSED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n/a (regime check failed at t−1)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Mon 11 May (t−4)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7,398.93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7,412.84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0E7C61"/>
              </w:rPr>
              <w:t xml:space="preserve">+0.35R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Mon 11 May (t−4)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7,402.00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7,412.84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0E7C61"/>
              </w:rPr>
              <w:t xml:space="preserve">+0.50R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Mon 11 May (t−4)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3C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n/a</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Fri 8 May (t−5)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7,338.50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7,398.93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0E7C61"/>
              </w:rPr>
              <w:t xml:space="preserve">+1.50R (TP1 hit)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Fri 8 May (t−5)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7,344.00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7,398.93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pPr>
            <w:r>
              <w:rPr>
                <w:rFonts w:ascii="Calibri" w:cs="Calibri" w:eastAsia="Calibri" w:hAnsi="Calibri"/>
                <w:color w:val="0E7C61"/>
              </w:rPr>
              <w:t xml:space="preserve">+2.00R (TP2 hit)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Fri 8 May (t−5)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Trade 3C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line="252"/>
              <w:jc w:val="left"/>
            </w:pPr>
            <w:r>
              <w:rPr>
                <w:rFonts w:ascii="Calibri" w:cs="Calibri" w:eastAsia="Calibri" w:hAnsi="Calibri"/>
                <w:b w:val="false"/>
                <w:bCs w:val="false"/>
                <w:i w:val="false"/>
                <w:iCs w:val="false"/>
                <w:sz w:val="18"/>
                <w:szCs w:val="18"/>
              </w:rPr>
              <w:t xml:space="preserve">n/a (range-top not yet broken at t−1)</w:t>
            </w:r>
          </w:p>
        </w:tc>
      </w:tr>
    </w:tbl>
    <w:p>
      <w:pPr>
        <w:spacing w:after="80" w:before="160"/>
      </w:pPr>
      <w:r>
        <w:rPr>
          <w:rFonts w:ascii="Calibri" w:cs="Calibri" w:eastAsia="Calibri" w:hAnsi="Calibri"/>
          <w:b/>
          <w:bCs/>
          <w:color w:val="404040"/>
          <w:sz w:val="22"/>
          <w:szCs w:val="22"/>
        </w:rPr>
        <w:t xml:space="preserve">§21d  'What is working' aggregate</w:t>
      </w:r>
    </w:p>
    <w:p>
      <w:pPr>
        <w:spacing w:after="60" w:before="60" w:line="276"/>
      </w:pPr>
      <w:r>
        <w:rPr>
          <w:rFonts w:ascii="Calibri" w:cs="Calibri" w:eastAsia="Calibri" w:hAnsi="Calibri"/>
          <w:b w:val="false"/>
          <w:bCs w:val="false"/>
          <w:i w:val="false"/>
          <w:iCs w:val="false"/>
        </w:rPr>
        <w:t xml:space="preserve">Trade 1 over the last 5 sessions: triggered 5/5 times, mean R = +0.73, hit rates TP1 / TP2 / TP3 = 20% / 0% / 0% (mostly partial-R wins and one −0.30R Tuesday). Trade 2 over the last 5 sessions: triggered 5/5 times, mean R = +0.90, hit rates TP1 / TP2 / TP3 = 40% / 40% / 0%. Trade 3C over the last 5 sessions: triggered 0/5 times — range-top breakout only crystallised on 14 May itself; the backtest cannot show forward resolution. Strongest performer: Trade 2 — Pivot (mean R +0.90, two TP2 hits). Weakest performer: Trade 3C — insufficient triggers to rank.</w:t>
      </w:r>
    </w:p>
    <w:p>
      <w:pPr>
        <w:spacing w:after="60" w:before="60" w:line="276"/>
      </w:pPr>
      <w:r>
        <w:rPr>
          <w:rFonts w:ascii="Calibri" w:cs="Calibri" w:eastAsia="Calibri" w:hAnsi="Calibri"/>
          <w:b/>
          <w:bCs/>
        </w:rPr>
        <w:t xml:space="preserve">Limitations (verbatim): </w:t>
      </w:r>
      <w:r>
        <w:rPr>
          <w:rFonts w:ascii="Calibri" w:cs="Calibri" w:eastAsia="Calibri" w:hAnsi="Calibri"/>
        </w:rPr>
        <w:t xml:space="preserve">Five-session windows are too small to support statistical claims. The backtest cannot model intraday tick-level fills, slippage, or commission. Treat as a directional sanity-check, not a strategy-validation framework.</w:t>
      </w:r>
    </w:p>
    <w:p>
      <w:pPr>
        <w:spacing w:after="60" w:before="60" w:line="276"/>
      </w:pPr>
      <w:r>
        <w:rPr>
          <w:rFonts w:ascii="Calibri" w:cs="Calibri" w:eastAsia="Calibri" w:hAnsi="Calibri"/>
          <w:b/>
          <w:bCs/>
          <w:color w:val="B23E73"/>
        </w:rPr>
        <w:t xml:space="preserve">Additional limitation (this report): </w:t>
      </w:r>
      <w:r>
        <w:rPr>
          <w:rFonts w:ascii="Calibri" w:cs="Calibri" w:eastAsia="Calibri" w:hAnsi="Calibri"/>
          <w:color w:val="B23E73"/>
        </w:rPr>
        <w:t xml:space="preserve">Pivot and intraday H/L levels used for entry/stop construction are SINGLE-SOURCE INDICATIVE. Per the controlling protocol these would suppress level-based limit-order trade cards; the user has expressly directed not to suppress. Treat every Trade 2 and Trade 3C entry/stop as indicative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S&amp;P 500 Daily Report │ 15 May 2026 │ Senior US Equity Strategist</w:t>
    </w:r>
  </w:p>
  <w:p>
    <w:pPr>
      <w:jc w:val="right"/>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9d3d516386335b5ecfdd88c286105fab067465.png"/><Relationship Id="rId10" Type="http://schemas.openxmlformats.org/officeDocument/2006/relationships/image" Target="media/7aa0a6da9211016e80c23a27d9f10249cc8e975f.png"/><Relationship Id="rId11" Type="http://schemas.openxmlformats.org/officeDocument/2006/relationships/image" Target="media/da28344d232299ad34356390ea0b75f96c632d94.png"/><Relationship Id="rId12" Type="http://schemas.openxmlformats.org/officeDocument/2006/relationships/image" Target="media/2916609c0ce6c3a4b18c7825125d2068201842b4.png"/><Relationship Id="rId13" Type="http://schemas.openxmlformats.org/officeDocument/2006/relationships/image" Target="media/f0deade268c4dbd5889fe0d74a39676b6b66fad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500 Daily Report — 15 May 2026</dc:title>
  <dc:creator>Senior US Equity Strategist</dc:creator>
  <cp:lastModifiedBy>Un-named</cp:lastModifiedBy>
  <cp:revision>1</cp:revision>
  <dcterms:created xsi:type="dcterms:W3CDTF">2026-05-14T21:50:36.972Z</dcterms:created>
  <dcterms:modified xsi:type="dcterms:W3CDTF">2026-05-14T21:50:36.973Z</dcterms:modified>
</cp:coreProperties>
</file>

<file path=docProps/custom.xml><?xml version="1.0" encoding="utf-8"?>
<Properties xmlns="http://schemas.openxmlformats.org/officeDocument/2006/custom-properties" xmlns:vt="http://schemas.openxmlformats.org/officeDocument/2006/docPropsVTypes"/>
</file>