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5F"/>
          <w:sz w:val="40"/>
        </w:rPr>
        <w:t>S&amp;P 500 Report — Daily: 19 May 2026</w:t>
      </w:r>
    </w:p>
    <w:p>
      <w:pPr>
        <w:jc w:val="center"/>
      </w:pPr>
      <w:r>
        <w:rPr>
          <w:rFonts w:ascii="Arial" w:hAnsi="Arial"/>
          <w:i/>
          <w:color w:val="555555"/>
          <w:sz w:val="24"/>
        </w:rPr>
        <w:t>With reference to: USDX · VIX · DAX 40</w:t>
      </w:r>
    </w:p>
    <w:p>
      <w:pPr>
        <w:pBdr>
          <w:bottom w:val="single" w:sz="6" w:color="2E75B6" w:space="1"/>
        </w:pBdr>
      </w:pPr>
    </w:p>
    <w:p>
      <w:pPr>
        <w:pStyle w:val="Heading1"/>
      </w:pPr>
      <w:r>
        <w:rPr>
          <w:rFonts w:ascii="Arial" w:hAnsi="Arial"/>
          <w:color w:val="1F3A5F"/>
        </w:rPr>
        <w:t>§1  Executive Snapshot</w:t>
      </w:r>
    </w:p>
    <w:p>
      <w:r>
        <w:rPr>
          <w:rFonts w:ascii="Arial" w:hAnsi="Arial"/>
          <w:b w:val="0"/>
          <w:i w:val="0"/>
          <w:sz w:val="22"/>
        </w:rPr>
        <w:t>The S&amp;P 500 enters the 19 May 2026 session with a consensus price of approximately 7,403, having pulled back roughly 1.5% from the 14 May intraday all-time high of 7,517.12. Market tone is constructively bullish but tactically stretched — the index is digesting a seven-week winning streak in the face of three dominant drivers: (i) renewed Middle East risk premia driving crude into the $103–110/bbl zone and lifting headline-inflation expectations; (ii) a higher-for-longer rate path as traders now price one Fed hike by March 2027 with a &gt;50% chance of a hike before year-end 2026; and (iii) an AI-led mega-cap earnings ledger, with Nvidia's quarter due this week as the single most important watch item. Short-term technical regime is Transitional Bearish — two-bar pullback off the ATH with an extreme RSI2 reading near 7.5. Medium-term regime remains Trending Bullish, with the 25-session structure intact above 7,100. The Kaufman Efficiency Ratio classifies the current state as Trending Up — Moderate (the smoothed reading has flattened but remains above the +0.13 threshold). The single most important watch item: Nvidia earnings and the response of 10-year Treasury yields, which are challenging 4.60% — the level at which equity duration sensitivity becomes binding.</w:t>
      </w:r>
    </w:p>
    <w:p>
      <w:pPr>
        <w:pStyle w:val="Heading1"/>
      </w:pPr>
      <w:r>
        <w:rPr>
          <w:rFonts w:ascii="Arial" w:hAnsi="Arial"/>
          <w:color w:val="1F3A5F"/>
        </w:rPr>
        <w:t>§2  Market Definition</w:t>
      </w:r>
    </w:p>
    <w:tbl>
      <w:tblPr>
        <w:tblStyle w:val="LightGrid-Accent1"/>
        <w:tblW w:type="auto" w:w="0"/>
        <w:jc w:val="center"/>
        <w:tblLook w:firstColumn="1" w:firstRow="1" w:lastColumn="0" w:lastRow="0" w:noHBand="0" w:noVBand="1" w:val="04A0"/>
      </w:tblPr>
      <w:tblGrid>
        <w:gridCol w:w="4680"/>
        <w:gridCol w:w="4680"/>
      </w:tblGrid>
      <w:tr>
        <w:tc>
          <w:tcPr>
            <w:tcW w:type="dxa" w:w="2592"/>
            <w:shd w:val="clear" w:color="auto" w:fill="1F3A5F"/>
            <w:vAlign w:val="center"/>
          </w:tcPr>
          <w:p>
            <w:pPr>
              <w:jc w:val="center"/>
            </w:pPr>
            <w:r/>
            <w:r>
              <w:rPr>
                <w:rFonts w:ascii="Arial" w:hAnsi="Arial"/>
                <w:b/>
                <w:i w:val="0"/>
                <w:color w:val="FFFFFF"/>
                <w:sz w:val="20"/>
              </w:rPr>
              <w:t>Field</w:t>
            </w:r>
          </w:p>
        </w:tc>
        <w:tc>
          <w:tcPr>
            <w:tcW w:type="dxa" w:w="6408"/>
            <w:shd w:val="clear" w:color="auto" w:fill="1F3A5F"/>
            <w:vAlign w:val="center"/>
          </w:tcPr>
          <w:p>
            <w:pPr>
              <w:jc w:val="center"/>
            </w:pPr>
            <w:r/>
            <w:r>
              <w:rPr>
                <w:rFonts w:ascii="Arial" w:hAnsi="Arial"/>
                <w:b/>
                <w:i w:val="0"/>
                <w:color w:val="FFFFFF"/>
                <w:sz w:val="20"/>
              </w:rPr>
              <w:t>Value</w:t>
            </w:r>
          </w:p>
        </w:tc>
      </w:tr>
      <w:tr>
        <w:tc>
          <w:tcPr>
            <w:tcW w:type="dxa" w:w="2592"/>
            <w:vAlign w:val="center"/>
          </w:tcPr>
          <w:p>
            <w:pPr>
              <w:jc w:val="center"/>
            </w:pPr>
            <w:r/>
            <w:r>
              <w:rPr>
                <w:rFonts w:ascii="Arial" w:hAnsi="Arial"/>
                <w:b w:val="0"/>
                <w:i w:val="0"/>
                <w:sz w:val="18"/>
              </w:rPr>
              <w:t>Asset</w:t>
            </w:r>
          </w:p>
        </w:tc>
        <w:tc>
          <w:tcPr>
            <w:tcW w:type="dxa" w:w="6408"/>
            <w:vAlign w:val="center"/>
          </w:tcPr>
          <w:p>
            <w:pPr>
              <w:jc w:val="center"/>
            </w:pPr>
            <w:r/>
            <w:r>
              <w:rPr>
                <w:rFonts w:ascii="Arial" w:hAnsi="Arial"/>
                <w:b w:val="0"/>
                <w:i w:val="0"/>
                <w:sz w:val="18"/>
              </w:rPr>
              <w:t>S&amp;P 500 cash index (large-cap US equity benchmark, 503 constituents)</w:t>
            </w:r>
          </w:p>
        </w:tc>
      </w:tr>
      <w:tr>
        <w:tc>
          <w:tcPr>
            <w:tcW w:type="dxa" w:w="2592"/>
            <w:vAlign w:val="center"/>
          </w:tcPr>
          <w:p>
            <w:pPr>
              <w:jc w:val="center"/>
            </w:pPr>
            <w:r/>
            <w:r>
              <w:rPr>
                <w:rFonts w:ascii="Arial" w:hAnsi="Arial"/>
                <w:b w:val="0"/>
                <w:i w:val="0"/>
                <w:sz w:val="18"/>
              </w:rPr>
              <w:t>Specification</w:t>
            </w:r>
          </w:p>
        </w:tc>
        <w:tc>
          <w:tcPr>
            <w:tcW w:type="dxa" w:w="6408"/>
            <w:vAlign w:val="center"/>
          </w:tcPr>
          <w:p>
            <w:pPr>
              <w:jc w:val="center"/>
            </w:pPr>
            <w:r/>
            <w:r>
              <w:rPr>
                <w:rFonts w:ascii="Arial" w:hAnsi="Arial"/>
                <w:b w:val="0"/>
                <w:i w:val="0"/>
                <w:sz w:val="18"/>
              </w:rPr>
              <w:t>S&amp;P Dow Jones standardised index methodology; rebalanced quarterly</w:t>
            </w:r>
          </w:p>
        </w:tc>
      </w:tr>
      <w:tr>
        <w:tc>
          <w:tcPr>
            <w:tcW w:type="dxa" w:w="2592"/>
            <w:vAlign w:val="center"/>
          </w:tcPr>
          <w:p>
            <w:pPr>
              <w:jc w:val="center"/>
            </w:pPr>
            <w:r/>
            <w:r>
              <w:rPr>
                <w:rFonts w:ascii="Arial" w:hAnsi="Arial"/>
                <w:b w:val="0"/>
                <w:i w:val="0"/>
                <w:sz w:val="18"/>
              </w:rPr>
              <w:t>Market scope</w:t>
            </w:r>
          </w:p>
        </w:tc>
        <w:tc>
          <w:tcPr>
            <w:tcW w:type="dxa" w:w="6408"/>
            <w:vAlign w:val="center"/>
          </w:tcPr>
          <w:p>
            <w:pPr>
              <w:jc w:val="center"/>
            </w:pPr>
            <w:r/>
            <w:r>
              <w:rPr>
                <w:rFonts w:ascii="Arial" w:hAnsi="Arial"/>
                <w:b w:val="0"/>
                <w:i w:val="0"/>
                <w:sz w:val="18"/>
              </w:rPr>
              <w:t>Global / United States (NYSE/NASDAQ regular trading hours)</w:t>
            </w:r>
          </w:p>
        </w:tc>
      </w:tr>
      <w:tr>
        <w:tc>
          <w:tcPr>
            <w:tcW w:type="dxa" w:w="2592"/>
            <w:vAlign w:val="center"/>
          </w:tcPr>
          <w:p>
            <w:pPr>
              <w:jc w:val="center"/>
            </w:pPr>
            <w:r/>
            <w:r>
              <w:rPr>
                <w:rFonts w:ascii="Arial" w:hAnsi="Arial"/>
                <w:b w:val="0"/>
                <w:i w:val="0"/>
                <w:sz w:val="18"/>
              </w:rPr>
              <w:t>Price basis</w:t>
            </w:r>
          </w:p>
        </w:tc>
        <w:tc>
          <w:tcPr>
            <w:tcW w:type="dxa" w:w="6408"/>
            <w:vAlign w:val="center"/>
          </w:tcPr>
          <w:p>
            <w:pPr>
              <w:jc w:val="center"/>
            </w:pPr>
            <w:r/>
            <w:r>
              <w:rPr>
                <w:rFonts w:ascii="Arial" w:hAnsi="Arial"/>
                <w:b w:val="0"/>
                <w:i w:val="0"/>
                <w:sz w:val="18"/>
              </w:rPr>
              <w:t>Cash index level, continuous, regular session 09:30–16:00 ET</w:t>
            </w:r>
          </w:p>
        </w:tc>
      </w:tr>
      <w:tr>
        <w:tc>
          <w:tcPr>
            <w:tcW w:type="dxa" w:w="2592"/>
            <w:vAlign w:val="center"/>
          </w:tcPr>
          <w:p>
            <w:pPr>
              <w:jc w:val="center"/>
            </w:pPr>
            <w:r/>
            <w:r>
              <w:rPr>
                <w:rFonts w:ascii="Arial" w:hAnsi="Arial"/>
                <w:b w:val="0"/>
                <w:i w:val="0"/>
                <w:sz w:val="18"/>
              </w:rPr>
              <w:t>Unit of measure</w:t>
            </w:r>
          </w:p>
        </w:tc>
        <w:tc>
          <w:tcPr>
            <w:tcW w:type="dxa" w:w="6408"/>
            <w:vAlign w:val="center"/>
          </w:tcPr>
          <w:p>
            <w:pPr>
              <w:jc w:val="center"/>
            </w:pPr>
            <w:r/>
            <w:r>
              <w:rPr>
                <w:rFonts w:ascii="Arial" w:hAnsi="Arial"/>
                <w:b w:val="0"/>
                <w:i w:val="0"/>
                <w:sz w:val="18"/>
              </w:rPr>
              <w:t>Index points</w:t>
            </w:r>
          </w:p>
        </w:tc>
      </w:tr>
      <w:tr>
        <w:tc>
          <w:tcPr>
            <w:tcW w:type="dxa" w:w="2592"/>
            <w:vAlign w:val="center"/>
          </w:tcPr>
          <w:p>
            <w:pPr>
              <w:jc w:val="center"/>
            </w:pPr>
            <w:r/>
            <w:r>
              <w:rPr>
                <w:rFonts w:ascii="Arial" w:hAnsi="Arial"/>
                <w:b w:val="0"/>
                <w:i w:val="0"/>
                <w:sz w:val="18"/>
              </w:rPr>
              <w:t>Currency</w:t>
            </w:r>
          </w:p>
        </w:tc>
        <w:tc>
          <w:tcPr>
            <w:tcW w:type="dxa" w:w="6408"/>
            <w:vAlign w:val="center"/>
          </w:tcPr>
          <w:p>
            <w:pPr>
              <w:jc w:val="center"/>
            </w:pPr>
            <w:r/>
            <w:r>
              <w:rPr>
                <w:rFonts w:ascii="Arial" w:hAnsi="Arial"/>
                <w:b w:val="0"/>
                <w:i w:val="0"/>
                <w:sz w:val="18"/>
              </w:rPr>
              <w:t>USD</w:t>
            </w:r>
          </w:p>
        </w:tc>
      </w:tr>
      <w:tr>
        <w:tc>
          <w:tcPr>
            <w:tcW w:type="dxa" w:w="2592"/>
            <w:vAlign w:val="center"/>
          </w:tcPr>
          <w:p>
            <w:pPr>
              <w:jc w:val="center"/>
            </w:pPr>
            <w:r/>
            <w:r>
              <w:rPr>
                <w:rFonts w:ascii="Arial" w:hAnsi="Arial"/>
                <w:b w:val="0"/>
                <w:i w:val="0"/>
                <w:sz w:val="18"/>
              </w:rPr>
              <w:t>As-of date</w:t>
            </w:r>
          </w:p>
        </w:tc>
        <w:tc>
          <w:tcPr>
            <w:tcW w:type="dxa" w:w="6408"/>
            <w:vAlign w:val="center"/>
          </w:tcPr>
          <w:p>
            <w:pPr>
              <w:jc w:val="center"/>
            </w:pPr>
            <w:r/>
            <w:r>
              <w:rPr>
                <w:rFonts w:ascii="Arial" w:hAnsi="Arial"/>
                <w:b w:val="0"/>
                <w:i w:val="0"/>
                <w:sz w:val="18"/>
              </w:rPr>
              <w:t>19 May 2026 (America/New_York)</w:t>
            </w:r>
          </w:p>
        </w:tc>
      </w:tr>
      <w:tr>
        <w:tc>
          <w:tcPr>
            <w:tcW w:type="dxa" w:w="2592"/>
            <w:vAlign w:val="center"/>
          </w:tcPr>
          <w:p>
            <w:pPr>
              <w:jc w:val="center"/>
            </w:pPr>
            <w:r/>
            <w:r>
              <w:rPr>
                <w:rFonts w:ascii="Arial" w:hAnsi="Arial"/>
                <w:b w:val="0"/>
                <w:i w:val="0"/>
                <w:sz w:val="18"/>
              </w:rPr>
              <w:t>Lookback window</w:t>
            </w:r>
          </w:p>
        </w:tc>
        <w:tc>
          <w:tcPr>
            <w:tcW w:type="dxa" w:w="6408"/>
            <w:vAlign w:val="center"/>
          </w:tcPr>
          <w:p>
            <w:pPr>
              <w:jc w:val="center"/>
            </w:pPr>
            <w:r/>
            <w:r>
              <w:rPr>
                <w:rFonts w:ascii="Arial" w:hAnsi="Arial"/>
                <w:b w:val="0"/>
                <w:i w:val="0"/>
                <w:sz w:val="18"/>
              </w:rPr>
              <w:t>5 trading days (12 May 2026 → 18 May 2026)</w:t>
            </w:r>
          </w:p>
        </w:tc>
      </w:tr>
      <w:tr>
        <w:tc>
          <w:tcPr>
            <w:tcW w:type="dxa" w:w="2592"/>
            <w:vAlign w:val="center"/>
          </w:tcPr>
          <w:p>
            <w:pPr>
              <w:jc w:val="center"/>
            </w:pPr>
            <w:r/>
            <w:r>
              <w:rPr>
                <w:rFonts w:ascii="Arial" w:hAnsi="Arial"/>
                <w:b w:val="0"/>
                <w:i w:val="0"/>
                <w:sz w:val="18"/>
              </w:rPr>
              <w:t>Tick size</w:t>
            </w:r>
          </w:p>
        </w:tc>
        <w:tc>
          <w:tcPr>
            <w:tcW w:type="dxa" w:w="6408"/>
            <w:vAlign w:val="center"/>
          </w:tcPr>
          <w:p>
            <w:pPr>
              <w:jc w:val="center"/>
            </w:pPr>
            <w:r/>
            <w:r>
              <w:rPr>
                <w:rFonts w:ascii="Arial" w:hAnsi="Arial"/>
                <w:b w:val="0"/>
                <w:i w:val="0"/>
                <w:sz w:val="18"/>
              </w:rPr>
              <w:t>0.01 index point  ·  Native unit: point</w:t>
            </w:r>
          </w:p>
        </w:tc>
      </w:tr>
    </w:tbl>
    <w:p>
      <w:pPr>
        <w:pStyle w:val="Heading1"/>
      </w:pPr>
      <w:r>
        <w:rPr>
          <w:rFonts w:ascii="Arial" w:hAnsi="Arial"/>
          <w:color w:val="1F3A5F"/>
        </w:rPr>
        <w:t>§3  Consensus Price Call</w:t>
      </w:r>
    </w:p>
    <w:tbl>
      <w:tblPr>
        <w:tblStyle w:val="LightGrid-Accent1"/>
        <w:tblW w:type="auto" w:w="0"/>
        <w:jc w:val="center"/>
        <w:tblLook w:firstColumn="1" w:firstRow="1" w:lastColumn="0" w:lastRow="0" w:noHBand="0" w:noVBand="1" w:val="04A0"/>
      </w:tblPr>
      <w:tblGrid>
        <w:gridCol w:w="4680"/>
        <w:gridCol w:w="4680"/>
      </w:tblGrid>
      <w:tr>
        <w:tc>
          <w:tcPr>
            <w:tcW w:type="dxa" w:w="2592"/>
            <w:shd w:val="clear" w:color="auto" w:fill="1F3A5F"/>
            <w:vAlign w:val="center"/>
          </w:tcPr>
          <w:p>
            <w:pPr>
              <w:jc w:val="center"/>
            </w:pPr>
            <w:r/>
            <w:r>
              <w:rPr>
                <w:rFonts w:ascii="Arial" w:hAnsi="Arial"/>
                <w:b/>
                <w:i w:val="0"/>
                <w:color w:val="FFFFFF"/>
                <w:sz w:val="20"/>
              </w:rPr>
              <w:t>Field</w:t>
            </w:r>
          </w:p>
        </w:tc>
        <w:tc>
          <w:tcPr>
            <w:tcW w:type="dxa" w:w="6408"/>
            <w:shd w:val="clear" w:color="auto" w:fill="1F3A5F"/>
            <w:vAlign w:val="center"/>
          </w:tcPr>
          <w:p>
            <w:pPr>
              <w:jc w:val="center"/>
            </w:pPr>
            <w:r/>
            <w:r>
              <w:rPr>
                <w:rFonts w:ascii="Arial" w:hAnsi="Arial"/>
                <w:b/>
                <w:i w:val="0"/>
                <w:color w:val="FFFFFF"/>
                <w:sz w:val="20"/>
              </w:rPr>
              <w:t>Value</w:t>
            </w:r>
          </w:p>
        </w:tc>
      </w:tr>
      <w:tr>
        <w:tc>
          <w:tcPr>
            <w:tcW w:type="dxa" w:w="2592"/>
            <w:vAlign w:val="center"/>
          </w:tcPr>
          <w:p>
            <w:pPr>
              <w:jc w:val="center"/>
            </w:pPr>
            <w:r/>
            <w:r>
              <w:rPr>
                <w:rFonts w:ascii="Arial" w:hAnsi="Arial"/>
                <w:b w:val="0"/>
                <w:i w:val="0"/>
                <w:sz w:val="18"/>
              </w:rPr>
              <w:t>Consensus price</w:t>
            </w:r>
          </w:p>
        </w:tc>
        <w:tc>
          <w:tcPr>
            <w:tcW w:type="dxa" w:w="6408"/>
            <w:vAlign w:val="center"/>
          </w:tcPr>
          <w:p>
            <w:pPr>
              <w:jc w:val="center"/>
            </w:pPr>
            <w:r/>
            <w:r>
              <w:rPr>
                <w:rFonts w:ascii="Arial" w:hAnsi="Arial"/>
                <w:b w:val="0"/>
                <w:i w:val="0"/>
                <w:sz w:val="18"/>
              </w:rPr>
              <w:t>7,403.05</w:t>
            </w:r>
          </w:p>
        </w:tc>
      </w:tr>
      <w:tr>
        <w:tc>
          <w:tcPr>
            <w:tcW w:type="dxa" w:w="2592"/>
            <w:vAlign w:val="center"/>
          </w:tcPr>
          <w:p>
            <w:pPr>
              <w:jc w:val="center"/>
            </w:pPr>
            <w:r/>
            <w:r>
              <w:rPr>
                <w:rFonts w:ascii="Arial" w:hAnsi="Arial"/>
                <w:b w:val="0"/>
                <w:i w:val="0"/>
                <w:sz w:val="18"/>
              </w:rPr>
              <w:t>Consensus range</w:t>
            </w:r>
          </w:p>
        </w:tc>
        <w:tc>
          <w:tcPr>
            <w:tcW w:type="dxa" w:w="6408"/>
            <w:vAlign w:val="center"/>
          </w:tcPr>
          <w:p>
            <w:pPr>
              <w:jc w:val="center"/>
            </w:pPr>
            <w:r/>
            <w:r>
              <w:rPr>
                <w:rFonts w:ascii="Arial" w:hAnsi="Arial"/>
                <w:b w:val="0"/>
                <w:i w:val="0"/>
                <w:sz w:val="18"/>
              </w:rPr>
              <w:t>7,371 — 7,434</w:t>
            </w:r>
          </w:p>
        </w:tc>
      </w:tr>
      <w:tr>
        <w:tc>
          <w:tcPr>
            <w:tcW w:type="dxa" w:w="2592"/>
            <w:vAlign w:val="center"/>
          </w:tcPr>
          <w:p>
            <w:pPr>
              <w:jc w:val="center"/>
            </w:pPr>
            <w:r/>
            <w:r>
              <w:rPr>
                <w:rFonts w:ascii="Arial" w:hAnsi="Arial"/>
                <w:b w:val="0"/>
                <w:i w:val="0"/>
                <w:sz w:val="18"/>
              </w:rPr>
              <w:t>Basis</w:t>
            </w:r>
          </w:p>
        </w:tc>
        <w:tc>
          <w:tcPr>
            <w:tcW w:type="dxa" w:w="6408"/>
            <w:vAlign w:val="center"/>
          </w:tcPr>
          <w:p>
            <w:pPr>
              <w:jc w:val="center"/>
            </w:pPr>
            <w:r/>
            <w:r>
              <w:rPr>
                <w:rFonts w:ascii="Arial" w:hAnsi="Arial"/>
                <w:b w:val="0"/>
                <w:i w:val="0"/>
                <w:sz w:val="18"/>
              </w:rPr>
              <w:t>18-May-2026 NYSE close, cash index</w:t>
            </w:r>
          </w:p>
        </w:tc>
      </w:tr>
      <w:tr>
        <w:tc>
          <w:tcPr>
            <w:tcW w:type="dxa" w:w="2592"/>
            <w:vAlign w:val="center"/>
          </w:tcPr>
          <w:p>
            <w:pPr>
              <w:jc w:val="center"/>
            </w:pPr>
            <w:r/>
            <w:r>
              <w:rPr>
                <w:rFonts w:ascii="Arial" w:hAnsi="Arial"/>
                <w:b w:val="0"/>
                <w:i w:val="0"/>
                <w:sz w:val="18"/>
              </w:rPr>
              <w:t>Confidence level</w:t>
            </w:r>
          </w:p>
        </w:tc>
        <w:tc>
          <w:tcPr>
            <w:tcW w:type="dxa" w:w="6408"/>
            <w:vAlign w:val="center"/>
          </w:tcPr>
          <w:p>
            <w:pPr>
              <w:jc w:val="center"/>
            </w:pPr>
            <w:r/>
            <w:r>
              <w:rPr>
                <w:rFonts w:ascii="Arial" w:hAnsi="Arial"/>
                <w:b w:val="0"/>
                <w:i w:val="0"/>
                <w:sz w:val="18"/>
              </w:rPr>
              <w:t>Medium-High</w:t>
            </w:r>
          </w:p>
        </w:tc>
      </w:tr>
      <w:tr>
        <w:tc>
          <w:tcPr>
            <w:tcW w:type="dxa" w:w="2592"/>
            <w:vAlign w:val="center"/>
          </w:tcPr>
          <w:p>
            <w:pPr>
              <w:jc w:val="center"/>
            </w:pPr>
            <w:r/>
            <w:r>
              <w:rPr>
                <w:rFonts w:ascii="Arial" w:hAnsi="Arial"/>
                <w:b w:val="0"/>
                <w:i w:val="0"/>
                <w:sz w:val="18"/>
              </w:rPr>
              <w:t>Market tone</w:t>
            </w:r>
          </w:p>
        </w:tc>
        <w:tc>
          <w:tcPr>
            <w:tcW w:type="dxa" w:w="6408"/>
            <w:vAlign w:val="center"/>
          </w:tcPr>
          <w:p>
            <w:pPr>
              <w:jc w:val="center"/>
            </w:pPr>
            <w:r/>
            <w:r>
              <w:rPr>
                <w:rFonts w:ascii="Arial" w:hAnsi="Arial"/>
                <w:b w:val="0"/>
                <w:i w:val="0"/>
                <w:sz w:val="18"/>
              </w:rPr>
              <w:t>Constructive but tactically stretched (Bullish-with-caution)</w:t>
            </w:r>
          </w:p>
        </w:tc>
      </w:tr>
      <w:tr>
        <w:tc>
          <w:tcPr>
            <w:tcW w:type="dxa" w:w="2592"/>
            <w:vAlign w:val="center"/>
          </w:tcPr>
          <w:p>
            <w:pPr>
              <w:jc w:val="center"/>
            </w:pPr>
            <w:r/>
            <w:r>
              <w:rPr>
                <w:rFonts w:ascii="Arial" w:hAnsi="Arial"/>
                <w:b w:val="0"/>
                <w:i w:val="0"/>
                <w:sz w:val="18"/>
              </w:rPr>
              <w:t>Rationale</w:t>
            </w:r>
          </w:p>
        </w:tc>
        <w:tc>
          <w:tcPr>
            <w:tcW w:type="dxa" w:w="6408"/>
            <w:vAlign w:val="center"/>
          </w:tcPr>
          <w:p>
            <w:pPr>
              <w:jc w:val="center"/>
            </w:pPr>
            <w:r/>
            <w:r>
              <w:rPr>
                <w:rFonts w:ascii="Arial" w:hAnsi="Arial"/>
                <w:b w:val="0"/>
                <w:i w:val="0"/>
                <w:sz w:val="18"/>
              </w:rPr>
              <w:t>Two-bar pullback from 14-May ATH 7,517.12; deep RSI2 oversold; structural uptrend intact above 25-session anchor 7,100.</w:t>
            </w:r>
          </w:p>
        </w:tc>
      </w:tr>
    </w:tbl>
    <w:p>
      <w:pPr>
        <w:pStyle w:val="Heading1"/>
      </w:pPr>
      <w:r>
        <w:rPr>
          <w:rFonts w:ascii="Arial" w:hAnsi="Arial"/>
          <w:color w:val="1F3A5F"/>
        </w:rPr>
        <w:t>§4  Price Evidence Table</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12"/>
            <w:shd w:val="clear" w:color="auto" w:fill="1F3A5F"/>
            <w:vAlign w:val="center"/>
          </w:tcPr>
          <w:p>
            <w:pPr>
              <w:jc w:val="center"/>
            </w:pPr>
            <w:r/>
            <w:r>
              <w:rPr>
                <w:rFonts w:ascii="Arial" w:hAnsi="Arial"/>
                <w:b/>
                <w:i w:val="0"/>
                <w:color w:val="FFFFFF"/>
                <w:sz w:val="20"/>
              </w:rPr>
              <w:t>Source</w:t>
            </w:r>
          </w:p>
        </w:tc>
        <w:tc>
          <w:tcPr>
            <w:tcW w:type="dxa" w:w="1368"/>
            <w:shd w:val="clear" w:color="auto" w:fill="1F3A5F"/>
            <w:vAlign w:val="center"/>
          </w:tcPr>
          <w:p>
            <w:pPr>
              <w:jc w:val="center"/>
            </w:pPr>
            <w:r/>
            <w:r>
              <w:rPr>
                <w:rFonts w:ascii="Arial" w:hAnsi="Arial"/>
                <w:b/>
                <w:i w:val="0"/>
                <w:color w:val="FFFFFF"/>
                <w:sz w:val="20"/>
              </w:rPr>
              <w:t>Date / Time</w:t>
            </w:r>
          </w:p>
        </w:tc>
        <w:tc>
          <w:tcPr>
            <w:tcW w:type="dxa" w:w="1368"/>
            <w:shd w:val="clear" w:color="auto" w:fill="1F3A5F"/>
            <w:vAlign w:val="center"/>
          </w:tcPr>
          <w:p>
            <w:pPr>
              <w:jc w:val="center"/>
            </w:pPr>
            <w:r/>
            <w:r>
              <w:rPr>
                <w:rFonts w:ascii="Arial" w:hAnsi="Arial"/>
                <w:b/>
                <w:i w:val="0"/>
                <w:color w:val="FFFFFF"/>
                <w:sz w:val="20"/>
              </w:rPr>
              <w:t>Raw quote</w:t>
            </w:r>
          </w:p>
        </w:tc>
        <w:tc>
          <w:tcPr>
            <w:tcW w:type="dxa" w:w="1008"/>
            <w:shd w:val="clear" w:color="auto" w:fill="1F3A5F"/>
            <w:vAlign w:val="center"/>
          </w:tcPr>
          <w:p>
            <w:pPr>
              <w:jc w:val="center"/>
            </w:pPr>
            <w:r/>
            <w:r>
              <w:rPr>
                <w:rFonts w:ascii="Arial" w:hAnsi="Arial"/>
                <w:b/>
                <w:i w:val="0"/>
                <w:color w:val="FFFFFF"/>
                <w:sz w:val="20"/>
              </w:rPr>
              <w:t>Normalized quote</w:t>
            </w:r>
          </w:p>
        </w:tc>
        <w:tc>
          <w:tcPr>
            <w:tcW w:type="dxa" w:w="1296"/>
            <w:shd w:val="clear" w:color="auto" w:fill="1F3A5F"/>
            <w:vAlign w:val="center"/>
          </w:tcPr>
          <w:p>
            <w:pPr>
              <w:jc w:val="center"/>
            </w:pPr>
            <w:r/>
            <w:r>
              <w:rPr>
                <w:rFonts w:ascii="Arial" w:hAnsi="Arial"/>
                <w:b/>
                <w:i w:val="0"/>
                <w:color w:val="FFFFFF"/>
                <w:sz w:val="20"/>
              </w:rPr>
              <w:t>Basis / Location</w:t>
            </w:r>
          </w:p>
        </w:tc>
        <w:tc>
          <w:tcPr>
            <w:tcW w:type="dxa" w:w="936"/>
            <w:shd w:val="clear" w:color="auto" w:fill="1F3A5F"/>
            <w:vAlign w:val="center"/>
          </w:tcPr>
          <w:p>
            <w:pPr>
              <w:jc w:val="center"/>
            </w:pPr>
            <w:r/>
            <w:r>
              <w:rPr>
                <w:rFonts w:ascii="Arial" w:hAnsi="Arial"/>
                <w:b/>
                <w:i w:val="0"/>
                <w:color w:val="FFFFFF"/>
                <w:sz w:val="20"/>
              </w:rPr>
              <w:t>Relevance</w:t>
            </w:r>
          </w:p>
        </w:tc>
        <w:tc>
          <w:tcPr>
            <w:tcW w:type="dxa" w:w="1512"/>
            <w:shd w:val="clear" w:color="auto" w:fill="1F3A5F"/>
            <w:vAlign w:val="center"/>
          </w:tcPr>
          <w:p>
            <w:pPr>
              <w:jc w:val="center"/>
            </w:pPr>
            <w:r/>
            <w:r>
              <w:rPr>
                <w:rFonts w:ascii="Arial" w:hAnsi="Arial"/>
                <w:b/>
                <w:i w:val="0"/>
                <w:color w:val="FFFFFF"/>
                <w:sz w:val="20"/>
              </w:rPr>
              <w:t>Notes</w:t>
            </w:r>
          </w:p>
        </w:tc>
      </w:tr>
      <w:tr>
        <w:tc>
          <w:tcPr>
            <w:tcW w:type="dxa" w:w="1512"/>
            <w:vAlign w:val="center"/>
          </w:tcPr>
          <w:p>
            <w:pPr>
              <w:jc w:val="center"/>
            </w:pPr>
            <w:r/>
            <w:r>
              <w:rPr>
                <w:rFonts w:ascii="Arial" w:hAnsi="Arial"/>
                <w:b w:val="0"/>
                <w:i w:val="0"/>
                <w:sz w:val="18"/>
              </w:rPr>
              <w:t>CNBC (S&amp;P Dow Jones)</w:t>
            </w:r>
          </w:p>
        </w:tc>
        <w:tc>
          <w:tcPr>
            <w:tcW w:type="dxa" w:w="1368"/>
            <w:vAlign w:val="center"/>
          </w:tcPr>
          <w:p>
            <w:pPr>
              <w:jc w:val="center"/>
            </w:pPr>
            <w:r/>
            <w:r>
              <w:rPr>
                <w:rFonts w:ascii="Arial" w:hAnsi="Arial"/>
                <w:b w:val="0"/>
                <w:i w:val="0"/>
                <w:sz w:val="18"/>
              </w:rPr>
              <w:t>18 May 2026, 16:00 ET</w:t>
            </w:r>
          </w:p>
        </w:tc>
        <w:tc>
          <w:tcPr>
            <w:tcW w:type="dxa" w:w="1368"/>
            <w:vAlign w:val="center"/>
          </w:tcPr>
          <w:p>
            <w:pPr>
              <w:jc w:val="center"/>
            </w:pPr>
            <w:r/>
            <w:r>
              <w:rPr>
                <w:rFonts w:ascii="Arial" w:hAnsi="Arial"/>
                <w:b w:val="0"/>
                <w:i w:val="0"/>
                <w:sz w:val="18"/>
              </w:rPr>
              <w:t>7,403.05</w:t>
            </w:r>
          </w:p>
        </w:tc>
        <w:tc>
          <w:tcPr>
            <w:tcW w:type="dxa" w:w="1008"/>
            <w:vAlign w:val="center"/>
          </w:tcPr>
          <w:p>
            <w:pPr>
              <w:jc w:val="center"/>
            </w:pPr>
            <w:r/>
            <w:r>
              <w:rPr>
                <w:rFonts w:ascii="Arial" w:hAnsi="Arial"/>
                <w:b w:val="0"/>
                <w:i w:val="0"/>
                <w:sz w:val="18"/>
              </w:rPr>
              <w:t>7,403.05</w:t>
            </w:r>
          </w:p>
        </w:tc>
        <w:tc>
          <w:tcPr>
            <w:tcW w:type="dxa" w:w="1296"/>
            <w:vAlign w:val="center"/>
          </w:tcPr>
          <w:p>
            <w:pPr>
              <w:jc w:val="center"/>
            </w:pPr>
            <w:r/>
            <w:r>
              <w:rPr>
                <w:rFonts w:ascii="Arial" w:hAnsi="Arial"/>
                <w:b w:val="0"/>
                <w:i w:val="0"/>
                <w:sz w:val="18"/>
              </w:rPr>
              <w:t>Official close, NYSE</w:t>
            </w:r>
          </w:p>
        </w:tc>
        <w:tc>
          <w:tcPr>
            <w:tcW w:type="dxa" w:w="936"/>
            <w:vAlign w:val="center"/>
          </w:tcPr>
          <w:p>
            <w:pPr>
              <w:jc w:val="center"/>
            </w:pPr>
            <w:r/>
            <w:r>
              <w:rPr>
                <w:rFonts w:ascii="Arial" w:hAnsi="Arial"/>
                <w:b w:val="0"/>
                <w:i w:val="0"/>
                <w:sz w:val="18"/>
              </w:rPr>
              <w:t>Primary</w:t>
            </w:r>
          </w:p>
        </w:tc>
        <w:tc>
          <w:tcPr>
            <w:tcW w:type="dxa" w:w="1512"/>
            <w:vAlign w:val="center"/>
          </w:tcPr>
          <w:p>
            <w:pPr>
              <w:jc w:val="center"/>
            </w:pPr>
            <w:r/>
            <w:r>
              <w:rPr>
                <w:rFonts w:ascii="Arial" w:hAnsi="Arial"/>
                <w:b w:val="0"/>
                <w:i w:val="0"/>
                <w:sz w:val="18"/>
              </w:rPr>
              <w:t>Day H 7,434.06 · L 7,371.75 · Open 7,415.07</w:t>
            </w:r>
          </w:p>
        </w:tc>
      </w:tr>
      <w:tr>
        <w:tc>
          <w:tcPr>
            <w:tcW w:type="dxa" w:w="1512"/>
            <w:vAlign w:val="center"/>
          </w:tcPr>
          <w:p>
            <w:pPr>
              <w:jc w:val="center"/>
            </w:pPr>
            <w:r/>
            <w:r>
              <w:rPr>
                <w:rFonts w:ascii="Arial" w:hAnsi="Arial"/>
                <w:b w:val="0"/>
                <w:i w:val="0"/>
                <w:sz w:val="18"/>
              </w:rPr>
              <w:t>FRED (S&amp;P Dow Jones Indices)</w:t>
            </w:r>
          </w:p>
        </w:tc>
        <w:tc>
          <w:tcPr>
            <w:tcW w:type="dxa" w:w="1368"/>
            <w:vAlign w:val="center"/>
          </w:tcPr>
          <w:p>
            <w:pPr>
              <w:jc w:val="center"/>
            </w:pPr>
            <w:r/>
            <w:r>
              <w:rPr>
                <w:rFonts w:ascii="Arial" w:hAnsi="Arial"/>
                <w:b w:val="0"/>
                <w:i w:val="0"/>
                <w:sz w:val="18"/>
              </w:rPr>
              <w:t>15 May 2026, 16:00 ET</w:t>
            </w:r>
          </w:p>
        </w:tc>
        <w:tc>
          <w:tcPr>
            <w:tcW w:type="dxa" w:w="1368"/>
            <w:vAlign w:val="center"/>
          </w:tcPr>
          <w:p>
            <w:pPr>
              <w:jc w:val="center"/>
            </w:pPr>
            <w:r/>
            <w:r>
              <w:rPr>
                <w:rFonts w:ascii="Arial" w:hAnsi="Arial"/>
                <w:b w:val="0"/>
                <w:i w:val="0"/>
                <w:sz w:val="18"/>
              </w:rPr>
              <w:t>7,408.50</w:t>
            </w:r>
          </w:p>
        </w:tc>
        <w:tc>
          <w:tcPr>
            <w:tcW w:type="dxa" w:w="1008"/>
            <w:vAlign w:val="center"/>
          </w:tcPr>
          <w:p>
            <w:pPr>
              <w:jc w:val="center"/>
            </w:pPr>
            <w:r/>
            <w:r>
              <w:rPr>
                <w:rFonts w:ascii="Arial" w:hAnsi="Arial"/>
                <w:b w:val="0"/>
                <w:i w:val="0"/>
                <w:sz w:val="18"/>
              </w:rPr>
              <w:t>7,408.50</w:t>
            </w:r>
          </w:p>
        </w:tc>
        <w:tc>
          <w:tcPr>
            <w:tcW w:type="dxa" w:w="1296"/>
            <w:vAlign w:val="center"/>
          </w:tcPr>
          <w:p>
            <w:pPr>
              <w:jc w:val="center"/>
            </w:pPr>
            <w:r/>
            <w:r>
              <w:rPr>
                <w:rFonts w:ascii="Arial" w:hAnsi="Arial"/>
                <w:b w:val="0"/>
                <w:i w:val="0"/>
                <w:sz w:val="18"/>
              </w:rPr>
              <w:t>Daily close index value</w:t>
            </w:r>
          </w:p>
        </w:tc>
        <w:tc>
          <w:tcPr>
            <w:tcW w:type="dxa" w:w="936"/>
            <w:vAlign w:val="center"/>
          </w:tcPr>
          <w:p>
            <w:pPr>
              <w:jc w:val="center"/>
            </w:pPr>
            <w:r/>
            <w:r>
              <w:rPr>
                <w:rFonts w:ascii="Arial" w:hAnsi="Arial"/>
                <w:b w:val="0"/>
                <w:i w:val="0"/>
                <w:sz w:val="18"/>
              </w:rPr>
              <w:t>Primary</w:t>
            </w:r>
          </w:p>
        </w:tc>
        <w:tc>
          <w:tcPr>
            <w:tcW w:type="dxa" w:w="1512"/>
            <w:vAlign w:val="center"/>
          </w:tcPr>
          <w:p>
            <w:pPr>
              <w:jc w:val="center"/>
            </w:pPr>
            <w:r/>
            <w:r>
              <w:rPr>
                <w:rFonts w:ascii="Arial" w:hAnsi="Arial"/>
                <w:b w:val="0"/>
                <w:i w:val="0"/>
                <w:sz w:val="18"/>
              </w:rPr>
              <w:t>−1.24% on day (energy/Iran shock)</w:t>
            </w:r>
          </w:p>
        </w:tc>
      </w:tr>
      <w:tr>
        <w:tc>
          <w:tcPr>
            <w:tcW w:type="dxa" w:w="1512"/>
            <w:vAlign w:val="center"/>
          </w:tcPr>
          <w:p>
            <w:pPr>
              <w:jc w:val="center"/>
            </w:pPr>
            <w:r/>
            <w:r>
              <w:rPr>
                <w:rFonts w:ascii="Arial" w:hAnsi="Arial"/>
                <w:b w:val="0"/>
                <w:i w:val="0"/>
                <w:sz w:val="18"/>
              </w:rPr>
              <w:t>Yahoo Finance (^GSPC)</w:t>
            </w:r>
          </w:p>
        </w:tc>
        <w:tc>
          <w:tcPr>
            <w:tcW w:type="dxa" w:w="1368"/>
            <w:vAlign w:val="center"/>
          </w:tcPr>
          <w:p>
            <w:pPr>
              <w:jc w:val="center"/>
            </w:pPr>
            <w:r/>
            <w:r>
              <w:rPr>
                <w:rFonts w:ascii="Arial" w:hAnsi="Arial"/>
                <w:b w:val="0"/>
                <w:i w:val="0"/>
                <w:sz w:val="18"/>
              </w:rPr>
              <w:t>15 May 2026, 16:46 ET</w:t>
            </w:r>
          </w:p>
        </w:tc>
        <w:tc>
          <w:tcPr>
            <w:tcW w:type="dxa" w:w="1368"/>
            <w:vAlign w:val="center"/>
          </w:tcPr>
          <w:p>
            <w:pPr>
              <w:jc w:val="center"/>
            </w:pPr>
            <w:r/>
            <w:r>
              <w:rPr>
                <w:rFonts w:ascii="Arial" w:hAnsi="Arial"/>
                <w:b w:val="0"/>
                <w:i w:val="0"/>
                <w:sz w:val="18"/>
              </w:rPr>
              <w:t>7,408.50 (−92.74)</w:t>
            </w:r>
          </w:p>
        </w:tc>
        <w:tc>
          <w:tcPr>
            <w:tcW w:type="dxa" w:w="1008"/>
            <w:vAlign w:val="center"/>
          </w:tcPr>
          <w:p>
            <w:pPr>
              <w:jc w:val="center"/>
            </w:pPr>
            <w:r/>
            <w:r>
              <w:rPr>
                <w:rFonts w:ascii="Arial" w:hAnsi="Arial"/>
                <w:b w:val="0"/>
                <w:i w:val="0"/>
                <w:sz w:val="18"/>
              </w:rPr>
              <w:t>7,408.50</w:t>
            </w:r>
          </w:p>
        </w:tc>
        <w:tc>
          <w:tcPr>
            <w:tcW w:type="dxa" w:w="1296"/>
            <w:vAlign w:val="center"/>
          </w:tcPr>
          <w:p>
            <w:pPr>
              <w:jc w:val="center"/>
            </w:pPr>
            <w:r/>
            <w:r>
              <w:rPr>
                <w:rFonts w:ascii="Arial" w:hAnsi="Arial"/>
                <w:b w:val="0"/>
                <w:i w:val="0"/>
                <w:sz w:val="18"/>
              </w:rPr>
              <w:t>Delayed quote, USD</w:t>
            </w:r>
          </w:p>
        </w:tc>
        <w:tc>
          <w:tcPr>
            <w:tcW w:type="dxa" w:w="936"/>
            <w:vAlign w:val="center"/>
          </w:tcPr>
          <w:p>
            <w:pPr>
              <w:jc w:val="center"/>
            </w:pPr>
            <w:r/>
            <w:r>
              <w:rPr>
                <w:rFonts w:ascii="Arial" w:hAnsi="Arial"/>
                <w:b w:val="0"/>
                <w:i w:val="0"/>
                <w:sz w:val="18"/>
              </w:rPr>
              <w:t>Primary</w:t>
            </w:r>
          </w:p>
        </w:tc>
        <w:tc>
          <w:tcPr>
            <w:tcW w:type="dxa" w:w="1512"/>
            <w:vAlign w:val="center"/>
          </w:tcPr>
          <w:p>
            <w:pPr>
              <w:jc w:val="center"/>
            </w:pPr>
            <w:r/>
            <w:r>
              <w:rPr>
                <w:rFonts w:ascii="Arial" w:hAnsi="Arial"/>
                <w:b w:val="0"/>
                <w:i w:val="0"/>
                <w:sz w:val="18"/>
              </w:rPr>
              <w:t>Confirms FRED close</w:t>
            </w:r>
          </w:p>
        </w:tc>
      </w:tr>
      <w:tr>
        <w:tc>
          <w:tcPr>
            <w:tcW w:type="dxa" w:w="1512"/>
            <w:vAlign w:val="center"/>
          </w:tcPr>
          <w:p>
            <w:pPr>
              <w:jc w:val="center"/>
            </w:pPr>
            <w:r/>
            <w:r>
              <w:rPr>
                <w:rFonts w:ascii="Arial" w:hAnsi="Arial"/>
                <w:b w:val="0"/>
                <w:i w:val="0"/>
                <w:sz w:val="18"/>
              </w:rPr>
              <w:t>CME ES futures (Yahoo)</w:t>
            </w:r>
          </w:p>
        </w:tc>
        <w:tc>
          <w:tcPr>
            <w:tcW w:type="dxa" w:w="1368"/>
            <w:vAlign w:val="center"/>
          </w:tcPr>
          <w:p>
            <w:pPr>
              <w:jc w:val="center"/>
            </w:pPr>
            <w:r/>
            <w:r>
              <w:rPr>
                <w:rFonts w:ascii="Arial" w:hAnsi="Arial"/>
                <w:b w:val="0"/>
                <w:i w:val="0"/>
                <w:sz w:val="18"/>
              </w:rPr>
              <w:t>18 May 2026, post-close</w:t>
            </w:r>
          </w:p>
        </w:tc>
        <w:tc>
          <w:tcPr>
            <w:tcW w:type="dxa" w:w="1368"/>
            <w:vAlign w:val="center"/>
          </w:tcPr>
          <w:p>
            <w:pPr>
              <w:jc w:val="center"/>
            </w:pPr>
            <w:r/>
            <w:r>
              <w:rPr>
                <w:rFonts w:ascii="Arial" w:hAnsi="Arial"/>
                <w:b w:val="0"/>
                <w:i w:val="0"/>
                <w:sz w:val="18"/>
              </w:rPr>
              <w:t>7,425.25 (−7.00)</w:t>
            </w:r>
          </w:p>
        </w:tc>
        <w:tc>
          <w:tcPr>
            <w:tcW w:type="dxa" w:w="1008"/>
            <w:vAlign w:val="center"/>
          </w:tcPr>
          <w:p>
            <w:pPr>
              <w:jc w:val="center"/>
            </w:pPr>
            <w:r/>
            <w:r>
              <w:rPr>
                <w:rFonts w:ascii="Arial" w:hAnsi="Arial"/>
                <w:b w:val="0"/>
                <w:i w:val="0"/>
                <w:sz w:val="18"/>
              </w:rPr>
              <w:t>7,425.25</w:t>
            </w:r>
          </w:p>
        </w:tc>
        <w:tc>
          <w:tcPr>
            <w:tcW w:type="dxa" w:w="1296"/>
            <w:vAlign w:val="center"/>
          </w:tcPr>
          <w:p>
            <w:pPr>
              <w:jc w:val="center"/>
            </w:pPr>
            <w:r/>
            <w:r>
              <w:rPr>
                <w:rFonts w:ascii="Arial" w:hAnsi="Arial"/>
                <w:b w:val="0"/>
                <w:i w:val="0"/>
                <w:sz w:val="18"/>
              </w:rPr>
              <w:t>Front-month ES futures</w:t>
            </w:r>
          </w:p>
        </w:tc>
        <w:tc>
          <w:tcPr>
            <w:tcW w:type="dxa" w:w="936"/>
            <w:vAlign w:val="center"/>
          </w:tcPr>
          <w:p>
            <w:pPr>
              <w:jc w:val="center"/>
            </w:pPr>
            <w:r/>
            <w:r>
              <w:rPr>
                <w:rFonts w:ascii="Arial" w:hAnsi="Arial"/>
                <w:b w:val="0"/>
                <w:i w:val="0"/>
                <w:sz w:val="18"/>
              </w:rPr>
              <w:t>Confirmation only</w:t>
            </w:r>
          </w:p>
        </w:tc>
        <w:tc>
          <w:tcPr>
            <w:tcW w:type="dxa" w:w="1512"/>
            <w:vAlign w:val="center"/>
          </w:tcPr>
          <w:p>
            <w:pPr>
              <w:jc w:val="center"/>
            </w:pPr>
            <w:r/>
            <w:r>
              <w:rPr>
                <w:rFonts w:ascii="Arial" w:hAnsi="Arial"/>
                <w:b w:val="0"/>
                <w:i w:val="0"/>
                <w:sz w:val="18"/>
              </w:rPr>
              <w:t>Slight overnight premium to cash</w:t>
            </w:r>
          </w:p>
        </w:tc>
      </w:tr>
      <w:tr>
        <w:tc>
          <w:tcPr>
            <w:tcW w:type="dxa" w:w="1512"/>
            <w:vAlign w:val="center"/>
          </w:tcPr>
          <w:p>
            <w:pPr>
              <w:jc w:val="center"/>
            </w:pPr>
            <w:r/>
            <w:r>
              <w:rPr>
                <w:rFonts w:ascii="Arial" w:hAnsi="Arial"/>
                <w:b w:val="0"/>
                <w:i w:val="0"/>
                <w:sz w:val="18"/>
              </w:rPr>
              <w:t>Investing.com</w:t>
            </w:r>
          </w:p>
        </w:tc>
        <w:tc>
          <w:tcPr>
            <w:tcW w:type="dxa" w:w="1368"/>
            <w:vAlign w:val="center"/>
          </w:tcPr>
          <w:p>
            <w:pPr>
              <w:jc w:val="center"/>
            </w:pPr>
            <w:r/>
            <w:r>
              <w:rPr>
                <w:rFonts w:ascii="Arial" w:hAnsi="Arial"/>
                <w:b w:val="0"/>
                <w:i w:val="0"/>
                <w:sz w:val="18"/>
              </w:rPr>
              <w:t>20 Apr – 18 May 30d window</w:t>
            </w:r>
          </w:p>
        </w:tc>
        <w:tc>
          <w:tcPr>
            <w:tcW w:type="dxa" w:w="1368"/>
            <w:vAlign w:val="center"/>
          </w:tcPr>
          <w:p>
            <w:pPr>
              <w:jc w:val="center"/>
            </w:pPr>
            <w:r/>
            <w:r>
              <w:rPr>
                <w:rFonts w:ascii="Arial" w:hAnsi="Arial"/>
                <w:b w:val="0"/>
                <w:i w:val="0"/>
                <w:sz w:val="18"/>
              </w:rPr>
              <w:t>Avg 7,260.06 / Hi 7,517.12 / Lo 7,046.55</w:t>
            </w:r>
          </w:p>
        </w:tc>
        <w:tc>
          <w:tcPr>
            <w:tcW w:type="dxa" w:w="1008"/>
            <w:vAlign w:val="center"/>
          </w:tcPr>
          <w:p>
            <w:pPr>
              <w:jc w:val="center"/>
            </w:pPr>
            <w:r/>
            <w:r>
              <w:rPr>
                <w:rFonts w:ascii="Arial" w:hAnsi="Arial"/>
                <w:b w:val="0"/>
                <w:i w:val="0"/>
                <w:sz w:val="18"/>
              </w:rPr>
              <w:t>—</w:t>
            </w:r>
          </w:p>
        </w:tc>
        <w:tc>
          <w:tcPr>
            <w:tcW w:type="dxa" w:w="1296"/>
            <w:vAlign w:val="center"/>
          </w:tcPr>
          <w:p>
            <w:pPr>
              <w:jc w:val="center"/>
            </w:pPr>
            <w:r/>
            <w:r>
              <w:rPr>
                <w:rFonts w:ascii="Arial" w:hAnsi="Arial"/>
                <w:b w:val="0"/>
                <w:i w:val="0"/>
                <w:sz w:val="18"/>
              </w:rPr>
              <w:t>Aggregator, range context</w:t>
            </w:r>
          </w:p>
        </w:tc>
        <w:tc>
          <w:tcPr>
            <w:tcW w:type="dxa" w:w="936"/>
            <w:vAlign w:val="center"/>
          </w:tcPr>
          <w:p>
            <w:pPr>
              <w:jc w:val="center"/>
            </w:pPr>
            <w:r/>
            <w:r>
              <w:rPr>
                <w:rFonts w:ascii="Arial" w:hAnsi="Arial"/>
                <w:b w:val="0"/>
                <w:i w:val="0"/>
                <w:sz w:val="18"/>
              </w:rPr>
              <w:t>Reference</w:t>
            </w:r>
          </w:p>
        </w:tc>
        <w:tc>
          <w:tcPr>
            <w:tcW w:type="dxa" w:w="1512"/>
            <w:vAlign w:val="center"/>
          </w:tcPr>
          <w:p>
            <w:pPr>
              <w:jc w:val="center"/>
            </w:pPr>
            <w:r/>
            <w:r>
              <w:rPr>
                <w:rFonts w:ascii="Arial" w:hAnsi="Arial"/>
                <w:b w:val="0"/>
                <w:i w:val="0"/>
                <w:sz w:val="18"/>
              </w:rPr>
              <w:t>Range bookends; ATH date 14 May 2026</w:t>
            </w:r>
          </w:p>
        </w:tc>
      </w:tr>
      <w:tr>
        <w:tc>
          <w:tcPr>
            <w:tcW w:type="dxa" w:w="1512"/>
            <w:vAlign w:val="center"/>
          </w:tcPr>
          <w:p>
            <w:pPr>
              <w:jc w:val="center"/>
            </w:pPr>
            <w:r/>
            <w:r>
              <w:rPr>
                <w:rFonts w:ascii="Arial" w:hAnsi="Arial"/>
                <w:b w:val="0"/>
                <w:i w:val="0"/>
                <w:sz w:val="18"/>
              </w:rPr>
              <w:t>TradingView (SPX)</w:t>
            </w:r>
          </w:p>
        </w:tc>
        <w:tc>
          <w:tcPr>
            <w:tcW w:type="dxa" w:w="1368"/>
            <w:vAlign w:val="center"/>
          </w:tcPr>
          <w:p>
            <w:pPr>
              <w:jc w:val="center"/>
            </w:pPr>
            <w:r/>
            <w:r>
              <w:rPr>
                <w:rFonts w:ascii="Arial" w:hAnsi="Arial"/>
                <w:b w:val="0"/>
                <w:i w:val="0"/>
                <w:sz w:val="18"/>
              </w:rPr>
              <w:t>18 May 2026, intraday</w:t>
            </w:r>
          </w:p>
        </w:tc>
        <w:tc>
          <w:tcPr>
            <w:tcW w:type="dxa" w:w="1368"/>
            <w:vAlign w:val="center"/>
          </w:tcPr>
          <w:p>
            <w:pPr>
              <w:jc w:val="center"/>
            </w:pPr>
            <w:r/>
            <w:r>
              <w:rPr>
                <w:rFonts w:ascii="Arial" w:hAnsi="Arial"/>
                <w:b w:val="0"/>
                <w:i w:val="0"/>
                <w:sz w:val="18"/>
              </w:rPr>
              <w:t>Last 7,391.60 @ 12:18 ET</w:t>
            </w:r>
          </w:p>
        </w:tc>
        <w:tc>
          <w:tcPr>
            <w:tcW w:type="dxa" w:w="1008"/>
            <w:vAlign w:val="center"/>
          </w:tcPr>
          <w:p>
            <w:pPr>
              <w:jc w:val="center"/>
            </w:pPr>
            <w:r/>
            <w:r>
              <w:rPr>
                <w:rFonts w:ascii="Arial" w:hAnsi="Arial"/>
                <w:b w:val="0"/>
                <w:i w:val="0"/>
                <w:sz w:val="18"/>
              </w:rPr>
              <w:t>—</w:t>
            </w:r>
          </w:p>
        </w:tc>
        <w:tc>
          <w:tcPr>
            <w:tcW w:type="dxa" w:w="1296"/>
            <w:vAlign w:val="center"/>
          </w:tcPr>
          <w:p>
            <w:pPr>
              <w:jc w:val="center"/>
            </w:pPr>
            <w:r/>
            <w:r>
              <w:rPr>
                <w:rFonts w:ascii="Arial" w:hAnsi="Arial"/>
                <w:b w:val="0"/>
                <w:i w:val="0"/>
                <w:sz w:val="18"/>
              </w:rPr>
              <w:t>Real-time intraday</w:t>
            </w:r>
          </w:p>
        </w:tc>
        <w:tc>
          <w:tcPr>
            <w:tcW w:type="dxa" w:w="936"/>
            <w:vAlign w:val="center"/>
          </w:tcPr>
          <w:p>
            <w:pPr>
              <w:jc w:val="center"/>
            </w:pPr>
            <w:r/>
            <w:r>
              <w:rPr>
                <w:rFonts w:ascii="Arial" w:hAnsi="Arial"/>
                <w:b w:val="0"/>
                <w:i w:val="0"/>
                <w:sz w:val="18"/>
              </w:rPr>
              <w:t>Reference</w:t>
            </w:r>
          </w:p>
        </w:tc>
        <w:tc>
          <w:tcPr>
            <w:tcW w:type="dxa" w:w="1512"/>
            <w:vAlign w:val="center"/>
          </w:tcPr>
          <w:p>
            <w:pPr>
              <w:jc w:val="center"/>
            </w:pPr>
            <w:r/>
            <w:r>
              <w:rPr>
                <w:rFonts w:ascii="Arial" w:hAnsi="Arial"/>
                <w:b w:val="0"/>
                <w:i w:val="0"/>
                <w:sz w:val="18"/>
              </w:rPr>
              <w:t>Intraday low touched 7,371.75</w:t>
            </w:r>
          </w:p>
        </w:tc>
      </w:tr>
    </w:tbl>
    <w:p>
      <w:r>
        <w:rPr>
          <w:rFonts w:ascii="Arial" w:hAnsi="Arial"/>
          <w:b w:val="0"/>
          <w:i/>
          <w:color w:val="555555"/>
          <w:sz w:val="20"/>
        </w:rPr>
        <w:t>Six independent sources captured. Cash session close used as anchor; ES futures used only as confirmation. Source corroboration: dual-source CORROBORATED for 15-May and 18-May sessions; 12-14 May intraday OHLC is single-source-indicative (aggregator-only) and flagged in the validated OHLC table (§6) and in the source discipline note (§19).</w:t>
      </w:r>
    </w:p>
    <w:p>
      <w:pPr>
        <w:pStyle w:val="Heading1"/>
      </w:pPr>
      <w:r>
        <w:rPr>
          <w:rFonts w:ascii="Arial" w:hAnsi="Arial"/>
          <w:color w:val="1F3A5F"/>
        </w:rPr>
        <w:t>§5  Consensus Build Explanation</w:t>
      </w:r>
    </w:p>
    <w:p>
      <w:r>
        <w:rPr>
          <w:rFonts w:ascii="Arial" w:hAnsi="Arial"/>
          <w:b w:val="0"/>
          <w:i w:val="0"/>
          <w:sz w:val="22"/>
        </w:rPr>
        <w:t>The consensus is built using a weighted-median across the six sources, with the official S&amp;P Dow Jones close (via FRED and CNBC) carrying full weight and aggregator feeds (Yahoo Finance, Investing.com) carrying partial weight to avoid over-counting the same upstream feed. CME ES futures are treated as confirmation only and excluded from the cash-basis median to prevent basis blending — a key restriction of this instance (no cash-and-futures mixing).</w:t>
      </w:r>
    </w:p>
    <w:p>
      <w:r>
        <w:rPr>
          <w:rFonts w:ascii="Arial" w:hAnsi="Arial"/>
          <w:b w:val="0"/>
          <w:i w:val="0"/>
          <w:sz w:val="22"/>
        </w:rPr>
        <w:t>Three observations weighted most heavily: (i) the 18 May NYSE close at 7,403.05; (ii) the 15 May close at 7,408.50 as the most recent corroborated week-end print; and (iii) the 14 May intraday peak at 7,517.12 as the structural reference high. Aggregator intraday tick data (TradingView 7,391.60 at 12:18 ET) was excluded from the median as it does not represent a settlement print and would skew the official close anchor.</w:t>
      </w:r>
    </w:p>
    <w:p>
      <w:r>
        <w:rPr>
          <w:rFonts w:ascii="Arial" w:hAnsi="Arial"/>
          <w:b w:val="0"/>
          <w:i w:val="0"/>
          <w:sz w:val="22"/>
        </w:rPr>
        <w:t>The final number — 7,403.05 — is the most defensible because it is the latest exchange-settled cash close, corroborated across two independent feeds and consistent to two decimal places with the index provider's reported value.</w:t>
      </w:r>
    </w:p>
    <w:p>
      <w:pPr>
        <w:pStyle w:val="Heading1"/>
      </w:pPr>
      <w:r>
        <w:rPr>
          <w:rFonts w:ascii="Arial" w:hAnsi="Arial"/>
          <w:color w:val="1F3A5F"/>
        </w:rPr>
        <w:t>§6  Validated OHLC + RSI2 Table (5-Day)</w:t>
      </w:r>
    </w:p>
    <w:tbl>
      <w:tblPr>
        <w:tblStyle w:val="LightGrid-Accent1"/>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080"/>
            <w:shd w:val="clear" w:color="auto" w:fill="1F3A5F"/>
            <w:vAlign w:val="center"/>
          </w:tcPr>
          <w:p>
            <w:pPr>
              <w:jc w:val="center"/>
            </w:pPr>
            <w:r/>
            <w:r>
              <w:rPr>
                <w:rFonts w:ascii="Arial" w:hAnsi="Arial"/>
                <w:b/>
                <w:i w:val="0"/>
                <w:color w:val="FFFFFF"/>
                <w:sz w:val="20"/>
              </w:rPr>
              <w:t>Date</w:t>
            </w:r>
          </w:p>
        </w:tc>
        <w:tc>
          <w:tcPr>
            <w:tcW w:type="dxa" w:w="792"/>
            <w:shd w:val="clear" w:color="auto" w:fill="1F3A5F"/>
            <w:vAlign w:val="center"/>
          </w:tcPr>
          <w:p>
            <w:pPr>
              <w:jc w:val="center"/>
            </w:pPr>
            <w:r/>
            <w:r>
              <w:rPr>
                <w:rFonts w:ascii="Arial" w:hAnsi="Arial"/>
                <w:b/>
                <w:i w:val="0"/>
                <w:color w:val="FFFFFF"/>
                <w:sz w:val="20"/>
              </w:rPr>
              <w:t>Open</w:t>
            </w:r>
          </w:p>
        </w:tc>
        <w:tc>
          <w:tcPr>
            <w:tcW w:type="dxa" w:w="792"/>
            <w:shd w:val="clear" w:color="auto" w:fill="1F3A5F"/>
            <w:vAlign w:val="center"/>
          </w:tcPr>
          <w:p>
            <w:pPr>
              <w:jc w:val="center"/>
            </w:pPr>
            <w:r/>
            <w:r>
              <w:rPr>
                <w:rFonts w:ascii="Arial" w:hAnsi="Arial"/>
                <w:b/>
                <w:i w:val="0"/>
                <w:color w:val="FFFFFF"/>
                <w:sz w:val="20"/>
              </w:rPr>
              <w:t>High</w:t>
            </w:r>
          </w:p>
        </w:tc>
        <w:tc>
          <w:tcPr>
            <w:tcW w:type="dxa" w:w="792"/>
            <w:shd w:val="clear" w:color="auto" w:fill="1F3A5F"/>
            <w:vAlign w:val="center"/>
          </w:tcPr>
          <w:p>
            <w:pPr>
              <w:jc w:val="center"/>
            </w:pPr>
            <w:r/>
            <w:r>
              <w:rPr>
                <w:rFonts w:ascii="Arial" w:hAnsi="Arial"/>
                <w:b/>
                <w:i w:val="0"/>
                <w:color w:val="FFFFFF"/>
                <w:sz w:val="20"/>
              </w:rPr>
              <w:t>Low</w:t>
            </w:r>
          </w:p>
        </w:tc>
        <w:tc>
          <w:tcPr>
            <w:tcW w:type="dxa" w:w="893"/>
            <w:shd w:val="clear" w:color="auto" w:fill="1F3A5F"/>
            <w:vAlign w:val="center"/>
          </w:tcPr>
          <w:p>
            <w:pPr>
              <w:jc w:val="center"/>
            </w:pPr>
            <w:r/>
            <w:r>
              <w:rPr>
                <w:rFonts w:ascii="Arial" w:hAnsi="Arial"/>
                <w:b/>
                <w:i w:val="0"/>
                <w:color w:val="FFFFFF"/>
                <w:sz w:val="20"/>
              </w:rPr>
              <w:t>Close</w:t>
            </w:r>
          </w:p>
        </w:tc>
        <w:tc>
          <w:tcPr>
            <w:tcW w:type="dxa" w:w="576"/>
            <w:shd w:val="clear" w:color="auto" w:fill="1F3A5F"/>
            <w:vAlign w:val="center"/>
          </w:tcPr>
          <w:p>
            <w:pPr>
              <w:jc w:val="center"/>
            </w:pPr>
            <w:r/>
            <w:r>
              <w:rPr>
                <w:rFonts w:ascii="Arial" w:hAnsi="Arial"/>
                <w:b/>
                <w:i w:val="0"/>
                <w:color w:val="FFFFFF"/>
                <w:sz w:val="20"/>
              </w:rPr>
              <w:t>RSI2</w:t>
            </w:r>
          </w:p>
        </w:tc>
        <w:tc>
          <w:tcPr>
            <w:tcW w:type="dxa" w:w="720"/>
            <w:shd w:val="clear" w:color="auto" w:fill="1F3A5F"/>
            <w:vAlign w:val="center"/>
          </w:tcPr>
          <w:p>
            <w:pPr>
              <w:jc w:val="center"/>
            </w:pPr>
            <w:r/>
            <w:r>
              <w:rPr>
                <w:rFonts w:ascii="Arial" w:hAnsi="Arial"/>
                <w:b/>
                <w:i w:val="0"/>
                <w:color w:val="FFFFFF"/>
                <w:sz w:val="20"/>
              </w:rPr>
              <w:t>Trend</w:t>
            </w:r>
          </w:p>
        </w:tc>
        <w:tc>
          <w:tcPr>
            <w:tcW w:type="dxa" w:w="1008"/>
            <w:shd w:val="clear" w:color="auto" w:fill="1F3A5F"/>
            <w:vAlign w:val="center"/>
          </w:tcPr>
          <w:p>
            <w:pPr>
              <w:jc w:val="center"/>
            </w:pPr>
            <w:r/>
            <w:r>
              <w:rPr>
                <w:rFonts w:ascii="Arial" w:hAnsi="Arial"/>
                <w:b/>
                <w:i w:val="0"/>
                <w:color w:val="FFFFFF"/>
                <w:sz w:val="20"/>
              </w:rPr>
              <w:t>Source A</w:t>
            </w:r>
          </w:p>
        </w:tc>
        <w:tc>
          <w:tcPr>
            <w:tcW w:type="dxa" w:w="864"/>
            <w:shd w:val="clear" w:color="auto" w:fill="1F3A5F"/>
            <w:vAlign w:val="center"/>
          </w:tcPr>
          <w:p>
            <w:pPr>
              <w:jc w:val="center"/>
            </w:pPr>
            <w:r/>
            <w:r>
              <w:rPr>
                <w:rFonts w:ascii="Arial" w:hAnsi="Arial"/>
                <w:b/>
                <w:i w:val="0"/>
                <w:color w:val="FFFFFF"/>
                <w:sz w:val="20"/>
              </w:rPr>
              <w:t>Source B</w:t>
            </w:r>
          </w:p>
        </w:tc>
        <w:tc>
          <w:tcPr>
            <w:tcW w:type="dxa" w:w="792"/>
            <w:shd w:val="clear" w:color="auto" w:fill="1F3A5F"/>
            <w:vAlign w:val="center"/>
          </w:tcPr>
          <w:p>
            <w:pPr>
              <w:jc w:val="center"/>
            </w:pPr>
            <w:r/>
            <w:r>
              <w:rPr>
                <w:rFonts w:ascii="Arial" w:hAnsi="Arial"/>
                <w:b/>
                <w:i w:val="0"/>
                <w:color w:val="FFFFFF"/>
                <w:sz w:val="20"/>
              </w:rPr>
              <w:t>Final Value</w:t>
            </w:r>
          </w:p>
        </w:tc>
        <w:tc>
          <w:tcPr>
            <w:tcW w:type="dxa" w:w="720"/>
            <w:shd w:val="clear" w:color="auto" w:fill="1F3A5F"/>
            <w:vAlign w:val="center"/>
          </w:tcPr>
          <w:p>
            <w:pPr>
              <w:jc w:val="center"/>
            </w:pPr>
            <w:r/>
            <w:r>
              <w:rPr>
                <w:rFonts w:ascii="Arial" w:hAnsi="Arial"/>
                <w:b/>
                <w:i w:val="0"/>
                <w:color w:val="FFFFFF"/>
                <w:sz w:val="20"/>
              </w:rPr>
              <w:t>Validation</w:t>
            </w:r>
          </w:p>
        </w:tc>
      </w:tr>
      <w:tr>
        <w:tc>
          <w:tcPr>
            <w:tcW w:type="dxa" w:w="1080"/>
            <w:vAlign w:val="center"/>
          </w:tcPr>
          <w:p>
            <w:pPr>
              <w:jc w:val="center"/>
            </w:pPr>
            <w:r/>
            <w:r>
              <w:rPr>
                <w:rFonts w:ascii="Arial" w:hAnsi="Arial"/>
                <w:b w:val="0"/>
                <w:i w:val="0"/>
                <w:sz w:val="18"/>
              </w:rPr>
              <w:t>Tue 12 May 2026</w:t>
            </w:r>
          </w:p>
        </w:tc>
        <w:tc>
          <w:tcPr>
            <w:tcW w:type="dxa" w:w="792"/>
            <w:vAlign w:val="center"/>
          </w:tcPr>
          <w:p>
            <w:pPr>
              <w:jc w:val="center"/>
            </w:pPr>
            <w:r/>
            <w:r>
              <w:rPr>
                <w:rFonts w:ascii="Arial" w:hAnsi="Arial"/>
                <w:b w:val="0"/>
                <w:i w:val="0"/>
                <w:sz w:val="18"/>
              </w:rPr>
              <w:t>7,472.10</w:t>
            </w:r>
          </w:p>
        </w:tc>
        <w:tc>
          <w:tcPr>
            <w:tcW w:type="dxa" w:w="792"/>
            <w:vAlign w:val="center"/>
          </w:tcPr>
          <w:p>
            <w:pPr>
              <w:jc w:val="center"/>
            </w:pPr>
            <w:r/>
            <w:r>
              <w:rPr>
                <w:rFonts w:ascii="Arial" w:hAnsi="Arial"/>
                <w:b w:val="0"/>
                <w:i w:val="0"/>
                <w:sz w:val="18"/>
              </w:rPr>
              <w:t>7,491.40</w:t>
            </w:r>
          </w:p>
        </w:tc>
        <w:tc>
          <w:tcPr>
            <w:tcW w:type="dxa" w:w="792"/>
            <w:vAlign w:val="center"/>
          </w:tcPr>
          <w:p>
            <w:pPr>
              <w:jc w:val="center"/>
            </w:pPr>
            <w:r/>
            <w:r>
              <w:rPr>
                <w:rFonts w:ascii="Arial" w:hAnsi="Arial"/>
                <w:b w:val="0"/>
                <w:i w:val="0"/>
                <w:sz w:val="18"/>
              </w:rPr>
              <w:t>7,455.85</w:t>
            </w:r>
          </w:p>
        </w:tc>
        <w:tc>
          <w:tcPr>
            <w:tcW w:type="dxa" w:w="893"/>
            <w:vAlign w:val="center"/>
          </w:tcPr>
          <w:p>
            <w:pPr>
              <w:jc w:val="center"/>
            </w:pPr>
            <w:r/>
            <w:r>
              <w:rPr>
                <w:rFonts w:ascii="Arial" w:hAnsi="Arial"/>
                <w:b w:val="0"/>
                <w:i w:val="0"/>
                <w:sz w:val="18"/>
              </w:rPr>
              <w:t>7,488.62</w:t>
            </w:r>
          </w:p>
        </w:tc>
        <w:tc>
          <w:tcPr>
            <w:tcW w:type="dxa" w:w="576"/>
            <w:vAlign w:val="center"/>
          </w:tcPr>
          <w:p>
            <w:pPr>
              <w:jc w:val="center"/>
            </w:pPr>
            <w:r/>
            <w:r>
              <w:rPr>
                <w:rFonts w:ascii="Arial" w:hAnsi="Arial"/>
                <w:b w:val="0"/>
                <w:i w:val="0"/>
                <w:sz w:val="18"/>
              </w:rPr>
              <w:t>100.0</w:t>
            </w:r>
          </w:p>
        </w:tc>
        <w:tc>
          <w:tcPr>
            <w:tcW w:type="dxa" w:w="720"/>
            <w:vAlign w:val="center"/>
          </w:tcPr>
          <w:p>
            <w:pPr>
              <w:jc w:val="center"/>
            </w:pPr>
            <w:r/>
            <w:r>
              <w:rPr>
                <w:rFonts w:ascii="Arial" w:hAnsi="Arial"/>
                <w:b w:val="0"/>
                <w:i w:val="0"/>
                <w:sz w:val="18"/>
              </w:rPr>
              <w:t>Bullish</w:t>
            </w:r>
          </w:p>
        </w:tc>
        <w:tc>
          <w:tcPr>
            <w:tcW w:type="dxa" w:w="1008"/>
            <w:vAlign w:val="center"/>
          </w:tcPr>
          <w:p>
            <w:pPr>
              <w:jc w:val="center"/>
            </w:pPr>
            <w:r/>
            <w:r>
              <w:rPr>
                <w:rFonts w:ascii="Arial" w:hAnsi="Arial"/>
                <w:b w:val="0"/>
                <w:i w:val="0"/>
                <w:sz w:val="18"/>
              </w:rPr>
              <w:t>Investing.com</w:t>
            </w:r>
          </w:p>
        </w:tc>
        <w:tc>
          <w:tcPr>
            <w:tcW w:type="dxa" w:w="864"/>
            <w:vAlign w:val="center"/>
          </w:tcPr>
          <w:p>
            <w:pPr>
              <w:jc w:val="center"/>
            </w:pPr>
            <w:r/>
            <w:r>
              <w:rPr>
                <w:rFonts w:ascii="Arial" w:hAnsi="Arial"/>
                <w:b w:val="0"/>
                <w:i w:val="0"/>
                <w:sz w:val="18"/>
              </w:rPr>
              <w:t>(single)</w:t>
            </w:r>
          </w:p>
        </w:tc>
        <w:tc>
          <w:tcPr>
            <w:tcW w:type="dxa" w:w="792"/>
            <w:vAlign w:val="center"/>
          </w:tcPr>
          <w:p>
            <w:pPr>
              <w:jc w:val="center"/>
            </w:pPr>
            <w:r/>
            <w:r>
              <w:rPr>
                <w:rFonts w:ascii="Arial" w:hAnsi="Arial"/>
                <w:b w:val="0"/>
                <w:i w:val="0"/>
                <w:sz w:val="18"/>
              </w:rPr>
              <w:t>7,488.62</w:t>
            </w:r>
          </w:p>
        </w:tc>
        <w:tc>
          <w:tcPr>
            <w:tcW w:type="dxa" w:w="720"/>
            <w:vAlign w:val="center"/>
          </w:tcPr>
          <w:p>
            <w:pPr>
              <w:jc w:val="center"/>
            </w:pPr>
            <w:r/>
            <w:r>
              <w:rPr>
                <w:rFonts w:ascii="Arial" w:hAnsi="Arial"/>
                <w:b w:val="0"/>
                <w:i w:val="0"/>
                <w:sz w:val="18"/>
              </w:rPr>
              <w:t>SINGLE-SOURCE (indicative)</w:t>
            </w:r>
          </w:p>
        </w:tc>
      </w:tr>
      <w:tr>
        <w:tc>
          <w:tcPr>
            <w:tcW w:type="dxa" w:w="1080"/>
            <w:vAlign w:val="center"/>
          </w:tcPr>
          <w:p>
            <w:pPr>
              <w:jc w:val="center"/>
            </w:pPr>
            <w:r/>
            <w:r>
              <w:rPr>
                <w:rFonts w:ascii="Arial" w:hAnsi="Arial"/>
                <w:b w:val="0"/>
                <w:i w:val="0"/>
                <w:sz w:val="18"/>
              </w:rPr>
              <w:t>Wed 13 May 2026</w:t>
            </w:r>
          </w:p>
        </w:tc>
        <w:tc>
          <w:tcPr>
            <w:tcW w:type="dxa" w:w="792"/>
            <w:vAlign w:val="center"/>
          </w:tcPr>
          <w:p>
            <w:pPr>
              <w:jc w:val="center"/>
            </w:pPr>
            <w:r/>
            <w:r>
              <w:rPr>
                <w:rFonts w:ascii="Arial" w:hAnsi="Arial"/>
                <w:b w:val="0"/>
                <w:i w:val="0"/>
                <w:sz w:val="18"/>
              </w:rPr>
              <w:t>7,488.62</w:t>
            </w:r>
          </w:p>
        </w:tc>
        <w:tc>
          <w:tcPr>
            <w:tcW w:type="dxa" w:w="792"/>
            <w:vAlign w:val="center"/>
          </w:tcPr>
          <w:p>
            <w:pPr>
              <w:jc w:val="center"/>
            </w:pPr>
            <w:r/>
            <w:r>
              <w:rPr>
                <w:rFonts w:ascii="Arial" w:hAnsi="Arial"/>
                <w:b w:val="0"/>
                <w:i w:val="0"/>
                <w:sz w:val="18"/>
              </w:rPr>
              <w:t>7,508.30</w:t>
            </w:r>
          </w:p>
        </w:tc>
        <w:tc>
          <w:tcPr>
            <w:tcW w:type="dxa" w:w="792"/>
            <w:vAlign w:val="center"/>
          </w:tcPr>
          <w:p>
            <w:pPr>
              <w:jc w:val="center"/>
            </w:pPr>
            <w:r/>
            <w:r>
              <w:rPr>
                <w:rFonts w:ascii="Arial" w:hAnsi="Arial"/>
                <w:b w:val="0"/>
                <w:i w:val="0"/>
                <w:sz w:val="18"/>
              </w:rPr>
              <w:t>7,470.05</w:t>
            </w:r>
          </w:p>
        </w:tc>
        <w:tc>
          <w:tcPr>
            <w:tcW w:type="dxa" w:w="893"/>
            <w:vAlign w:val="center"/>
          </w:tcPr>
          <w:p>
            <w:pPr>
              <w:jc w:val="center"/>
            </w:pPr>
            <w:r/>
            <w:r>
              <w:rPr>
                <w:rFonts w:ascii="Arial" w:hAnsi="Arial"/>
                <w:b w:val="0"/>
                <w:i w:val="0"/>
                <w:sz w:val="18"/>
              </w:rPr>
              <w:t>7,495.18</w:t>
            </w:r>
          </w:p>
        </w:tc>
        <w:tc>
          <w:tcPr>
            <w:tcW w:type="dxa" w:w="576"/>
            <w:vAlign w:val="center"/>
          </w:tcPr>
          <w:p>
            <w:pPr>
              <w:jc w:val="center"/>
            </w:pPr>
            <w:r/>
            <w:r>
              <w:rPr>
                <w:rFonts w:ascii="Arial" w:hAnsi="Arial"/>
                <w:b w:val="0"/>
                <w:i w:val="0"/>
                <w:sz w:val="18"/>
              </w:rPr>
              <w:t>100.0</w:t>
            </w:r>
          </w:p>
        </w:tc>
        <w:tc>
          <w:tcPr>
            <w:tcW w:type="dxa" w:w="720"/>
            <w:vAlign w:val="center"/>
          </w:tcPr>
          <w:p>
            <w:pPr>
              <w:jc w:val="center"/>
            </w:pPr>
            <w:r/>
            <w:r>
              <w:rPr>
                <w:rFonts w:ascii="Arial" w:hAnsi="Arial"/>
                <w:b w:val="0"/>
                <w:i w:val="0"/>
                <w:sz w:val="18"/>
              </w:rPr>
              <w:t>Bullish</w:t>
            </w:r>
          </w:p>
        </w:tc>
        <w:tc>
          <w:tcPr>
            <w:tcW w:type="dxa" w:w="1008"/>
            <w:vAlign w:val="center"/>
          </w:tcPr>
          <w:p>
            <w:pPr>
              <w:jc w:val="center"/>
            </w:pPr>
            <w:r/>
            <w:r>
              <w:rPr>
                <w:rFonts w:ascii="Arial" w:hAnsi="Arial"/>
                <w:b w:val="0"/>
                <w:i w:val="0"/>
                <w:sz w:val="18"/>
              </w:rPr>
              <w:t>Investing.com</w:t>
            </w:r>
          </w:p>
        </w:tc>
        <w:tc>
          <w:tcPr>
            <w:tcW w:type="dxa" w:w="864"/>
            <w:vAlign w:val="center"/>
          </w:tcPr>
          <w:p>
            <w:pPr>
              <w:jc w:val="center"/>
            </w:pPr>
            <w:r/>
            <w:r>
              <w:rPr>
                <w:rFonts w:ascii="Arial" w:hAnsi="Arial"/>
                <w:b w:val="0"/>
                <w:i w:val="0"/>
                <w:sz w:val="18"/>
              </w:rPr>
              <w:t>(single)</w:t>
            </w:r>
          </w:p>
        </w:tc>
        <w:tc>
          <w:tcPr>
            <w:tcW w:type="dxa" w:w="792"/>
            <w:vAlign w:val="center"/>
          </w:tcPr>
          <w:p>
            <w:pPr>
              <w:jc w:val="center"/>
            </w:pPr>
            <w:r/>
            <w:r>
              <w:rPr>
                <w:rFonts w:ascii="Arial" w:hAnsi="Arial"/>
                <w:b w:val="0"/>
                <w:i w:val="0"/>
                <w:sz w:val="18"/>
              </w:rPr>
              <w:t>7,495.18</w:t>
            </w:r>
          </w:p>
        </w:tc>
        <w:tc>
          <w:tcPr>
            <w:tcW w:type="dxa" w:w="720"/>
            <w:vAlign w:val="center"/>
          </w:tcPr>
          <w:p>
            <w:pPr>
              <w:jc w:val="center"/>
            </w:pPr>
            <w:r/>
            <w:r>
              <w:rPr>
                <w:rFonts w:ascii="Arial" w:hAnsi="Arial"/>
                <w:b w:val="0"/>
                <w:i w:val="0"/>
                <w:sz w:val="18"/>
              </w:rPr>
              <w:t>SINGLE-SOURCE (indicative)</w:t>
            </w:r>
          </w:p>
        </w:tc>
      </w:tr>
      <w:tr>
        <w:tc>
          <w:tcPr>
            <w:tcW w:type="dxa" w:w="1080"/>
            <w:vAlign w:val="center"/>
          </w:tcPr>
          <w:p>
            <w:pPr>
              <w:jc w:val="center"/>
            </w:pPr>
            <w:r/>
            <w:r>
              <w:rPr>
                <w:rFonts w:ascii="Arial" w:hAnsi="Arial"/>
                <w:b w:val="0"/>
                <w:i w:val="0"/>
                <w:sz w:val="18"/>
              </w:rPr>
              <w:t>Thu 14 May 2026</w:t>
            </w:r>
          </w:p>
        </w:tc>
        <w:tc>
          <w:tcPr>
            <w:tcW w:type="dxa" w:w="792"/>
            <w:vAlign w:val="center"/>
          </w:tcPr>
          <w:p>
            <w:pPr>
              <w:jc w:val="center"/>
            </w:pPr>
            <w:r/>
            <w:r>
              <w:rPr>
                <w:rFonts w:ascii="Arial" w:hAnsi="Arial"/>
                <w:b w:val="0"/>
                <w:i w:val="0"/>
                <w:sz w:val="18"/>
              </w:rPr>
              <w:t>7,495.18</w:t>
            </w:r>
          </w:p>
        </w:tc>
        <w:tc>
          <w:tcPr>
            <w:tcW w:type="dxa" w:w="792"/>
            <w:vAlign w:val="center"/>
          </w:tcPr>
          <w:p>
            <w:pPr>
              <w:jc w:val="center"/>
            </w:pPr>
            <w:r/>
            <w:r>
              <w:rPr>
                <w:rFonts w:ascii="Arial" w:hAnsi="Arial"/>
                <w:b w:val="0"/>
                <w:i w:val="0"/>
                <w:sz w:val="18"/>
              </w:rPr>
              <w:t>7,517.12</w:t>
            </w:r>
          </w:p>
        </w:tc>
        <w:tc>
          <w:tcPr>
            <w:tcW w:type="dxa" w:w="792"/>
            <w:vAlign w:val="center"/>
          </w:tcPr>
          <w:p>
            <w:pPr>
              <w:jc w:val="center"/>
            </w:pPr>
            <w:r/>
            <w:r>
              <w:rPr>
                <w:rFonts w:ascii="Arial" w:hAnsi="Arial"/>
                <w:b w:val="0"/>
                <w:i w:val="0"/>
                <w:sz w:val="18"/>
              </w:rPr>
              <w:t>7,488.40</w:t>
            </w:r>
          </w:p>
        </w:tc>
        <w:tc>
          <w:tcPr>
            <w:tcW w:type="dxa" w:w="893"/>
            <w:vAlign w:val="center"/>
          </w:tcPr>
          <w:p>
            <w:pPr>
              <w:jc w:val="center"/>
            </w:pPr>
            <w:r/>
            <w:r>
              <w:rPr>
                <w:rFonts w:ascii="Arial" w:hAnsi="Arial"/>
                <w:b w:val="0"/>
                <w:i w:val="0"/>
                <w:sz w:val="18"/>
              </w:rPr>
              <w:t>7,501.24</w:t>
            </w:r>
          </w:p>
        </w:tc>
        <w:tc>
          <w:tcPr>
            <w:tcW w:type="dxa" w:w="576"/>
            <w:vAlign w:val="center"/>
          </w:tcPr>
          <w:p>
            <w:pPr>
              <w:jc w:val="center"/>
            </w:pPr>
            <w:r/>
            <w:r>
              <w:rPr>
                <w:rFonts w:ascii="Arial" w:hAnsi="Arial"/>
                <w:b w:val="0"/>
                <w:i w:val="0"/>
                <w:sz w:val="18"/>
              </w:rPr>
              <w:t>100.0</w:t>
            </w:r>
          </w:p>
        </w:tc>
        <w:tc>
          <w:tcPr>
            <w:tcW w:type="dxa" w:w="720"/>
            <w:vAlign w:val="center"/>
          </w:tcPr>
          <w:p>
            <w:pPr>
              <w:jc w:val="center"/>
            </w:pPr>
            <w:r/>
            <w:r>
              <w:rPr>
                <w:rFonts w:ascii="Arial" w:hAnsi="Arial"/>
                <w:b w:val="0"/>
                <w:i w:val="0"/>
                <w:sz w:val="18"/>
              </w:rPr>
              <w:t>Bullish</w:t>
            </w:r>
          </w:p>
        </w:tc>
        <w:tc>
          <w:tcPr>
            <w:tcW w:type="dxa" w:w="1008"/>
            <w:vAlign w:val="center"/>
          </w:tcPr>
          <w:p>
            <w:pPr>
              <w:jc w:val="center"/>
            </w:pPr>
            <w:r/>
            <w:r>
              <w:rPr>
                <w:rFonts w:ascii="Arial" w:hAnsi="Arial"/>
                <w:b w:val="0"/>
                <w:i w:val="0"/>
                <w:sz w:val="18"/>
              </w:rPr>
              <w:t>TradingView</w:t>
            </w:r>
          </w:p>
        </w:tc>
        <w:tc>
          <w:tcPr>
            <w:tcW w:type="dxa" w:w="864"/>
            <w:vAlign w:val="center"/>
          </w:tcPr>
          <w:p>
            <w:pPr>
              <w:jc w:val="center"/>
            </w:pPr>
            <w:r/>
            <w:r>
              <w:rPr>
                <w:rFonts w:ascii="Arial" w:hAnsi="Arial"/>
                <w:b w:val="0"/>
                <w:i w:val="0"/>
                <w:sz w:val="18"/>
              </w:rPr>
              <w:t>Investing.com</w:t>
            </w:r>
          </w:p>
        </w:tc>
        <w:tc>
          <w:tcPr>
            <w:tcW w:type="dxa" w:w="792"/>
            <w:vAlign w:val="center"/>
          </w:tcPr>
          <w:p>
            <w:pPr>
              <w:jc w:val="center"/>
            </w:pPr>
            <w:r/>
            <w:r>
              <w:rPr>
                <w:rFonts w:ascii="Arial" w:hAnsi="Arial"/>
                <w:b w:val="0"/>
                <w:i w:val="0"/>
                <w:sz w:val="18"/>
              </w:rPr>
              <w:t>7,501.24</w:t>
            </w:r>
          </w:p>
        </w:tc>
        <w:tc>
          <w:tcPr>
            <w:tcW w:type="dxa" w:w="720"/>
            <w:vAlign w:val="center"/>
          </w:tcPr>
          <w:p>
            <w:pPr>
              <w:jc w:val="center"/>
            </w:pPr>
            <w:r/>
            <w:r>
              <w:rPr>
                <w:rFonts w:ascii="Arial" w:hAnsi="Arial"/>
                <w:b w:val="0"/>
                <w:i w:val="0"/>
                <w:sz w:val="18"/>
              </w:rPr>
              <w:t>CORROBORATED (ATH H 7,517.12)</w:t>
            </w:r>
          </w:p>
        </w:tc>
      </w:tr>
      <w:tr>
        <w:tc>
          <w:tcPr>
            <w:tcW w:type="dxa" w:w="1080"/>
            <w:vAlign w:val="center"/>
          </w:tcPr>
          <w:p>
            <w:pPr>
              <w:jc w:val="center"/>
            </w:pPr>
            <w:r/>
            <w:r>
              <w:rPr>
                <w:rFonts w:ascii="Arial" w:hAnsi="Arial"/>
                <w:b w:val="0"/>
                <w:i w:val="0"/>
                <w:sz w:val="18"/>
              </w:rPr>
              <w:t>Fri 15 May 2026</w:t>
            </w:r>
          </w:p>
        </w:tc>
        <w:tc>
          <w:tcPr>
            <w:tcW w:type="dxa" w:w="792"/>
            <w:vAlign w:val="center"/>
          </w:tcPr>
          <w:p>
            <w:pPr>
              <w:jc w:val="center"/>
            </w:pPr>
            <w:r/>
            <w:r>
              <w:rPr>
                <w:rFonts w:ascii="Arial" w:hAnsi="Arial"/>
                <w:b w:val="0"/>
                <w:i w:val="0"/>
                <w:sz w:val="18"/>
              </w:rPr>
              <w:t>7,497.50</w:t>
            </w:r>
          </w:p>
        </w:tc>
        <w:tc>
          <w:tcPr>
            <w:tcW w:type="dxa" w:w="792"/>
            <w:vAlign w:val="center"/>
          </w:tcPr>
          <w:p>
            <w:pPr>
              <w:jc w:val="center"/>
            </w:pPr>
            <w:r/>
            <w:r>
              <w:rPr>
                <w:rFonts w:ascii="Arial" w:hAnsi="Arial"/>
                <w:b w:val="0"/>
                <w:i w:val="0"/>
                <w:sz w:val="18"/>
              </w:rPr>
              <w:t>7,506.80</w:t>
            </w:r>
          </w:p>
        </w:tc>
        <w:tc>
          <w:tcPr>
            <w:tcW w:type="dxa" w:w="792"/>
            <w:vAlign w:val="center"/>
          </w:tcPr>
          <w:p>
            <w:pPr>
              <w:jc w:val="center"/>
            </w:pPr>
            <w:r/>
            <w:r>
              <w:rPr>
                <w:rFonts w:ascii="Arial" w:hAnsi="Arial"/>
                <w:b w:val="0"/>
                <w:i w:val="0"/>
                <w:sz w:val="18"/>
              </w:rPr>
              <w:t>7,392.65</w:t>
            </w:r>
          </w:p>
        </w:tc>
        <w:tc>
          <w:tcPr>
            <w:tcW w:type="dxa" w:w="893"/>
            <w:vAlign w:val="center"/>
          </w:tcPr>
          <w:p>
            <w:pPr>
              <w:jc w:val="center"/>
            </w:pPr>
            <w:r/>
            <w:r>
              <w:rPr>
                <w:rFonts w:ascii="Arial" w:hAnsi="Arial"/>
                <w:b w:val="0"/>
                <w:i w:val="0"/>
                <w:sz w:val="18"/>
              </w:rPr>
              <w:t>7,408.50</w:t>
            </w:r>
          </w:p>
        </w:tc>
        <w:tc>
          <w:tcPr>
            <w:tcW w:type="dxa" w:w="576"/>
            <w:vAlign w:val="center"/>
          </w:tcPr>
          <w:p>
            <w:pPr>
              <w:jc w:val="center"/>
            </w:pPr>
            <w:r/>
            <w:r>
              <w:rPr>
                <w:rFonts w:ascii="Arial" w:hAnsi="Arial"/>
                <w:b w:val="0"/>
                <w:i w:val="0"/>
                <w:sz w:val="18"/>
              </w:rPr>
              <w:t>8.3</w:t>
            </w:r>
          </w:p>
        </w:tc>
        <w:tc>
          <w:tcPr>
            <w:tcW w:type="dxa" w:w="720"/>
            <w:vAlign w:val="center"/>
          </w:tcPr>
          <w:p>
            <w:pPr>
              <w:jc w:val="center"/>
            </w:pPr>
            <w:r/>
            <w:r>
              <w:rPr>
                <w:rFonts w:ascii="Arial" w:hAnsi="Arial"/>
                <w:b w:val="0"/>
                <w:i w:val="0"/>
                <w:sz w:val="18"/>
              </w:rPr>
              <w:t>Bearish</w:t>
            </w:r>
          </w:p>
        </w:tc>
        <w:tc>
          <w:tcPr>
            <w:tcW w:type="dxa" w:w="1008"/>
            <w:vAlign w:val="center"/>
          </w:tcPr>
          <w:p>
            <w:pPr>
              <w:jc w:val="center"/>
            </w:pPr>
            <w:r/>
            <w:r>
              <w:rPr>
                <w:rFonts w:ascii="Arial" w:hAnsi="Arial"/>
                <w:b w:val="0"/>
                <w:i w:val="0"/>
                <w:sz w:val="18"/>
              </w:rPr>
              <w:t>FRED / S&amp;P DJ</w:t>
            </w:r>
          </w:p>
        </w:tc>
        <w:tc>
          <w:tcPr>
            <w:tcW w:type="dxa" w:w="864"/>
            <w:vAlign w:val="center"/>
          </w:tcPr>
          <w:p>
            <w:pPr>
              <w:jc w:val="center"/>
            </w:pPr>
            <w:r/>
            <w:r>
              <w:rPr>
                <w:rFonts w:ascii="Arial" w:hAnsi="Arial"/>
                <w:b w:val="0"/>
                <w:i w:val="0"/>
                <w:sz w:val="18"/>
              </w:rPr>
              <w:t>Yahoo Finance</w:t>
            </w:r>
          </w:p>
        </w:tc>
        <w:tc>
          <w:tcPr>
            <w:tcW w:type="dxa" w:w="792"/>
            <w:vAlign w:val="center"/>
          </w:tcPr>
          <w:p>
            <w:pPr>
              <w:jc w:val="center"/>
            </w:pPr>
            <w:r/>
            <w:r>
              <w:rPr>
                <w:rFonts w:ascii="Arial" w:hAnsi="Arial"/>
                <w:b w:val="0"/>
                <w:i w:val="0"/>
                <w:sz w:val="18"/>
              </w:rPr>
              <w:t>7,408.50</w:t>
            </w:r>
          </w:p>
        </w:tc>
        <w:tc>
          <w:tcPr>
            <w:tcW w:type="dxa" w:w="720"/>
            <w:vAlign w:val="center"/>
          </w:tcPr>
          <w:p>
            <w:pPr>
              <w:jc w:val="center"/>
            </w:pPr>
            <w:r/>
            <w:r>
              <w:rPr>
                <w:rFonts w:ascii="Arial" w:hAnsi="Arial"/>
                <w:b w:val="0"/>
                <w:i w:val="0"/>
                <w:sz w:val="18"/>
              </w:rPr>
              <w:t>CORROBORATED (delta 0.00)</w:t>
            </w:r>
          </w:p>
        </w:tc>
      </w:tr>
      <w:tr>
        <w:tc>
          <w:tcPr>
            <w:tcW w:type="dxa" w:w="1080"/>
            <w:vAlign w:val="center"/>
          </w:tcPr>
          <w:p>
            <w:pPr>
              <w:jc w:val="center"/>
            </w:pPr>
            <w:r/>
            <w:r>
              <w:rPr>
                <w:rFonts w:ascii="Arial" w:hAnsi="Arial"/>
                <w:b w:val="0"/>
                <w:i w:val="0"/>
                <w:sz w:val="18"/>
              </w:rPr>
              <w:t>Mon 18 May 2026</w:t>
            </w:r>
          </w:p>
        </w:tc>
        <w:tc>
          <w:tcPr>
            <w:tcW w:type="dxa" w:w="792"/>
            <w:vAlign w:val="center"/>
          </w:tcPr>
          <w:p>
            <w:pPr>
              <w:jc w:val="center"/>
            </w:pPr>
            <w:r/>
            <w:r>
              <w:rPr>
                <w:rFonts w:ascii="Arial" w:hAnsi="Arial"/>
                <w:b w:val="0"/>
                <w:i w:val="0"/>
                <w:sz w:val="18"/>
              </w:rPr>
              <w:t>7,415.07</w:t>
            </w:r>
          </w:p>
        </w:tc>
        <w:tc>
          <w:tcPr>
            <w:tcW w:type="dxa" w:w="792"/>
            <w:vAlign w:val="center"/>
          </w:tcPr>
          <w:p>
            <w:pPr>
              <w:jc w:val="center"/>
            </w:pPr>
            <w:r/>
            <w:r>
              <w:rPr>
                <w:rFonts w:ascii="Arial" w:hAnsi="Arial"/>
                <w:b w:val="0"/>
                <w:i w:val="0"/>
                <w:sz w:val="18"/>
              </w:rPr>
              <w:t>7,434.06</w:t>
            </w:r>
          </w:p>
        </w:tc>
        <w:tc>
          <w:tcPr>
            <w:tcW w:type="dxa" w:w="792"/>
            <w:vAlign w:val="center"/>
          </w:tcPr>
          <w:p>
            <w:pPr>
              <w:jc w:val="center"/>
            </w:pPr>
            <w:r/>
            <w:r>
              <w:rPr>
                <w:rFonts w:ascii="Arial" w:hAnsi="Arial"/>
                <w:b w:val="0"/>
                <w:i w:val="0"/>
                <w:sz w:val="18"/>
              </w:rPr>
              <w:t>7,371.75</w:t>
            </w:r>
          </w:p>
        </w:tc>
        <w:tc>
          <w:tcPr>
            <w:tcW w:type="dxa" w:w="893"/>
            <w:vAlign w:val="center"/>
          </w:tcPr>
          <w:p>
            <w:pPr>
              <w:jc w:val="center"/>
            </w:pPr>
            <w:r/>
            <w:r>
              <w:rPr>
                <w:rFonts w:ascii="Arial" w:hAnsi="Arial"/>
                <w:b w:val="0"/>
                <w:i w:val="0"/>
                <w:sz w:val="18"/>
              </w:rPr>
              <w:t>7,403.05</w:t>
            </w:r>
          </w:p>
        </w:tc>
        <w:tc>
          <w:tcPr>
            <w:tcW w:type="dxa" w:w="576"/>
            <w:vAlign w:val="center"/>
          </w:tcPr>
          <w:p>
            <w:pPr>
              <w:jc w:val="center"/>
            </w:pPr>
            <w:r/>
            <w:r>
              <w:rPr>
                <w:rFonts w:ascii="Arial" w:hAnsi="Arial"/>
                <w:b w:val="0"/>
                <w:i w:val="0"/>
                <w:sz w:val="18"/>
              </w:rPr>
              <w:t>7.5</w:t>
            </w:r>
          </w:p>
        </w:tc>
        <w:tc>
          <w:tcPr>
            <w:tcW w:type="dxa" w:w="720"/>
            <w:vAlign w:val="center"/>
          </w:tcPr>
          <w:p>
            <w:pPr>
              <w:jc w:val="center"/>
            </w:pPr>
            <w:r/>
            <w:r>
              <w:rPr>
                <w:rFonts w:ascii="Arial" w:hAnsi="Arial"/>
                <w:b w:val="0"/>
                <w:i w:val="0"/>
                <w:sz w:val="18"/>
              </w:rPr>
              <w:t>Bearish</w:t>
            </w:r>
          </w:p>
        </w:tc>
        <w:tc>
          <w:tcPr>
            <w:tcW w:type="dxa" w:w="1008"/>
            <w:vAlign w:val="center"/>
          </w:tcPr>
          <w:p>
            <w:pPr>
              <w:jc w:val="center"/>
            </w:pPr>
            <w:r/>
            <w:r>
              <w:rPr>
                <w:rFonts w:ascii="Arial" w:hAnsi="Arial"/>
                <w:b w:val="0"/>
                <w:i w:val="0"/>
                <w:sz w:val="18"/>
              </w:rPr>
              <w:t>CNBC / S&amp;P DJ</w:t>
            </w:r>
          </w:p>
        </w:tc>
        <w:tc>
          <w:tcPr>
            <w:tcW w:type="dxa" w:w="864"/>
            <w:vAlign w:val="center"/>
          </w:tcPr>
          <w:p>
            <w:pPr>
              <w:jc w:val="center"/>
            </w:pPr>
            <w:r/>
            <w:r>
              <w:rPr>
                <w:rFonts w:ascii="Arial" w:hAnsi="Arial"/>
                <w:b w:val="0"/>
                <w:i w:val="0"/>
                <w:sz w:val="18"/>
              </w:rPr>
              <w:t>Yahoo Finance</w:t>
            </w:r>
          </w:p>
        </w:tc>
        <w:tc>
          <w:tcPr>
            <w:tcW w:type="dxa" w:w="792"/>
            <w:vAlign w:val="center"/>
          </w:tcPr>
          <w:p>
            <w:pPr>
              <w:jc w:val="center"/>
            </w:pPr>
            <w:r/>
            <w:r>
              <w:rPr>
                <w:rFonts w:ascii="Arial" w:hAnsi="Arial"/>
                <w:b w:val="0"/>
                <w:i w:val="0"/>
                <w:sz w:val="18"/>
              </w:rPr>
              <w:t>7,403.05</w:t>
            </w:r>
          </w:p>
        </w:tc>
        <w:tc>
          <w:tcPr>
            <w:tcW w:type="dxa" w:w="720"/>
            <w:vAlign w:val="center"/>
          </w:tcPr>
          <w:p>
            <w:pPr>
              <w:jc w:val="center"/>
            </w:pPr>
            <w:r/>
            <w:r>
              <w:rPr>
                <w:rFonts w:ascii="Arial" w:hAnsi="Arial"/>
                <w:b w:val="0"/>
                <w:i w:val="0"/>
                <w:sz w:val="18"/>
              </w:rPr>
              <w:t>CORROBORATED (delta 0.00)</w:t>
            </w:r>
          </w:p>
        </w:tc>
      </w:tr>
    </w:tbl>
    <w:p>
      <w:r>
        <w:rPr>
          <w:rFonts w:ascii="Arial" w:hAnsi="Arial"/>
          <w:b w:val="0"/>
          <w:i/>
          <w:color w:val="555555"/>
          <w:sz w:val="20"/>
        </w:rPr>
        <w:t>Notes: RSI2 is period-2 RSI computed from the validated close sequence (M3 convention; fixed). The collapse from 100.0 → 8.3 → 7.5 over Thu→Fri→Mon reflects the sharp reversal off the 14-May ATH. Rows for 12 and 13 May are SINGLE-SOURCE (indicative) — they cannot be used for pivot derivation. The weekly pivot computation in §11 uses the fully corroborated prior-week H (7,517.12 on 14 May) and prior-week C (7,408.50 on 15 May); the prior-week L (7,378.40) is indicative-only.</w:t>
      </w:r>
    </w:p>
    <w:p>
      <w:r>
        <w:rPr>
          <w:rFonts w:ascii="Arial" w:hAnsi="Arial"/>
          <w:b w:val="0"/>
          <w:i/>
          <w:color w:val="555555"/>
          <w:sz w:val="20"/>
        </w:rPr>
        <w:t>Secondary asset table: not produced — this is a single-primary instance with no secondary asset configured.</w:t>
      </w:r>
    </w:p>
    <w:p>
      <w:pPr>
        <w:pStyle w:val="Heading1"/>
      </w:pPr>
      <w:r>
        <w:rPr>
          <w:rFonts w:ascii="Arial" w:hAnsi="Arial"/>
          <w:color w:val="1F3A5F"/>
        </w:rPr>
        <w:t>§7  Charts</w:t>
      </w:r>
    </w:p>
    <w:p>
      <w:r>
        <w:rPr>
          <w:rFonts w:ascii="Arial" w:hAnsi="Arial"/>
          <w:b/>
          <w:i w:val="0"/>
          <w:sz w:val="22"/>
        </w:rPr>
        <w:t>Chart 1 — 5-Day Validated Candlestick</w:t>
      </w:r>
    </w:p>
    <w:p>
      <w:pPr>
        <w:jc w:val="center"/>
      </w:pPr>
      <w:r>
        <w:drawing>
          <wp:inline xmlns:a="http://schemas.openxmlformats.org/drawingml/2006/main" xmlns:pic="http://schemas.openxmlformats.org/drawingml/2006/picture">
            <wp:extent cx="5715000" cy="3146461"/>
            <wp:docPr id="1" name="Picture 1"/>
            <wp:cNvGraphicFramePr>
              <a:graphicFrameLocks noChangeAspect="1"/>
            </wp:cNvGraphicFramePr>
            <a:graphic>
              <a:graphicData uri="http://schemas.openxmlformats.org/drawingml/2006/picture">
                <pic:pic>
                  <pic:nvPicPr>
                    <pic:cNvPr id="0" name="chart1_candlestick.png"/>
                    <pic:cNvPicPr/>
                  </pic:nvPicPr>
                  <pic:blipFill>
                    <a:blip r:embed="rId10"/>
                    <a:stretch>
                      <a:fillRect/>
                    </a:stretch>
                  </pic:blipFill>
                  <pic:spPr>
                    <a:xfrm>
                      <a:off x="0" y="0"/>
                      <a:ext cx="5715000" cy="3146461"/>
                    </a:xfrm>
                    <a:prstGeom prst="rect"/>
                  </pic:spPr>
                </pic:pic>
              </a:graphicData>
            </a:graphic>
          </wp:inline>
        </w:drawing>
      </w:r>
    </w:p>
    <w:p>
      <w:r>
        <w:rPr>
          <w:rFonts w:ascii="Arial" w:hAnsi="Arial"/>
          <w:b/>
          <w:i w:val="0"/>
          <w:sz w:val="22"/>
        </w:rPr>
        <w:t>Chart 2 — 5-Day Distance From Open Anchor</w:t>
      </w:r>
    </w:p>
    <w:p>
      <w:pPr>
        <w:jc w:val="center"/>
      </w:pPr>
      <w:r>
        <w:drawing>
          <wp:inline xmlns:a="http://schemas.openxmlformats.org/drawingml/2006/main" xmlns:pic="http://schemas.openxmlformats.org/drawingml/2006/picture">
            <wp:extent cx="5715000" cy="3165430"/>
            <wp:docPr id="2" name="Picture 2"/>
            <wp:cNvGraphicFramePr>
              <a:graphicFrameLocks noChangeAspect="1"/>
            </wp:cNvGraphicFramePr>
            <a:graphic>
              <a:graphicData uri="http://schemas.openxmlformats.org/drawingml/2006/picture">
                <pic:pic>
                  <pic:nvPicPr>
                    <pic:cNvPr id="0" name="chart2_open_zero.png"/>
                    <pic:cNvPicPr/>
                  </pic:nvPicPr>
                  <pic:blipFill>
                    <a:blip r:embed="rId11"/>
                    <a:stretch>
                      <a:fillRect/>
                    </a:stretch>
                  </pic:blipFill>
                  <pic:spPr>
                    <a:xfrm>
                      <a:off x="0" y="0"/>
                      <a:ext cx="5715000" cy="3165430"/>
                    </a:xfrm>
                    <a:prstGeom prst="rect"/>
                  </pic:spPr>
                </pic:pic>
              </a:graphicData>
            </a:graphic>
          </wp:inline>
        </w:drawing>
      </w:r>
    </w:p>
    <w:p>
      <w:r>
        <w:rPr>
          <w:rFonts w:ascii="Arial" w:hAnsi="Arial"/>
          <w:b/>
          <w:i w:val="0"/>
          <w:sz w:val="22"/>
        </w:rPr>
        <w:t>Chart 3 — 25-Session Structure</w:t>
      </w:r>
    </w:p>
    <w:p>
      <w:pPr>
        <w:jc w:val="center"/>
      </w:pPr>
      <w:r>
        <w:drawing>
          <wp:inline xmlns:a="http://schemas.openxmlformats.org/drawingml/2006/main" xmlns:pic="http://schemas.openxmlformats.org/drawingml/2006/picture">
            <wp:extent cx="5715000" cy="3148820"/>
            <wp:docPr id="3" name="Picture 3"/>
            <wp:cNvGraphicFramePr>
              <a:graphicFrameLocks noChangeAspect="1"/>
            </wp:cNvGraphicFramePr>
            <a:graphic>
              <a:graphicData uri="http://schemas.openxmlformats.org/drawingml/2006/picture">
                <pic:pic>
                  <pic:nvPicPr>
                    <pic:cNvPr id="0" name="chart3_5week.png"/>
                    <pic:cNvPicPr/>
                  </pic:nvPicPr>
                  <pic:blipFill>
                    <a:blip r:embed="rId12"/>
                    <a:stretch>
                      <a:fillRect/>
                    </a:stretch>
                  </pic:blipFill>
                  <pic:spPr>
                    <a:xfrm>
                      <a:off x="0" y="0"/>
                      <a:ext cx="5715000" cy="3148820"/>
                    </a:xfrm>
                    <a:prstGeom prst="rect"/>
                  </pic:spPr>
                </pic:pic>
              </a:graphicData>
            </a:graphic>
          </wp:inline>
        </w:drawing>
      </w:r>
    </w:p>
    <w:p>
      <w:r>
        <w:rPr>
          <w:rFonts w:ascii="Arial" w:hAnsi="Arial"/>
          <w:b/>
          <w:i w:val="0"/>
          <w:sz w:val="22"/>
        </w:rPr>
        <w:t>Chart 4 — Comparative Volatility (S&amp;P 500 vs USDX, VIX, DAX 40)</w:t>
      </w:r>
    </w:p>
    <w:p>
      <w:pPr>
        <w:jc w:val="center"/>
      </w:pPr>
      <w:r>
        <w:drawing>
          <wp:inline xmlns:a="http://schemas.openxmlformats.org/drawingml/2006/main" xmlns:pic="http://schemas.openxmlformats.org/drawingml/2006/picture">
            <wp:extent cx="5715000" cy="3151182"/>
            <wp:docPr id="4" name="Picture 4"/>
            <wp:cNvGraphicFramePr>
              <a:graphicFrameLocks noChangeAspect="1"/>
            </wp:cNvGraphicFramePr>
            <a:graphic>
              <a:graphicData uri="http://schemas.openxmlformats.org/drawingml/2006/picture">
                <pic:pic>
                  <pic:nvPicPr>
                    <pic:cNvPr id="0" name="chart4_volator.png"/>
                    <pic:cNvPicPr/>
                  </pic:nvPicPr>
                  <pic:blipFill>
                    <a:blip r:embed="rId13"/>
                    <a:stretch>
                      <a:fillRect/>
                    </a:stretch>
                  </pic:blipFill>
                  <pic:spPr>
                    <a:xfrm>
                      <a:off x="0" y="0"/>
                      <a:ext cx="5715000" cy="3151182"/>
                    </a:xfrm>
                    <a:prstGeom prst="rect"/>
                  </pic:spPr>
                </pic:pic>
              </a:graphicData>
            </a:graphic>
          </wp:inline>
        </w:drawing>
      </w:r>
    </w:p>
    <w:p>
      <w:r>
        <w:rPr>
          <w:rFonts w:ascii="Arial" w:hAnsi="Arial"/>
          <w:b/>
          <w:i w:val="0"/>
          <w:sz w:val="22"/>
        </w:rPr>
        <w:t>Chart 5 — Weekly Floor Pivots with Weekly Candles</w:t>
      </w:r>
    </w:p>
    <w:p>
      <w:pPr>
        <w:jc w:val="center"/>
      </w:pPr>
      <w:r>
        <w:drawing>
          <wp:inline xmlns:a="http://schemas.openxmlformats.org/drawingml/2006/main" xmlns:pic="http://schemas.openxmlformats.org/drawingml/2006/picture">
            <wp:extent cx="5715000" cy="3467528"/>
            <wp:docPr id="5" name="Picture 5"/>
            <wp:cNvGraphicFramePr>
              <a:graphicFrameLocks noChangeAspect="1"/>
            </wp:cNvGraphicFramePr>
            <a:graphic>
              <a:graphicData uri="http://schemas.openxmlformats.org/drawingml/2006/picture">
                <pic:pic>
                  <pic:nvPicPr>
                    <pic:cNvPr id="0" name="chart5_pivot.png"/>
                    <pic:cNvPicPr/>
                  </pic:nvPicPr>
                  <pic:blipFill>
                    <a:blip r:embed="rId14"/>
                    <a:stretch>
                      <a:fillRect/>
                    </a:stretch>
                  </pic:blipFill>
                  <pic:spPr>
                    <a:xfrm>
                      <a:off x="0" y="0"/>
                      <a:ext cx="5715000" cy="3467528"/>
                    </a:xfrm>
                    <a:prstGeom prst="rect"/>
                  </pic:spPr>
                </pic:pic>
              </a:graphicData>
            </a:graphic>
          </wp:inline>
        </w:drawing>
      </w:r>
    </w:p>
    <w:p>
      <w:pPr>
        <w:pStyle w:val="Heading1"/>
      </w:pPr>
      <w:r>
        <w:rPr>
          <w:rFonts w:ascii="Arial" w:hAnsi="Arial"/>
          <w:color w:val="1F3A5F"/>
        </w:rPr>
        <w:t>§8  Short-Term Technical Analysis</w:t>
      </w:r>
    </w:p>
    <w:p>
      <w:r>
        <w:rPr>
          <w:rFonts w:ascii="Arial" w:hAnsi="Arial"/>
          <w:b/>
          <w:i w:val="0"/>
          <w:sz w:val="22"/>
        </w:rPr>
        <w:t>Candle-by-candle assessment of the 5-day execution block (see §6):</w:t>
      </w:r>
    </w:p>
    <w:p>
      <w:r>
        <w:rPr>
          <w:rFonts w:ascii="Arial" w:hAnsi="Arial"/>
          <w:b w:val="0"/>
          <w:i w:val="0"/>
          <w:sz w:val="22"/>
        </w:rPr>
        <w:t>12 May (Tue) — Bullish wide-range up-bar. The session opened near 7,472 and closed near the high at 7,488.62, extending the multi-week up-trend with healthy participation. Range was 36 points, slightly above the 25-session average true range. No upper-shadow rejection; momentum was unambiguously up.</w:t>
      </w:r>
    </w:p>
    <w:p>
      <w:r>
        <w:rPr>
          <w:rFonts w:ascii="Arial" w:hAnsi="Arial"/>
          <w:b w:val="0"/>
          <w:i w:val="0"/>
          <w:sz w:val="22"/>
        </w:rPr>
        <w:t>13 May (Wed) — Bullish continuation, narrower range. Open at the prior close, drifted to a 7,508.30 high, closed at 7,495.18. The narrower range (38 points) inside the prior day's structure is consistent with a measured trend day, not exhaustion — but it is the first sign of compression.</w:t>
      </w:r>
    </w:p>
    <w:p>
      <w:r>
        <w:rPr>
          <w:rFonts w:ascii="Arial" w:hAnsi="Arial"/>
          <w:b w:val="0"/>
          <w:i w:val="0"/>
          <w:sz w:val="22"/>
        </w:rPr>
        <w:t>14 May (Thu) — Bullish but reversal-warning candle. The session printed the intraday all-time high at 7,517.12 and closed at 7,501.24, leaving a roughly 16-point upper shadow. The shooting-star-like character of the close was the first concrete signal that supply was building above 7,500.</w:t>
      </w:r>
    </w:p>
    <w:p>
      <w:r>
        <w:rPr>
          <w:rFonts w:ascii="Arial" w:hAnsi="Arial"/>
          <w:b w:val="0"/>
          <w:i w:val="0"/>
          <w:sz w:val="22"/>
        </w:rPr>
        <w:t>15 May (Fri) — Bearish wide-range engulfing-style reversal. Session opened at ~7,497.50 and crashed to a 7,392.65 low before closing at 7,408.50, a 114-point intraday range and the largest down-day in the 25-session window. The trigger was a combination of renewed Iran/oil pressure and a 10-year yield spike toward 4.60%. RSI2 collapsed from 100 to 8.3 in one session — a textbook short-term exhaustion print.</w:t>
      </w:r>
    </w:p>
    <w:p>
      <w:r>
        <w:rPr>
          <w:rFonts w:ascii="Arial" w:hAnsi="Arial"/>
          <w:b w:val="0"/>
          <w:i w:val="0"/>
          <w:sz w:val="22"/>
        </w:rPr>
        <w:t>18 May (Mon) — Bearish but stabilising inside-day. Open at 7,415.07 (small gap up from Fri close), tested 7,434.06 to the upside before retreating to 7,371.75 (below Fri's low by 21 points). Closed at 7,403.05 — a small-bodied red candle inside Friday's range. Range was 62 points, half of Friday's bar. RSI2 still 7.5 — deeply oversold. The intraday hold of the prior session's low followed by the close back inside the range argues that sellers are losing intensity even as the price tape remains negative.</w:t>
      </w:r>
    </w:p>
    <w:p>
      <w:r>
        <w:rPr>
          <w:rFonts w:ascii="Arial" w:hAnsi="Arial"/>
          <w:b/>
          <w:i w:val="0"/>
          <w:sz w:val="22"/>
        </w:rPr>
        <w:t>Sequence assessment:</w:t>
      </w:r>
    </w:p>
    <w:p>
      <w:r>
        <w:rPr>
          <w:rFonts w:ascii="Arial" w:hAnsi="Arial"/>
          <w:b w:val="0"/>
          <w:i w:val="0"/>
          <w:sz w:val="22"/>
        </w:rPr>
        <w:t>The sequence is Up–Up–Up(reversal warning)–Down(extreme)–Down(stabilising). Two-bar down sequence after three-bar up sequence and one reversal-warning bar is a classic pullback-in-uptrend pattern. The fact that the second down-day is an inside-narrowing bar with a 7.5 RSI2 print is a mean-reversion setup. Nearest visible support is the Mon 18 May low at 7,371.75 — break below opens the 7,335–7,352 zone. Nearest visible resistance is the Mon 18 May high at 7,434.06, then the Fri 15 May open at 7,497–7,500. Reference: see §6 for the validated 5-day OHLC table.</w:t>
      </w:r>
    </w:p>
    <w:p>
      <w:pPr>
        <w:pStyle w:val="Heading1"/>
      </w:pPr>
      <w:r>
        <w:rPr>
          <w:rFonts w:ascii="Arial" w:hAnsi="Arial"/>
          <w:color w:val="1F3A5F"/>
        </w:rPr>
        <w:t>§9  Medium-Term Regime &amp; Volatility</w:t>
      </w:r>
    </w:p>
    <w:p>
      <w:r>
        <w:rPr>
          <w:rFonts w:ascii="Arial" w:hAnsi="Arial"/>
          <w:b w:val="0"/>
          <w:i w:val="0"/>
          <w:sz w:val="22"/>
        </w:rPr>
        <w:t>The 25-session structure (mid-April through 18 May) is unambiguously Trending Bullish, with closes rising from approximately 7,081 to 7,403 — a net advance of 4.5% across the regime block. The trend persistence index is high: 19 of 25 sessions closed higher than they opened, and only two closes broke a five-session moving average to the downside. Pullbacks were shallow (sub-2%) until the 15-May session, which is the first structurally meaningful drawdown in five weeks.</w:t>
      </w:r>
    </w:p>
    <w:p>
      <w:r>
        <w:rPr>
          <w:rFonts w:ascii="Arial" w:hAnsi="Arial"/>
          <w:b w:val="0"/>
          <w:i w:val="0"/>
          <w:sz w:val="22"/>
        </w:rPr>
        <w:t>Volatility profile: ATR(14) on the cash index sits at approximately 68 index points (≈0.92% of price) after the 15-May expansion — up from 52 points just a week earlier. Scaled against the rolling 25-session distribution, the current volatility z-score is approximately +0.65 (clipped at +1.0). The volatility slope is positive over the last 10 observations — confirming expansion, which is consistent with the late-stage trending regime rather than ranging exhaustion.</w:t>
      </w:r>
    </w:p>
    <w:p>
      <w:r>
        <w:rPr>
          <w:rFonts w:ascii="Arial" w:hAnsi="Arial"/>
          <w:b w:val="0"/>
          <w:i w:val="0"/>
          <w:sz w:val="22"/>
        </w:rPr>
        <w:t>Kaufman Efficiency Ratio: smoothed KER reads approximately +0.17, above the +0.13 trending threshold but below its rolling peak near +0.32 seen at the 14-May ATH. The series itself is rolling over slightly (declining slope on the smoothed KER), which argues for Trending Up — Moderate rather than Strong. This is consistent with the Step 4 synthesis: the medium-term regime is trending bullish, but momentum quality is softening at the margin.</w:t>
      </w:r>
    </w:p>
    <w:p>
      <w:r>
        <w:rPr>
          <w:rFonts w:ascii="Arial" w:hAnsi="Arial"/>
          <w:b w:val="0"/>
          <w:i w:val="0"/>
          <w:sz w:val="22"/>
        </w:rPr>
        <w:t>Trade protocol: when KER is in the moderate-trending band with expanding volatility, the operative bias is buy-the-pullback rather than chase-the-breakout, with pullbacks to the lower bound of the 5-session range (≈7,371) treated as primary entry zones and fresh-high breakouts (&gt;7,500) treated as continuation only with confirmation.</w:t>
      </w:r>
    </w:p>
    <w:p>
      <w:pPr>
        <w:pStyle w:val="Heading1"/>
      </w:pPr>
      <w:r>
        <w:rPr>
          <w:rFonts w:ascii="Arial" w:hAnsi="Arial"/>
          <w:color w:val="1F3A5F"/>
        </w:rPr>
        <w:t>§10  Cross-Asset Analysis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512"/>
            <w:shd w:val="clear" w:color="auto" w:fill="1F3A5F"/>
            <w:vAlign w:val="center"/>
          </w:tcPr>
          <w:p>
            <w:pPr>
              <w:jc w:val="center"/>
            </w:pPr>
            <w:r/>
            <w:r>
              <w:rPr>
                <w:rFonts w:ascii="Arial" w:hAnsi="Arial"/>
                <w:b/>
                <w:i w:val="0"/>
                <w:color w:val="FFFFFF"/>
                <w:sz w:val="20"/>
              </w:rPr>
              <w:t>Counter</w:t>
            </w:r>
          </w:p>
        </w:tc>
        <w:tc>
          <w:tcPr>
            <w:tcW w:type="dxa" w:w="1368"/>
            <w:shd w:val="clear" w:color="auto" w:fill="1F3A5F"/>
            <w:vAlign w:val="center"/>
          </w:tcPr>
          <w:p>
            <w:pPr>
              <w:jc w:val="center"/>
            </w:pPr>
            <w:r/>
            <w:r>
              <w:rPr>
                <w:rFonts w:ascii="Arial" w:hAnsi="Arial"/>
                <w:b/>
                <w:i w:val="0"/>
                <w:color w:val="FFFFFF"/>
                <w:sz w:val="20"/>
              </w:rPr>
              <w:t>5-day direction</w:t>
            </w:r>
          </w:p>
        </w:tc>
        <w:tc>
          <w:tcPr>
            <w:tcW w:type="dxa" w:w="1440"/>
            <w:shd w:val="clear" w:color="auto" w:fill="1F3A5F"/>
            <w:vAlign w:val="center"/>
          </w:tcPr>
          <w:p>
            <w:pPr>
              <w:jc w:val="center"/>
            </w:pPr>
            <w:r/>
            <w:r>
              <w:rPr>
                <w:rFonts w:ascii="Arial" w:hAnsi="Arial"/>
                <w:b/>
                <w:i w:val="0"/>
                <w:color w:val="FFFFFF"/>
                <w:sz w:val="20"/>
              </w:rPr>
              <w:t>Recent level</w:t>
            </w:r>
          </w:p>
        </w:tc>
        <w:tc>
          <w:tcPr>
            <w:tcW w:type="dxa" w:w="2808"/>
            <w:shd w:val="clear" w:color="auto" w:fill="1F3A5F"/>
            <w:vAlign w:val="center"/>
          </w:tcPr>
          <w:p>
            <w:pPr>
              <w:jc w:val="center"/>
            </w:pPr>
            <w:r/>
            <w:r>
              <w:rPr>
                <w:rFonts w:ascii="Arial" w:hAnsi="Arial"/>
                <w:b/>
                <w:i w:val="0"/>
                <w:color w:val="FFFFFF"/>
                <w:sz w:val="20"/>
              </w:rPr>
              <w:t>Mechanism vs S&amp;P 500</w:t>
            </w:r>
          </w:p>
        </w:tc>
        <w:tc>
          <w:tcPr>
            <w:tcW w:type="dxa" w:w="1872"/>
            <w:shd w:val="clear" w:color="auto" w:fill="1F3A5F"/>
            <w:vAlign w:val="center"/>
          </w:tcPr>
          <w:p>
            <w:pPr>
              <w:jc w:val="center"/>
            </w:pPr>
            <w:r/>
            <w:r>
              <w:rPr>
                <w:rFonts w:ascii="Arial" w:hAnsi="Arial"/>
                <w:b/>
                <w:i w:val="0"/>
                <w:color w:val="FFFFFF"/>
                <w:sz w:val="20"/>
              </w:rPr>
              <w:t>Confirmation</w:t>
            </w:r>
          </w:p>
        </w:tc>
      </w:tr>
      <w:tr>
        <w:tc>
          <w:tcPr>
            <w:tcW w:type="dxa" w:w="1512"/>
            <w:vAlign w:val="center"/>
          </w:tcPr>
          <w:p>
            <w:pPr>
              <w:jc w:val="center"/>
            </w:pPr>
            <w:r/>
            <w:r>
              <w:rPr>
                <w:rFonts w:ascii="Arial" w:hAnsi="Arial"/>
                <w:b w:val="0"/>
                <w:i w:val="0"/>
                <w:sz w:val="18"/>
              </w:rPr>
              <w:t>USDX (Dollar Index)</w:t>
            </w:r>
          </w:p>
        </w:tc>
        <w:tc>
          <w:tcPr>
            <w:tcW w:type="dxa" w:w="1368"/>
            <w:vAlign w:val="center"/>
          </w:tcPr>
          <w:p>
            <w:pPr>
              <w:jc w:val="center"/>
            </w:pPr>
            <w:r/>
            <w:r>
              <w:rPr>
                <w:rFonts w:ascii="Arial" w:hAnsi="Arial"/>
                <w:b w:val="0"/>
                <w:i w:val="0"/>
                <w:sz w:val="18"/>
              </w:rPr>
              <w:t>Rising</w:t>
            </w:r>
          </w:p>
        </w:tc>
        <w:tc>
          <w:tcPr>
            <w:tcW w:type="dxa" w:w="1440"/>
            <w:vAlign w:val="center"/>
          </w:tcPr>
          <w:p>
            <w:pPr>
              <w:jc w:val="center"/>
            </w:pPr>
            <w:r/>
            <w:r>
              <w:rPr>
                <w:rFonts w:ascii="Arial" w:hAnsi="Arial"/>
                <w:b w:val="0"/>
                <w:i w:val="0"/>
                <w:sz w:val="18"/>
              </w:rPr>
              <w:t>≈99.21 (week-end) / 99.35 intra-week high</w:t>
            </w:r>
          </w:p>
        </w:tc>
        <w:tc>
          <w:tcPr>
            <w:tcW w:type="dxa" w:w="2808"/>
            <w:vAlign w:val="center"/>
          </w:tcPr>
          <w:p>
            <w:pPr>
              <w:jc w:val="center"/>
            </w:pPr>
            <w:r/>
            <w:r>
              <w:rPr>
                <w:rFonts w:ascii="Arial" w:hAnsi="Arial"/>
                <w:b w:val="0"/>
                <w:i w:val="0"/>
                <w:sz w:val="18"/>
              </w:rPr>
              <w:t>Rising USD tightens global financial conditions, headwind to multinational EPS translation (~40% of S&amp;P 500 revenue ex-US). Up-move tied to higher-for-longer rate path.</w:t>
            </w:r>
          </w:p>
        </w:tc>
        <w:tc>
          <w:tcPr>
            <w:tcW w:type="dxa" w:w="1872"/>
            <w:vAlign w:val="center"/>
          </w:tcPr>
          <w:p>
            <w:pPr>
              <w:jc w:val="center"/>
            </w:pPr>
            <w:r/>
            <w:r>
              <w:rPr>
                <w:rFonts w:ascii="Arial" w:hAnsi="Arial"/>
                <w:b w:val="0"/>
                <w:i w:val="0"/>
                <w:sz w:val="18"/>
              </w:rPr>
              <w:t>CONTRADICTS the short-term bull case (headwind); CONFIRMS the medium-term trending regime via macro consistency</w:t>
            </w:r>
          </w:p>
        </w:tc>
      </w:tr>
      <w:tr>
        <w:tc>
          <w:tcPr>
            <w:tcW w:type="dxa" w:w="1512"/>
            <w:vAlign w:val="center"/>
          </w:tcPr>
          <w:p>
            <w:pPr>
              <w:jc w:val="center"/>
            </w:pPr>
            <w:r/>
            <w:r>
              <w:rPr>
                <w:rFonts w:ascii="Arial" w:hAnsi="Arial"/>
                <w:b w:val="0"/>
                <w:i w:val="0"/>
                <w:sz w:val="18"/>
              </w:rPr>
              <w:t>VIX</w:t>
            </w:r>
          </w:p>
        </w:tc>
        <w:tc>
          <w:tcPr>
            <w:tcW w:type="dxa" w:w="1368"/>
            <w:vAlign w:val="center"/>
          </w:tcPr>
          <w:p>
            <w:pPr>
              <w:jc w:val="center"/>
            </w:pPr>
            <w:r/>
            <w:r>
              <w:rPr>
                <w:rFonts w:ascii="Arial" w:hAnsi="Arial"/>
                <w:b w:val="0"/>
                <w:i w:val="0"/>
                <w:sz w:val="18"/>
              </w:rPr>
              <w:t>Rising into Fri, easing Mon</w:t>
            </w:r>
          </w:p>
        </w:tc>
        <w:tc>
          <w:tcPr>
            <w:tcW w:type="dxa" w:w="1440"/>
            <w:vAlign w:val="center"/>
          </w:tcPr>
          <w:p>
            <w:pPr>
              <w:jc w:val="center"/>
            </w:pPr>
            <w:r/>
            <w:r>
              <w:rPr>
                <w:rFonts w:ascii="Arial" w:hAnsi="Arial"/>
                <w:b w:val="0"/>
                <w:i w:val="0"/>
                <w:sz w:val="18"/>
              </w:rPr>
              <w:t>18.43 (15 May +6.78%) → 17.82 (18 May −3.31%)</w:t>
            </w:r>
          </w:p>
        </w:tc>
        <w:tc>
          <w:tcPr>
            <w:tcW w:type="dxa" w:w="2808"/>
            <w:vAlign w:val="center"/>
          </w:tcPr>
          <w:p>
            <w:pPr>
              <w:jc w:val="center"/>
            </w:pPr>
            <w:r/>
            <w:r>
              <w:rPr>
                <w:rFonts w:ascii="Arial" w:hAnsi="Arial"/>
                <w:b w:val="0"/>
                <w:i w:val="0"/>
                <w:sz w:val="18"/>
              </w:rPr>
              <w:t>VIX up on Fri = risk-off, classic equity-vol inverse. VIX easing on Mon while index still soft = vol-of-vol normalising, an early-stage stabilisation signal.</w:t>
            </w:r>
          </w:p>
        </w:tc>
        <w:tc>
          <w:tcPr>
            <w:tcW w:type="dxa" w:w="1872"/>
            <w:vAlign w:val="center"/>
          </w:tcPr>
          <w:p>
            <w:pPr>
              <w:jc w:val="center"/>
            </w:pPr>
            <w:r/>
            <w:r>
              <w:rPr>
                <w:rFonts w:ascii="Arial" w:hAnsi="Arial"/>
                <w:b w:val="0"/>
                <w:i w:val="0"/>
                <w:sz w:val="18"/>
              </w:rPr>
              <w:t>MIXED — Fri reading confirmed bear pressure; Mon reading suggests fading</w:t>
            </w:r>
          </w:p>
        </w:tc>
      </w:tr>
      <w:tr>
        <w:tc>
          <w:tcPr>
            <w:tcW w:type="dxa" w:w="1512"/>
            <w:vAlign w:val="center"/>
          </w:tcPr>
          <w:p>
            <w:pPr>
              <w:jc w:val="center"/>
            </w:pPr>
            <w:r/>
            <w:r>
              <w:rPr>
                <w:rFonts w:ascii="Arial" w:hAnsi="Arial"/>
                <w:b w:val="0"/>
                <w:i w:val="0"/>
                <w:sz w:val="18"/>
              </w:rPr>
              <w:t>DAX 40</w:t>
            </w:r>
          </w:p>
        </w:tc>
        <w:tc>
          <w:tcPr>
            <w:tcW w:type="dxa" w:w="1368"/>
            <w:vAlign w:val="center"/>
          </w:tcPr>
          <w:p>
            <w:pPr>
              <w:jc w:val="center"/>
            </w:pPr>
            <w:r/>
            <w:r>
              <w:rPr>
                <w:rFonts w:ascii="Arial" w:hAnsi="Arial"/>
                <w:b w:val="0"/>
                <w:i w:val="0"/>
                <w:sz w:val="18"/>
              </w:rPr>
              <w:t>Falling</w:t>
            </w:r>
          </w:p>
        </w:tc>
        <w:tc>
          <w:tcPr>
            <w:tcW w:type="dxa" w:w="1440"/>
            <w:vAlign w:val="center"/>
          </w:tcPr>
          <w:p>
            <w:pPr>
              <w:jc w:val="center"/>
            </w:pPr>
            <w:r/>
            <w:r>
              <w:rPr>
                <w:rFonts w:ascii="Arial" w:hAnsi="Arial"/>
                <w:b w:val="0"/>
                <w:i w:val="0"/>
                <w:sz w:val="18"/>
              </w:rPr>
              <w:t>23,950.57 (−2.07% on 15 May)</w:t>
            </w:r>
          </w:p>
        </w:tc>
        <w:tc>
          <w:tcPr>
            <w:tcW w:type="dxa" w:w="2808"/>
            <w:vAlign w:val="center"/>
          </w:tcPr>
          <w:p>
            <w:pPr>
              <w:jc w:val="center"/>
            </w:pPr>
            <w:r/>
            <w:r>
              <w:rPr>
                <w:rFonts w:ascii="Arial" w:hAnsi="Arial"/>
                <w:b w:val="0"/>
                <w:i w:val="0"/>
                <w:sz w:val="18"/>
              </w:rPr>
              <w:t>European equity confirmation. DAX selling alongside S&amp;P 500 confirms the macro (rates / oil) channel rather than US-idiosyncratic risk. Strong common-factor read.</w:t>
            </w:r>
          </w:p>
        </w:tc>
        <w:tc>
          <w:tcPr>
            <w:tcW w:type="dxa" w:w="1872"/>
            <w:vAlign w:val="center"/>
          </w:tcPr>
          <w:p>
            <w:pPr>
              <w:jc w:val="center"/>
            </w:pPr>
            <w:r/>
            <w:r>
              <w:rPr>
                <w:rFonts w:ascii="Arial" w:hAnsi="Arial"/>
                <w:b w:val="0"/>
                <w:i w:val="0"/>
                <w:sz w:val="18"/>
              </w:rPr>
              <w:t>CONFIRMS the short-term bear pulse via shared global-risk factor</w:t>
            </w:r>
          </w:p>
        </w:tc>
      </w:tr>
    </w:tbl>
    <w:p>
      <w:r>
        <w:rPr>
          <w:rFonts w:ascii="Arial" w:hAnsi="Arial"/>
          <w:b w:val="0"/>
          <w:i/>
          <w:color w:val="555555"/>
          <w:sz w:val="20"/>
        </w:rPr>
        <w:t>Aggregate cross-asset read: MIXED — leaning bearish for the 1-3 session horizon. USDX and DAX both confirm the short-term pullback narrative, but the VIX easing on Monday is an early counter-signal. The mechanism is dominated by the macro (energy + rates) channel rather than US-specific equity stress, which is constructive for medium-term mean-reversion once the energy-shock impulse fades. This contradicts a clean trending-up regime read and is logged as a mixed signal per the framework's cross-asset confirmation rule.</w:t>
      </w:r>
    </w:p>
    <w:p>
      <w:pPr>
        <w:pStyle w:val="Heading1"/>
      </w:pPr>
      <w:r>
        <w:rPr>
          <w:rFonts w:ascii="Arial" w:hAnsi="Arial"/>
          <w:color w:val="1F3A5F"/>
        </w:rPr>
        <w:t>§11  Floor Pivot Analysis</w:t>
      </w:r>
    </w:p>
    <w:p>
      <w:r>
        <w:rPr>
          <w:rFonts w:ascii="Arial" w:hAnsi="Arial"/>
          <w:b/>
          <w:i w:val="0"/>
          <w:sz w:val="22"/>
        </w:rPr>
        <w:t>Daily pivots (from 18 May 2026 H/L/C):</w:t>
      </w:r>
    </w:p>
    <w:tbl>
      <w:tblPr>
        <w:tblStyle w:val="LightGrid-Accent1"/>
        <w:tblW w:type="auto" w:w="0"/>
        <w:jc w:val="center"/>
        <w:tblLook w:firstColumn="1" w:firstRow="1" w:lastColumn="0" w:lastRow="0" w:noHBand="0" w:noVBand="1" w:val="04A0"/>
      </w:tblPr>
      <w:tblGrid>
        <w:gridCol w:w="3120"/>
        <w:gridCol w:w="3120"/>
        <w:gridCol w:w="3120"/>
      </w:tblGrid>
      <w:tr>
        <w:tc>
          <w:tcPr>
            <w:tcW w:type="dxa" w:w="1440"/>
            <w:shd w:val="clear" w:color="auto" w:fill="1F3A5F"/>
            <w:vAlign w:val="center"/>
          </w:tcPr>
          <w:p>
            <w:pPr>
              <w:jc w:val="center"/>
            </w:pPr>
            <w:r/>
            <w:r>
              <w:rPr>
                <w:rFonts w:ascii="Arial" w:hAnsi="Arial"/>
                <w:b/>
                <w:i w:val="0"/>
                <w:color w:val="FFFFFF"/>
                <w:sz w:val="20"/>
              </w:rPr>
              <w:t>Level</w:t>
            </w:r>
          </w:p>
        </w:tc>
        <w:tc>
          <w:tcPr>
            <w:tcW w:type="dxa" w:w="1728"/>
            <w:shd w:val="clear" w:color="auto" w:fill="1F3A5F"/>
            <w:vAlign w:val="center"/>
          </w:tcPr>
          <w:p>
            <w:pPr>
              <w:jc w:val="center"/>
            </w:pPr>
            <w:r/>
            <w:r>
              <w:rPr>
                <w:rFonts w:ascii="Arial" w:hAnsi="Arial"/>
                <w:b/>
                <w:i w:val="0"/>
                <w:color w:val="FFFFFF"/>
                <w:sz w:val="20"/>
              </w:rPr>
              <w:t>Value</w:t>
            </w:r>
          </w:p>
        </w:tc>
        <w:tc>
          <w:tcPr>
            <w:tcW w:type="dxa" w:w="2880"/>
            <w:shd w:val="clear" w:color="auto" w:fill="1F3A5F"/>
            <w:vAlign w:val="center"/>
          </w:tcPr>
          <w:p>
            <w:pPr>
              <w:jc w:val="center"/>
            </w:pPr>
            <w:r/>
            <w:r>
              <w:rPr>
                <w:rFonts w:ascii="Arial" w:hAnsi="Arial"/>
                <w:b/>
                <w:i w:val="0"/>
                <w:color w:val="FFFFFF"/>
                <w:sz w:val="20"/>
              </w:rPr>
              <w:t>Distance from 7,403.05</w:t>
            </w:r>
          </w:p>
        </w:tc>
      </w:tr>
      <w:tr>
        <w:tc>
          <w:tcPr>
            <w:tcW w:type="dxa" w:w="1440"/>
            <w:vAlign w:val="center"/>
          </w:tcPr>
          <w:p>
            <w:pPr>
              <w:jc w:val="center"/>
            </w:pPr>
            <w:r/>
            <w:r>
              <w:rPr>
                <w:rFonts w:ascii="Arial" w:hAnsi="Arial"/>
                <w:b w:val="0"/>
                <w:i w:val="0"/>
                <w:sz w:val="18"/>
              </w:rPr>
              <w:t>R3</w:t>
            </w:r>
          </w:p>
        </w:tc>
        <w:tc>
          <w:tcPr>
            <w:tcW w:type="dxa" w:w="1728"/>
            <w:vAlign w:val="center"/>
          </w:tcPr>
          <w:p>
            <w:pPr>
              <w:jc w:val="center"/>
            </w:pPr>
            <w:r/>
            <w:r>
              <w:rPr>
                <w:rFonts w:ascii="Arial" w:hAnsi="Arial"/>
                <w:b w:val="0"/>
                <w:i w:val="0"/>
                <w:sz w:val="18"/>
              </w:rPr>
              <w:t>7,496.47</w:t>
            </w:r>
          </w:p>
        </w:tc>
        <w:tc>
          <w:tcPr>
            <w:tcW w:type="dxa" w:w="2880"/>
            <w:vAlign w:val="center"/>
          </w:tcPr>
          <w:p>
            <w:pPr>
              <w:jc w:val="center"/>
            </w:pPr>
            <w:r/>
            <w:r>
              <w:rPr>
                <w:rFonts w:ascii="Arial" w:hAnsi="Arial"/>
                <w:b w:val="0"/>
                <w:i w:val="0"/>
                <w:sz w:val="18"/>
              </w:rPr>
              <w:t>+93.42  (+1.26%)</w:t>
            </w:r>
          </w:p>
        </w:tc>
      </w:tr>
      <w:tr>
        <w:tc>
          <w:tcPr>
            <w:tcW w:type="dxa" w:w="1440"/>
            <w:vAlign w:val="center"/>
          </w:tcPr>
          <w:p>
            <w:pPr>
              <w:jc w:val="center"/>
            </w:pPr>
            <w:r/>
            <w:r>
              <w:rPr>
                <w:rFonts w:ascii="Arial" w:hAnsi="Arial"/>
                <w:b w:val="0"/>
                <w:i w:val="0"/>
                <w:sz w:val="18"/>
              </w:rPr>
              <w:t>R2</w:t>
            </w:r>
          </w:p>
        </w:tc>
        <w:tc>
          <w:tcPr>
            <w:tcW w:type="dxa" w:w="1728"/>
            <w:vAlign w:val="center"/>
          </w:tcPr>
          <w:p>
            <w:pPr>
              <w:jc w:val="center"/>
            </w:pPr>
            <w:r/>
            <w:r>
              <w:rPr>
                <w:rFonts w:ascii="Arial" w:hAnsi="Arial"/>
                <w:b w:val="0"/>
                <w:i w:val="0"/>
                <w:sz w:val="18"/>
              </w:rPr>
              <w:t>7,465.26</w:t>
            </w:r>
          </w:p>
        </w:tc>
        <w:tc>
          <w:tcPr>
            <w:tcW w:type="dxa" w:w="2880"/>
            <w:vAlign w:val="center"/>
          </w:tcPr>
          <w:p>
            <w:pPr>
              <w:jc w:val="center"/>
            </w:pPr>
            <w:r/>
            <w:r>
              <w:rPr>
                <w:rFonts w:ascii="Arial" w:hAnsi="Arial"/>
                <w:b w:val="0"/>
                <w:i w:val="0"/>
                <w:sz w:val="18"/>
              </w:rPr>
              <w:t>+62.21  (+0.84%)</w:t>
            </w:r>
          </w:p>
        </w:tc>
      </w:tr>
      <w:tr>
        <w:tc>
          <w:tcPr>
            <w:tcW w:type="dxa" w:w="1440"/>
            <w:vAlign w:val="center"/>
          </w:tcPr>
          <w:p>
            <w:pPr>
              <w:jc w:val="center"/>
            </w:pPr>
            <w:r/>
            <w:r>
              <w:rPr>
                <w:rFonts w:ascii="Arial" w:hAnsi="Arial"/>
                <w:b w:val="0"/>
                <w:i w:val="0"/>
                <w:sz w:val="18"/>
              </w:rPr>
              <w:t>R1</w:t>
            </w:r>
          </w:p>
        </w:tc>
        <w:tc>
          <w:tcPr>
            <w:tcW w:type="dxa" w:w="1728"/>
            <w:vAlign w:val="center"/>
          </w:tcPr>
          <w:p>
            <w:pPr>
              <w:jc w:val="center"/>
            </w:pPr>
            <w:r/>
            <w:r>
              <w:rPr>
                <w:rFonts w:ascii="Arial" w:hAnsi="Arial"/>
                <w:b w:val="0"/>
                <w:i w:val="0"/>
                <w:sz w:val="18"/>
              </w:rPr>
              <w:t>7,434.16</w:t>
            </w:r>
          </w:p>
        </w:tc>
        <w:tc>
          <w:tcPr>
            <w:tcW w:type="dxa" w:w="2880"/>
            <w:vAlign w:val="center"/>
          </w:tcPr>
          <w:p>
            <w:pPr>
              <w:jc w:val="center"/>
            </w:pPr>
            <w:r/>
            <w:r>
              <w:rPr>
                <w:rFonts w:ascii="Arial" w:hAnsi="Arial"/>
                <w:b w:val="0"/>
                <w:i w:val="0"/>
                <w:sz w:val="18"/>
              </w:rPr>
              <w:t>+31.11  (+0.42%)</w:t>
            </w:r>
          </w:p>
        </w:tc>
      </w:tr>
      <w:tr>
        <w:tc>
          <w:tcPr>
            <w:tcW w:type="dxa" w:w="1440"/>
            <w:vAlign w:val="center"/>
          </w:tcPr>
          <w:p>
            <w:pPr>
              <w:jc w:val="center"/>
            </w:pPr>
            <w:r/>
            <w:r>
              <w:rPr>
                <w:rFonts w:ascii="Arial" w:hAnsi="Arial"/>
                <w:b w:val="0"/>
                <w:i w:val="0"/>
                <w:sz w:val="18"/>
              </w:rPr>
              <w:t>Pivot (P)</w:t>
            </w:r>
          </w:p>
        </w:tc>
        <w:tc>
          <w:tcPr>
            <w:tcW w:type="dxa" w:w="1728"/>
            <w:vAlign w:val="center"/>
          </w:tcPr>
          <w:p>
            <w:pPr>
              <w:jc w:val="center"/>
            </w:pPr>
            <w:r/>
            <w:r>
              <w:rPr>
                <w:rFonts w:ascii="Arial" w:hAnsi="Arial"/>
                <w:b w:val="0"/>
                <w:i w:val="0"/>
                <w:sz w:val="18"/>
              </w:rPr>
              <w:t>7,402.95</w:t>
            </w:r>
          </w:p>
        </w:tc>
        <w:tc>
          <w:tcPr>
            <w:tcW w:type="dxa" w:w="2880"/>
            <w:vAlign w:val="center"/>
          </w:tcPr>
          <w:p>
            <w:pPr>
              <w:jc w:val="center"/>
            </w:pPr>
            <w:r/>
            <w:r>
              <w:rPr>
                <w:rFonts w:ascii="Arial" w:hAnsi="Arial"/>
                <w:b w:val="0"/>
                <w:i w:val="0"/>
                <w:sz w:val="18"/>
              </w:rPr>
              <w:t>−0.10  (−0.00%)</w:t>
            </w:r>
          </w:p>
        </w:tc>
      </w:tr>
      <w:tr>
        <w:tc>
          <w:tcPr>
            <w:tcW w:type="dxa" w:w="1440"/>
            <w:vAlign w:val="center"/>
          </w:tcPr>
          <w:p>
            <w:pPr>
              <w:jc w:val="center"/>
            </w:pPr>
            <w:r/>
            <w:r>
              <w:rPr>
                <w:rFonts w:ascii="Arial" w:hAnsi="Arial"/>
                <w:b w:val="0"/>
                <w:i w:val="0"/>
                <w:sz w:val="18"/>
              </w:rPr>
              <w:t>S1</w:t>
            </w:r>
          </w:p>
        </w:tc>
        <w:tc>
          <w:tcPr>
            <w:tcW w:type="dxa" w:w="1728"/>
            <w:vAlign w:val="center"/>
          </w:tcPr>
          <w:p>
            <w:pPr>
              <w:jc w:val="center"/>
            </w:pPr>
            <w:r/>
            <w:r>
              <w:rPr>
                <w:rFonts w:ascii="Arial" w:hAnsi="Arial"/>
                <w:b w:val="0"/>
                <w:i w:val="0"/>
                <w:sz w:val="18"/>
              </w:rPr>
              <w:t>7,371.85</w:t>
            </w:r>
          </w:p>
        </w:tc>
        <w:tc>
          <w:tcPr>
            <w:tcW w:type="dxa" w:w="2880"/>
            <w:vAlign w:val="center"/>
          </w:tcPr>
          <w:p>
            <w:pPr>
              <w:jc w:val="center"/>
            </w:pPr>
            <w:r/>
            <w:r>
              <w:rPr>
                <w:rFonts w:ascii="Arial" w:hAnsi="Arial"/>
                <w:b w:val="0"/>
                <w:i w:val="0"/>
                <w:sz w:val="18"/>
              </w:rPr>
              <w:t>−31.20  (−0.42%)</w:t>
            </w:r>
          </w:p>
        </w:tc>
      </w:tr>
      <w:tr>
        <w:tc>
          <w:tcPr>
            <w:tcW w:type="dxa" w:w="1440"/>
            <w:vAlign w:val="center"/>
          </w:tcPr>
          <w:p>
            <w:pPr>
              <w:jc w:val="center"/>
            </w:pPr>
            <w:r/>
            <w:r>
              <w:rPr>
                <w:rFonts w:ascii="Arial" w:hAnsi="Arial"/>
                <w:b w:val="0"/>
                <w:i w:val="0"/>
                <w:sz w:val="18"/>
              </w:rPr>
              <w:t>S2</w:t>
            </w:r>
          </w:p>
        </w:tc>
        <w:tc>
          <w:tcPr>
            <w:tcW w:type="dxa" w:w="1728"/>
            <w:vAlign w:val="center"/>
          </w:tcPr>
          <w:p>
            <w:pPr>
              <w:jc w:val="center"/>
            </w:pPr>
            <w:r/>
            <w:r>
              <w:rPr>
                <w:rFonts w:ascii="Arial" w:hAnsi="Arial"/>
                <w:b w:val="0"/>
                <w:i w:val="0"/>
                <w:sz w:val="18"/>
              </w:rPr>
              <w:t>7,340.64</w:t>
            </w:r>
          </w:p>
        </w:tc>
        <w:tc>
          <w:tcPr>
            <w:tcW w:type="dxa" w:w="2880"/>
            <w:vAlign w:val="center"/>
          </w:tcPr>
          <w:p>
            <w:pPr>
              <w:jc w:val="center"/>
            </w:pPr>
            <w:r/>
            <w:r>
              <w:rPr>
                <w:rFonts w:ascii="Arial" w:hAnsi="Arial"/>
                <w:b w:val="0"/>
                <w:i w:val="0"/>
                <w:sz w:val="18"/>
              </w:rPr>
              <w:t>−62.41  (−0.84%)</w:t>
            </w:r>
          </w:p>
        </w:tc>
      </w:tr>
      <w:tr>
        <w:tc>
          <w:tcPr>
            <w:tcW w:type="dxa" w:w="1440"/>
            <w:vAlign w:val="center"/>
          </w:tcPr>
          <w:p>
            <w:pPr>
              <w:jc w:val="center"/>
            </w:pPr>
            <w:r/>
            <w:r>
              <w:rPr>
                <w:rFonts w:ascii="Arial" w:hAnsi="Arial"/>
                <w:b w:val="0"/>
                <w:i w:val="0"/>
                <w:sz w:val="18"/>
              </w:rPr>
              <w:t>S3</w:t>
            </w:r>
          </w:p>
        </w:tc>
        <w:tc>
          <w:tcPr>
            <w:tcW w:type="dxa" w:w="1728"/>
            <w:vAlign w:val="center"/>
          </w:tcPr>
          <w:p>
            <w:pPr>
              <w:jc w:val="center"/>
            </w:pPr>
            <w:r/>
            <w:r>
              <w:rPr>
                <w:rFonts w:ascii="Arial" w:hAnsi="Arial"/>
                <w:b w:val="0"/>
                <w:i w:val="0"/>
                <w:sz w:val="18"/>
              </w:rPr>
              <w:t>7,309.54</w:t>
            </w:r>
          </w:p>
        </w:tc>
        <w:tc>
          <w:tcPr>
            <w:tcW w:type="dxa" w:w="2880"/>
            <w:vAlign w:val="center"/>
          </w:tcPr>
          <w:p>
            <w:pPr>
              <w:jc w:val="center"/>
            </w:pPr>
            <w:r/>
            <w:r>
              <w:rPr>
                <w:rFonts w:ascii="Arial" w:hAnsi="Arial"/>
                <w:b w:val="0"/>
                <w:i w:val="0"/>
                <w:sz w:val="18"/>
              </w:rPr>
              <w:t>−93.51  (−1.26%)</w:t>
            </w:r>
          </w:p>
        </w:tc>
      </w:tr>
    </w:tbl>
    <w:p>
      <w:r>
        <w:rPr>
          <w:rFonts w:ascii="Arial" w:hAnsi="Arial"/>
          <w:b w:val="0"/>
          <w:i/>
          <w:color w:val="555555"/>
          <w:sz w:val="20"/>
        </w:rPr>
        <w:t>Status: CORROBORATED. The current cash close (7,403.05) sits virtually on the daily pivot. R1 (7,434.16) coincides with the Mon 18-May intraday high — a clean first-line resistance. S1 (7,371.85) sits 10 points above the Mon low — a clean first-line support.</w:t>
      </w:r>
    </w:p>
    <w:p>
      <w:r>
        <w:rPr>
          <w:rFonts w:ascii="Arial" w:hAnsi="Arial"/>
          <w:b/>
          <w:i w:val="0"/>
          <w:sz w:val="22"/>
        </w:rPr>
        <w:t>Weekly pivots (from week of 11–15 May 2026 H/L/C):</w:t>
      </w:r>
    </w:p>
    <w:tbl>
      <w:tblPr>
        <w:tblStyle w:val="LightGrid-Accent1"/>
        <w:tblW w:type="auto" w:w="0"/>
        <w:jc w:val="center"/>
        <w:tblLook w:firstColumn="1" w:firstRow="1" w:lastColumn="0" w:lastRow="0" w:noHBand="0" w:noVBand="1" w:val="04A0"/>
      </w:tblPr>
      <w:tblGrid>
        <w:gridCol w:w="3120"/>
        <w:gridCol w:w="3120"/>
        <w:gridCol w:w="3120"/>
      </w:tblGrid>
      <w:tr>
        <w:tc>
          <w:tcPr>
            <w:tcW w:type="dxa" w:w="1440"/>
            <w:shd w:val="clear" w:color="auto" w:fill="1F3A5F"/>
            <w:vAlign w:val="center"/>
          </w:tcPr>
          <w:p>
            <w:pPr>
              <w:jc w:val="center"/>
            </w:pPr>
            <w:r/>
            <w:r>
              <w:rPr>
                <w:rFonts w:ascii="Arial" w:hAnsi="Arial"/>
                <w:b/>
                <w:i w:val="0"/>
                <w:color w:val="FFFFFF"/>
                <w:sz w:val="20"/>
              </w:rPr>
              <w:t>Level</w:t>
            </w:r>
          </w:p>
        </w:tc>
        <w:tc>
          <w:tcPr>
            <w:tcW w:type="dxa" w:w="1728"/>
            <w:shd w:val="clear" w:color="auto" w:fill="1F3A5F"/>
            <w:vAlign w:val="center"/>
          </w:tcPr>
          <w:p>
            <w:pPr>
              <w:jc w:val="center"/>
            </w:pPr>
            <w:r/>
            <w:r>
              <w:rPr>
                <w:rFonts w:ascii="Arial" w:hAnsi="Arial"/>
                <w:b/>
                <w:i w:val="0"/>
                <w:color w:val="FFFFFF"/>
                <w:sz w:val="20"/>
              </w:rPr>
              <w:t>Value</w:t>
            </w:r>
          </w:p>
        </w:tc>
        <w:tc>
          <w:tcPr>
            <w:tcW w:type="dxa" w:w="2880"/>
            <w:shd w:val="clear" w:color="auto" w:fill="1F3A5F"/>
            <w:vAlign w:val="center"/>
          </w:tcPr>
          <w:p>
            <w:pPr>
              <w:jc w:val="center"/>
            </w:pPr>
            <w:r/>
            <w:r>
              <w:rPr>
                <w:rFonts w:ascii="Arial" w:hAnsi="Arial"/>
                <w:b/>
                <w:i w:val="0"/>
                <w:color w:val="FFFFFF"/>
                <w:sz w:val="20"/>
              </w:rPr>
              <w:t>Distance from 7,403.05</w:t>
            </w:r>
          </w:p>
        </w:tc>
      </w:tr>
      <w:tr>
        <w:tc>
          <w:tcPr>
            <w:tcW w:type="dxa" w:w="1440"/>
            <w:vAlign w:val="center"/>
          </w:tcPr>
          <w:p>
            <w:pPr>
              <w:jc w:val="center"/>
            </w:pPr>
            <w:r/>
            <w:r>
              <w:rPr>
                <w:rFonts w:ascii="Arial" w:hAnsi="Arial"/>
                <w:b w:val="0"/>
                <w:i w:val="0"/>
                <w:sz w:val="18"/>
              </w:rPr>
              <w:t>R3</w:t>
            </w:r>
          </w:p>
        </w:tc>
        <w:tc>
          <w:tcPr>
            <w:tcW w:type="dxa" w:w="1728"/>
            <w:vAlign w:val="center"/>
          </w:tcPr>
          <w:p>
            <w:pPr>
              <w:jc w:val="center"/>
            </w:pPr>
            <w:r/>
            <w:r>
              <w:rPr>
                <w:rFonts w:ascii="Arial" w:hAnsi="Arial"/>
                <w:b w:val="0"/>
                <w:i w:val="0"/>
                <w:sz w:val="18"/>
              </w:rPr>
              <w:t>7,629.67</w:t>
            </w:r>
          </w:p>
        </w:tc>
        <w:tc>
          <w:tcPr>
            <w:tcW w:type="dxa" w:w="2880"/>
            <w:vAlign w:val="center"/>
          </w:tcPr>
          <w:p>
            <w:pPr>
              <w:jc w:val="center"/>
            </w:pPr>
            <w:r/>
            <w:r>
              <w:rPr>
                <w:rFonts w:ascii="Arial" w:hAnsi="Arial"/>
                <w:b w:val="0"/>
                <w:i w:val="0"/>
                <w:sz w:val="18"/>
              </w:rPr>
              <w:t>+226.62  (+3.06%)</w:t>
            </w:r>
          </w:p>
        </w:tc>
      </w:tr>
      <w:tr>
        <w:tc>
          <w:tcPr>
            <w:tcW w:type="dxa" w:w="1440"/>
            <w:vAlign w:val="center"/>
          </w:tcPr>
          <w:p>
            <w:pPr>
              <w:jc w:val="center"/>
            </w:pPr>
            <w:r/>
            <w:r>
              <w:rPr>
                <w:rFonts w:ascii="Arial" w:hAnsi="Arial"/>
                <w:b w:val="0"/>
                <w:i w:val="0"/>
                <w:sz w:val="18"/>
              </w:rPr>
              <w:t>R2</w:t>
            </w:r>
          </w:p>
        </w:tc>
        <w:tc>
          <w:tcPr>
            <w:tcW w:type="dxa" w:w="1728"/>
            <w:vAlign w:val="center"/>
          </w:tcPr>
          <w:p>
            <w:pPr>
              <w:jc w:val="center"/>
            </w:pPr>
            <w:r/>
            <w:r>
              <w:rPr>
                <w:rFonts w:ascii="Arial" w:hAnsi="Arial"/>
                <w:b w:val="0"/>
                <w:i w:val="0"/>
                <w:sz w:val="18"/>
              </w:rPr>
              <w:t>7,573.39</w:t>
            </w:r>
          </w:p>
        </w:tc>
        <w:tc>
          <w:tcPr>
            <w:tcW w:type="dxa" w:w="2880"/>
            <w:vAlign w:val="center"/>
          </w:tcPr>
          <w:p>
            <w:pPr>
              <w:jc w:val="center"/>
            </w:pPr>
            <w:r/>
            <w:r>
              <w:rPr>
                <w:rFonts w:ascii="Arial" w:hAnsi="Arial"/>
                <w:b w:val="0"/>
                <w:i w:val="0"/>
                <w:sz w:val="18"/>
              </w:rPr>
              <w:t>+170.34  (+2.30%)</w:t>
            </w:r>
          </w:p>
        </w:tc>
      </w:tr>
      <w:tr>
        <w:tc>
          <w:tcPr>
            <w:tcW w:type="dxa" w:w="1440"/>
            <w:vAlign w:val="center"/>
          </w:tcPr>
          <w:p>
            <w:pPr>
              <w:jc w:val="center"/>
            </w:pPr>
            <w:r/>
            <w:r>
              <w:rPr>
                <w:rFonts w:ascii="Arial" w:hAnsi="Arial"/>
                <w:b w:val="0"/>
                <w:i w:val="0"/>
                <w:sz w:val="18"/>
              </w:rPr>
              <w:t>R1</w:t>
            </w:r>
          </w:p>
        </w:tc>
        <w:tc>
          <w:tcPr>
            <w:tcW w:type="dxa" w:w="1728"/>
            <w:vAlign w:val="center"/>
          </w:tcPr>
          <w:p>
            <w:pPr>
              <w:jc w:val="center"/>
            </w:pPr>
            <w:r/>
            <w:r>
              <w:rPr>
                <w:rFonts w:ascii="Arial" w:hAnsi="Arial"/>
                <w:b w:val="0"/>
                <w:i w:val="0"/>
                <w:sz w:val="18"/>
              </w:rPr>
              <w:t>7,490.95</w:t>
            </w:r>
          </w:p>
        </w:tc>
        <w:tc>
          <w:tcPr>
            <w:tcW w:type="dxa" w:w="2880"/>
            <w:vAlign w:val="center"/>
          </w:tcPr>
          <w:p>
            <w:pPr>
              <w:jc w:val="center"/>
            </w:pPr>
            <w:r/>
            <w:r>
              <w:rPr>
                <w:rFonts w:ascii="Arial" w:hAnsi="Arial"/>
                <w:b w:val="0"/>
                <w:i w:val="0"/>
                <w:sz w:val="18"/>
              </w:rPr>
              <w:t>+87.90  (+1.19%)</w:t>
            </w:r>
          </w:p>
        </w:tc>
      </w:tr>
      <w:tr>
        <w:tc>
          <w:tcPr>
            <w:tcW w:type="dxa" w:w="1440"/>
            <w:vAlign w:val="center"/>
          </w:tcPr>
          <w:p>
            <w:pPr>
              <w:jc w:val="center"/>
            </w:pPr>
            <w:r/>
            <w:r>
              <w:rPr>
                <w:rFonts w:ascii="Arial" w:hAnsi="Arial"/>
                <w:b w:val="0"/>
                <w:i w:val="0"/>
                <w:sz w:val="18"/>
              </w:rPr>
              <w:t>Pivot (P)</w:t>
            </w:r>
          </w:p>
        </w:tc>
        <w:tc>
          <w:tcPr>
            <w:tcW w:type="dxa" w:w="1728"/>
            <w:vAlign w:val="center"/>
          </w:tcPr>
          <w:p>
            <w:pPr>
              <w:jc w:val="center"/>
            </w:pPr>
            <w:r/>
            <w:r>
              <w:rPr>
                <w:rFonts w:ascii="Arial" w:hAnsi="Arial"/>
                <w:b w:val="0"/>
                <w:i w:val="0"/>
                <w:sz w:val="18"/>
              </w:rPr>
              <w:t>7,434.67</w:t>
            </w:r>
          </w:p>
        </w:tc>
        <w:tc>
          <w:tcPr>
            <w:tcW w:type="dxa" w:w="2880"/>
            <w:vAlign w:val="center"/>
          </w:tcPr>
          <w:p>
            <w:pPr>
              <w:jc w:val="center"/>
            </w:pPr>
            <w:r/>
            <w:r>
              <w:rPr>
                <w:rFonts w:ascii="Arial" w:hAnsi="Arial"/>
                <w:b w:val="0"/>
                <w:i w:val="0"/>
                <w:sz w:val="18"/>
              </w:rPr>
              <w:t>+31.62  (+0.43%)</w:t>
            </w:r>
          </w:p>
        </w:tc>
      </w:tr>
      <w:tr>
        <w:tc>
          <w:tcPr>
            <w:tcW w:type="dxa" w:w="1440"/>
            <w:vAlign w:val="center"/>
          </w:tcPr>
          <w:p>
            <w:pPr>
              <w:jc w:val="center"/>
            </w:pPr>
            <w:r/>
            <w:r>
              <w:rPr>
                <w:rFonts w:ascii="Arial" w:hAnsi="Arial"/>
                <w:b w:val="0"/>
                <w:i w:val="0"/>
                <w:sz w:val="18"/>
              </w:rPr>
              <w:t>S1</w:t>
            </w:r>
          </w:p>
        </w:tc>
        <w:tc>
          <w:tcPr>
            <w:tcW w:type="dxa" w:w="1728"/>
            <w:vAlign w:val="center"/>
          </w:tcPr>
          <w:p>
            <w:pPr>
              <w:jc w:val="center"/>
            </w:pPr>
            <w:r/>
            <w:r>
              <w:rPr>
                <w:rFonts w:ascii="Arial" w:hAnsi="Arial"/>
                <w:b w:val="0"/>
                <w:i w:val="0"/>
                <w:sz w:val="18"/>
              </w:rPr>
              <w:t>7,352.23</w:t>
            </w:r>
          </w:p>
        </w:tc>
        <w:tc>
          <w:tcPr>
            <w:tcW w:type="dxa" w:w="2880"/>
            <w:vAlign w:val="center"/>
          </w:tcPr>
          <w:p>
            <w:pPr>
              <w:jc w:val="center"/>
            </w:pPr>
            <w:r/>
            <w:r>
              <w:rPr>
                <w:rFonts w:ascii="Arial" w:hAnsi="Arial"/>
                <w:b w:val="0"/>
                <w:i w:val="0"/>
                <w:sz w:val="18"/>
              </w:rPr>
              <w:t>−50.82  (−0.69%)</w:t>
            </w:r>
          </w:p>
        </w:tc>
      </w:tr>
      <w:tr>
        <w:tc>
          <w:tcPr>
            <w:tcW w:type="dxa" w:w="1440"/>
            <w:vAlign w:val="center"/>
          </w:tcPr>
          <w:p>
            <w:pPr>
              <w:jc w:val="center"/>
            </w:pPr>
            <w:r/>
            <w:r>
              <w:rPr>
                <w:rFonts w:ascii="Arial" w:hAnsi="Arial"/>
                <w:b w:val="0"/>
                <w:i w:val="0"/>
                <w:sz w:val="18"/>
              </w:rPr>
              <w:t>S2</w:t>
            </w:r>
          </w:p>
        </w:tc>
        <w:tc>
          <w:tcPr>
            <w:tcW w:type="dxa" w:w="1728"/>
            <w:vAlign w:val="center"/>
          </w:tcPr>
          <w:p>
            <w:pPr>
              <w:jc w:val="center"/>
            </w:pPr>
            <w:r/>
            <w:r>
              <w:rPr>
                <w:rFonts w:ascii="Arial" w:hAnsi="Arial"/>
                <w:b w:val="0"/>
                <w:i w:val="0"/>
                <w:sz w:val="18"/>
              </w:rPr>
              <w:t>7,295.95</w:t>
            </w:r>
          </w:p>
        </w:tc>
        <w:tc>
          <w:tcPr>
            <w:tcW w:type="dxa" w:w="2880"/>
            <w:vAlign w:val="center"/>
          </w:tcPr>
          <w:p>
            <w:pPr>
              <w:jc w:val="center"/>
            </w:pPr>
            <w:r/>
            <w:r>
              <w:rPr>
                <w:rFonts w:ascii="Arial" w:hAnsi="Arial"/>
                <w:b w:val="0"/>
                <w:i w:val="0"/>
                <w:sz w:val="18"/>
              </w:rPr>
              <w:t>−107.10  (−1.45%)</w:t>
            </w:r>
          </w:p>
        </w:tc>
      </w:tr>
      <w:tr>
        <w:tc>
          <w:tcPr>
            <w:tcW w:type="dxa" w:w="1440"/>
            <w:vAlign w:val="center"/>
          </w:tcPr>
          <w:p>
            <w:pPr>
              <w:jc w:val="center"/>
            </w:pPr>
            <w:r/>
            <w:r>
              <w:rPr>
                <w:rFonts w:ascii="Arial" w:hAnsi="Arial"/>
                <w:b w:val="0"/>
                <w:i w:val="0"/>
                <w:sz w:val="18"/>
              </w:rPr>
              <w:t>S3</w:t>
            </w:r>
          </w:p>
        </w:tc>
        <w:tc>
          <w:tcPr>
            <w:tcW w:type="dxa" w:w="1728"/>
            <w:vAlign w:val="center"/>
          </w:tcPr>
          <w:p>
            <w:pPr>
              <w:jc w:val="center"/>
            </w:pPr>
            <w:r/>
            <w:r>
              <w:rPr>
                <w:rFonts w:ascii="Arial" w:hAnsi="Arial"/>
                <w:b w:val="0"/>
                <w:i w:val="0"/>
                <w:sz w:val="18"/>
              </w:rPr>
              <w:t>7,213.51</w:t>
            </w:r>
          </w:p>
        </w:tc>
        <w:tc>
          <w:tcPr>
            <w:tcW w:type="dxa" w:w="2880"/>
            <w:vAlign w:val="center"/>
          </w:tcPr>
          <w:p>
            <w:pPr>
              <w:jc w:val="center"/>
            </w:pPr>
            <w:r/>
            <w:r>
              <w:rPr>
                <w:rFonts w:ascii="Arial" w:hAnsi="Arial"/>
                <w:b w:val="0"/>
                <w:i w:val="0"/>
                <w:sz w:val="18"/>
              </w:rPr>
              <w:t>−189.54  (−2.56%)</w:t>
            </w:r>
          </w:p>
        </w:tc>
      </w:tr>
    </w:tbl>
    <w:p>
      <w:r>
        <w:rPr>
          <w:rFonts w:ascii="Arial" w:hAnsi="Arial"/>
          <w:b w:val="0"/>
          <w:i/>
          <w:color w:val="555555"/>
          <w:sz w:val="20"/>
        </w:rPr>
        <w:t>Status: SINGLE-SOURCE-INDICATIVE (prior-week low 7,378.40 is aggregator-only, per §6 caveat). Weekly pivot R1 (7,490.95) sits just below the all-time-high cluster — a high-confluence resistance band. Weekly S1 (7,352.23) is the first meaningful support if 18-May low fails.</w:t>
      </w:r>
    </w:p>
    <w:p>
      <w:r>
        <w:rPr>
          <w:rFonts w:ascii="Arial" w:hAnsi="Arial"/>
          <w:b/>
          <w:i w:val="0"/>
          <w:sz w:val="22"/>
        </w:rPr>
        <w:t>Monthly pivots (from April 2026 H/L/C):</w:t>
      </w:r>
    </w:p>
    <w:tbl>
      <w:tblPr>
        <w:tblStyle w:val="LightGrid-Accent1"/>
        <w:tblW w:type="auto" w:w="0"/>
        <w:jc w:val="center"/>
        <w:tblLook w:firstColumn="1" w:firstRow="1" w:lastColumn="0" w:lastRow="0" w:noHBand="0" w:noVBand="1" w:val="04A0"/>
      </w:tblPr>
      <w:tblGrid>
        <w:gridCol w:w="3120"/>
        <w:gridCol w:w="3120"/>
        <w:gridCol w:w="3120"/>
      </w:tblGrid>
      <w:tr>
        <w:tc>
          <w:tcPr>
            <w:tcW w:type="dxa" w:w="1440"/>
            <w:shd w:val="clear" w:color="auto" w:fill="1F3A5F"/>
            <w:vAlign w:val="center"/>
          </w:tcPr>
          <w:p>
            <w:pPr>
              <w:jc w:val="center"/>
            </w:pPr>
            <w:r/>
            <w:r>
              <w:rPr>
                <w:rFonts w:ascii="Arial" w:hAnsi="Arial"/>
                <w:b/>
                <w:i w:val="0"/>
                <w:color w:val="FFFFFF"/>
                <w:sz w:val="20"/>
              </w:rPr>
              <w:t>Level</w:t>
            </w:r>
          </w:p>
        </w:tc>
        <w:tc>
          <w:tcPr>
            <w:tcW w:type="dxa" w:w="1728"/>
            <w:shd w:val="clear" w:color="auto" w:fill="1F3A5F"/>
            <w:vAlign w:val="center"/>
          </w:tcPr>
          <w:p>
            <w:pPr>
              <w:jc w:val="center"/>
            </w:pPr>
            <w:r/>
            <w:r>
              <w:rPr>
                <w:rFonts w:ascii="Arial" w:hAnsi="Arial"/>
                <w:b/>
                <w:i w:val="0"/>
                <w:color w:val="FFFFFF"/>
                <w:sz w:val="20"/>
              </w:rPr>
              <w:t>Value</w:t>
            </w:r>
          </w:p>
        </w:tc>
        <w:tc>
          <w:tcPr>
            <w:tcW w:type="dxa" w:w="2880"/>
            <w:shd w:val="clear" w:color="auto" w:fill="1F3A5F"/>
            <w:vAlign w:val="center"/>
          </w:tcPr>
          <w:p>
            <w:pPr>
              <w:jc w:val="center"/>
            </w:pPr>
            <w:r/>
            <w:r>
              <w:rPr>
                <w:rFonts w:ascii="Arial" w:hAnsi="Arial"/>
                <w:b/>
                <w:i w:val="0"/>
                <w:color w:val="FFFFFF"/>
                <w:sz w:val="20"/>
              </w:rPr>
              <w:t>Distance from 7,403.05</w:t>
            </w:r>
          </w:p>
        </w:tc>
      </w:tr>
      <w:tr>
        <w:tc>
          <w:tcPr>
            <w:tcW w:type="dxa" w:w="1440"/>
            <w:vAlign w:val="center"/>
          </w:tcPr>
          <w:p>
            <w:pPr>
              <w:jc w:val="center"/>
            </w:pPr>
            <w:r/>
            <w:r>
              <w:rPr>
                <w:rFonts w:ascii="Arial" w:hAnsi="Arial"/>
                <w:b w:val="0"/>
                <w:i w:val="0"/>
                <w:sz w:val="18"/>
              </w:rPr>
              <w:t>R3</w:t>
            </w:r>
          </w:p>
        </w:tc>
        <w:tc>
          <w:tcPr>
            <w:tcW w:type="dxa" w:w="1728"/>
            <w:vAlign w:val="center"/>
          </w:tcPr>
          <w:p>
            <w:pPr>
              <w:jc w:val="center"/>
            </w:pPr>
            <w:r/>
            <w:r>
              <w:rPr>
                <w:rFonts w:ascii="Arial" w:hAnsi="Arial"/>
                <w:b w:val="0"/>
                <w:i w:val="0"/>
                <w:sz w:val="18"/>
              </w:rPr>
              <w:t>7,627.40</w:t>
            </w:r>
          </w:p>
        </w:tc>
        <w:tc>
          <w:tcPr>
            <w:tcW w:type="dxa" w:w="2880"/>
            <w:vAlign w:val="center"/>
          </w:tcPr>
          <w:p>
            <w:pPr>
              <w:jc w:val="center"/>
            </w:pPr>
            <w:r/>
            <w:r>
              <w:rPr>
                <w:rFonts w:ascii="Arial" w:hAnsi="Arial"/>
                <w:b w:val="0"/>
                <w:i w:val="0"/>
                <w:sz w:val="18"/>
              </w:rPr>
              <w:t>+224.35  (+3.03%)</w:t>
            </w:r>
          </w:p>
        </w:tc>
      </w:tr>
      <w:tr>
        <w:tc>
          <w:tcPr>
            <w:tcW w:type="dxa" w:w="1440"/>
            <w:vAlign w:val="center"/>
          </w:tcPr>
          <w:p>
            <w:pPr>
              <w:jc w:val="center"/>
            </w:pPr>
            <w:r/>
            <w:r>
              <w:rPr>
                <w:rFonts w:ascii="Arial" w:hAnsi="Arial"/>
                <w:b w:val="0"/>
                <w:i w:val="0"/>
                <w:sz w:val="18"/>
              </w:rPr>
              <w:t>R2</w:t>
            </w:r>
          </w:p>
        </w:tc>
        <w:tc>
          <w:tcPr>
            <w:tcW w:type="dxa" w:w="1728"/>
            <w:vAlign w:val="center"/>
          </w:tcPr>
          <w:p>
            <w:pPr>
              <w:jc w:val="center"/>
            </w:pPr>
            <w:r/>
            <w:r>
              <w:rPr>
                <w:rFonts w:ascii="Arial" w:hAnsi="Arial"/>
                <w:b w:val="0"/>
                <w:i w:val="0"/>
                <w:sz w:val="18"/>
              </w:rPr>
              <w:t>7,430.80</w:t>
            </w:r>
          </w:p>
        </w:tc>
        <w:tc>
          <w:tcPr>
            <w:tcW w:type="dxa" w:w="2880"/>
            <w:vAlign w:val="center"/>
          </w:tcPr>
          <w:p>
            <w:pPr>
              <w:jc w:val="center"/>
            </w:pPr>
            <w:r/>
            <w:r>
              <w:rPr>
                <w:rFonts w:ascii="Arial" w:hAnsi="Arial"/>
                <w:b w:val="0"/>
                <w:i w:val="0"/>
                <w:sz w:val="18"/>
              </w:rPr>
              <w:t>+27.75  (+0.37%)</w:t>
            </w:r>
          </w:p>
        </w:tc>
      </w:tr>
      <w:tr>
        <w:tc>
          <w:tcPr>
            <w:tcW w:type="dxa" w:w="1440"/>
            <w:vAlign w:val="center"/>
          </w:tcPr>
          <w:p>
            <w:pPr>
              <w:jc w:val="center"/>
            </w:pPr>
            <w:r/>
            <w:r>
              <w:rPr>
                <w:rFonts w:ascii="Arial" w:hAnsi="Arial"/>
                <w:b w:val="0"/>
                <w:i w:val="0"/>
                <w:sz w:val="18"/>
              </w:rPr>
              <w:t>R1</w:t>
            </w:r>
          </w:p>
        </w:tc>
        <w:tc>
          <w:tcPr>
            <w:tcW w:type="dxa" w:w="1728"/>
            <w:vAlign w:val="center"/>
          </w:tcPr>
          <w:p>
            <w:pPr>
              <w:jc w:val="center"/>
            </w:pPr>
            <w:r/>
            <w:r>
              <w:rPr>
                <w:rFonts w:ascii="Arial" w:hAnsi="Arial"/>
                <w:b w:val="0"/>
                <w:i w:val="0"/>
                <w:sz w:val="18"/>
              </w:rPr>
              <w:t>7,313.60</w:t>
            </w:r>
          </w:p>
        </w:tc>
        <w:tc>
          <w:tcPr>
            <w:tcW w:type="dxa" w:w="2880"/>
            <w:vAlign w:val="center"/>
          </w:tcPr>
          <w:p>
            <w:pPr>
              <w:jc w:val="center"/>
            </w:pPr>
            <w:r/>
            <w:r>
              <w:rPr>
                <w:rFonts w:ascii="Arial" w:hAnsi="Arial"/>
                <w:b w:val="0"/>
                <w:i w:val="0"/>
                <w:sz w:val="18"/>
              </w:rPr>
              <w:t>−89.45  (−1.21%)</w:t>
            </w:r>
          </w:p>
        </w:tc>
      </w:tr>
      <w:tr>
        <w:tc>
          <w:tcPr>
            <w:tcW w:type="dxa" w:w="1440"/>
            <w:vAlign w:val="center"/>
          </w:tcPr>
          <w:p>
            <w:pPr>
              <w:jc w:val="center"/>
            </w:pPr>
            <w:r/>
            <w:r>
              <w:rPr>
                <w:rFonts w:ascii="Arial" w:hAnsi="Arial"/>
                <w:b w:val="0"/>
                <w:i w:val="0"/>
                <w:sz w:val="18"/>
              </w:rPr>
              <w:t>Pivot (P)</w:t>
            </w:r>
          </w:p>
        </w:tc>
        <w:tc>
          <w:tcPr>
            <w:tcW w:type="dxa" w:w="1728"/>
            <w:vAlign w:val="center"/>
          </w:tcPr>
          <w:p>
            <w:pPr>
              <w:jc w:val="center"/>
            </w:pPr>
            <w:r/>
            <w:r>
              <w:rPr>
                <w:rFonts w:ascii="Arial" w:hAnsi="Arial"/>
                <w:b w:val="0"/>
                <w:i w:val="0"/>
                <w:sz w:val="18"/>
              </w:rPr>
              <w:t>7,117.00</w:t>
            </w:r>
          </w:p>
        </w:tc>
        <w:tc>
          <w:tcPr>
            <w:tcW w:type="dxa" w:w="2880"/>
            <w:vAlign w:val="center"/>
          </w:tcPr>
          <w:p>
            <w:pPr>
              <w:jc w:val="center"/>
            </w:pPr>
            <w:r/>
            <w:r>
              <w:rPr>
                <w:rFonts w:ascii="Arial" w:hAnsi="Arial"/>
                <w:b w:val="0"/>
                <w:i w:val="0"/>
                <w:sz w:val="18"/>
              </w:rPr>
              <w:t>−286.05  (−3.86%)</w:t>
            </w:r>
          </w:p>
        </w:tc>
      </w:tr>
      <w:tr>
        <w:tc>
          <w:tcPr>
            <w:tcW w:type="dxa" w:w="1440"/>
            <w:vAlign w:val="center"/>
          </w:tcPr>
          <w:p>
            <w:pPr>
              <w:jc w:val="center"/>
            </w:pPr>
            <w:r/>
            <w:r>
              <w:rPr>
                <w:rFonts w:ascii="Arial" w:hAnsi="Arial"/>
                <w:b w:val="0"/>
                <w:i w:val="0"/>
                <w:sz w:val="18"/>
              </w:rPr>
              <w:t>S1</w:t>
            </w:r>
          </w:p>
        </w:tc>
        <w:tc>
          <w:tcPr>
            <w:tcW w:type="dxa" w:w="1728"/>
            <w:vAlign w:val="center"/>
          </w:tcPr>
          <w:p>
            <w:pPr>
              <w:jc w:val="center"/>
            </w:pPr>
            <w:r/>
            <w:r>
              <w:rPr>
                <w:rFonts w:ascii="Arial" w:hAnsi="Arial"/>
                <w:b w:val="0"/>
                <w:i w:val="0"/>
                <w:sz w:val="18"/>
              </w:rPr>
              <w:t>6,999.80</w:t>
            </w:r>
          </w:p>
        </w:tc>
        <w:tc>
          <w:tcPr>
            <w:tcW w:type="dxa" w:w="2880"/>
            <w:vAlign w:val="center"/>
          </w:tcPr>
          <w:p>
            <w:pPr>
              <w:jc w:val="center"/>
            </w:pPr>
            <w:r/>
            <w:r>
              <w:rPr>
                <w:rFonts w:ascii="Arial" w:hAnsi="Arial"/>
                <w:b w:val="0"/>
                <w:i w:val="0"/>
                <w:sz w:val="18"/>
              </w:rPr>
              <w:t>−403.25  (−5.45%)</w:t>
            </w:r>
          </w:p>
        </w:tc>
      </w:tr>
      <w:tr>
        <w:tc>
          <w:tcPr>
            <w:tcW w:type="dxa" w:w="1440"/>
            <w:vAlign w:val="center"/>
          </w:tcPr>
          <w:p>
            <w:pPr>
              <w:jc w:val="center"/>
            </w:pPr>
            <w:r/>
            <w:r>
              <w:rPr>
                <w:rFonts w:ascii="Arial" w:hAnsi="Arial"/>
                <w:b w:val="0"/>
                <w:i w:val="0"/>
                <w:sz w:val="18"/>
              </w:rPr>
              <w:t>S2</w:t>
            </w:r>
          </w:p>
        </w:tc>
        <w:tc>
          <w:tcPr>
            <w:tcW w:type="dxa" w:w="1728"/>
            <w:vAlign w:val="center"/>
          </w:tcPr>
          <w:p>
            <w:pPr>
              <w:jc w:val="center"/>
            </w:pPr>
            <w:r/>
            <w:r>
              <w:rPr>
                <w:rFonts w:ascii="Arial" w:hAnsi="Arial"/>
                <w:b w:val="0"/>
                <w:i w:val="0"/>
                <w:sz w:val="18"/>
              </w:rPr>
              <w:t>6,803.20</w:t>
            </w:r>
          </w:p>
        </w:tc>
        <w:tc>
          <w:tcPr>
            <w:tcW w:type="dxa" w:w="2880"/>
            <w:vAlign w:val="center"/>
          </w:tcPr>
          <w:p>
            <w:pPr>
              <w:jc w:val="center"/>
            </w:pPr>
            <w:r/>
            <w:r>
              <w:rPr>
                <w:rFonts w:ascii="Arial" w:hAnsi="Arial"/>
                <w:b w:val="0"/>
                <w:i w:val="0"/>
                <w:sz w:val="18"/>
              </w:rPr>
              <w:t>−599.85  (−8.10%)</w:t>
            </w:r>
          </w:p>
        </w:tc>
      </w:tr>
      <w:tr>
        <w:tc>
          <w:tcPr>
            <w:tcW w:type="dxa" w:w="1440"/>
            <w:vAlign w:val="center"/>
          </w:tcPr>
          <w:p>
            <w:pPr>
              <w:jc w:val="center"/>
            </w:pPr>
            <w:r/>
            <w:r>
              <w:rPr>
                <w:rFonts w:ascii="Arial" w:hAnsi="Arial"/>
                <w:b w:val="0"/>
                <w:i w:val="0"/>
                <w:sz w:val="18"/>
              </w:rPr>
              <w:t>S3</w:t>
            </w:r>
          </w:p>
        </w:tc>
        <w:tc>
          <w:tcPr>
            <w:tcW w:type="dxa" w:w="1728"/>
            <w:vAlign w:val="center"/>
          </w:tcPr>
          <w:p>
            <w:pPr>
              <w:jc w:val="center"/>
            </w:pPr>
            <w:r/>
            <w:r>
              <w:rPr>
                <w:rFonts w:ascii="Arial" w:hAnsi="Arial"/>
                <w:b w:val="0"/>
                <w:i w:val="0"/>
                <w:sz w:val="18"/>
              </w:rPr>
              <w:t>6,686.00</w:t>
            </w:r>
          </w:p>
        </w:tc>
        <w:tc>
          <w:tcPr>
            <w:tcW w:type="dxa" w:w="2880"/>
            <w:vAlign w:val="center"/>
          </w:tcPr>
          <w:p>
            <w:pPr>
              <w:jc w:val="center"/>
            </w:pPr>
            <w:r/>
            <w:r>
              <w:rPr>
                <w:rFonts w:ascii="Arial" w:hAnsi="Arial"/>
                <w:b w:val="0"/>
                <w:i w:val="0"/>
                <w:sz w:val="18"/>
              </w:rPr>
              <w:t>−717.05  (−9.69%)</w:t>
            </w:r>
          </w:p>
        </w:tc>
      </w:tr>
    </w:tbl>
    <w:p>
      <w:r>
        <w:rPr>
          <w:rFonts w:ascii="Arial" w:hAnsi="Arial"/>
          <w:b w:val="0"/>
          <w:i/>
          <w:color w:val="555555"/>
          <w:sz w:val="20"/>
        </w:rPr>
        <w:t>Status: SINGLE-SOURCE-INDICATIVE (April high/low aggregated; April close 7,196.40 is single-source). Monthly R2 (7,430.80) provides a strong confluence with daily R1 (7,434.16) — this is the primary resistance band for the session. Monthly R1 (7,313.60) acts as a structural floor below daily S2.</w:t>
      </w:r>
    </w:p>
    <w:p>
      <w:r>
        <w:rPr>
          <w:rFonts w:ascii="Arial" w:hAnsi="Arial"/>
          <w:b/>
          <w:i w:val="0"/>
          <w:sz w:val="22"/>
        </w:rPr>
        <w:t>Position narrative:</w:t>
      </w:r>
    </w:p>
    <w:p>
      <w:r>
        <w:rPr>
          <w:rFonts w:ascii="Arial" w:hAnsi="Arial"/>
          <w:b w:val="0"/>
          <w:i w:val="0"/>
          <w:sz w:val="22"/>
        </w:rPr>
        <w:t>The 7,403 close is positioned at the centroid of the daily pivot framework — a decision-point structure. Confluence above: daily R1 (7,434) ↔ monthly R2 (7,431) — an exceptionally tight cluster that should provide first-test resistance and a breakout-vs-rejection decision level. Confluence below: daily S1 (7,372) ↔ weekly S1 (7,352) — a 20-point support zone that defines pullback containment. A close above 7,434 with momentum cleanly re-engages the bull thesis; a close below 7,352 opens the path to weekly S2 at 7,296 and a structural test of the medium-term trend line.</w:t>
      </w:r>
    </w:p>
    <w:p>
      <w:pPr>
        <w:pStyle w:val="Heading1"/>
      </w:pPr>
      <w:r>
        <w:rPr>
          <w:rFonts w:ascii="Arial" w:hAnsi="Arial"/>
          <w:color w:val="1F3A5F"/>
        </w:rPr>
        <w:t>§12  Key Market Considerations</w:t>
      </w:r>
    </w:p>
    <w:p>
      <w:r>
        <w:rPr>
          <w:rFonts w:ascii="Arial" w:hAnsi="Arial"/>
          <w:b/>
          <w:i w:val="0"/>
          <w:sz w:val="22"/>
        </w:rPr>
        <w:t>Demand / earnings backdrop — Price-supportive (structural):</w:t>
      </w:r>
    </w:p>
    <w:p>
      <w:r>
        <w:rPr>
          <w:rFonts w:ascii="Arial" w:hAnsi="Arial"/>
          <w:b w:val="0"/>
          <w:i w:val="0"/>
          <w:sz w:val="22"/>
        </w:rPr>
        <w:t>Q1 2026 earnings season has printed strong — Oppenheimer-tracked aggregate quarterly profit growth is reported as easing slightly from prior quarters but remaining well above expectations. Mega-cap names have led: AAPL beat on the prior reporting cycle with a constructive forward guide that drove the index above 7,200 for the first time. This is the dominant structural support for the seven-week win streak. Source: Oppenheimer via ycharts / S&amp;P 500 milestone reporting.</w:t>
      </w:r>
    </w:p>
    <w:p>
      <w:r>
        <w:rPr>
          <w:rFonts w:ascii="Arial" w:hAnsi="Arial"/>
          <w:b/>
          <w:i w:val="0"/>
          <w:sz w:val="22"/>
        </w:rPr>
        <w:t>Energy / geopolitics — Price-negative (cyclical, escalating):</w:t>
      </w:r>
    </w:p>
    <w:p>
      <w:r>
        <w:rPr>
          <w:rFonts w:ascii="Arial" w:hAnsi="Arial"/>
          <w:b w:val="0"/>
          <w:i w:val="0"/>
          <w:sz w:val="22"/>
        </w:rPr>
        <w:t>The US-Iran conflict continues into the May reporting period. Trump described the first sentence of Iran's latest proposal as 'unacceptable'. Strait of Hormuz remains closed. WTI is sitting in the $101–103 range with Brent at $109–110 — a level the market has internalised as a binding constraint on disinflation. Each oil pulse directly flows into the rate-path discount factor (see Macro Context, §14).</w:t>
      </w:r>
    </w:p>
    <w:p>
      <w:r>
        <w:rPr>
          <w:rFonts w:ascii="Arial" w:hAnsi="Arial"/>
          <w:b/>
          <w:i w:val="0"/>
          <w:sz w:val="22"/>
        </w:rPr>
        <w:t>Policy / rates — Price-negative (cyclical, intensifying):</w:t>
      </w:r>
    </w:p>
    <w:p>
      <w:r>
        <w:rPr>
          <w:rFonts w:ascii="Arial" w:hAnsi="Arial"/>
          <w:b w:val="0"/>
          <w:i w:val="0"/>
          <w:sz w:val="22"/>
        </w:rPr>
        <w:t>The CPI and PPI prints released the week of 11 May suggested the energy shock is passing through to US headline inflation. Traders are now fully pricing one Fed rate hike by March 2027, with more than a 50% chance of a hike before end-2026. The 10-year Treasury yield touched an 11.75-month high of 4.60% on 15 May. Source: TradingEconomics, Barchart commentary.</w:t>
      </w:r>
    </w:p>
    <w:p>
      <w:r>
        <w:rPr>
          <w:rFonts w:ascii="Arial" w:hAnsi="Arial"/>
          <w:b/>
          <w:i w:val="0"/>
          <w:sz w:val="22"/>
        </w:rPr>
        <w:t>Macro / FX — Price-negative (cyclical):</w:t>
      </w:r>
    </w:p>
    <w:p>
      <w:r>
        <w:rPr>
          <w:rFonts w:ascii="Arial" w:hAnsi="Arial"/>
          <w:b w:val="0"/>
          <w:i w:val="0"/>
          <w:sz w:val="22"/>
        </w:rPr>
        <w:t>USDX climbed to 99.35 on 15 May, the highest since April 2026. Over 4 weeks DXY has gained 1.24%. The currency channel is now a measurable headwind to the ~40% of S&amp;P 500 revenue generated outside the US (multinational earnings translation).</w:t>
      </w:r>
    </w:p>
    <w:p>
      <w:r>
        <w:rPr>
          <w:rFonts w:ascii="Arial" w:hAnsi="Arial"/>
          <w:b/>
          <w:i w:val="0"/>
          <w:sz w:val="22"/>
        </w:rPr>
        <w:t>Near-term catalysts — Mixed:</w:t>
      </w:r>
    </w:p>
    <w:p>
      <w:r>
        <w:rPr>
          <w:rFonts w:ascii="Arial" w:hAnsi="Arial"/>
          <w:b w:val="0"/>
          <w:i w:val="0"/>
          <w:sz w:val="22"/>
        </w:rPr>
        <w:t>Nvidia earnings later this week is the single most important release: any miss on data-centre revenue or guidance materially impacts the AI-led leadership names. Walmart and Target earnings will reveal whether the energy-price shock is showing in consumer spending. Both data prints fall inside the 5-session scenario horizon.</w:t>
      </w:r>
    </w:p>
    <w:p>
      <w:pPr>
        <w:pStyle w:val="Heading1"/>
      </w:pPr>
      <w:r>
        <w:rPr>
          <w:rFonts w:ascii="Arial" w:hAnsi="Arial"/>
          <w:color w:val="1F3A5F"/>
        </w:rPr>
        <w:t>§13  Sentiment, News &amp; Calendar</w:t>
      </w:r>
    </w:p>
    <w:p>
      <w:r>
        <w:rPr>
          <w:rFonts w:ascii="Arial" w:hAnsi="Arial"/>
          <w:b/>
          <w:i w:val="0"/>
          <w:sz w:val="22"/>
        </w:rPr>
        <w:t>§13a  Per-article sentiment table: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936"/>
            <w:shd w:val="clear" w:color="auto" w:fill="1F3A5F"/>
            <w:vAlign w:val="center"/>
          </w:tcPr>
          <w:p>
            <w:pPr>
              <w:jc w:val="center"/>
            </w:pPr>
            <w:r/>
            <w:r>
              <w:rPr>
                <w:rFonts w:ascii="Arial" w:hAnsi="Arial"/>
                <w:b/>
                <w:i w:val="0"/>
                <w:color w:val="FFFFFF"/>
                <w:sz w:val="20"/>
              </w:rPr>
              <w:t>Date</w:t>
            </w:r>
          </w:p>
        </w:tc>
        <w:tc>
          <w:tcPr>
            <w:tcW w:type="dxa" w:w="1440"/>
            <w:shd w:val="clear" w:color="auto" w:fill="1F3A5F"/>
            <w:vAlign w:val="center"/>
          </w:tcPr>
          <w:p>
            <w:pPr>
              <w:jc w:val="center"/>
            </w:pPr>
            <w:r/>
            <w:r>
              <w:rPr>
                <w:rFonts w:ascii="Arial" w:hAnsi="Arial"/>
                <w:b/>
                <w:i w:val="0"/>
                <w:color w:val="FFFFFF"/>
                <w:sz w:val="20"/>
              </w:rPr>
              <w:t>Source</w:t>
            </w:r>
          </w:p>
        </w:tc>
        <w:tc>
          <w:tcPr>
            <w:tcW w:type="dxa" w:w="2880"/>
            <w:shd w:val="clear" w:color="auto" w:fill="1F3A5F"/>
            <w:vAlign w:val="center"/>
          </w:tcPr>
          <w:p>
            <w:pPr>
              <w:jc w:val="center"/>
            </w:pPr>
            <w:r/>
            <w:r>
              <w:rPr>
                <w:rFonts w:ascii="Arial" w:hAnsi="Arial"/>
                <w:b/>
                <w:i w:val="0"/>
                <w:color w:val="FFFFFF"/>
                <w:sz w:val="20"/>
              </w:rPr>
              <w:t>Headline (paraphrased)</w:t>
            </w:r>
          </w:p>
        </w:tc>
        <w:tc>
          <w:tcPr>
            <w:tcW w:type="dxa" w:w="1008"/>
            <w:shd w:val="clear" w:color="auto" w:fill="1F3A5F"/>
            <w:vAlign w:val="center"/>
          </w:tcPr>
          <w:p>
            <w:pPr>
              <w:jc w:val="center"/>
            </w:pPr>
            <w:r/>
            <w:r>
              <w:rPr>
                <w:rFonts w:ascii="Arial" w:hAnsi="Arial"/>
                <w:b/>
                <w:i w:val="0"/>
                <w:color w:val="FFFFFF"/>
                <w:sz w:val="20"/>
              </w:rPr>
              <w:t>Class</w:t>
            </w:r>
          </w:p>
        </w:tc>
        <w:tc>
          <w:tcPr>
            <w:tcW w:type="dxa" w:w="1008"/>
            <w:shd w:val="clear" w:color="auto" w:fill="1F3A5F"/>
            <w:vAlign w:val="center"/>
          </w:tcPr>
          <w:p>
            <w:pPr>
              <w:jc w:val="center"/>
            </w:pPr>
            <w:r/>
            <w:r>
              <w:rPr>
                <w:rFonts w:ascii="Arial" w:hAnsi="Arial"/>
                <w:b/>
                <w:i w:val="0"/>
                <w:color w:val="FFFFFF"/>
                <w:sz w:val="20"/>
              </w:rPr>
              <w:t>Sentiment</w:t>
            </w:r>
          </w:p>
        </w:tc>
        <w:tc>
          <w:tcPr>
            <w:tcW w:type="dxa" w:w="1728"/>
            <w:shd w:val="clear" w:color="auto" w:fill="1F3A5F"/>
            <w:vAlign w:val="center"/>
          </w:tcPr>
          <w:p>
            <w:pPr>
              <w:jc w:val="center"/>
            </w:pPr>
            <w:r/>
            <w:r>
              <w:rPr>
                <w:rFonts w:ascii="Arial" w:hAnsi="Arial"/>
                <w:b/>
                <w:i w:val="0"/>
                <w:color w:val="FFFFFF"/>
                <w:sz w:val="20"/>
              </w:rPr>
              <w:t>Derivation quote (≤15 wds)</w:t>
            </w:r>
          </w:p>
        </w:tc>
      </w:tr>
      <w:tr>
        <w:tc>
          <w:tcPr>
            <w:tcW w:type="dxa" w:w="936"/>
            <w:vAlign w:val="center"/>
          </w:tcPr>
          <w:p>
            <w:pPr>
              <w:jc w:val="center"/>
            </w:pPr>
            <w:r/>
            <w:r>
              <w:rPr>
                <w:rFonts w:ascii="Arial" w:hAnsi="Arial"/>
                <w:b w:val="0"/>
                <w:i w:val="0"/>
                <w:sz w:val="18"/>
              </w:rPr>
              <w:t>18 May</w:t>
            </w:r>
          </w:p>
        </w:tc>
        <w:tc>
          <w:tcPr>
            <w:tcW w:type="dxa" w:w="1440"/>
            <w:vAlign w:val="center"/>
          </w:tcPr>
          <w:p>
            <w:pPr>
              <w:jc w:val="center"/>
            </w:pPr>
            <w:r/>
            <w:r>
              <w:rPr>
                <w:rFonts w:ascii="Arial" w:hAnsi="Arial"/>
                <w:b w:val="0"/>
                <w:i w:val="0"/>
                <w:sz w:val="18"/>
              </w:rPr>
              <w:t>TradingEconomics</w:t>
            </w:r>
          </w:p>
        </w:tc>
        <w:tc>
          <w:tcPr>
            <w:tcW w:type="dxa" w:w="2880"/>
            <w:vAlign w:val="center"/>
          </w:tcPr>
          <w:p>
            <w:pPr>
              <w:jc w:val="center"/>
            </w:pPr>
            <w:r/>
            <w:r>
              <w:rPr>
                <w:rFonts w:ascii="Arial" w:hAnsi="Arial"/>
                <w:b w:val="0"/>
                <w:i w:val="0"/>
                <w:sz w:val="18"/>
              </w:rPr>
              <w:t>Futures edge lower as investors await Nvidia earnings</w:t>
            </w:r>
          </w:p>
        </w:tc>
        <w:tc>
          <w:tcPr>
            <w:tcW w:type="dxa" w:w="1008"/>
            <w:vAlign w:val="center"/>
          </w:tcPr>
          <w:p>
            <w:pPr>
              <w:jc w:val="center"/>
            </w:pPr>
            <w:r/>
            <w:r>
              <w:rPr>
                <w:rFonts w:ascii="Arial" w:hAnsi="Arial"/>
                <w:b w:val="0"/>
                <w:i w:val="0"/>
                <w:sz w:val="18"/>
              </w:rPr>
              <w:t>Media</w:t>
            </w:r>
          </w:p>
        </w:tc>
        <w:tc>
          <w:tcPr>
            <w:tcW w:type="dxa" w:w="1008"/>
            <w:vAlign w:val="center"/>
          </w:tcPr>
          <w:p>
            <w:pPr>
              <w:jc w:val="center"/>
            </w:pPr>
            <w:r/>
            <w:r>
              <w:rPr>
                <w:rFonts w:ascii="Arial" w:hAnsi="Arial"/>
                <w:b w:val="0"/>
                <w:i w:val="0"/>
                <w:sz w:val="18"/>
              </w:rPr>
              <w:t>Neutral</w:t>
            </w:r>
          </w:p>
        </w:tc>
        <w:tc>
          <w:tcPr>
            <w:tcW w:type="dxa" w:w="1728"/>
            <w:vAlign w:val="center"/>
          </w:tcPr>
          <w:p>
            <w:pPr>
              <w:jc w:val="center"/>
            </w:pPr>
            <w:r/>
            <w:r>
              <w:rPr>
                <w:rFonts w:ascii="Arial" w:hAnsi="Arial"/>
                <w:b w:val="0"/>
                <w:i w:val="0"/>
                <w:sz w:val="18"/>
              </w:rPr>
              <w:t>investors awaited Nvidia earnings for fresh signals on AI rally durability</w:t>
            </w:r>
          </w:p>
        </w:tc>
      </w:tr>
      <w:tr>
        <w:tc>
          <w:tcPr>
            <w:tcW w:type="dxa" w:w="936"/>
            <w:vAlign w:val="center"/>
          </w:tcPr>
          <w:p>
            <w:pPr>
              <w:jc w:val="center"/>
            </w:pPr>
            <w:r/>
            <w:r>
              <w:rPr>
                <w:rFonts w:ascii="Arial" w:hAnsi="Arial"/>
                <w:b w:val="0"/>
                <w:i w:val="0"/>
                <w:sz w:val="18"/>
              </w:rPr>
              <w:t>17 May</w:t>
            </w:r>
          </w:p>
        </w:tc>
        <w:tc>
          <w:tcPr>
            <w:tcW w:type="dxa" w:w="1440"/>
            <w:vAlign w:val="center"/>
          </w:tcPr>
          <w:p>
            <w:pPr>
              <w:jc w:val="center"/>
            </w:pPr>
            <w:r/>
            <w:r>
              <w:rPr>
                <w:rFonts w:ascii="Arial" w:hAnsi="Arial"/>
                <w:b w:val="0"/>
                <w:i w:val="0"/>
                <w:sz w:val="18"/>
              </w:rPr>
              <w:t>CNBC</w:t>
            </w:r>
          </w:p>
        </w:tc>
        <w:tc>
          <w:tcPr>
            <w:tcW w:type="dxa" w:w="2880"/>
            <w:vAlign w:val="center"/>
          </w:tcPr>
          <w:p>
            <w:pPr>
              <w:jc w:val="center"/>
            </w:pPr>
            <w:r/>
            <w:r>
              <w:rPr>
                <w:rFonts w:ascii="Arial" w:hAnsi="Arial"/>
                <w:b w:val="0"/>
                <w:i w:val="0"/>
                <w:sz w:val="18"/>
              </w:rPr>
              <w:t>S&amp;P 500 extends weekly win streak despite anticlimactic Trump-Xi summit</w:t>
            </w:r>
          </w:p>
        </w:tc>
        <w:tc>
          <w:tcPr>
            <w:tcW w:type="dxa" w:w="1008"/>
            <w:vAlign w:val="center"/>
          </w:tcPr>
          <w:p>
            <w:pPr>
              <w:jc w:val="center"/>
            </w:pPr>
            <w:r/>
            <w:r>
              <w:rPr>
                <w:rFonts w:ascii="Arial" w:hAnsi="Arial"/>
                <w:b w:val="0"/>
                <w:i w:val="0"/>
                <w:sz w:val="18"/>
              </w:rPr>
              <w:t>Media</w:t>
            </w:r>
          </w:p>
        </w:tc>
        <w:tc>
          <w:tcPr>
            <w:tcW w:type="dxa" w:w="1008"/>
            <w:vAlign w:val="center"/>
          </w:tcPr>
          <w:p>
            <w:pPr>
              <w:jc w:val="center"/>
            </w:pPr>
            <w:r/>
            <w:r>
              <w:rPr>
                <w:rFonts w:ascii="Arial" w:hAnsi="Arial"/>
                <w:b w:val="0"/>
                <w:i w:val="0"/>
                <w:sz w:val="18"/>
              </w:rPr>
              <w:t>Bullish</w:t>
            </w:r>
          </w:p>
        </w:tc>
        <w:tc>
          <w:tcPr>
            <w:tcW w:type="dxa" w:w="1728"/>
            <w:vAlign w:val="center"/>
          </w:tcPr>
          <w:p>
            <w:pPr>
              <w:jc w:val="center"/>
            </w:pPr>
            <w:r/>
            <w:r>
              <w:rPr>
                <w:rFonts w:ascii="Arial" w:hAnsi="Arial"/>
                <w:b w:val="0"/>
                <w:i w:val="0"/>
                <w:sz w:val="18"/>
              </w:rPr>
              <w:t>S&amp;P 500 manages to extend weekly win streak</w:t>
            </w:r>
          </w:p>
        </w:tc>
      </w:tr>
      <w:tr>
        <w:tc>
          <w:tcPr>
            <w:tcW w:type="dxa" w:w="936"/>
            <w:vAlign w:val="center"/>
          </w:tcPr>
          <w:p>
            <w:pPr>
              <w:jc w:val="center"/>
            </w:pPr>
            <w:r/>
            <w:r>
              <w:rPr>
                <w:rFonts w:ascii="Arial" w:hAnsi="Arial"/>
                <w:b w:val="0"/>
                <w:i w:val="0"/>
                <w:sz w:val="18"/>
              </w:rPr>
              <w:t>16 May</w:t>
            </w:r>
          </w:p>
        </w:tc>
        <w:tc>
          <w:tcPr>
            <w:tcW w:type="dxa" w:w="1440"/>
            <w:vAlign w:val="center"/>
          </w:tcPr>
          <w:p>
            <w:pPr>
              <w:jc w:val="center"/>
            </w:pPr>
            <w:r/>
            <w:r>
              <w:rPr>
                <w:rFonts w:ascii="Arial" w:hAnsi="Arial"/>
                <w:b w:val="0"/>
                <w:i w:val="0"/>
                <w:sz w:val="18"/>
              </w:rPr>
              <w:t>CNBC</w:t>
            </w:r>
          </w:p>
        </w:tc>
        <w:tc>
          <w:tcPr>
            <w:tcW w:type="dxa" w:w="2880"/>
            <w:vAlign w:val="center"/>
          </w:tcPr>
          <w:p>
            <w:pPr>
              <w:jc w:val="center"/>
            </w:pPr>
            <w:r/>
            <w:r>
              <w:rPr>
                <w:rFonts w:ascii="Arial" w:hAnsi="Arial"/>
                <w:b w:val="0"/>
                <w:i w:val="0"/>
                <w:sz w:val="18"/>
              </w:rPr>
              <w:t>Cisco is the most overbought stock in the S&amp;P 500</w:t>
            </w:r>
          </w:p>
        </w:tc>
        <w:tc>
          <w:tcPr>
            <w:tcW w:type="dxa" w:w="1008"/>
            <w:vAlign w:val="center"/>
          </w:tcPr>
          <w:p>
            <w:pPr>
              <w:jc w:val="center"/>
            </w:pPr>
            <w:r/>
            <w:r>
              <w:rPr>
                <w:rFonts w:ascii="Arial" w:hAnsi="Arial"/>
                <w:b w:val="0"/>
                <w:i w:val="0"/>
                <w:sz w:val="18"/>
              </w:rPr>
              <w:t>Media</w:t>
            </w:r>
          </w:p>
        </w:tc>
        <w:tc>
          <w:tcPr>
            <w:tcW w:type="dxa" w:w="1008"/>
            <w:vAlign w:val="center"/>
          </w:tcPr>
          <w:p>
            <w:pPr>
              <w:jc w:val="center"/>
            </w:pPr>
            <w:r/>
            <w:r>
              <w:rPr>
                <w:rFonts w:ascii="Arial" w:hAnsi="Arial"/>
                <w:b w:val="0"/>
                <w:i w:val="0"/>
                <w:sz w:val="18"/>
              </w:rPr>
              <w:t>Mixed</w:t>
            </w:r>
          </w:p>
        </w:tc>
        <w:tc>
          <w:tcPr>
            <w:tcW w:type="dxa" w:w="1728"/>
            <w:vAlign w:val="center"/>
          </w:tcPr>
          <w:p>
            <w:pPr>
              <w:jc w:val="center"/>
            </w:pPr>
            <w:r/>
            <w:r>
              <w:rPr>
                <w:rFonts w:ascii="Arial" w:hAnsi="Arial"/>
                <w:b w:val="0"/>
                <w:i w:val="0"/>
                <w:sz w:val="18"/>
              </w:rPr>
              <w:t>overbought stocks signal late-cycle leadership but earnings strong</w:t>
            </w:r>
          </w:p>
        </w:tc>
      </w:tr>
      <w:tr>
        <w:tc>
          <w:tcPr>
            <w:tcW w:type="dxa" w:w="936"/>
            <w:vAlign w:val="center"/>
          </w:tcPr>
          <w:p>
            <w:pPr>
              <w:jc w:val="center"/>
            </w:pPr>
            <w:r/>
            <w:r>
              <w:rPr>
                <w:rFonts w:ascii="Arial" w:hAnsi="Arial"/>
                <w:b w:val="0"/>
                <w:i w:val="0"/>
                <w:sz w:val="18"/>
              </w:rPr>
              <w:t>15 May</w:t>
            </w:r>
          </w:p>
        </w:tc>
        <w:tc>
          <w:tcPr>
            <w:tcW w:type="dxa" w:w="1440"/>
            <w:vAlign w:val="center"/>
          </w:tcPr>
          <w:p>
            <w:pPr>
              <w:jc w:val="center"/>
            </w:pPr>
            <w:r/>
            <w:r>
              <w:rPr>
                <w:rFonts w:ascii="Arial" w:hAnsi="Arial"/>
                <w:b w:val="0"/>
                <w:i w:val="0"/>
                <w:sz w:val="18"/>
              </w:rPr>
              <w:t>TradingEconomics</w:t>
            </w:r>
          </w:p>
        </w:tc>
        <w:tc>
          <w:tcPr>
            <w:tcW w:type="dxa" w:w="2880"/>
            <w:vAlign w:val="center"/>
          </w:tcPr>
          <w:p>
            <w:pPr>
              <w:jc w:val="center"/>
            </w:pPr>
            <w:r/>
            <w:r>
              <w:rPr>
                <w:rFonts w:ascii="Arial" w:hAnsi="Arial"/>
                <w:b w:val="0"/>
                <w:i w:val="0"/>
                <w:sz w:val="18"/>
              </w:rPr>
              <w:t>Stocks fall sharply on Iran conflict and inflation fear</w:t>
            </w:r>
          </w:p>
        </w:tc>
        <w:tc>
          <w:tcPr>
            <w:tcW w:type="dxa" w:w="1008"/>
            <w:vAlign w:val="center"/>
          </w:tcPr>
          <w:p>
            <w:pPr>
              <w:jc w:val="center"/>
            </w:pPr>
            <w:r/>
            <w:r>
              <w:rPr>
                <w:rFonts w:ascii="Arial" w:hAnsi="Arial"/>
                <w:b w:val="0"/>
                <w:i w:val="0"/>
                <w:sz w:val="18"/>
              </w:rPr>
              <w:t>Media</w:t>
            </w:r>
          </w:p>
        </w:tc>
        <w:tc>
          <w:tcPr>
            <w:tcW w:type="dxa" w:w="1008"/>
            <w:vAlign w:val="center"/>
          </w:tcPr>
          <w:p>
            <w:pPr>
              <w:jc w:val="center"/>
            </w:pPr>
            <w:r/>
            <w:r>
              <w:rPr>
                <w:rFonts w:ascii="Arial" w:hAnsi="Arial"/>
                <w:b w:val="0"/>
                <w:i w:val="0"/>
                <w:sz w:val="18"/>
              </w:rPr>
              <w:t>Bearish</w:t>
            </w:r>
          </w:p>
        </w:tc>
        <w:tc>
          <w:tcPr>
            <w:tcW w:type="dxa" w:w="1728"/>
            <w:vAlign w:val="center"/>
          </w:tcPr>
          <w:p>
            <w:pPr>
              <w:jc w:val="center"/>
            </w:pPr>
            <w:r/>
            <w:r>
              <w:rPr>
                <w:rFonts w:ascii="Arial" w:hAnsi="Arial"/>
                <w:b w:val="0"/>
                <w:i w:val="0"/>
                <w:sz w:val="18"/>
              </w:rPr>
              <w:t>concerned about impact of prolonged conflict with Iran</w:t>
            </w:r>
          </w:p>
        </w:tc>
      </w:tr>
      <w:tr>
        <w:tc>
          <w:tcPr>
            <w:tcW w:type="dxa" w:w="936"/>
            <w:vAlign w:val="center"/>
          </w:tcPr>
          <w:p>
            <w:pPr>
              <w:jc w:val="center"/>
            </w:pPr>
            <w:r/>
            <w:r>
              <w:rPr>
                <w:rFonts w:ascii="Arial" w:hAnsi="Arial"/>
                <w:b w:val="0"/>
                <w:i w:val="0"/>
                <w:sz w:val="18"/>
              </w:rPr>
              <w:t>15 May</w:t>
            </w:r>
          </w:p>
        </w:tc>
        <w:tc>
          <w:tcPr>
            <w:tcW w:type="dxa" w:w="1440"/>
            <w:vAlign w:val="center"/>
          </w:tcPr>
          <w:p>
            <w:pPr>
              <w:jc w:val="center"/>
            </w:pPr>
            <w:r/>
            <w:r>
              <w:rPr>
                <w:rFonts w:ascii="Arial" w:hAnsi="Arial"/>
                <w:b w:val="0"/>
                <w:i w:val="0"/>
                <w:sz w:val="18"/>
              </w:rPr>
              <w:t>Yahoo / S&amp;P Global</w:t>
            </w:r>
          </w:p>
        </w:tc>
        <w:tc>
          <w:tcPr>
            <w:tcW w:type="dxa" w:w="2880"/>
            <w:vAlign w:val="center"/>
          </w:tcPr>
          <w:p>
            <w:pPr>
              <w:jc w:val="center"/>
            </w:pPr>
            <w:r/>
            <w:r>
              <w:rPr>
                <w:rFonts w:ascii="Arial" w:hAnsi="Arial"/>
                <w:b w:val="0"/>
                <w:i w:val="0"/>
                <w:sz w:val="18"/>
              </w:rPr>
              <w:t>Seventh consecutive weekly gain, energy leads</w:t>
            </w:r>
          </w:p>
        </w:tc>
        <w:tc>
          <w:tcPr>
            <w:tcW w:type="dxa" w:w="1008"/>
            <w:vAlign w:val="center"/>
          </w:tcPr>
          <w:p>
            <w:pPr>
              <w:jc w:val="center"/>
            </w:pPr>
            <w:r/>
            <w:r>
              <w:rPr>
                <w:rFonts w:ascii="Arial" w:hAnsi="Arial"/>
                <w:b w:val="0"/>
                <w:i w:val="0"/>
                <w:sz w:val="18"/>
              </w:rPr>
              <w:t>Media</w:t>
            </w:r>
          </w:p>
        </w:tc>
        <w:tc>
          <w:tcPr>
            <w:tcW w:type="dxa" w:w="1008"/>
            <w:vAlign w:val="center"/>
          </w:tcPr>
          <w:p>
            <w:pPr>
              <w:jc w:val="center"/>
            </w:pPr>
            <w:r/>
            <w:r>
              <w:rPr>
                <w:rFonts w:ascii="Arial" w:hAnsi="Arial"/>
                <w:b w:val="0"/>
                <w:i w:val="0"/>
                <w:sz w:val="18"/>
              </w:rPr>
              <w:t>Bullish</w:t>
            </w:r>
          </w:p>
        </w:tc>
        <w:tc>
          <w:tcPr>
            <w:tcW w:type="dxa" w:w="1728"/>
            <w:vAlign w:val="center"/>
          </w:tcPr>
          <w:p>
            <w:pPr>
              <w:jc w:val="center"/>
            </w:pPr>
            <w:r/>
            <w:r>
              <w:rPr>
                <w:rFonts w:ascii="Arial" w:hAnsi="Arial"/>
                <w:b w:val="0"/>
                <w:i w:val="0"/>
                <w:sz w:val="18"/>
              </w:rPr>
              <w:t>S&amp;P 500 Ekes Out Seventh Consecutive Weekly Gain</w:t>
            </w:r>
          </w:p>
        </w:tc>
      </w:tr>
      <w:tr>
        <w:tc>
          <w:tcPr>
            <w:tcW w:type="dxa" w:w="936"/>
            <w:vAlign w:val="center"/>
          </w:tcPr>
          <w:p>
            <w:pPr>
              <w:jc w:val="center"/>
            </w:pPr>
            <w:r/>
            <w:r>
              <w:rPr>
                <w:rFonts w:ascii="Arial" w:hAnsi="Arial"/>
                <w:b w:val="0"/>
                <w:i w:val="0"/>
                <w:sz w:val="18"/>
              </w:rPr>
              <w:t>11 May</w:t>
            </w:r>
          </w:p>
        </w:tc>
        <w:tc>
          <w:tcPr>
            <w:tcW w:type="dxa" w:w="1440"/>
            <w:vAlign w:val="center"/>
          </w:tcPr>
          <w:p>
            <w:pPr>
              <w:jc w:val="center"/>
            </w:pPr>
            <w:r/>
            <w:r>
              <w:rPr>
                <w:rFonts w:ascii="Arial" w:hAnsi="Arial"/>
                <w:b w:val="0"/>
                <w:i w:val="0"/>
                <w:sz w:val="18"/>
              </w:rPr>
              <w:t>Oppenheimer</w:t>
            </w:r>
          </w:p>
        </w:tc>
        <w:tc>
          <w:tcPr>
            <w:tcW w:type="dxa" w:w="2880"/>
            <w:vAlign w:val="center"/>
          </w:tcPr>
          <w:p>
            <w:pPr>
              <w:jc w:val="center"/>
            </w:pPr>
            <w:r/>
            <w:r>
              <w:rPr>
                <w:rFonts w:ascii="Arial" w:hAnsi="Arial"/>
                <w:b w:val="0"/>
                <w:i w:val="0"/>
                <w:sz w:val="18"/>
              </w:rPr>
              <w:t>Q1 profit growth slows but remains strong</w:t>
            </w:r>
          </w:p>
        </w:tc>
        <w:tc>
          <w:tcPr>
            <w:tcW w:type="dxa" w:w="1008"/>
            <w:vAlign w:val="center"/>
          </w:tcPr>
          <w:p>
            <w:pPr>
              <w:jc w:val="center"/>
            </w:pPr>
            <w:r/>
            <w:r>
              <w:rPr>
                <w:rFonts w:ascii="Arial" w:hAnsi="Arial"/>
                <w:b w:val="0"/>
                <w:i w:val="0"/>
                <w:sz w:val="18"/>
              </w:rPr>
              <w:t>Institutional</w:t>
            </w:r>
          </w:p>
        </w:tc>
        <w:tc>
          <w:tcPr>
            <w:tcW w:type="dxa" w:w="1008"/>
            <w:vAlign w:val="center"/>
          </w:tcPr>
          <w:p>
            <w:pPr>
              <w:jc w:val="center"/>
            </w:pPr>
            <w:r/>
            <w:r>
              <w:rPr>
                <w:rFonts w:ascii="Arial" w:hAnsi="Arial"/>
                <w:b w:val="0"/>
                <w:i w:val="0"/>
                <w:sz w:val="18"/>
              </w:rPr>
              <w:t>Bullish</w:t>
            </w:r>
          </w:p>
        </w:tc>
        <w:tc>
          <w:tcPr>
            <w:tcW w:type="dxa" w:w="1728"/>
            <w:vAlign w:val="center"/>
          </w:tcPr>
          <w:p>
            <w:pPr>
              <w:jc w:val="center"/>
            </w:pPr>
            <w:r/>
            <w:r>
              <w:rPr>
                <w:rFonts w:ascii="Arial" w:hAnsi="Arial"/>
                <w:b w:val="0"/>
                <w:i w:val="0"/>
                <w:sz w:val="18"/>
              </w:rPr>
              <w:t>Quarterly Profit Growth Slows, But Remains Strong</w:t>
            </w:r>
          </w:p>
        </w:tc>
      </w:tr>
      <w:tr>
        <w:tc>
          <w:tcPr>
            <w:tcW w:type="dxa" w:w="936"/>
            <w:vAlign w:val="center"/>
          </w:tcPr>
          <w:p>
            <w:pPr>
              <w:jc w:val="center"/>
            </w:pPr>
            <w:r/>
            <w:r>
              <w:rPr>
                <w:rFonts w:ascii="Arial" w:hAnsi="Arial"/>
                <w:b w:val="0"/>
                <w:i w:val="0"/>
                <w:sz w:val="18"/>
              </w:rPr>
              <w:t>17 May</w:t>
            </w:r>
          </w:p>
        </w:tc>
        <w:tc>
          <w:tcPr>
            <w:tcW w:type="dxa" w:w="1440"/>
            <w:vAlign w:val="center"/>
          </w:tcPr>
          <w:p>
            <w:pPr>
              <w:jc w:val="center"/>
            </w:pPr>
            <w:r/>
            <w:r>
              <w:rPr>
                <w:rFonts w:ascii="Arial" w:hAnsi="Arial"/>
                <w:b w:val="0"/>
                <w:i w:val="0"/>
                <w:sz w:val="18"/>
              </w:rPr>
              <w:t>Barchart</w:t>
            </w:r>
          </w:p>
        </w:tc>
        <w:tc>
          <w:tcPr>
            <w:tcW w:type="dxa" w:w="2880"/>
            <w:vAlign w:val="center"/>
          </w:tcPr>
          <w:p>
            <w:pPr>
              <w:jc w:val="center"/>
            </w:pPr>
            <w:r/>
            <w:r>
              <w:rPr>
                <w:rFonts w:ascii="Arial" w:hAnsi="Arial"/>
                <w:b w:val="0"/>
                <w:i w:val="0"/>
                <w:sz w:val="18"/>
              </w:rPr>
              <w:t>Dollar rallies on strong US data and rate-hike fears</w:t>
            </w:r>
          </w:p>
        </w:tc>
        <w:tc>
          <w:tcPr>
            <w:tcW w:type="dxa" w:w="1008"/>
            <w:vAlign w:val="center"/>
          </w:tcPr>
          <w:p>
            <w:pPr>
              <w:jc w:val="center"/>
            </w:pPr>
            <w:r/>
            <w:r>
              <w:rPr>
                <w:rFonts w:ascii="Arial" w:hAnsi="Arial"/>
                <w:b w:val="0"/>
                <w:i w:val="0"/>
                <w:sz w:val="18"/>
              </w:rPr>
              <w:t>Trade Press</w:t>
            </w:r>
          </w:p>
        </w:tc>
        <w:tc>
          <w:tcPr>
            <w:tcW w:type="dxa" w:w="1008"/>
            <w:vAlign w:val="center"/>
          </w:tcPr>
          <w:p>
            <w:pPr>
              <w:jc w:val="center"/>
            </w:pPr>
            <w:r/>
            <w:r>
              <w:rPr>
                <w:rFonts w:ascii="Arial" w:hAnsi="Arial"/>
                <w:b w:val="0"/>
                <w:i w:val="0"/>
                <w:sz w:val="18"/>
              </w:rPr>
              <w:t>Bearish (for SPX)</w:t>
            </w:r>
          </w:p>
        </w:tc>
        <w:tc>
          <w:tcPr>
            <w:tcW w:type="dxa" w:w="1728"/>
            <w:vAlign w:val="center"/>
          </w:tcPr>
          <w:p>
            <w:pPr>
              <w:jc w:val="center"/>
            </w:pPr>
            <w:r/>
            <w:r>
              <w:rPr>
                <w:rFonts w:ascii="Arial" w:hAnsi="Arial"/>
                <w:b w:val="0"/>
                <w:i w:val="0"/>
                <w:sz w:val="18"/>
              </w:rPr>
              <w:t>rally to 2.5-week high on rate-hike concerns</w:t>
            </w:r>
          </w:p>
        </w:tc>
      </w:tr>
    </w:tbl>
    <w:p>
      <w:r>
        <w:rPr>
          <w:rFonts w:ascii="Arial" w:hAnsi="Arial"/>
          <w:b/>
          <w:i w:val="0"/>
          <w:sz w:val="22"/>
        </w:rPr>
        <w:t>§13b  Aggregate sentiment summary:</w:t>
      </w:r>
    </w:p>
    <w:p>
      <w:r>
        <w:rPr>
          <w:rFonts w:ascii="Arial" w:hAnsi="Arial"/>
          <w:b w:val="0"/>
          <w:i w:val="0"/>
          <w:sz w:val="22"/>
        </w:rPr>
        <w:t>Counts: 3 Bullish (1 institutional, 2 media), 2 Bearish (1 trade press, 1 media), 1 Neutral (media), 1 Mixed (media). Categorical label: Predominantly Bullish (institutional weight tilts the balance). Numeric tilt: +0.19 (computed as a weighted-mean of article-level scores, with institutional=1.0, trade-press=0.7, media=0.5 weights). This is a low-to-moderate confidence reading — the institutional support is the dominant signal but is offset by trade-press and media bearishness on the rates/energy axis.</w:t>
      </w:r>
    </w:p>
    <w:p>
      <w:r>
        <w:rPr>
          <w:rFonts w:ascii="Arial" w:hAnsi="Arial"/>
          <w:b/>
          <w:i w:val="0"/>
          <w:sz w:val="22"/>
        </w:rPr>
        <w:t>§13c  News calendar — previous (5 sessions):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1224"/>
            <w:shd w:val="clear" w:color="auto" w:fill="1F3A5F"/>
            <w:vAlign w:val="center"/>
          </w:tcPr>
          <w:p>
            <w:pPr>
              <w:jc w:val="center"/>
            </w:pPr>
            <w:r/>
            <w:r>
              <w:rPr>
                <w:rFonts w:ascii="Arial" w:hAnsi="Arial"/>
                <w:b/>
                <w:i w:val="0"/>
                <w:color w:val="FFFFFF"/>
                <w:sz w:val="20"/>
              </w:rPr>
              <w:t>Date</w:t>
            </w:r>
          </w:p>
        </w:tc>
        <w:tc>
          <w:tcPr>
            <w:tcW w:type="dxa" w:w="4032"/>
            <w:shd w:val="clear" w:color="auto" w:fill="1F3A5F"/>
            <w:vAlign w:val="center"/>
          </w:tcPr>
          <w:p>
            <w:pPr>
              <w:jc w:val="center"/>
            </w:pPr>
            <w:r/>
            <w:r>
              <w:rPr>
                <w:rFonts w:ascii="Arial" w:hAnsi="Arial"/>
                <w:b/>
                <w:i w:val="0"/>
                <w:color w:val="FFFFFF"/>
                <w:sz w:val="20"/>
              </w:rPr>
              <w:t>Event</w:t>
            </w:r>
          </w:p>
        </w:tc>
        <w:tc>
          <w:tcPr>
            <w:tcW w:type="dxa" w:w="3744"/>
            <w:shd w:val="clear" w:color="auto" w:fill="1F3A5F"/>
            <w:vAlign w:val="center"/>
          </w:tcPr>
          <w:p>
            <w:pPr>
              <w:jc w:val="center"/>
            </w:pPr>
            <w:r/>
            <w:r>
              <w:rPr>
                <w:rFonts w:ascii="Arial" w:hAnsi="Arial"/>
                <w:b/>
                <w:i w:val="0"/>
                <w:color w:val="FFFFFF"/>
                <w:sz w:val="20"/>
              </w:rPr>
              <w:t>Outcome / impact</w:t>
            </w:r>
          </w:p>
        </w:tc>
      </w:tr>
      <w:tr>
        <w:tc>
          <w:tcPr>
            <w:tcW w:type="dxa" w:w="1224"/>
            <w:vAlign w:val="center"/>
          </w:tcPr>
          <w:p>
            <w:pPr>
              <w:jc w:val="center"/>
            </w:pPr>
            <w:r/>
            <w:r>
              <w:rPr>
                <w:rFonts w:ascii="Arial" w:hAnsi="Arial"/>
                <w:b w:val="0"/>
                <w:i w:val="0"/>
                <w:sz w:val="18"/>
              </w:rPr>
              <w:t>12 May</w:t>
            </w:r>
          </w:p>
        </w:tc>
        <w:tc>
          <w:tcPr>
            <w:tcW w:type="dxa" w:w="4032"/>
            <w:vAlign w:val="center"/>
          </w:tcPr>
          <w:p>
            <w:pPr>
              <w:jc w:val="center"/>
            </w:pPr>
            <w:r/>
            <w:r>
              <w:rPr>
                <w:rFonts w:ascii="Arial" w:hAnsi="Arial"/>
                <w:b w:val="0"/>
                <w:i w:val="0"/>
                <w:sz w:val="18"/>
              </w:rPr>
              <w:t>Q1 earnings season finale — mega-cap retail prints</w:t>
            </w:r>
          </w:p>
        </w:tc>
        <w:tc>
          <w:tcPr>
            <w:tcW w:type="dxa" w:w="3744"/>
            <w:vAlign w:val="center"/>
          </w:tcPr>
          <w:p>
            <w:pPr>
              <w:jc w:val="center"/>
            </w:pPr>
            <w:r/>
            <w:r>
              <w:rPr>
                <w:rFonts w:ascii="Arial" w:hAnsi="Arial"/>
                <w:b w:val="0"/>
                <w:i w:val="0"/>
                <w:sz w:val="18"/>
              </w:rPr>
              <w:t>Strong; supported S&amp;P move toward ATH</w:t>
            </w:r>
          </w:p>
        </w:tc>
      </w:tr>
      <w:tr>
        <w:tc>
          <w:tcPr>
            <w:tcW w:type="dxa" w:w="1224"/>
            <w:vAlign w:val="center"/>
          </w:tcPr>
          <w:p>
            <w:pPr>
              <w:jc w:val="center"/>
            </w:pPr>
            <w:r/>
            <w:r>
              <w:rPr>
                <w:rFonts w:ascii="Arial" w:hAnsi="Arial"/>
                <w:b w:val="0"/>
                <w:i w:val="0"/>
                <w:sz w:val="18"/>
              </w:rPr>
              <w:t>13 May</w:t>
            </w:r>
          </w:p>
        </w:tc>
        <w:tc>
          <w:tcPr>
            <w:tcW w:type="dxa" w:w="4032"/>
            <w:vAlign w:val="center"/>
          </w:tcPr>
          <w:p>
            <w:pPr>
              <w:jc w:val="center"/>
            </w:pPr>
            <w:r/>
            <w:r>
              <w:rPr>
                <w:rFonts w:ascii="Arial" w:hAnsi="Arial"/>
                <w:b w:val="0"/>
                <w:i w:val="0"/>
                <w:sz w:val="18"/>
              </w:rPr>
              <w:t>PPI print</w:t>
            </w:r>
          </w:p>
        </w:tc>
        <w:tc>
          <w:tcPr>
            <w:tcW w:type="dxa" w:w="3744"/>
            <w:vAlign w:val="center"/>
          </w:tcPr>
          <w:p>
            <w:pPr>
              <w:jc w:val="center"/>
            </w:pPr>
            <w:r/>
            <w:r>
              <w:rPr>
                <w:rFonts w:ascii="Arial" w:hAnsi="Arial"/>
                <w:b w:val="0"/>
                <w:i w:val="0"/>
                <w:sz w:val="18"/>
              </w:rPr>
              <w:t>Hot — Dow lower; producer prices pushed yields up</w:t>
            </w:r>
          </w:p>
        </w:tc>
      </w:tr>
      <w:tr>
        <w:tc>
          <w:tcPr>
            <w:tcW w:type="dxa" w:w="1224"/>
            <w:vAlign w:val="center"/>
          </w:tcPr>
          <w:p>
            <w:pPr>
              <w:jc w:val="center"/>
            </w:pPr>
            <w:r/>
            <w:r>
              <w:rPr>
                <w:rFonts w:ascii="Arial" w:hAnsi="Arial"/>
                <w:b w:val="0"/>
                <w:i w:val="0"/>
                <w:sz w:val="18"/>
              </w:rPr>
              <w:t>14 May</w:t>
            </w:r>
          </w:p>
        </w:tc>
        <w:tc>
          <w:tcPr>
            <w:tcW w:type="dxa" w:w="4032"/>
            <w:vAlign w:val="center"/>
          </w:tcPr>
          <w:p>
            <w:pPr>
              <w:jc w:val="center"/>
            </w:pPr>
            <w:r/>
            <w:r>
              <w:rPr>
                <w:rFonts w:ascii="Arial" w:hAnsi="Arial"/>
                <w:b w:val="0"/>
                <w:i w:val="0"/>
                <w:sz w:val="18"/>
              </w:rPr>
              <w:t>CPI print</w:t>
            </w:r>
          </w:p>
        </w:tc>
        <w:tc>
          <w:tcPr>
            <w:tcW w:type="dxa" w:w="3744"/>
            <w:vAlign w:val="center"/>
          </w:tcPr>
          <w:p>
            <w:pPr>
              <w:jc w:val="center"/>
            </w:pPr>
            <w:r/>
            <w:r>
              <w:rPr>
                <w:rFonts w:ascii="Arial" w:hAnsi="Arial"/>
                <w:b w:val="0"/>
                <w:i w:val="0"/>
                <w:sz w:val="18"/>
              </w:rPr>
              <w:t>Above-trend; reinforced rate-hike pricing</w:t>
            </w:r>
          </w:p>
        </w:tc>
      </w:tr>
      <w:tr>
        <w:tc>
          <w:tcPr>
            <w:tcW w:type="dxa" w:w="1224"/>
            <w:vAlign w:val="center"/>
          </w:tcPr>
          <w:p>
            <w:pPr>
              <w:jc w:val="center"/>
            </w:pPr>
            <w:r/>
            <w:r>
              <w:rPr>
                <w:rFonts w:ascii="Arial" w:hAnsi="Arial"/>
                <w:b w:val="0"/>
                <w:i w:val="0"/>
                <w:sz w:val="18"/>
              </w:rPr>
              <w:t>15 May</w:t>
            </w:r>
          </w:p>
        </w:tc>
        <w:tc>
          <w:tcPr>
            <w:tcW w:type="dxa" w:w="4032"/>
            <w:vAlign w:val="center"/>
          </w:tcPr>
          <w:p>
            <w:pPr>
              <w:jc w:val="center"/>
            </w:pPr>
            <w:r/>
            <w:r>
              <w:rPr>
                <w:rFonts w:ascii="Arial" w:hAnsi="Arial"/>
                <w:b w:val="0"/>
                <w:i w:val="0"/>
                <w:sz w:val="18"/>
              </w:rPr>
              <w:t>10y Treasury yield breakout above 4.60%</w:t>
            </w:r>
          </w:p>
        </w:tc>
        <w:tc>
          <w:tcPr>
            <w:tcW w:type="dxa" w:w="3744"/>
            <w:vAlign w:val="center"/>
          </w:tcPr>
          <w:p>
            <w:pPr>
              <w:jc w:val="center"/>
            </w:pPr>
            <w:r/>
            <w:r>
              <w:rPr>
                <w:rFonts w:ascii="Arial" w:hAnsi="Arial"/>
                <w:b w:val="0"/>
                <w:i w:val="0"/>
                <w:sz w:val="18"/>
              </w:rPr>
              <w:t>Triggered the 1.24% S&amp;P selloff</w:t>
            </w:r>
          </w:p>
        </w:tc>
      </w:tr>
      <w:tr>
        <w:tc>
          <w:tcPr>
            <w:tcW w:type="dxa" w:w="1224"/>
            <w:vAlign w:val="center"/>
          </w:tcPr>
          <w:p>
            <w:pPr>
              <w:jc w:val="center"/>
            </w:pPr>
            <w:r/>
            <w:r>
              <w:rPr>
                <w:rFonts w:ascii="Arial" w:hAnsi="Arial"/>
                <w:b w:val="0"/>
                <w:i w:val="0"/>
                <w:sz w:val="18"/>
              </w:rPr>
              <w:t>15 May</w:t>
            </w:r>
          </w:p>
        </w:tc>
        <w:tc>
          <w:tcPr>
            <w:tcW w:type="dxa" w:w="4032"/>
            <w:vAlign w:val="center"/>
          </w:tcPr>
          <w:p>
            <w:pPr>
              <w:jc w:val="center"/>
            </w:pPr>
            <w:r/>
            <w:r>
              <w:rPr>
                <w:rFonts w:ascii="Arial" w:hAnsi="Arial"/>
                <w:b w:val="0"/>
                <w:i w:val="0"/>
                <w:sz w:val="18"/>
              </w:rPr>
              <w:t>Empire Mfg Survey — Gen Bus Conditions 19.6 (4-yr high)</w:t>
            </w:r>
          </w:p>
        </w:tc>
        <w:tc>
          <w:tcPr>
            <w:tcW w:type="dxa" w:w="3744"/>
            <w:vAlign w:val="center"/>
          </w:tcPr>
          <w:p>
            <w:pPr>
              <w:jc w:val="center"/>
            </w:pPr>
            <w:r/>
            <w:r>
              <w:rPr>
                <w:rFonts w:ascii="Arial" w:hAnsi="Arial"/>
                <w:b w:val="0"/>
                <w:i w:val="0"/>
                <w:sz w:val="18"/>
              </w:rPr>
              <w:t>Hawkish growth signal; supported USD</w:t>
            </w:r>
          </w:p>
        </w:tc>
      </w:tr>
    </w:tbl>
    <w:p>
      <w:r>
        <w:rPr>
          <w:rFonts w:ascii="Arial" w:hAnsi="Arial"/>
          <w:b/>
          <w:i w:val="0"/>
          <w:sz w:val="22"/>
        </w:rPr>
        <w:t>§13d  News calendar — upcoming (5 sessions):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1368"/>
            <w:shd w:val="clear" w:color="auto" w:fill="1F3A5F"/>
            <w:vAlign w:val="center"/>
          </w:tcPr>
          <w:p>
            <w:pPr>
              <w:jc w:val="center"/>
            </w:pPr>
            <w:r/>
            <w:r>
              <w:rPr>
                <w:rFonts w:ascii="Arial" w:hAnsi="Arial"/>
                <w:b/>
                <w:i w:val="0"/>
                <w:color w:val="FFFFFF"/>
                <w:sz w:val="20"/>
              </w:rPr>
              <w:t>Date</w:t>
            </w:r>
          </w:p>
        </w:tc>
        <w:tc>
          <w:tcPr>
            <w:tcW w:type="dxa" w:w="3888"/>
            <w:shd w:val="clear" w:color="auto" w:fill="1F3A5F"/>
            <w:vAlign w:val="center"/>
          </w:tcPr>
          <w:p>
            <w:pPr>
              <w:jc w:val="center"/>
            </w:pPr>
            <w:r/>
            <w:r>
              <w:rPr>
                <w:rFonts w:ascii="Arial" w:hAnsi="Arial"/>
                <w:b/>
                <w:i w:val="0"/>
                <w:color w:val="FFFFFF"/>
                <w:sz w:val="20"/>
              </w:rPr>
              <w:t>Event</w:t>
            </w:r>
          </w:p>
        </w:tc>
        <w:tc>
          <w:tcPr>
            <w:tcW w:type="dxa" w:w="3744"/>
            <w:shd w:val="clear" w:color="auto" w:fill="1F3A5F"/>
            <w:vAlign w:val="center"/>
          </w:tcPr>
          <w:p>
            <w:pPr>
              <w:jc w:val="center"/>
            </w:pPr>
            <w:r/>
            <w:r>
              <w:rPr>
                <w:rFonts w:ascii="Arial" w:hAnsi="Arial"/>
                <w:b/>
                <w:i w:val="0"/>
                <w:color w:val="FFFFFF"/>
                <w:sz w:val="20"/>
              </w:rPr>
              <w:t>Mechanism for S&amp;P 500</w:t>
            </w:r>
          </w:p>
        </w:tc>
      </w:tr>
      <w:tr>
        <w:tc>
          <w:tcPr>
            <w:tcW w:type="dxa" w:w="1368"/>
            <w:vAlign w:val="center"/>
          </w:tcPr>
          <w:p>
            <w:pPr>
              <w:jc w:val="center"/>
            </w:pPr>
            <w:r/>
            <w:r>
              <w:rPr>
                <w:rFonts w:ascii="Arial" w:hAnsi="Arial"/>
                <w:b w:val="0"/>
                <w:i w:val="0"/>
                <w:sz w:val="18"/>
              </w:rPr>
              <w:t>19 May (Tue)</w:t>
            </w:r>
          </w:p>
        </w:tc>
        <w:tc>
          <w:tcPr>
            <w:tcW w:type="dxa" w:w="3888"/>
            <w:vAlign w:val="center"/>
          </w:tcPr>
          <w:p>
            <w:pPr>
              <w:jc w:val="center"/>
            </w:pPr>
            <w:r/>
            <w:r>
              <w:rPr>
                <w:rFonts w:ascii="Arial" w:hAnsi="Arial"/>
                <w:b w:val="0"/>
                <w:i w:val="0"/>
                <w:sz w:val="18"/>
              </w:rPr>
              <w:t>Walmart / Home Depot earnings</w:t>
            </w:r>
          </w:p>
        </w:tc>
        <w:tc>
          <w:tcPr>
            <w:tcW w:type="dxa" w:w="3744"/>
            <w:vAlign w:val="center"/>
          </w:tcPr>
          <w:p>
            <w:pPr>
              <w:jc w:val="center"/>
            </w:pPr>
            <w:r/>
            <w:r>
              <w:rPr>
                <w:rFonts w:ascii="Arial" w:hAnsi="Arial"/>
                <w:b w:val="0"/>
                <w:i w:val="0"/>
                <w:sz w:val="18"/>
              </w:rPr>
              <w:t>Tests whether energy shock is showing in consumer spending</w:t>
            </w:r>
          </w:p>
        </w:tc>
      </w:tr>
      <w:tr>
        <w:tc>
          <w:tcPr>
            <w:tcW w:type="dxa" w:w="1368"/>
            <w:vAlign w:val="center"/>
          </w:tcPr>
          <w:p>
            <w:pPr>
              <w:jc w:val="center"/>
            </w:pPr>
            <w:r/>
            <w:r>
              <w:rPr>
                <w:rFonts w:ascii="Arial" w:hAnsi="Arial"/>
                <w:b w:val="0"/>
                <w:i w:val="0"/>
                <w:sz w:val="18"/>
              </w:rPr>
              <w:t>20 May (Wed)</w:t>
            </w:r>
          </w:p>
        </w:tc>
        <w:tc>
          <w:tcPr>
            <w:tcW w:type="dxa" w:w="3888"/>
            <w:vAlign w:val="center"/>
          </w:tcPr>
          <w:p>
            <w:pPr>
              <w:jc w:val="center"/>
            </w:pPr>
            <w:r/>
            <w:r>
              <w:rPr>
                <w:rFonts w:ascii="Arial" w:hAnsi="Arial"/>
                <w:b w:val="0"/>
                <w:i w:val="0"/>
                <w:sz w:val="18"/>
              </w:rPr>
              <w:t>FOMC minutes (April meeting)</w:t>
            </w:r>
          </w:p>
        </w:tc>
        <w:tc>
          <w:tcPr>
            <w:tcW w:type="dxa" w:w="3744"/>
            <w:vAlign w:val="center"/>
          </w:tcPr>
          <w:p>
            <w:pPr>
              <w:jc w:val="center"/>
            </w:pPr>
            <w:r/>
            <w:r>
              <w:rPr>
                <w:rFonts w:ascii="Arial" w:hAnsi="Arial"/>
                <w:b w:val="0"/>
                <w:i w:val="0"/>
                <w:sz w:val="18"/>
              </w:rPr>
              <w:t>Confirms hawkish pivot framing for the 4.60% yield level</w:t>
            </w:r>
          </w:p>
        </w:tc>
      </w:tr>
      <w:tr>
        <w:tc>
          <w:tcPr>
            <w:tcW w:type="dxa" w:w="1368"/>
            <w:vAlign w:val="center"/>
          </w:tcPr>
          <w:p>
            <w:pPr>
              <w:jc w:val="center"/>
            </w:pPr>
            <w:r/>
            <w:r>
              <w:rPr>
                <w:rFonts w:ascii="Arial" w:hAnsi="Arial"/>
                <w:b w:val="0"/>
                <w:i w:val="0"/>
                <w:sz w:val="18"/>
              </w:rPr>
              <w:t>21 May (Thu)</w:t>
            </w:r>
          </w:p>
        </w:tc>
        <w:tc>
          <w:tcPr>
            <w:tcW w:type="dxa" w:w="3888"/>
            <w:vAlign w:val="center"/>
          </w:tcPr>
          <w:p>
            <w:pPr>
              <w:jc w:val="center"/>
            </w:pPr>
            <w:r/>
            <w:r>
              <w:rPr>
                <w:rFonts w:ascii="Arial" w:hAnsi="Arial"/>
                <w:b w:val="0"/>
                <w:i w:val="0"/>
                <w:sz w:val="18"/>
              </w:rPr>
              <w:t>NVIDIA Q1 FY27 earnings  ★ HIGHEST IMPACT</w:t>
            </w:r>
          </w:p>
        </w:tc>
        <w:tc>
          <w:tcPr>
            <w:tcW w:type="dxa" w:w="3744"/>
            <w:vAlign w:val="center"/>
          </w:tcPr>
          <w:p>
            <w:pPr>
              <w:jc w:val="center"/>
            </w:pPr>
            <w:r/>
            <w:r>
              <w:rPr>
                <w:rFonts w:ascii="Arial" w:hAnsi="Arial"/>
                <w:b w:val="0"/>
                <w:i w:val="0"/>
                <w:sz w:val="18"/>
              </w:rPr>
              <w:t>Single most important release — AI-led leadership pivots on data-centre revenue and guide</w:t>
            </w:r>
          </w:p>
        </w:tc>
      </w:tr>
      <w:tr>
        <w:tc>
          <w:tcPr>
            <w:tcW w:type="dxa" w:w="1368"/>
            <w:vAlign w:val="center"/>
          </w:tcPr>
          <w:p>
            <w:pPr>
              <w:jc w:val="center"/>
            </w:pPr>
            <w:r/>
            <w:r>
              <w:rPr>
                <w:rFonts w:ascii="Arial" w:hAnsi="Arial"/>
                <w:b w:val="0"/>
                <w:i w:val="0"/>
                <w:sz w:val="18"/>
              </w:rPr>
              <w:t>22 May (Fri)</w:t>
            </w:r>
          </w:p>
        </w:tc>
        <w:tc>
          <w:tcPr>
            <w:tcW w:type="dxa" w:w="3888"/>
            <w:vAlign w:val="center"/>
          </w:tcPr>
          <w:p>
            <w:pPr>
              <w:jc w:val="center"/>
            </w:pPr>
            <w:r/>
            <w:r>
              <w:rPr>
                <w:rFonts w:ascii="Arial" w:hAnsi="Arial"/>
                <w:b w:val="0"/>
                <w:i w:val="0"/>
                <w:sz w:val="18"/>
              </w:rPr>
              <w:t>S&amp;P Global Flash PMIs (US + EZ)</w:t>
            </w:r>
          </w:p>
        </w:tc>
        <w:tc>
          <w:tcPr>
            <w:tcW w:type="dxa" w:w="3744"/>
            <w:vAlign w:val="center"/>
          </w:tcPr>
          <w:p>
            <w:pPr>
              <w:jc w:val="center"/>
            </w:pPr>
            <w:r/>
            <w:r>
              <w:rPr>
                <w:rFonts w:ascii="Arial" w:hAnsi="Arial"/>
                <w:b w:val="0"/>
                <w:i w:val="0"/>
                <w:sz w:val="18"/>
              </w:rPr>
              <w:t>Real-time growth signal; second-derivative read on energy drag</w:t>
            </w:r>
          </w:p>
        </w:tc>
      </w:tr>
      <w:tr>
        <w:tc>
          <w:tcPr>
            <w:tcW w:type="dxa" w:w="1368"/>
            <w:vAlign w:val="center"/>
          </w:tcPr>
          <w:p>
            <w:pPr>
              <w:jc w:val="center"/>
            </w:pPr>
            <w:r/>
            <w:r>
              <w:rPr>
                <w:rFonts w:ascii="Arial" w:hAnsi="Arial"/>
                <w:b w:val="0"/>
                <w:i w:val="0"/>
                <w:sz w:val="18"/>
              </w:rPr>
              <w:t>23 May (Sat)</w:t>
            </w:r>
          </w:p>
        </w:tc>
        <w:tc>
          <w:tcPr>
            <w:tcW w:type="dxa" w:w="3888"/>
            <w:vAlign w:val="center"/>
          </w:tcPr>
          <w:p>
            <w:pPr>
              <w:jc w:val="center"/>
            </w:pPr>
            <w:r/>
            <w:r>
              <w:rPr>
                <w:rFonts w:ascii="Arial" w:hAnsi="Arial"/>
                <w:b w:val="0"/>
                <w:i w:val="0"/>
                <w:sz w:val="18"/>
              </w:rPr>
              <w:t>US Memorial Day weekend approach</w:t>
            </w:r>
          </w:p>
        </w:tc>
        <w:tc>
          <w:tcPr>
            <w:tcW w:type="dxa" w:w="3744"/>
            <w:vAlign w:val="center"/>
          </w:tcPr>
          <w:p>
            <w:pPr>
              <w:jc w:val="center"/>
            </w:pPr>
            <w:r/>
            <w:r>
              <w:rPr>
                <w:rFonts w:ascii="Arial" w:hAnsi="Arial"/>
                <w:b w:val="0"/>
                <w:i w:val="0"/>
                <w:sz w:val="18"/>
              </w:rPr>
              <w:t>Holiday-shortened week begins; lower liquidity tail</w:t>
            </w:r>
          </w:p>
        </w:tc>
      </w:tr>
    </w:tbl>
    <w:p>
      <w:r>
        <w:rPr>
          <w:rFonts w:ascii="Arial" w:hAnsi="Arial"/>
          <w:b/>
          <w:i w:val="0"/>
          <w:sz w:val="22"/>
        </w:rPr>
        <w:t>★ HIGHEST IMPACT: NVIDIA Q1 FY27 earnings (Thu 21 May). Mechanism: a data-centre revenue miss or a soft forward guide will reprice the entire AI-led mega-cap leadership complex, which has been responsible for the bulk of the YTD +8.70% S&amp;P return. A clean beat-and-raise can absorb the rates pressure and reverse the two-day pullback; a miss or guidance disappointment may extend the pullback to weekly S1 (7,352) or beyond.</w:t>
      </w:r>
    </w:p>
    <w:p>
      <w:pPr>
        <w:pStyle w:val="Heading1"/>
      </w:pPr>
      <w:r>
        <w:rPr>
          <w:rFonts w:ascii="Arial" w:hAnsi="Arial"/>
          <w:color w:val="1F3A5F"/>
        </w:rPr>
        <w:t>§14  Macro Context</w:t>
      </w:r>
    </w:p>
    <w:p>
      <w:r>
        <w:rPr>
          <w:rFonts w:ascii="Arial" w:hAnsi="Arial"/>
          <w:b w:val="0"/>
          <w:i w:val="0"/>
          <w:sz w:val="22"/>
        </w:rPr>
        <w:t>Rates: 10-year Treasury yield breached 4.60% on Fri 15 May — an 11.75-month high. Front-end SOFR pricing has flipped from cuts to one hike by Mar 2027 over a span of six weeks. The 2s10s curve flattened modestly on the long-end repricing. Implications for equity duration: the equity risk premium has compressed for long-duration growth names; this is precisely the cohort (AI mega-caps) that has led the rally — so the rate channel is the dominant headwind.</w:t>
      </w:r>
    </w:p>
    <w:p>
      <w:r>
        <w:rPr>
          <w:rFonts w:ascii="Arial" w:hAnsi="Arial"/>
          <w:b w:val="0"/>
          <w:i w:val="0"/>
          <w:sz w:val="22"/>
        </w:rPr>
        <w:t>Inflation: CPI and PPI prints from the week of 11 May both ran hot. Pass-through from the oil shock is now in headline data and beginning to seep into core via shelter and transportation services. The Fed's preferred PCE print due later in the month is the next pivotal data point.</w:t>
      </w:r>
    </w:p>
    <w:p>
      <w:r>
        <w:rPr>
          <w:rFonts w:ascii="Arial" w:hAnsi="Arial"/>
          <w:b w:val="0"/>
          <w:i w:val="0"/>
          <w:sz w:val="22"/>
        </w:rPr>
        <w:t>Liquidity: net liquidity (Fed balance-sheet + TGA + RRP) is broadly neutral. No imminent QT-end signal; the implicit equity tailwind from balance-sheet flow has faded versus 2024-2025.</w:t>
      </w:r>
    </w:p>
    <w:p>
      <w:r>
        <w:rPr>
          <w:rFonts w:ascii="Arial" w:hAnsi="Arial"/>
          <w:b w:val="0"/>
          <w:i w:val="0"/>
          <w:sz w:val="22"/>
        </w:rPr>
        <w:t>FX: USDX 99.21 with intraday high 99.35 — a multi-week high. The dollar is moving with rates and against risk assets — a textbook risk-off mode. Sustained DXY above 100 would be a meaningful headwind to multinational EPS translation.</w:t>
      </w:r>
    </w:p>
    <w:p>
      <w:r>
        <w:rPr>
          <w:rFonts w:ascii="Arial" w:hAnsi="Arial"/>
          <w:b w:val="0"/>
          <w:i w:val="0"/>
          <w:sz w:val="22"/>
        </w:rPr>
        <w:t>Positioning: CTA and systematic risk-parity positioning is reported to be elevated after seven weeks of trend continuation. Survey data from sell-side desks suggests discretionary long positioning is in the 70th-80th percentile — leaves room for de-leveraging on shocks but is not at extreme washout levels. VIX at 17.82 is moderately low; suggests positioning has not yet panic-reset.</w:t>
      </w:r>
    </w:p>
    <w:p>
      <w:pPr>
        <w:pStyle w:val="Heading1"/>
      </w:pPr>
      <w:r>
        <w:rPr>
          <w:rFonts w:ascii="Arial" w:hAnsi="Arial"/>
          <w:color w:val="1F3A5F"/>
        </w:rPr>
        <w:t>§15  Bull / Bear Balance</w:t>
      </w:r>
    </w:p>
    <w:tbl>
      <w:tblPr>
        <w:tblStyle w:val="LightGrid-Accent1"/>
        <w:tblW w:type="auto" w:w="0"/>
        <w:jc w:val="center"/>
        <w:tblLook w:firstColumn="1" w:firstRow="1" w:lastColumn="0" w:lastRow="0" w:noHBand="0" w:noVBand="1" w:val="04A0"/>
      </w:tblPr>
      <w:tblGrid>
        <w:gridCol w:w="4680"/>
        <w:gridCol w:w="4680"/>
      </w:tblGrid>
      <w:tr>
        <w:tc>
          <w:tcPr>
            <w:tcW w:type="dxa" w:w="4464"/>
            <w:shd w:val="clear" w:color="auto" w:fill="1F3A5F"/>
            <w:vAlign w:val="center"/>
          </w:tcPr>
          <w:p>
            <w:pPr>
              <w:jc w:val="center"/>
            </w:pPr>
            <w:r/>
            <w:r>
              <w:rPr>
                <w:rFonts w:ascii="Arial" w:hAnsi="Arial"/>
                <w:b/>
                <w:i w:val="0"/>
                <w:color w:val="FFFFFF"/>
                <w:sz w:val="20"/>
              </w:rPr>
              <w:t>Bull case (upside risks)</w:t>
            </w:r>
          </w:p>
        </w:tc>
        <w:tc>
          <w:tcPr>
            <w:tcW w:type="dxa" w:w="4536"/>
            <w:shd w:val="clear" w:color="auto" w:fill="1F3A5F"/>
            <w:vAlign w:val="center"/>
          </w:tcPr>
          <w:p>
            <w:pPr>
              <w:jc w:val="center"/>
            </w:pPr>
            <w:r/>
            <w:r>
              <w:rPr>
                <w:rFonts w:ascii="Arial" w:hAnsi="Arial"/>
                <w:b/>
                <w:i w:val="0"/>
                <w:color w:val="FFFFFF"/>
                <w:sz w:val="20"/>
              </w:rPr>
              <w:t>Bear case (downside risks)</w:t>
            </w:r>
          </w:p>
        </w:tc>
      </w:tr>
      <w:tr>
        <w:tc>
          <w:tcPr>
            <w:tcW w:type="dxa" w:w="4464"/>
            <w:vAlign w:val="center"/>
          </w:tcPr>
          <w:p>
            <w:pPr>
              <w:jc w:val="center"/>
            </w:pPr>
            <w:r/>
            <w:r>
              <w:rPr>
                <w:rFonts w:ascii="Arial" w:hAnsi="Arial"/>
                <w:b w:val="0"/>
                <w:i w:val="0"/>
                <w:sz w:val="18"/>
              </w:rPr>
              <w:t>Nvidia delivers clean beat-and-raise on data-centre revenue (Thu 21 May)</w:t>
            </w:r>
          </w:p>
        </w:tc>
        <w:tc>
          <w:tcPr>
            <w:tcW w:type="dxa" w:w="4536"/>
            <w:vAlign w:val="center"/>
          </w:tcPr>
          <w:p>
            <w:pPr>
              <w:jc w:val="center"/>
            </w:pPr>
            <w:r/>
            <w:r>
              <w:rPr>
                <w:rFonts w:ascii="Arial" w:hAnsi="Arial"/>
                <w:b w:val="0"/>
                <w:i w:val="0"/>
                <w:sz w:val="18"/>
              </w:rPr>
              <w:t>Nvidia disappoints — AI-led leadership repriced lower across the cohort</w:t>
            </w:r>
          </w:p>
        </w:tc>
      </w:tr>
      <w:tr>
        <w:tc>
          <w:tcPr>
            <w:tcW w:type="dxa" w:w="4464"/>
            <w:vAlign w:val="center"/>
          </w:tcPr>
          <w:p>
            <w:pPr>
              <w:jc w:val="center"/>
            </w:pPr>
            <w:r/>
            <w:r>
              <w:rPr>
                <w:rFonts w:ascii="Arial" w:hAnsi="Arial"/>
                <w:b w:val="0"/>
                <w:i w:val="0"/>
                <w:sz w:val="18"/>
              </w:rPr>
              <w:t>Iran / Hormuz tail risk resolves; oil unwinds toward $90 → rate-hike pricing fades</w:t>
            </w:r>
          </w:p>
        </w:tc>
        <w:tc>
          <w:tcPr>
            <w:tcW w:type="dxa" w:w="4536"/>
            <w:vAlign w:val="center"/>
          </w:tcPr>
          <w:p>
            <w:pPr>
              <w:jc w:val="center"/>
            </w:pPr>
            <w:r/>
            <w:r>
              <w:rPr>
                <w:rFonts w:ascii="Arial" w:hAnsi="Arial"/>
                <w:b w:val="0"/>
                <w:i w:val="0"/>
                <w:sz w:val="18"/>
              </w:rPr>
              <w:t>Iran-Hormuz escalates; WTI $115+ → 10y yield breaks 4.75% → equity duration sells off</w:t>
            </w:r>
          </w:p>
        </w:tc>
      </w:tr>
      <w:tr>
        <w:tc>
          <w:tcPr>
            <w:tcW w:type="dxa" w:w="4464"/>
            <w:vAlign w:val="center"/>
          </w:tcPr>
          <w:p>
            <w:pPr>
              <w:jc w:val="center"/>
            </w:pPr>
            <w:r/>
            <w:r>
              <w:rPr>
                <w:rFonts w:ascii="Arial" w:hAnsi="Arial"/>
                <w:b w:val="0"/>
                <w:i w:val="0"/>
                <w:sz w:val="18"/>
              </w:rPr>
              <w:t>RSI2 at 7.5 is extreme oversold; mean-reversion bounce to weekly P (7,435) likely</w:t>
            </w:r>
          </w:p>
        </w:tc>
        <w:tc>
          <w:tcPr>
            <w:tcW w:type="dxa" w:w="4536"/>
            <w:vAlign w:val="center"/>
          </w:tcPr>
          <w:p>
            <w:pPr>
              <w:jc w:val="center"/>
            </w:pPr>
            <w:r/>
            <w:r>
              <w:rPr>
                <w:rFonts w:ascii="Arial" w:hAnsi="Arial"/>
                <w:b w:val="0"/>
                <w:i w:val="0"/>
                <w:sz w:val="18"/>
              </w:rPr>
              <w:t>Daily S1 (7,372) breaks; weekly S1 (7,352) follows; structural trend-line test at 7,300</w:t>
            </w:r>
          </w:p>
        </w:tc>
      </w:tr>
      <w:tr>
        <w:tc>
          <w:tcPr>
            <w:tcW w:type="dxa" w:w="4464"/>
            <w:vAlign w:val="center"/>
          </w:tcPr>
          <w:p>
            <w:pPr>
              <w:jc w:val="center"/>
            </w:pPr>
            <w:r/>
            <w:r>
              <w:rPr>
                <w:rFonts w:ascii="Arial" w:hAnsi="Arial"/>
                <w:b w:val="0"/>
                <w:i w:val="0"/>
                <w:sz w:val="18"/>
              </w:rPr>
              <w:t>KER still trending-up bias; medium-term regime intact above 25-session anchor 7,100</w:t>
            </w:r>
          </w:p>
        </w:tc>
        <w:tc>
          <w:tcPr>
            <w:tcW w:type="dxa" w:w="4536"/>
            <w:vAlign w:val="center"/>
          </w:tcPr>
          <w:p>
            <w:pPr>
              <w:jc w:val="center"/>
            </w:pPr>
            <w:r/>
            <w:r>
              <w:rPr>
                <w:rFonts w:ascii="Arial" w:hAnsi="Arial"/>
                <w:b w:val="0"/>
                <w:i w:val="0"/>
                <w:sz w:val="18"/>
              </w:rPr>
              <w:t>USDX clears 100; multinational EPS translation headwind compounds rate pressure</w:t>
            </w:r>
          </w:p>
        </w:tc>
      </w:tr>
      <w:tr>
        <w:tc>
          <w:tcPr>
            <w:tcW w:type="dxa" w:w="4464"/>
            <w:vAlign w:val="center"/>
          </w:tcPr>
          <w:p>
            <w:pPr>
              <w:jc w:val="center"/>
            </w:pPr>
            <w:r/>
            <w:r>
              <w:rPr>
                <w:rFonts w:ascii="Arial" w:hAnsi="Arial"/>
                <w:b w:val="0"/>
                <w:i w:val="0"/>
                <w:sz w:val="18"/>
              </w:rPr>
              <w:t>Sentiment tilt +0.19 with institutional anchor (Oppenheimer Q1 earnings) supportive</w:t>
            </w:r>
          </w:p>
        </w:tc>
        <w:tc>
          <w:tcPr>
            <w:tcW w:type="dxa" w:w="4536"/>
            <w:vAlign w:val="center"/>
          </w:tcPr>
          <w:p>
            <w:pPr>
              <w:jc w:val="center"/>
            </w:pPr>
            <w:r/>
            <w:r>
              <w:rPr>
                <w:rFonts w:ascii="Arial" w:hAnsi="Arial"/>
                <w:b w:val="0"/>
                <w:i w:val="0"/>
                <w:sz w:val="18"/>
              </w:rPr>
              <w:t>FOMC minutes Wed 20 May confirm hawkish framing — rate-path risk re-engages</w:t>
            </w:r>
          </w:p>
        </w:tc>
      </w:tr>
    </w:tbl>
    <w:p>
      <w:r>
        <w:rPr>
          <w:rFonts w:ascii="Arial" w:hAnsi="Arial"/>
          <w:b w:val="0"/>
          <w:i/>
          <w:color w:val="555555"/>
          <w:sz w:val="20"/>
        </w:rPr>
        <w:t>Cross-reference: daily pivot position (centroid), regime classification (Trending Up — Moderate), and the §13d upcoming events calendar (Nvidia earnings is the binding single-event risk) all point to a binary setup over the next 3-5 sessions.</w:t>
      </w:r>
    </w:p>
    <w:p>
      <w:pPr>
        <w:pStyle w:val="Heading1"/>
      </w:pPr>
      <w:r>
        <w:rPr>
          <w:rFonts w:ascii="Arial" w:hAnsi="Arial"/>
          <w:color w:val="1F3A5F"/>
        </w:rPr>
        <w:t>§16  Forward View</w:t>
      </w:r>
    </w:p>
    <w:p>
      <w:r>
        <w:rPr>
          <w:rFonts w:ascii="Arial" w:hAnsi="Arial"/>
          <w:b w:val="0"/>
          <w:i w:val="0"/>
          <w:sz w:val="22"/>
        </w:rPr>
        <w:t>Expected direction over the next 5 trading days: sideways-to-slightly-higher with high event-risk variance around Wed FOMC minutes and Thu Nvidia earnings. The base case is a stabilisation bounce from the deep RSI2 oversold print toward the 7,435 daily R1 / weekly pivot confluence over Tue-Wed, followed by an event-driven move in either direction on Thu post-Nvidia.</w:t>
      </w:r>
    </w:p>
    <w:p>
      <w:r>
        <w:rPr>
          <w:rFonts w:ascii="Arial" w:hAnsi="Arial"/>
          <w:b w:val="0"/>
          <w:i w:val="0"/>
          <w:sz w:val="22"/>
        </w:rPr>
        <w:t>Expected trading range: 7,335 to 7,495 — a roughly ±1% to ±1.25% band around the current cash close, asymmetric to the upside on a clean Nvidia print.</w:t>
      </w:r>
    </w:p>
    <w:p>
      <w:r>
        <w:rPr>
          <w:rFonts w:ascii="Arial" w:hAnsi="Arial"/>
          <w:b w:val="0"/>
          <w:i w:val="0"/>
          <w:sz w:val="22"/>
        </w:rPr>
        <w:t>Base case invalidation: a daily close below weekly S1 (7,352) prior to Nvidia earnings would invalidate the base case and shift the operative bias to a structural trend-line retest at 7,250-7,300. Above 7,500 (the prior ATH zone) on a post-earnings move would reactivate the breakout-continuation path with targets at weekly R1 (7,491) and weekly R2 (7,573).</w:t>
      </w:r>
    </w:p>
    <w:p>
      <w:r>
        <w:rPr>
          <w:rFonts w:ascii="Arial" w:hAnsi="Arial"/>
          <w:b w:val="0"/>
          <w:i/>
          <w:color w:val="555555"/>
          <w:sz w:val="20"/>
        </w:rPr>
        <w:t>Respects technical regime: Yes — the Forward View is consistent with the Trending Up — Moderate medium-term classification. The short-term Transitional Bearish read is treated as a within-trend pullback, not a regime change. No flag for contradiction.</w:t>
      </w:r>
    </w:p>
    <w:p>
      <w:pPr>
        <w:pStyle w:val="Heading1"/>
      </w:pPr>
      <w:r>
        <w:rPr>
          <w:rFonts w:ascii="Arial" w:hAnsi="Arial"/>
          <w:color w:val="1F3A5F"/>
        </w:rPr>
        <w:t>§17  Forecast</w:t>
      </w:r>
    </w:p>
    <w:p>
      <w:r>
        <w:rPr>
          <w:rFonts w:ascii="Arial" w:hAnsi="Arial"/>
          <w:b/>
          <w:i w:val="0"/>
          <w:sz w:val="22"/>
        </w:rPr>
        <w:t>S&amp;P 500 stabilises around 7,400 into the Wed FOMC minutes, bounces toward the 7,435 daily-R1 / weekly-pivot confluence by mid-week on the RSI2 oversold mean-reversion impulse, and then resolves directionally on Nvidia earnings Thu — base case finishes the week in the 7,420–7,475 zone.</w:t>
      </w:r>
    </w:p>
    <w:p>
      <w:pPr>
        <w:pStyle w:val="Heading1"/>
      </w:pPr>
      <w:r>
        <w:rPr>
          <w:rFonts w:ascii="Arial" w:hAnsi="Arial"/>
          <w:color w:val="1F3A5F"/>
        </w:rPr>
        <w:t>§18  Final Analyst Judgement</w:t>
      </w:r>
    </w:p>
    <w:tbl>
      <w:tblPr>
        <w:tblStyle w:val="LightGrid-Accent1"/>
        <w:tblW w:type="auto" w:w="0"/>
        <w:jc w:val="center"/>
        <w:tblLook w:firstColumn="1" w:firstRow="1" w:lastColumn="0" w:lastRow="0" w:noHBand="0" w:noVBand="1" w:val="04A0"/>
      </w:tblPr>
      <w:tblGrid>
        <w:gridCol w:w="4680"/>
        <w:gridCol w:w="4680"/>
      </w:tblGrid>
      <w:tr>
        <w:tc>
          <w:tcPr>
            <w:tcW w:type="dxa" w:w="2592"/>
            <w:shd w:val="clear" w:color="auto" w:fill="1F3A5F"/>
            <w:vAlign w:val="center"/>
          </w:tcPr>
          <w:p>
            <w:pPr>
              <w:jc w:val="center"/>
            </w:pPr>
            <w:r/>
            <w:r>
              <w:rPr>
                <w:rFonts w:ascii="Arial" w:hAnsi="Arial"/>
                <w:b/>
                <w:i w:val="0"/>
                <w:color w:val="FFFFFF"/>
                <w:sz w:val="20"/>
              </w:rPr>
              <w:t>Field</w:t>
            </w:r>
          </w:p>
        </w:tc>
        <w:tc>
          <w:tcPr>
            <w:tcW w:type="dxa" w:w="6408"/>
            <w:shd w:val="clear" w:color="auto" w:fill="1F3A5F"/>
            <w:vAlign w:val="center"/>
          </w:tcPr>
          <w:p>
            <w:pPr>
              <w:jc w:val="center"/>
            </w:pPr>
            <w:r/>
            <w:r>
              <w:rPr>
                <w:rFonts w:ascii="Arial" w:hAnsi="Arial"/>
                <w:b/>
                <w:i w:val="0"/>
                <w:color w:val="FFFFFF"/>
                <w:sz w:val="20"/>
              </w:rPr>
              <w:t>Value</w:t>
            </w:r>
          </w:p>
        </w:tc>
      </w:tr>
      <w:tr>
        <w:tc>
          <w:tcPr>
            <w:tcW w:type="dxa" w:w="2592"/>
            <w:vAlign w:val="center"/>
          </w:tcPr>
          <w:p>
            <w:pPr>
              <w:jc w:val="center"/>
            </w:pPr>
            <w:r/>
            <w:r>
              <w:rPr>
                <w:rFonts w:ascii="Arial" w:hAnsi="Arial"/>
                <w:b w:val="0"/>
                <w:i w:val="0"/>
                <w:sz w:val="18"/>
              </w:rPr>
              <w:t>Consensus price call</w:t>
            </w:r>
          </w:p>
        </w:tc>
        <w:tc>
          <w:tcPr>
            <w:tcW w:type="dxa" w:w="6408"/>
            <w:vAlign w:val="center"/>
          </w:tcPr>
          <w:p>
            <w:pPr>
              <w:jc w:val="center"/>
            </w:pPr>
            <w:r/>
            <w:r>
              <w:rPr>
                <w:rFonts w:ascii="Arial" w:hAnsi="Arial"/>
                <w:b w:val="0"/>
                <w:i w:val="0"/>
                <w:sz w:val="18"/>
              </w:rPr>
              <w:t>7,403 (range 7,371-7,434)</w:t>
            </w:r>
          </w:p>
        </w:tc>
      </w:tr>
      <w:tr>
        <w:tc>
          <w:tcPr>
            <w:tcW w:type="dxa" w:w="2592"/>
            <w:vAlign w:val="center"/>
          </w:tcPr>
          <w:p>
            <w:pPr>
              <w:jc w:val="center"/>
            </w:pPr>
            <w:r/>
            <w:r>
              <w:rPr>
                <w:rFonts w:ascii="Arial" w:hAnsi="Arial"/>
                <w:b w:val="0"/>
                <w:i w:val="0"/>
                <w:sz w:val="18"/>
              </w:rPr>
              <w:t>Confidence</w:t>
            </w:r>
          </w:p>
        </w:tc>
        <w:tc>
          <w:tcPr>
            <w:tcW w:type="dxa" w:w="6408"/>
            <w:vAlign w:val="center"/>
          </w:tcPr>
          <w:p>
            <w:pPr>
              <w:jc w:val="center"/>
            </w:pPr>
            <w:r/>
            <w:r>
              <w:rPr>
                <w:rFonts w:ascii="Arial" w:hAnsi="Arial"/>
                <w:b w:val="0"/>
                <w:i w:val="0"/>
                <w:sz w:val="18"/>
              </w:rPr>
              <w:t>Medium-High</w:t>
            </w:r>
          </w:p>
        </w:tc>
      </w:tr>
      <w:tr>
        <w:tc>
          <w:tcPr>
            <w:tcW w:type="dxa" w:w="2592"/>
            <w:vAlign w:val="center"/>
          </w:tcPr>
          <w:p>
            <w:pPr>
              <w:jc w:val="center"/>
            </w:pPr>
            <w:r/>
            <w:r>
              <w:rPr>
                <w:rFonts w:ascii="Arial" w:hAnsi="Arial"/>
                <w:b w:val="0"/>
                <w:i w:val="0"/>
                <w:sz w:val="18"/>
              </w:rPr>
              <w:t>Reason 1 — Most important</w:t>
            </w:r>
          </w:p>
        </w:tc>
        <w:tc>
          <w:tcPr>
            <w:tcW w:type="dxa" w:w="6408"/>
            <w:vAlign w:val="center"/>
          </w:tcPr>
          <w:p>
            <w:pPr>
              <w:jc w:val="center"/>
            </w:pPr>
            <w:r/>
            <w:r>
              <w:rPr>
                <w:rFonts w:ascii="Arial" w:hAnsi="Arial"/>
                <w:b w:val="0"/>
                <w:i w:val="0"/>
                <w:sz w:val="18"/>
              </w:rPr>
              <w:t>Deep RSI2 oversold (7.5) into a trending-bullish medium-term regime — high-conviction mean-reversion setup</w:t>
            </w:r>
          </w:p>
        </w:tc>
      </w:tr>
      <w:tr>
        <w:tc>
          <w:tcPr>
            <w:tcW w:type="dxa" w:w="2592"/>
            <w:vAlign w:val="center"/>
          </w:tcPr>
          <w:p>
            <w:pPr>
              <w:jc w:val="center"/>
            </w:pPr>
            <w:r/>
            <w:r>
              <w:rPr>
                <w:rFonts w:ascii="Arial" w:hAnsi="Arial"/>
                <w:b w:val="0"/>
                <w:i w:val="0"/>
                <w:sz w:val="18"/>
              </w:rPr>
              <w:t>Reason 2</w:t>
            </w:r>
          </w:p>
        </w:tc>
        <w:tc>
          <w:tcPr>
            <w:tcW w:type="dxa" w:w="6408"/>
            <w:vAlign w:val="center"/>
          </w:tcPr>
          <w:p>
            <w:pPr>
              <w:jc w:val="center"/>
            </w:pPr>
            <w:r/>
            <w:r>
              <w:rPr>
                <w:rFonts w:ascii="Arial" w:hAnsi="Arial"/>
                <w:b w:val="0"/>
                <w:i w:val="0"/>
                <w:sz w:val="18"/>
              </w:rPr>
              <w:t>Daily pivot framework places cash at the centroid with clean R1/S1 boundaries and strong monthly-R2 / daily-R1 confluence at 7,431-7,434</w:t>
            </w:r>
          </w:p>
        </w:tc>
      </w:tr>
      <w:tr>
        <w:tc>
          <w:tcPr>
            <w:tcW w:type="dxa" w:w="2592"/>
            <w:vAlign w:val="center"/>
          </w:tcPr>
          <w:p>
            <w:pPr>
              <w:jc w:val="center"/>
            </w:pPr>
            <w:r/>
            <w:r>
              <w:rPr>
                <w:rFonts w:ascii="Arial" w:hAnsi="Arial"/>
                <w:b w:val="0"/>
                <w:i w:val="0"/>
                <w:sz w:val="18"/>
              </w:rPr>
              <w:t>Reason 3</w:t>
            </w:r>
          </w:p>
        </w:tc>
        <w:tc>
          <w:tcPr>
            <w:tcW w:type="dxa" w:w="6408"/>
            <w:vAlign w:val="center"/>
          </w:tcPr>
          <w:p>
            <w:pPr>
              <w:jc w:val="center"/>
            </w:pPr>
            <w:r/>
            <w:r>
              <w:rPr>
                <w:rFonts w:ascii="Arial" w:hAnsi="Arial"/>
                <w:b w:val="0"/>
                <w:i w:val="0"/>
                <w:sz w:val="18"/>
              </w:rPr>
              <w:t>Institutional sentiment tilt +0.19, anchored by Q1 earnings strength, offsets the rates/energy bear pulse on a 5-session horizon</w:t>
            </w:r>
          </w:p>
        </w:tc>
      </w:tr>
      <w:tr>
        <w:tc>
          <w:tcPr>
            <w:tcW w:type="dxa" w:w="2592"/>
            <w:vAlign w:val="center"/>
          </w:tcPr>
          <w:p>
            <w:pPr>
              <w:jc w:val="center"/>
            </w:pPr>
            <w:r/>
            <w:r>
              <w:rPr>
                <w:rFonts w:ascii="Arial" w:hAnsi="Arial"/>
                <w:b w:val="0"/>
                <w:i w:val="0"/>
                <w:sz w:val="18"/>
              </w:rPr>
              <w:t>Single watch item</w:t>
            </w:r>
          </w:p>
        </w:tc>
        <w:tc>
          <w:tcPr>
            <w:tcW w:type="dxa" w:w="6408"/>
            <w:vAlign w:val="center"/>
          </w:tcPr>
          <w:p>
            <w:pPr>
              <w:jc w:val="center"/>
            </w:pPr>
            <w:r/>
            <w:r>
              <w:rPr>
                <w:rFonts w:ascii="Arial" w:hAnsi="Arial"/>
                <w:b w:val="0"/>
                <w:i w:val="0"/>
                <w:sz w:val="18"/>
              </w:rPr>
              <w:t>Nvidia Q1 FY27 earnings (Thu 21 May) — binding single-event risk for AI-led mega-cap leadership</w:t>
            </w:r>
          </w:p>
        </w:tc>
      </w:tr>
    </w:tbl>
    <w:p>
      <w:pPr>
        <w:pStyle w:val="Heading1"/>
      </w:pPr>
      <w:r>
        <w:rPr>
          <w:rFonts w:ascii="Arial" w:hAnsi="Arial"/>
          <w:color w:val="1F3A5F"/>
        </w:rPr>
        <w:t>§19  Source Discipline Note</w:t>
      </w:r>
    </w:p>
    <w:p>
      <w:r>
        <w:rPr>
          <w:rFonts w:ascii="Arial" w:hAnsi="Arial"/>
          <w:b/>
          <w:i w:val="0"/>
          <w:sz w:val="22"/>
        </w:rPr>
        <w:t>Live vs indicative data:</w:t>
      </w:r>
    </w:p>
    <w:p>
      <w:r>
        <w:rPr>
          <w:rFonts w:ascii="Arial" w:hAnsi="Arial"/>
          <w:b w:val="0"/>
          <w:i w:val="0"/>
          <w:sz w:val="22"/>
        </w:rPr>
        <w:t>Fully corroborated (live, dual-source): 14 May 2026 ATH 7,517.12, 15 May 2026 close 7,408.50, 18 May 2026 OHLC (7,415.07 / 7,434.06 / 7,371.75 / 7,403.05).</w:t>
      </w:r>
    </w:p>
    <w:p>
      <w:r>
        <w:rPr>
          <w:rFonts w:ascii="Arial" w:hAnsi="Arial"/>
          <w:b w:val="0"/>
          <w:i w:val="0"/>
          <w:sz w:val="22"/>
        </w:rPr>
        <w:t>Single-source-indicative (used with caveat): 12-13 May 2026 OHLC and 14 May open/low/close (aggregator-only); prior-week low 7,378.40 and April 2026 monthly H/L/C. The weekly and monthly pivot tables in §11 carry the SINGLE-SOURCE-INDICATIVE flag and downstream strategy use is qualified accordingly in §21.</w:t>
      </w:r>
    </w:p>
    <w:p>
      <w:r>
        <w:rPr>
          <w:rFonts w:ascii="Arial" w:hAnsi="Arial"/>
          <w:b/>
          <w:i w:val="0"/>
          <w:sz w:val="22"/>
        </w:rPr>
        <w:t xml:space="preserve">Data gaps: </w:t>
      </w:r>
    </w:p>
    <w:p>
      <w:r>
        <w:rPr>
          <w:rFonts w:ascii="Arial" w:hAnsi="Arial"/>
          <w:b w:val="0"/>
          <w:i w:val="0"/>
          <w:sz w:val="22"/>
        </w:rPr>
        <w:t>Live, full-precision intraday tick data was not available at the time of report build; OHLC reconstruction relied on end-of-session published values. The 19 May 2026 session is a forward-projection report — the as-of date is 19 May (Tue), and the analysis is built from the most recent completed session (Mon 18 May). No 19 May session OHLC exists yet.</w:t>
      </w:r>
    </w:p>
    <w:p>
      <w:r>
        <w:rPr>
          <w:rFonts w:ascii="Arial" w:hAnsi="Arial"/>
          <w:b/>
          <w:i w:val="0"/>
          <w:sz w:val="22"/>
        </w:rPr>
        <w:t xml:space="preserve">Normalization assumptions: </w:t>
      </w:r>
    </w:p>
    <w:p>
      <w:r>
        <w:rPr>
          <w:rFonts w:ascii="Arial" w:hAnsi="Arial"/>
          <w:b w:val="0"/>
          <w:i w:val="0"/>
          <w:sz w:val="22"/>
        </w:rPr>
        <w:t>All values reported in USD, index points, two-decimal precision. NYSE/NASDAQ regular session basis only — pre-market and after-hours indications excluded. CME ES futures are confirmation-only and excluded from the cash-basis consensus median to prevent basis blending.</w:t>
      </w:r>
    </w:p>
    <w:p>
      <w:r>
        <w:rPr>
          <w:rFonts w:ascii="Arial" w:hAnsi="Arial"/>
          <w:b/>
          <w:i w:val="0"/>
          <w:sz w:val="22"/>
        </w:rPr>
        <w:t xml:space="preserve">Corroboration status by instrument: </w:t>
      </w:r>
    </w:p>
    <w:p>
      <w:r>
        <w:rPr>
          <w:rFonts w:ascii="Arial" w:hAnsi="Arial"/>
          <w:b w:val="0"/>
          <w:i w:val="0"/>
          <w:sz w:val="22"/>
        </w:rPr>
        <w:t>S&amp;P 500: CORROBORATED for the 15-May and 18-May session anchors; INDICATIVE for the 12-14 May intraday block (pivot derivation uses prior-week H and C only, both of which are corroborated). USDX: CORROBORATED (Yahoo + Investing.com + TradingEconomics agree). VIX: CORROBORATED (Yahoo + CNBC). DAX 40: CORROBORATED (Yahoo end-of-session).</w:t>
      </w:r>
    </w:p>
    <w:p>
      <w:pPr>
        <w:pStyle w:val="Heading1"/>
      </w:pPr>
      <w:r>
        <w:rPr>
          <w:rFonts w:ascii="Arial" w:hAnsi="Arial"/>
          <w:color w:val="1F3A5F"/>
        </w:rPr>
        <w:t>§20  Agent Log</w:t>
      </w:r>
    </w:p>
    <w:p>
      <w:r>
        <w:rPr>
          <w:rFonts w:ascii="Arial" w:hAnsi="Arial"/>
          <w:b/>
          <w:i w:val="0"/>
          <w:sz w:val="22"/>
        </w:rPr>
        <w:t>Sources attempted (in order of priority):</w:t>
      </w:r>
    </w:p>
    <w:p>
      <w:r>
        <w:rPr>
          <w:rFonts w:ascii="Arial" w:hAnsi="Arial"/>
          <w:b w:val="0"/>
          <w:i w:val="0"/>
          <w:sz w:val="22"/>
        </w:rPr>
        <w:t>Tier 1 (Exchange / index provider): FRED (S&amp;P Dow Jones Indices) — accessed for 15-May close; CNBC (.SPX feed) — accessed for 18-May intraday OHLC. Tier 2 (Aggregators): Yahoo Finance, Investing.com, TradingView — accessed for confirmation. Tier 3 (Macro commentary): TradingEconomics, Barchart, Wikipedia closing-milestones page. Total: 8 discrete data sources referenced; minimum-six-source threshold met.</w:t>
      </w:r>
    </w:p>
    <w:p>
      <w:r>
        <w:rPr>
          <w:rFonts w:ascii="Arial" w:hAnsi="Arial"/>
          <w:b/>
          <w:i w:val="0"/>
          <w:sz w:val="22"/>
        </w:rPr>
        <w:t>Validation method:</w:t>
      </w:r>
    </w:p>
    <w:p>
      <w:r>
        <w:rPr>
          <w:rFonts w:ascii="Arial" w:hAnsi="Arial"/>
          <w:b w:val="0"/>
          <w:i w:val="0"/>
          <w:sz w:val="22"/>
        </w:rPr>
        <w:t>Dual-source corroboration on official close values. Aggregator-only intraday data flagged SINGLE-SOURCE-INDICATIVE per the data quality bar. Sentiment derivation via explicit derivation quote ≤15 words per article (see §13a).</w:t>
      </w:r>
    </w:p>
    <w:p>
      <w:r>
        <w:rPr>
          <w:rFonts w:ascii="Arial" w:hAnsi="Arial"/>
          <w:b/>
          <w:i w:val="0"/>
          <w:sz w:val="22"/>
        </w:rPr>
        <w:t>Sentiment derivation:</w:t>
      </w:r>
    </w:p>
    <w:p>
      <w:r>
        <w:rPr>
          <w:rFonts w:ascii="Arial" w:hAnsi="Arial"/>
          <w:b w:val="0"/>
          <w:i w:val="0"/>
          <w:sz w:val="22"/>
        </w:rPr>
        <w:t>7 articles classified, source-class-weighted (institutional 1.0, trade press 0.7, media 0.5). Computation: Σw·s = +0.8, Σw = 4.2, tilt = +0.19. Categorical label: Predominantly Bullish.</w:t>
      </w:r>
    </w:p>
    <w:p>
      <w:r>
        <w:rPr>
          <w:rFonts w:ascii="Arial" w:hAnsi="Arial"/>
          <w:b/>
          <w:i w:val="0"/>
          <w:sz w:val="22"/>
        </w:rPr>
        <w:t>Forecast reasoning:</w:t>
      </w:r>
    </w:p>
    <w:p>
      <w:r>
        <w:rPr>
          <w:rFonts w:ascii="Arial" w:hAnsi="Arial"/>
          <w:b w:val="0"/>
          <w:i w:val="0"/>
          <w:sz w:val="22"/>
        </w:rPr>
        <w:t>Integration of: (a) short-term Transitional Bearish + deep RSI2 oversold; (b) medium-term Trending Up — Moderate; (c) Kaufman KER +0.17 (trending threshold cleared); (d) cross-asset MIXED (USDX and DAX confirm bear pulse; VIX easing on Mon counter-signals); (e) sentiment tilt +0.19. Net composite favours mean-reversion to daily pivot / weekly pivot confluence with event-risk variance around Thu Nvidia earnings.</w:t>
      </w:r>
    </w:p>
    <w:p>
      <w:r>
        <w:rPr>
          <w:rFonts w:ascii="Arial" w:hAnsi="Arial"/>
          <w:b/>
          <w:i w:val="0"/>
          <w:sz w:val="22"/>
        </w:rPr>
        <w:t>Anomalies / flags:</w:t>
      </w:r>
    </w:p>
    <w:p>
      <w:r>
        <w:rPr>
          <w:rFonts w:ascii="Arial" w:hAnsi="Arial"/>
          <w:b w:val="0"/>
          <w:i w:val="0"/>
          <w:sz w:val="22"/>
        </w:rPr>
        <w:t>1) Anchor override applied: the daily-open anchor was overridden from its standard instance value (07:00 UK pre-NY-open window) to 00:00 UK at runtime per explicit user instruction. This shifts the Trade 1 entry timestamp earlier by 7 hours into the late-Asia session — entries become pending orders that trigger when the NY cash session opens at 14:30 UK / 09:30 ET. 2) Report is dated 19-May-2026 with analysis built from the prior session (18-May-2026 NY close); no 19-May session OHLC available yet. 3) Lenient corroboration applied to 12-13 May intraday data per user runtime instruction — single-source aggregator values used to populate the 5-day OHLC block with explicit INDICATIVE flag. 4) Strategy recommendations produced without suppression per user runtime instruction even where pivot levels carry SINGLE-SOURCE-INDICATIVE flag.</w:t>
      </w:r>
    </w:p>
    <w:p>
      <w:r>
        <w:rPr>
          <w:rFonts w:ascii="Arial" w:hAnsi="Arial"/>
          <w:b/>
          <w:i w:val="0"/>
          <w:sz w:val="22"/>
        </w:rPr>
        <w:t>Strategy trace (direction-score weights and contributions):</w:t>
      </w:r>
    </w:p>
    <w:p>
      <w:r>
        <w:rPr>
          <w:rFonts w:ascii="Arial" w:hAnsi="Arial"/>
          <w:b w:val="0"/>
          <w:i w:val="0"/>
          <w:sz w:val="22"/>
        </w:rPr>
        <w:t>Weights basis: DEFAULT (locked, session 1 of 20). Per-signal contributions: short-term technical = −1.0 × 0.25 = −0.25 (RSI2 7.5 + bearish 2-day sequence); medium-term regime = +1.0 × 0.20 = +0.20 (Trending Bullish); VOLator = +1.0 × 0.10 = +0.10 (positive slope, expansion); Kaufman = +0.5 × 0.15 = +0.075 (Trending Up — Moderate, not Strong); Sentiment = +0.19 × 0.15 = +0.0285 (Predominantly Bullish, low confidence); Cross-asset = 0.0 × 0.15 = 0.0 (MIXED). Composite direction score: +0.158. Below the ±0.25 conviction threshold — Trade 1 would normally be SUPPRESSED. Per user runtime instruction, suppression is overridden and Trade 1 is presented in §21 with an explicit low-conviction flag.</w:t>
      </w:r>
    </w:p>
    <w:p>
      <w:r>
        <w:rPr>
          <w:rFonts w:ascii="Arial" w:hAnsi="Arial"/>
          <w:b/>
          <w:i w:val="0"/>
          <w:sz w:val="22"/>
        </w:rPr>
        <w:t>Backtest reconstruction notes:</w:t>
      </w:r>
    </w:p>
    <w:p>
      <w:r>
        <w:rPr>
          <w:rFonts w:ascii="Arial" w:hAnsi="Arial"/>
          <w:b w:val="0"/>
          <w:i w:val="0"/>
          <w:sz w:val="22"/>
        </w:rPr>
        <w:t>5 prior sessions reconstructed (12 May through 18 May). Sentiment freeze applied per no-leakage rule (each session's signal computed using only data available at that session's close, not later). Trade 1 entries triggered at the next session's open on non-suppressed days; resolution on actual OHLC. See §21c for the table.</w:t>
      </w:r>
    </w:p>
    <w:p>
      <w:r>
        <w:rPr>
          <w:rFonts w:ascii="Arial" w:hAnsi="Arial"/>
          <w:b w:val="0"/>
          <w:i/>
          <w:color w:val="555555"/>
          <w:sz w:val="20"/>
        </w:rPr>
        <w:t>Report build timestamp: 19 May 2026, 00:00 UK (daily-open anchor — overridden).</w:t>
      </w:r>
    </w:p>
    <w:p>
      <w:pPr>
        <w:pStyle w:val="Heading1"/>
      </w:pPr>
      <w:r>
        <w:rPr>
          <w:rFonts w:ascii="Arial" w:hAnsi="Arial"/>
          <w:color w:val="1F3A5F"/>
        </w:rPr>
        <w:t>§21  Strategy Recommendations</w:t>
      </w:r>
    </w:p>
    <w:p>
      <w:r>
        <w:rPr>
          <w:rFonts w:ascii="Arial" w:hAnsi="Arial"/>
          <w:b/>
          <w:i w:val="0"/>
          <w:sz w:val="24"/>
        </w:rPr>
        <w:t>§21a  Directional Conviction</w:t>
      </w:r>
    </w:p>
    <w:p>
      <w:r>
        <w:rPr>
          <w:rFonts w:ascii="Arial" w:hAnsi="Arial"/>
          <w:b w:val="0"/>
          <w:i w:val="0"/>
          <w:sz w:val="22"/>
        </w:rPr>
        <w:t>Composite direction: LONG-LEANING with low conviction (score +0.16, below the ±0.25 default threshold; presented per runtime no-suppression instruction). The three highest-weighted contributing signals are: (1) Short-term technical bias (weight 0.25) = −0.25, the dominant headwind reflecting the deep RSI2 oversold and 2-day bearish sequence; (2) Medium-term regime (weight 0.20) = +0.20, the dominant support reflecting the structurally intact trending-bullish 25-session block; (3) Kaufman KER (weight 0.15) = +0.075, providing moderate confirmation of the trending classification. Conflict with §17 forecast: NO — the forecast's mean-reversion-then-event-driven path is directly consistent with a low-conviction long bias awaiting catalyst clearance.</w:t>
      </w:r>
    </w:p>
    <w:p>
      <w:r>
        <w:rPr>
          <w:rFonts w:ascii="Arial" w:hAnsi="Arial"/>
          <w:b/>
          <w:i w:val="0"/>
          <w:sz w:val="24"/>
        </w:rPr>
        <w:t>§21b  Trade Cards</w:t>
      </w:r>
    </w:p>
    <w:p>
      <w:r>
        <w:rPr>
          <w:rFonts w:ascii="Arial" w:hAnsi="Arial"/>
          <w:b/>
          <w:i w:val="0"/>
          <w:color w:val="1F3A5F"/>
          <w:sz w:val="22"/>
        </w:rPr>
        <w:t>Trade 1 — Daily Directional (mean-reversion long)</w:t>
      </w:r>
    </w:p>
    <w:tbl>
      <w:tblPr>
        <w:tblStyle w:val="LightGrid-Accent1"/>
        <w:tblW w:type="auto" w:w="0"/>
        <w:jc w:val="center"/>
        <w:tblLook w:firstColumn="1" w:firstRow="1" w:lastColumn="0" w:lastRow="0" w:noHBand="0" w:noVBand="1" w:val="04A0"/>
      </w:tblPr>
      <w:tblGrid>
        <w:gridCol w:w="3120"/>
        <w:gridCol w:w="3120"/>
        <w:gridCol w:w="3120"/>
      </w:tblGrid>
      <w:tr>
        <w:tc>
          <w:tcPr>
            <w:tcW w:type="dxa" w:w="2016"/>
            <w:shd w:val="clear" w:color="auto" w:fill="1F3A5F"/>
            <w:vAlign w:val="center"/>
          </w:tcPr>
          <w:p>
            <w:pPr>
              <w:jc w:val="center"/>
            </w:pPr>
            <w:r/>
            <w:r>
              <w:rPr>
                <w:rFonts w:ascii="Arial" w:hAnsi="Arial"/>
                <w:b/>
                <w:i w:val="0"/>
                <w:color w:val="FFFFFF"/>
                <w:sz w:val="20"/>
              </w:rPr>
              <w:t>Field</w:t>
            </w:r>
          </w:p>
        </w:tc>
        <w:tc>
          <w:tcPr>
            <w:tcW w:type="dxa" w:w="4392"/>
            <w:shd w:val="clear" w:color="auto" w:fill="1F3A5F"/>
            <w:vAlign w:val="center"/>
          </w:tcPr>
          <w:p>
            <w:pPr>
              <w:jc w:val="center"/>
            </w:pPr>
            <w:r/>
            <w:r>
              <w:rPr>
                <w:rFonts w:ascii="Arial" w:hAnsi="Arial"/>
                <w:b/>
                <w:i w:val="0"/>
                <w:color w:val="FFFFFF"/>
                <w:sz w:val="20"/>
              </w:rPr>
              <w:t>Value</w:t>
            </w:r>
          </w:p>
        </w:tc>
        <w:tc>
          <w:tcPr>
            <w:tcW w:type="dxa" w:w="2592"/>
            <w:shd w:val="clear" w:color="auto" w:fill="1F3A5F"/>
            <w:vAlign w:val="center"/>
          </w:tcPr>
          <w:p>
            <w:pPr>
              <w:jc w:val="center"/>
            </w:pPr>
            <w:r/>
            <w:r>
              <w:rPr>
                <w:rFonts w:ascii="Arial" w:hAnsi="Arial"/>
                <w:b/>
                <w:i w:val="0"/>
                <w:color w:val="FFFFFF"/>
                <w:sz w:val="20"/>
              </w:rPr>
              <w:t>Native unit</w:t>
            </w:r>
          </w:p>
        </w:tc>
      </w:tr>
      <w:tr>
        <w:tc>
          <w:tcPr>
            <w:tcW w:type="dxa" w:w="2016"/>
            <w:vAlign w:val="center"/>
          </w:tcPr>
          <w:p>
            <w:pPr>
              <w:jc w:val="center"/>
            </w:pPr>
            <w:r/>
            <w:r>
              <w:rPr>
                <w:rFonts w:ascii="Arial" w:hAnsi="Arial"/>
                <w:b w:val="0"/>
                <w:i w:val="0"/>
                <w:sz w:val="18"/>
              </w:rPr>
              <w:t>Direction</w:t>
            </w:r>
          </w:p>
        </w:tc>
        <w:tc>
          <w:tcPr>
            <w:tcW w:type="dxa" w:w="4392"/>
            <w:vAlign w:val="center"/>
          </w:tcPr>
          <w:p>
            <w:pPr>
              <w:jc w:val="center"/>
            </w:pPr>
            <w:r/>
            <w:r>
              <w:rPr>
                <w:rFonts w:ascii="Arial" w:hAnsi="Arial"/>
                <w:b w:val="0"/>
                <w:i w:val="0"/>
                <w:sz w:val="18"/>
              </w:rPr>
              <w:t>LONG</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Conviction</w:t>
            </w:r>
          </w:p>
        </w:tc>
        <w:tc>
          <w:tcPr>
            <w:tcW w:type="dxa" w:w="4392"/>
            <w:vAlign w:val="center"/>
          </w:tcPr>
          <w:p>
            <w:pPr>
              <w:jc w:val="center"/>
            </w:pPr>
            <w:r/>
            <w:r>
              <w:rPr>
                <w:rFonts w:ascii="Arial" w:hAnsi="Arial"/>
                <w:b w:val="0"/>
                <w:i w:val="0"/>
                <w:sz w:val="18"/>
              </w:rPr>
              <w:t>Low (score +0.16; below ±0.25 threshold — presented per runtime override)</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Entry timestamp</w:t>
            </w:r>
          </w:p>
        </w:tc>
        <w:tc>
          <w:tcPr>
            <w:tcW w:type="dxa" w:w="4392"/>
            <w:vAlign w:val="center"/>
          </w:tcPr>
          <w:p>
            <w:pPr>
              <w:jc w:val="center"/>
            </w:pPr>
            <w:r/>
            <w:r>
              <w:rPr>
                <w:rFonts w:ascii="Arial" w:hAnsi="Arial"/>
                <w:b w:val="0"/>
                <w:i w:val="0"/>
                <w:sz w:val="18"/>
              </w:rPr>
              <w:t>19 May 2026, 00:00 UK (anchor — overridden from default 07:00 UK)</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Entry trigger</w:t>
            </w:r>
          </w:p>
        </w:tc>
        <w:tc>
          <w:tcPr>
            <w:tcW w:type="dxa" w:w="4392"/>
            <w:vAlign w:val="center"/>
          </w:tcPr>
          <w:p>
            <w:pPr>
              <w:jc w:val="center"/>
            </w:pPr>
            <w:r/>
            <w:r>
              <w:rPr>
                <w:rFonts w:ascii="Arial" w:hAnsi="Arial"/>
                <w:b w:val="0"/>
                <w:i w:val="0"/>
                <w:sz w:val="18"/>
              </w:rPr>
              <w:t>Pending market-buy at 7,403.05 (cash) / 7,425.25 (ES futures) at 00:00 UK; trade activates on NY cash open 14:30 UK / 09:30 ET</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Entry price</w:t>
            </w:r>
          </w:p>
        </w:tc>
        <w:tc>
          <w:tcPr>
            <w:tcW w:type="dxa" w:w="4392"/>
            <w:vAlign w:val="center"/>
          </w:tcPr>
          <w:p>
            <w:pPr>
              <w:jc w:val="center"/>
            </w:pPr>
            <w:r/>
            <w:r>
              <w:rPr>
                <w:rFonts w:ascii="Arial" w:hAnsi="Arial"/>
                <w:b w:val="0"/>
                <w:i w:val="0"/>
                <w:sz w:val="18"/>
              </w:rPr>
              <w:t>7,403.05</w:t>
            </w:r>
          </w:p>
        </w:tc>
        <w:tc>
          <w:tcPr>
            <w:tcW w:type="dxa" w:w="2592"/>
            <w:vAlign w:val="center"/>
          </w:tcPr>
          <w:p>
            <w:pPr>
              <w:jc w:val="center"/>
            </w:pPr>
            <w:r/>
            <w:r>
              <w:rPr>
                <w:rFonts w:ascii="Arial" w:hAnsi="Arial"/>
                <w:b w:val="0"/>
                <w:i w:val="0"/>
                <w:sz w:val="18"/>
              </w:rPr>
              <w:t>7,403.05 points</w:t>
            </w:r>
          </w:p>
        </w:tc>
      </w:tr>
      <w:tr>
        <w:tc>
          <w:tcPr>
            <w:tcW w:type="dxa" w:w="2016"/>
            <w:vAlign w:val="center"/>
          </w:tcPr>
          <w:p>
            <w:pPr>
              <w:jc w:val="center"/>
            </w:pPr>
            <w:r/>
            <w:r>
              <w:rPr>
                <w:rFonts w:ascii="Arial" w:hAnsi="Arial"/>
                <w:b w:val="0"/>
                <w:i w:val="0"/>
                <w:sz w:val="18"/>
              </w:rPr>
              <w:t>Stop loss</w:t>
            </w:r>
          </w:p>
        </w:tc>
        <w:tc>
          <w:tcPr>
            <w:tcW w:type="dxa" w:w="4392"/>
            <w:vAlign w:val="center"/>
          </w:tcPr>
          <w:p>
            <w:pPr>
              <w:jc w:val="center"/>
            </w:pPr>
            <w:r/>
            <w:r>
              <w:rPr>
                <w:rFonts w:ascii="Arial" w:hAnsi="Arial"/>
                <w:b w:val="0"/>
                <w:i w:val="0"/>
                <w:sz w:val="18"/>
              </w:rPr>
              <w:t>7,335.00 (below daily S2 7,340.64 and above weekly S2 7,295.95) — structural anchor + 0.25 ATR buffer; stop distance 68.05 pts (≈1.0× ATR14)</w:t>
            </w:r>
          </w:p>
        </w:tc>
        <w:tc>
          <w:tcPr>
            <w:tcW w:type="dxa" w:w="2592"/>
            <w:vAlign w:val="center"/>
          </w:tcPr>
          <w:p>
            <w:pPr>
              <w:jc w:val="center"/>
            </w:pPr>
            <w:r/>
            <w:r>
              <w:rPr>
                <w:rFonts w:ascii="Arial" w:hAnsi="Arial"/>
                <w:b w:val="0"/>
                <w:i w:val="0"/>
                <w:sz w:val="18"/>
              </w:rPr>
              <w:t>−6,805 points cash basis  /  ES tick = −272 ticks at $12.50/tick = −$3,400 per contract notional</w:t>
            </w:r>
          </w:p>
        </w:tc>
      </w:tr>
      <w:tr>
        <w:tc>
          <w:tcPr>
            <w:tcW w:type="dxa" w:w="2016"/>
            <w:vAlign w:val="center"/>
          </w:tcPr>
          <w:p>
            <w:pPr>
              <w:jc w:val="center"/>
            </w:pPr>
            <w:r/>
            <w:r>
              <w:rPr>
                <w:rFonts w:ascii="Arial" w:hAnsi="Arial"/>
                <w:b w:val="0"/>
                <w:i w:val="0"/>
                <w:sz w:val="18"/>
              </w:rPr>
              <w:t>Take-profit 1 (Unit 1)</w:t>
            </w:r>
          </w:p>
        </w:tc>
        <w:tc>
          <w:tcPr>
            <w:tcW w:type="dxa" w:w="4392"/>
            <w:vAlign w:val="center"/>
          </w:tcPr>
          <w:p>
            <w:pPr>
              <w:jc w:val="center"/>
            </w:pPr>
            <w:r/>
            <w:r>
              <w:rPr>
                <w:rFonts w:ascii="Arial" w:hAnsi="Arial"/>
                <w:b w:val="0"/>
                <w:i w:val="0"/>
                <w:sz w:val="18"/>
              </w:rPr>
              <w:t>7,434.00  (daily R1 / monthly R2 confluence) — +30.95 pts = +0.45R</w:t>
            </w:r>
          </w:p>
        </w:tc>
        <w:tc>
          <w:tcPr>
            <w:tcW w:type="dxa" w:w="2592"/>
            <w:vAlign w:val="center"/>
          </w:tcPr>
          <w:p>
            <w:pPr>
              <w:jc w:val="center"/>
            </w:pPr>
            <w:r/>
            <w:r>
              <w:rPr>
                <w:rFonts w:ascii="Arial" w:hAnsi="Arial"/>
                <w:b w:val="0"/>
                <w:i w:val="0"/>
                <w:sz w:val="18"/>
              </w:rPr>
              <w:t>+3,095 points</w:t>
            </w:r>
          </w:p>
        </w:tc>
      </w:tr>
      <w:tr>
        <w:tc>
          <w:tcPr>
            <w:tcW w:type="dxa" w:w="2016"/>
            <w:vAlign w:val="center"/>
          </w:tcPr>
          <w:p>
            <w:pPr>
              <w:jc w:val="center"/>
            </w:pPr>
            <w:r/>
            <w:r>
              <w:rPr>
                <w:rFonts w:ascii="Arial" w:hAnsi="Arial"/>
                <w:b w:val="0"/>
                <w:i w:val="0"/>
                <w:sz w:val="18"/>
              </w:rPr>
              <w:t>Take-profit 2 (Unit 2)</w:t>
            </w:r>
          </w:p>
        </w:tc>
        <w:tc>
          <w:tcPr>
            <w:tcW w:type="dxa" w:w="4392"/>
            <w:vAlign w:val="center"/>
          </w:tcPr>
          <w:p>
            <w:pPr>
              <w:jc w:val="center"/>
            </w:pPr>
            <w:r/>
            <w:r>
              <w:rPr>
                <w:rFonts w:ascii="Arial" w:hAnsi="Arial"/>
                <w:b w:val="0"/>
                <w:i w:val="0"/>
                <w:sz w:val="18"/>
              </w:rPr>
              <w:t>7,490.00  (weekly R1) — +86.95 pts = +1.28R</w:t>
            </w:r>
          </w:p>
        </w:tc>
        <w:tc>
          <w:tcPr>
            <w:tcW w:type="dxa" w:w="2592"/>
            <w:vAlign w:val="center"/>
          </w:tcPr>
          <w:p>
            <w:pPr>
              <w:jc w:val="center"/>
            </w:pPr>
            <w:r/>
            <w:r>
              <w:rPr>
                <w:rFonts w:ascii="Arial" w:hAnsi="Arial"/>
                <w:b w:val="0"/>
                <w:i w:val="0"/>
                <w:sz w:val="18"/>
              </w:rPr>
              <w:t>+8,695 points</w:t>
            </w:r>
          </w:p>
        </w:tc>
      </w:tr>
      <w:tr>
        <w:tc>
          <w:tcPr>
            <w:tcW w:type="dxa" w:w="2016"/>
            <w:vAlign w:val="center"/>
          </w:tcPr>
          <w:p>
            <w:pPr>
              <w:jc w:val="center"/>
            </w:pPr>
            <w:r/>
            <w:r>
              <w:rPr>
                <w:rFonts w:ascii="Arial" w:hAnsi="Arial"/>
                <w:b w:val="0"/>
                <w:i w:val="0"/>
                <w:sz w:val="18"/>
              </w:rPr>
              <w:t>Take-profit 3 (Unit 3 / runner)</w:t>
            </w:r>
          </w:p>
        </w:tc>
        <w:tc>
          <w:tcPr>
            <w:tcW w:type="dxa" w:w="4392"/>
            <w:vAlign w:val="center"/>
          </w:tcPr>
          <w:p>
            <w:pPr>
              <w:jc w:val="center"/>
            </w:pPr>
            <w:r/>
            <w:r>
              <w:rPr>
                <w:rFonts w:ascii="Arial" w:hAnsi="Arial"/>
                <w:b w:val="0"/>
                <w:i w:val="0"/>
                <w:sz w:val="18"/>
              </w:rPr>
              <w:t>7,573.00  (weekly R2) — +169.95 pts = +2.50R, runner trail at +0.2R = breakeven +13.6 pts after Unit 2 fill</w:t>
            </w:r>
          </w:p>
        </w:tc>
        <w:tc>
          <w:tcPr>
            <w:tcW w:type="dxa" w:w="2592"/>
            <w:vAlign w:val="center"/>
          </w:tcPr>
          <w:p>
            <w:pPr>
              <w:jc w:val="center"/>
            </w:pPr>
            <w:r/>
            <w:r>
              <w:rPr>
                <w:rFonts w:ascii="Arial" w:hAnsi="Arial"/>
                <w:b w:val="0"/>
                <w:i w:val="0"/>
                <w:sz w:val="18"/>
              </w:rPr>
              <w:t>+16,995 points</w:t>
            </w:r>
          </w:p>
        </w:tc>
      </w:tr>
      <w:tr>
        <w:tc>
          <w:tcPr>
            <w:tcW w:type="dxa" w:w="2016"/>
            <w:vAlign w:val="center"/>
          </w:tcPr>
          <w:p>
            <w:pPr>
              <w:jc w:val="center"/>
            </w:pPr>
            <w:r/>
            <w:r>
              <w:rPr>
                <w:rFonts w:ascii="Arial" w:hAnsi="Arial"/>
                <w:b w:val="0"/>
                <w:i w:val="0"/>
                <w:sz w:val="18"/>
              </w:rPr>
              <w:t>Sizing</w:t>
            </w:r>
          </w:p>
        </w:tc>
        <w:tc>
          <w:tcPr>
            <w:tcW w:type="dxa" w:w="4392"/>
            <w:vAlign w:val="center"/>
          </w:tcPr>
          <w:p>
            <w:pPr>
              <w:jc w:val="center"/>
            </w:pPr>
            <w:r/>
            <w:r>
              <w:rPr>
                <w:rFonts w:ascii="Arial" w:hAnsi="Arial"/>
                <w:b w:val="0"/>
                <w:i w:val="0"/>
                <w:sz w:val="18"/>
              </w:rPr>
              <w:t>Three equal-unit tranches. Initial risk = 1R per unit on 68.05-pt stop. Total exposure capped at 3R if SL hits all units.</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Confluences</w:t>
            </w:r>
          </w:p>
        </w:tc>
        <w:tc>
          <w:tcPr>
            <w:tcW w:type="dxa" w:w="4392"/>
            <w:vAlign w:val="center"/>
          </w:tcPr>
          <w:p>
            <w:pPr>
              <w:jc w:val="center"/>
            </w:pPr>
            <w:r/>
            <w:r>
              <w:rPr>
                <w:rFonts w:ascii="Arial" w:hAnsi="Arial"/>
                <w:b w:val="0"/>
                <w:i w:val="0"/>
                <w:sz w:val="18"/>
              </w:rPr>
              <w:t>Daily pivot centroid · monthly R2 / daily R1 cluster at 7,431-7,434 · RSI2 = 7.5 (deep oversold) · Kaufman trending-up bias · institutional sentiment tilt +0.19</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Thesis invalidation</w:t>
            </w:r>
          </w:p>
        </w:tc>
        <w:tc>
          <w:tcPr>
            <w:tcW w:type="dxa" w:w="4392"/>
            <w:vAlign w:val="center"/>
          </w:tcPr>
          <w:p>
            <w:pPr>
              <w:jc w:val="center"/>
            </w:pPr>
            <w:r/>
            <w:r>
              <w:rPr>
                <w:rFonts w:ascii="Arial" w:hAnsi="Arial"/>
                <w:b w:val="0"/>
                <w:i w:val="0"/>
                <w:sz w:val="18"/>
              </w:rPr>
              <w:t>A daily close below 7,335 invalidates the mean-reversion thesis and signals a deeper structural pullback toward 7,250-7,300.</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Caveats</w:t>
            </w:r>
          </w:p>
        </w:tc>
        <w:tc>
          <w:tcPr>
            <w:tcW w:type="dxa" w:w="4392"/>
            <w:vAlign w:val="center"/>
          </w:tcPr>
          <w:p>
            <w:pPr>
              <w:jc w:val="center"/>
            </w:pPr>
            <w:r/>
            <w:r>
              <w:rPr>
                <w:rFonts w:ascii="Arial" w:hAnsi="Arial"/>
                <w:b w:val="0"/>
                <w:i w:val="0"/>
                <w:sz w:val="18"/>
              </w:rPr>
              <w:t>Indicative pivot-level inputs noted in §19. Single-event risk: Nvidia earnings Thu 21 May — consider closing Unit 3 (runner) pre-event or hedging via long-dated VIX if held through.</w:t>
            </w:r>
          </w:p>
        </w:tc>
        <w:tc>
          <w:tcPr>
            <w:tcW w:type="dxa" w:w="2592"/>
            <w:vAlign w:val="center"/>
          </w:tcPr>
          <w:p>
            <w:pPr>
              <w:jc w:val="center"/>
            </w:pPr>
            <w:r/>
            <w:r>
              <w:rPr>
                <w:rFonts w:ascii="Arial" w:hAnsi="Arial"/>
                <w:b w:val="0"/>
                <w:i w:val="0"/>
                <w:sz w:val="18"/>
              </w:rPr>
              <w:t>—</w:t>
            </w:r>
          </w:p>
        </w:tc>
      </w:tr>
    </w:tbl>
    <w:p>
      <w:r>
        <w:rPr>
          <w:rFonts w:ascii="Arial" w:hAnsi="Arial"/>
          <w:b/>
          <w:i w:val="0"/>
          <w:color w:val="1F3A5F"/>
          <w:sz w:val="22"/>
        </w:rPr>
        <w:t>Trade 2 — Pivot Trade (regime-aware)</w:t>
      </w:r>
    </w:p>
    <w:tbl>
      <w:tblPr>
        <w:tblStyle w:val="LightGrid-Accent1"/>
        <w:tblW w:type="auto" w:w="0"/>
        <w:jc w:val="center"/>
        <w:tblLook w:firstColumn="1" w:firstRow="1" w:lastColumn="0" w:lastRow="0" w:noHBand="0" w:noVBand="1" w:val="04A0"/>
      </w:tblPr>
      <w:tblGrid>
        <w:gridCol w:w="3120"/>
        <w:gridCol w:w="3120"/>
        <w:gridCol w:w="3120"/>
      </w:tblGrid>
      <w:tr>
        <w:tc>
          <w:tcPr>
            <w:tcW w:type="dxa" w:w="2016"/>
            <w:shd w:val="clear" w:color="auto" w:fill="1F3A5F"/>
            <w:vAlign w:val="center"/>
          </w:tcPr>
          <w:p>
            <w:pPr>
              <w:jc w:val="center"/>
            </w:pPr>
            <w:r/>
            <w:r>
              <w:rPr>
                <w:rFonts w:ascii="Arial" w:hAnsi="Arial"/>
                <w:b/>
                <w:i w:val="0"/>
                <w:color w:val="FFFFFF"/>
                <w:sz w:val="20"/>
              </w:rPr>
              <w:t>Field</w:t>
            </w:r>
          </w:p>
        </w:tc>
        <w:tc>
          <w:tcPr>
            <w:tcW w:type="dxa" w:w="4392"/>
            <w:shd w:val="clear" w:color="auto" w:fill="1F3A5F"/>
            <w:vAlign w:val="center"/>
          </w:tcPr>
          <w:p>
            <w:pPr>
              <w:jc w:val="center"/>
            </w:pPr>
            <w:r/>
            <w:r>
              <w:rPr>
                <w:rFonts w:ascii="Arial" w:hAnsi="Arial"/>
                <w:b/>
                <w:i w:val="0"/>
                <w:color w:val="FFFFFF"/>
                <w:sz w:val="20"/>
              </w:rPr>
              <w:t>Value</w:t>
            </w:r>
          </w:p>
        </w:tc>
        <w:tc>
          <w:tcPr>
            <w:tcW w:type="dxa" w:w="2592"/>
            <w:shd w:val="clear" w:color="auto" w:fill="1F3A5F"/>
            <w:vAlign w:val="center"/>
          </w:tcPr>
          <w:p>
            <w:pPr>
              <w:jc w:val="center"/>
            </w:pPr>
            <w:r/>
            <w:r>
              <w:rPr>
                <w:rFonts w:ascii="Arial" w:hAnsi="Arial"/>
                <w:b/>
                <w:i w:val="0"/>
                <w:color w:val="FFFFFF"/>
                <w:sz w:val="20"/>
              </w:rPr>
              <w:t>Native unit</w:t>
            </w:r>
          </w:p>
        </w:tc>
      </w:tr>
      <w:tr>
        <w:tc>
          <w:tcPr>
            <w:tcW w:type="dxa" w:w="2016"/>
            <w:vAlign w:val="center"/>
          </w:tcPr>
          <w:p>
            <w:pPr>
              <w:jc w:val="center"/>
            </w:pPr>
            <w:r/>
            <w:r>
              <w:rPr>
                <w:rFonts w:ascii="Arial" w:hAnsi="Arial"/>
                <w:b w:val="0"/>
                <w:i w:val="0"/>
                <w:sz w:val="18"/>
              </w:rPr>
              <w:t>Direction</w:t>
            </w:r>
          </w:p>
        </w:tc>
        <w:tc>
          <w:tcPr>
            <w:tcW w:type="dxa" w:w="4392"/>
            <w:vAlign w:val="center"/>
          </w:tcPr>
          <w:p>
            <w:pPr>
              <w:jc w:val="center"/>
            </w:pPr>
            <w:r/>
            <w:r>
              <w:rPr>
                <w:rFonts w:ascii="Arial" w:hAnsi="Arial"/>
                <w:b w:val="0"/>
                <w:i w:val="0"/>
                <w:sz w:val="18"/>
              </w:rPr>
              <w:t>LONG (regime branch: Trending Up — Moderate → buy-the-pullback at S1)</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Conviction</w:t>
            </w:r>
          </w:p>
        </w:tc>
        <w:tc>
          <w:tcPr>
            <w:tcW w:type="dxa" w:w="4392"/>
            <w:vAlign w:val="center"/>
          </w:tcPr>
          <w:p>
            <w:pPr>
              <w:jc w:val="center"/>
            </w:pPr>
            <w:r/>
            <w:r>
              <w:rPr>
                <w:rFonts w:ascii="Arial" w:hAnsi="Arial"/>
                <w:b w:val="0"/>
                <w:i w:val="0"/>
                <w:sz w:val="18"/>
              </w:rPr>
              <w:t>Medium — pivot setup is structural and not dependent on the direction score</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Entry trigger</w:t>
            </w:r>
          </w:p>
        </w:tc>
        <w:tc>
          <w:tcPr>
            <w:tcW w:type="dxa" w:w="4392"/>
            <w:vAlign w:val="center"/>
          </w:tcPr>
          <w:p>
            <w:pPr>
              <w:jc w:val="center"/>
            </w:pPr>
            <w:r/>
            <w:r>
              <w:rPr>
                <w:rFonts w:ascii="Arial" w:hAnsi="Arial"/>
                <w:b w:val="0"/>
                <w:i w:val="0"/>
                <w:sz w:val="18"/>
              </w:rPr>
              <w:t>Limit-buy at daily S1 (7,371.85) — buy the pullback in trending regime</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Entry price</w:t>
            </w:r>
          </w:p>
        </w:tc>
        <w:tc>
          <w:tcPr>
            <w:tcW w:type="dxa" w:w="4392"/>
            <w:vAlign w:val="center"/>
          </w:tcPr>
          <w:p>
            <w:pPr>
              <w:jc w:val="center"/>
            </w:pPr>
            <w:r/>
            <w:r>
              <w:rPr>
                <w:rFonts w:ascii="Arial" w:hAnsi="Arial"/>
                <w:b w:val="0"/>
                <w:i w:val="0"/>
                <w:sz w:val="18"/>
              </w:rPr>
              <w:t>7,371.85</w:t>
            </w:r>
          </w:p>
        </w:tc>
        <w:tc>
          <w:tcPr>
            <w:tcW w:type="dxa" w:w="2592"/>
            <w:vAlign w:val="center"/>
          </w:tcPr>
          <w:p>
            <w:pPr>
              <w:jc w:val="center"/>
            </w:pPr>
            <w:r/>
            <w:r>
              <w:rPr>
                <w:rFonts w:ascii="Arial" w:hAnsi="Arial"/>
                <w:b w:val="0"/>
                <w:i w:val="0"/>
                <w:sz w:val="18"/>
              </w:rPr>
              <w:t>7,371.85 points</w:t>
            </w:r>
          </w:p>
        </w:tc>
      </w:tr>
      <w:tr>
        <w:tc>
          <w:tcPr>
            <w:tcW w:type="dxa" w:w="2016"/>
            <w:vAlign w:val="center"/>
          </w:tcPr>
          <w:p>
            <w:pPr>
              <w:jc w:val="center"/>
            </w:pPr>
            <w:r/>
            <w:r>
              <w:rPr>
                <w:rFonts w:ascii="Arial" w:hAnsi="Arial"/>
                <w:b w:val="0"/>
                <w:i w:val="0"/>
                <w:sz w:val="18"/>
              </w:rPr>
              <w:t>Stop loss</w:t>
            </w:r>
          </w:p>
        </w:tc>
        <w:tc>
          <w:tcPr>
            <w:tcW w:type="dxa" w:w="4392"/>
            <w:vAlign w:val="center"/>
          </w:tcPr>
          <w:p>
            <w:pPr>
              <w:jc w:val="center"/>
            </w:pPr>
            <w:r/>
            <w:r>
              <w:rPr>
                <w:rFonts w:ascii="Arial" w:hAnsi="Arial"/>
                <w:b w:val="0"/>
                <w:i w:val="0"/>
                <w:sz w:val="18"/>
              </w:rPr>
              <w:t>7,348.00 (below weekly S1 7,352.23 by 4 pts; structural pivot break). Stop distance 23.85 pts.</w:t>
            </w:r>
          </w:p>
        </w:tc>
        <w:tc>
          <w:tcPr>
            <w:tcW w:type="dxa" w:w="2592"/>
            <w:vAlign w:val="center"/>
          </w:tcPr>
          <w:p>
            <w:pPr>
              <w:jc w:val="center"/>
            </w:pPr>
            <w:r/>
            <w:r>
              <w:rPr>
                <w:rFonts w:ascii="Arial" w:hAnsi="Arial"/>
                <w:b w:val="0"/>
                <w:i w:val="0"/>
                <w:sz w:val="18"/>
              </w:rPr>
              <w:t>−2,385 points</w:t>
            </w:r>
          </w:p>
        </w:tc>
      </w:tr>
      <w:tr>
        <w:tc>
          <w:tcPr>
            <w:tcW w:type="dxa" w:w="2016"/>
            <w:vAlign w:val="center"/>
          </w:tcPr>
          <w:p>
            <w:pPr>
              <w:jc w:val="center"/>
            </w:pPr>
            <w:r/>
            <w:r>
              <w:rPr>
                <w:rFonts w:ascii="Arial" w:hAnsi="Arial"/>
                <w:b w:val="0"/>
                <w:i w:val="0"/>
                <w:sz w:val="18"/>
              </w:rPr>
              <w:t>Take-profit 1 (Unit 1)</w:t>
            </w:r>
          </w:p>
        </w:tc>
        <w:tc>
          <w:tcPr>
            <w:tcW w:type="dxa" w:w="4392"/>
            <w:vAlign w:val="center"/>
          </w:tcPr>
          <w:p>
            <w:pPr>
              <w:jc w:val="center"/>
            </w:pPr>
            <w:r/>
            <w:r>
              <w:rPr>
                <w:rFonts w:ascii="Arial" w:hAnsi="Arial"/>
                <w:b w:val="0"/>
                <w:i w:val="0"/>
                <w:sz w:val="18"/>
              </w:rPr>
              <w:t>7,403.00 (daily P) — +31.15 pts = +1.31R</w:t>
            </w:r>
          </w:p>
        </w:tc>
        <w:tc>
          <w:tcPr>
            <w:tcW w:type="dxa" w:w="2592"/>
            <w:vAlign w:val="center"/>
          </w:tcPr>
          <w:p>
            <w:pPr>
              <w:jc w:val="center"/>
            </w:pPr>
            <w:r/>
            <w:r>
              <w:rPr>
                <w:rFonts w:ascii="Arial" w:hAnsi="Arial"/>
                <w:b w:val="0"/>
                <w:i w:val="0"/>
                <w:sz w:val="18"/>
              </w:rPr>
              <w:t>+3,115 points</w:t>
            </w:r>
          </w:p>
        </w:tc>
      </w:tr>
      <w:tr>
        <w:tc>
          <w:tcPr>
            <w:tcW w:type="dxa" w:w="2016"/>
            <w:vAlign w:val="center"/>
          </w:tcPr>
          <w:p>
            <w:pPr>
              <w:jc w:val="center"/>
            </w:pPr>
            <w:r/>
            <w:r>
              <w:rPr>
                <w:rFonts w:ascii="Arial" w:hAnsi="Arial"/>
                <w:b w:val="0"/>
                <w:i w:val="0"/>
                <w:sz w:val="18"/>
              </w:rPr>
              <w:t>Take-profit 2 (Unit 2)</w:t>
            </w:r>
          </w:p>
        </w:tc>
        <w:tc>
          <w:tcPr>
            <w:tcW w:type="dxa" w:w="4392"/>
            <w:vAlign w:val="center"/>
          </w:tcPr>
          <w:p>
            <w:pPr>
              <w:jc w:val="center"/>
            </w:pPr>
            <w:r/>
            <w:r>
              <w:rPr>
                <w:rFonts w:ascii="Arial" w:hAnsi="Arial"/>
                <w:b w:val="0"/>
                <w:i w:val="0"/>
                <w:sz w:val="18"/>
              </w:rPr>
              <w:t>7,434.00 (daily R1 / monthly R2) — +62.15 pts = +2.60R</w:t>
            </w:r>
          </w:p>
        </w:tc>
        <w:tc>
          <w:tcPr>
            <w:tcW w:type="dxa" w:w="2592"/>
            <w:vAlign w:val="center"/>
          </w:tcPr>
          <w:p>
            <w:pPr>
              <w:jc w:val="center"/>
            </w:pPr>
            <w:r/>
            <w:r>
              <w:rPr>
                <w:rFonts w:ascii="Arial" w:hAnsi="Arial"/>
                <w:b w:val="0"/>
                <w:i w:val="0"/>
                <w:sz w:val="18"/>
              </w:rPr>
              <w:t>+6,215 points</w:t>
            </w:r>
          </w:p>
        </w:tc>
      </w:tr>
      <w:tr>
        <w:tc>
          <w:tcPr>
            <w:tcW w:type="dxa" w:w="2016"/>
            <w:vAlign w:val="center"/>
          </w:tcPr>
          <w:p>
            <w:pPr>
              <w:jc w:val="center"/>
            </w:pPr>
            <w:r/>
            <w:r>
              <w:rPr>
                <w:rFonts w:ascii="Arial" w:hAnsi="Arial"/>
                <w:b w:val="0"/>
                <w:i w:val="0"/>
                <w:sz w:val="18"/>
              </w:rPr>
              <w:t>Take-profit 3 (Unit 3 / runner)</w:t>
            </w:r>
          </w:p>
        </w:tc>
        <w:tc>
          <w:tcPr>
            <w:tcW w:type="dxa" w:w="4392"/>
            <w:vAlign w:val="center"/>
          </w:tcPr>
          <w:p>
            <w:pPr>
              <w:jc w:val="center"/>
            </w:pPr>
            <w:r/>
            <w:r>
              <w:rPr>
                <w:rFonts w:ascii="Arial" w:hAnsi="Arial"/>
                <w:b w:val="0"/>
                <w:i w:val="0"/>
                <w:sz w:val="18"/>
              </w:rPr>
              <w:t>7,490.00 (weekly R1) — +118.15 pts = +4.95R, runner trail breakeven +0.2R after Unit 2 fill</w:t>
            </w:r>
          </w:p>
        </w:tc>
        <w:tc>
          <w:tcPr>
            <w:tcW w:type="dxa" w:w="2592"/>
            <w:vAlign w:val="center"/>
          </w:tcPr>
          <w:p>
            <w:pPr>
              <w:jc w:val="center"/>
            </w:pPr>
            <w:r/>
            <w:r>
              <w:rPr>
                <w:rFonts w:ascii="Arial" w:hAnsi="Arial"/>
                <w:b w:val="0"/>
                <w:i w:val="0"/>
                <w:sz w:val="18"/>
              </w:rPr>
              <w:t>+11,815 points</w:t>
            </w:r>
          </w:p>
        </w:tc>
      </w:tr>
      <w:tr>
        <w:tc>
          <w:tcPr>
            <w:tcW w:type="dxa" w:w="2016"/>
            <w:vAlign w:val="center"/>
          </w:tcPr>
          <w:p>
            <w:pPr>
              <w:jc w:val="center"/>
            </w:pPr>
            <w:r/>
            <w:r>
              <w:rPr>
                <w:rFonts w:ascii="Arial" w:hAnsi="Arial"/>
                <w:b w:val="0"/>
                <w:i w:val="0"/>
                <w:sz w:val="18"/>
              </w:rPr>
              <w:t>Confluences</w:t>
            </w:r>
          </w:p>
        </w:tc>
        <w:tc>
          <w:tcPr>
            <w:tcW w:type="dxa" w:w="4392"/>
            <w:vAlign w:val="center"/>
          </w:tcPr>
          <w:p>
            <w:pPr>
              <w:jc w:val="center"/>
            </w:pPr>
            <w:r/>
            <w:r>
              <w:rPr>
                <w:rFonts w:ascii="Arial" w:hAnsi="Arial"/>
                <w:b w:val="0"/>
                <w:i w:val="0"/>
                <w:sz w:val="18"/>
              </w:rPr>
              <w:t>Daily S1 + weekly S1 cluster (7,352-7,372) is the cleanest structural-support zone in the framework · RSI2 reload would print even deeper oversold · Kaufman trending bias provides the regime tail-wind</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Thesis invalidation</w:t>
            </w:r>
          </w:p>
        </w:tc>
        <w:tc>
          <w:tcPr>
            <w:tcW w:type="dxa" w:w="4392"/>
            <w:vAlign w:val="center"/>
          </w:tcPr>
          <w:p>
            <w:pPr>
              <w:jc w:val="center"/>
            </w:pPr>
            <w:r/>
            <w:r>
              <w:rPr>
                <w:rFonts w:ascii="Arial" w:hAnsi="Arial"/>
                <w:b w:val="0"/>
                <w:i w:val="0"/>
                <w:sz w:val="18"/>
              </w:rPr>
              <w:t>A daily close below 7,348 breaks the weekly S1 floor and shifts the trade structure from pullback-buy to broken-pivot — stop hit, no re-entry until structural re-test.</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Caveats</w:t>
            </w:r>
          </w:p>
        </w:tc>
        <w:tc>
          <w:tcPr>
            <w:tcW w:type="dxa" w:w="4392"/>
            <w:vAlign w:val="center"/>
          </w:tcPr>
          <w:p>
            <w:pPr>
              <w:jc w:val="center"/>
            </w:pPr>
            <w:r/>
            <w:r>
              <w:rPr>
                <w:rFonts w:ascii="Arial" w:hAnsi="Arial"/>
                <w:b w:val="0"/>
                <w:i w:val="0"/>
                <w:sz w:val="18"/>
              </w:rPr>
              <w:t>Weekly-pivot inputs carry SINGLE-SOURCE-INDICATIVE flag (prior-week low). Daily-pivot inputs are CORROBORATED.</w:t>
            </w:r>
          </w:p>
        </w:tc>
        <w:tc>
          <w:tcPr>
            <w:tcW w:type="dxa" w:w="2592"/>
            <w:vAlign w:val="center"/>
          </w:tcPr>
          <w:p>
            <w:pPr>
              <w:jc w:val="center"/>
            </w:pPr>
            <w:r/>
            <w:r>
              <w:rPr>
                <w:rFonts w:ascii="Arial" w:hAnsi="Arial"/>
                <w:b w:val="0"/>
                <w:i w:val="0"/>
                <w:sz w:val="18"/>
              </w:rPr>
              <w:t>—</w:t>
            </w:r>
          </w:p>
        </w:tc>
      </w:tr>
    </w:tbl>
    <w:p>
      <w:r>
        <w:rPr>
          <w:rFonts w:ascii="Arial" w:hAnsi="Arial"/>
          <w:b/>
          <w:i w:val="0"/>
          <w:color w:val="1F3A5F"/>
          <w:sz w:val="22"/>
        </w:rPr>
        <w:t>Trade 3 — Complex (Regime variant 3A: Momentum-Pullback)</w:t>
      </w:r>
    </w:p>
    <w:tbl>
      <w:tblPr>
        <w:tblStyle w:val="LightGrid-Accent1"/>
        <w:tblW w:type="auto" w:w="0"/>
        <w:jc w:val="center"/>
        <w:tblLook w:firstColumn="1" w:firstRow="1" w:lastColumn="0" w:lastRow="0" w:noHBand="0" w:noVBand="1" w:val="04A0"/>
      </w:tblPr>
      <w:tblGrid>
        <w:gridCol w:w="3120"/>
        <w:gridCol w:w="3120"/>
        <w:gridCol w:w="3120"/>
      </w:tblGrid>
      <w:tr>
        <w:tc>
          <w:tcPr>
            <w:tcW w:type="dxa" w:w="2016"/>
            <w:shd w:val="clear" w:color="auto" w:fill="1F3A5F"/>
            <w:vAlign w:val="center"/>
          </w:tcPr>
          <w:p>
            <w:pPr>
              <w:jc w:val="center"/>
            </w:pPr>
            <w:r/>
            <w:r>
              <w:rPr>
                <w:rFonts w:ascii="Arial" w:hAnsi="Arial"/>
                <w:b/>
                <w:i w:val="0"/>
                <w:color w:val="FFFFFF"/>
                <w:sz w:val="20"/>
              </w:rPr>
              <w:t>Field</w:t>
            </w:r>
          </w:p>
        </w:tc>
        <w:tc>
          <w:tcPr>
            <w:tcW w:type="dxa" w:w="4392"/>
            <w:shd w:val="clear" w:color="auto" w:fill="1F3A5F"/>
            <w:vAlign w:val="center"/>
          </w:tcPr>
          <w:p>
            <w:pPr>
              <w:jc w:val="center"/>
            </w:pPr>
            <w:r/>
            <w:r>
              <w:rPr>
                <w:rFonts w:ascii="Arial" w:hAnsi="Arial"/>
                <w:b/>
                <w:i w:val="0"/>
                <w:color w:val="FFFFFF"/>
                <w:sz w:val="20"/>
              </w:rPr>
              <w:t>Value</w:t>
            </w:r>
          </w:p>
        </w:tc>
        <w:tc>
          <w:tcPr>
            <w:tcW w:type="dxa" w:w="2592"/>
            <w:shd w:val="clear" w:color="auto" w:fill="1F3A5F"/>
            <w:vAlign w:val="center"/>
          </w:tcPr>
          <w:p>
            <w:pPr>
              <w:jc w:val="center"/>
            </w:pPr>
            <w:r/>
            <w:r>
              <w:rPr>
                <w:rFonts w:ascii="Arial" w:hAnsi="Arial"/>
                <w:b/>
                <w:i w:val="0"/>
                <w:color w:val="FFFFFF"/>
                <w:sz w:val="20"/>
              </w:rPr>
              <w:t>Native unit</w:t>
            </w:r>
          </w:p>
        </w:tc>
      </w:tr>
      <w:tr>
        <w:tc>
          <w:tcPr>
            <w:tcW w:type="dxa" w:w="2016"/>
            <w:vAlign w:val="center"/>
          </w:tcPr>
          <w:p>
            <w:pPr>
              <w:jc w:val="center"/>
            </w:pPr>
            <w:r/>
            <w:r>
              <w:rPr>
                <w:rFonts w:ascii="Arial" w:hAnsi="Arial"/>
                <w:b w:val="0"/>
                <w:i w:val="0"/>
                <w:sz w:val="18"/>
              </w:rPr>
              <w:t>Variant active</w:t>
            </w:r>
          </w:p>
        </w:tc>
        <w:tc>
          <w:tcPr>
            <w:tcW w:type="dxa" w:w="4392"/>
            <w:vAlign w:val="center"/>
          </w:tcPr>
          <w:p>
            <w:pPr>
              <w:jc w:val="center"/>
            </w:pPr>
            <w:r/>
            <w:r>
              <w:rPr>
                <w:rFonts w:ascii="Arial" w:hAnsi="Arial"/>
                <w:b w:val="0"/>
                <w:i w:val="0"/>
                <w:sz w:val="18"/>
              </w:rPr>
              <w:t>3A — Momentum Pullback (regime gate: TREND_UP)</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Direction</w:t>
            </w:r>
          </w:p>
        </w:tc>
        <w:tc>
          <w:tcPr>
            <w:tcW w:type="dxa" w:w="4392"/>
            <w:vAlign w:val="center"/>
          </w:tcPr>
          <w:p>
            <w:pPr>
              <w:jc w:val="center"/>
            </w:pPr>
            <w:r/>
            <w:r>
              <w:rPr>
                <w:rFonts w:ascii="Arial" w:hAnsi="Arial"/>
                <w:b w:val="0"/>
                <w:i w:val="0"/>
                <w:sz w:val="18"/>
              </w:rPr>
              <w:t>LONG</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Conviction</w:t>
            </w:r>
          </w:p>
        </w:tc>
        <w:tc>
          <w:tcPr>
            <w:tcW w:type="dxa" w:w="4392"/>
            <w:vAlign w:val="center"/>
          </w:tcPr>
          <w:p>
            <w:pPr>
              <w:jc w:val="center"/>
            </w:pPr>
            <w:r/>
            <w:r>
              <w:rPr>
                <w:rFonts w:ascii="Arial" w:hAnsi="Arial"/>
                <w:b w:val="0"/>
                <w:i w:val="0"/>
                <w:sz w:val="18"/>
              </w:rPr>
              <w:t>Medium-High — fib-anchored pullback in trending regime is the highest-quality variant for this setup</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Entry trigger</w:t>
            </w:r>
          </w:p>
        </w:tc>
        <w:tc>
          <w:tcPr>
            <w:tcW w:type="dxa" w:w="4392"/>
            <w:vAlign w:val="center"/>
          </w:tcPr>
          <w:p>
            <w:pPr>
              <w:jc w:val="center"/>
            </w:pPr>
            <w:r/>
            <w:r>
              <w:rPr>
                <w:rFonts w:ascii="Arial" w:hAnsi="Arial"/>
                <w:b w:val="0"/>
                <w:i w:val="0"/>
                <w:sz w:val="18"/>
              </w:rPr>
              <w:t>Limit-buy at the 50%-61.8% fib retracement of the 14-May ATH (7,517.12) to 18-May low (7,371.75) swing. 50% = 7,444.43; 61.8% = 7,427.32. Layer entries 7,444 and 7,427.</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Entry price (blended)</w:t>
            </w:r>
          </w:p>
        </w:tc>
        <w:tc>
          <w:tcPr>
            <w:tcW w:type="dxa" w:w="4392"/>
            <w:vAlign w:val="center"/>
          </w:tcPr>
          <w:p>
            <w:pPr>
              <w:jc w:val="center"/>
            </w:pPr>
            <w:r/>
            <w:r>
              <w:rPr>
                <w:rFonts w:ascii="Arial" w:hAnsi="Arial"/>
                <w:b w:val="0"/>
                <w:i w:val="0"/>
                <w:sz w:val="18"/>
              </w:rPr>
              <w:t>7,435.50 (midpoint of two layered entries)</w:t>
            </w:r>
          </w:p>
        </w:tc>
        <w:tc>
          <w:tcPr>
            <w:tcW w:type="dxa" w:w="2592"/>
            <w:vAlign w:val="center"/>
          </w:tcPr>
          <w:p>
            <w:pPr>
              <w:jc w:val="center"/>
            </w:pPr>
            <w:r/>
            <w:r>
              <w:rPr>
                <w:rFonts w:ascii="Arial" w:hAnsi="Arial"/>
                <w:b w:val="0"/>
                <w:i w:val="0"/>
                <w:sz w:val="18"/>
              </w:rPr>
              <w:t>7,435.50 points</w:t>
            </w:r>
          </w:p>
        </w:tc>
      </w:tr>
      <w:tr>
        <w:tc>
          <w:tcPr>
            <w:tcW w:type="dxa" w:w="2016"/>
            <w:vAlign w:val="center"/>
          </w:tcPr>
          <w:p>
            <w:pPr>
              <w:jc w:val="center"/>
            </w:pPr>
            <w:r/>
            <w:r>
              <w:rPr>
                <w:rFonts w:ascii="Arial" w:hAnsi="Arial"/>
                <w:b w:val="0"/>
                <w:i w:val="0"/>
                <w:sz w:val="18"/>
              </w:rPr>
              <w:t>Stop loss</w:t>
            </w:r>
          </w:p>
        </w:tc>
        <w:tc>
          <w:tcPr>
            <w:tcW w:type="dxa" w:w="4392"/>
            <w:vAlign w:val="center"/>
          </w:tcPr>
          <w:p>
            <w:pPr>
              <w:jc w:val="center"/>
            </w:pPr>
            <w:r/>
            <w:r>
              <w:rPr>
                <w:rFonts w:ascii="Arial" w:hAnsi="Arial"/>
                <w:b w:val="0"/>
                <w:i w:val="0"/>
                <w:sz w:val="18"/>
              </w:rPr>
              <w:t>7,360.00 (below 78.6% fib 7,403.05 and below the 18-May low) — 75.50 pts stop distance.</w:t>
            </w:r>
          </w:p>
        </w:tc>
        <w:tc>
          <w:tcPr>
            <w:tcW w:type="dxa" w:w="2592"/>
            <w:vAlign w:val="center"/>
          </w:tcPr>
          <w:p>
            <w:pPr>
              <w:jc w:val="center"/>
            </w:pPr>
            <w:r/>
            <w:r>
              <w:rPr>
                <w:rFonts w:ascii="Arial" w:hAnsi="Arial"/>
                <w:b w:val="0"/>
                <w:i w:val="0"/>
                <w:sz w:val="18"/>
              </w:rPr>
              <w:t>−7,550 points</w:t>
            </w:r>
          </w:p>
        </w:tc>
      </w:tr>
      <w:tr>
        <w:tc>
          <w:tcPr>
            <w:tcW w:type="dxa" w:w="2016"/>
            <w:vAlign w:val="center"/>
          </w:tcPr>
          <w:p>
            <w:pPr>
              <w:jc w:val="center"/>
            </w:pPr>
            <w:r/>
            <w:r>
              <w:rPr>
                <w:rFonts w:ascii="Arial" w:hAnsi="Arial"/>
                <w:b w:val="0"/>
                <w:i w:val="0"/>
                <w:sz w:val="18"/>
              </w:rPr>
              <w:t>Take-profit 1 (Unit 1)</w:t>
            </w:r>
          </w:p>
        </w:tc>
        <w:tc>
          <w:tcPr>
            <w:tcW w:type="dxa" w:w="4392"/>
            <w:vAlign w:val="center"/>
          </w:tcPr>
          <w:p>
            <w:pPr>
              <w:jc w:val="center"/>
            </w:pPr>
            <w:r/>
            <w:r>
              <w:rPr>
                <w:rFonts w:ascii="Arial" w:hAnsi="Arial"/>
                <w:b w:val="0"/>
                <w:i w:val="0"/>
                <w:sz w:val="18"/>
              </w:rPr>
              <w:t>7,490.00 (weekly R1) — +54.50 pts = +0.72R</w:t>
            </w:r>
          </w:p>
        </w:tc>
        <w:tc>
          <w:tcPr>
            <w:tcW w:type="dxa" w:w="2592"/>
            <w:vAlign w:val="center"/>
          </w:tcPr>
          <w:p>
            <w:pPr>
              <w:jc w:val="center"/>
            </w:pPr>
            <w:r/>
            <w:r>
              <w:rPr>
                <w:rFonts w:ascii="Arial" w:hAnsi="Arial"/>
                <w:b w:val="0"/>
                <w:i w:val="0"/>
                <w:sz w:val="18"/>
              </w:rPr>
              <w:t>+5,450 points</w:t>
            </w:r>
          </w:p>
        </w:tc>
      </w:tr>
      <w:tr>
        <w:tc>
          <w:tcPr>
            <w:tcW w:type="dxa" w:w="2016"/>
            <w:vAlign w:val="center"/>
          </w:tcPr>
          <w:p>
            <w:pPr>
              <w:jc w:val="center"/>
            </w:pPr>
            <w:r/>
            <w:r>
              <w:rPr>
                <w:rFonts w:ascii="Arial" w:hAnsi="Arial"/>
                <w:b w:val="0"/>
                <w:i w:val="0"/>
                <w:sz w:val="18"/>
              </w:rPr>
              <w:t>Take-profit 2 (Unit 2)</w:t>
            </w:r>
          </w:p>
        </w:tc>
        <w:tc>
          <w:tcPr>
            <w:tcW w:type="dxa" w:w="4392"/>
            <w:vAlign w:val="center"/>
          </w:tcPr>
          <w:p>
            <w:pPr>
              <w:jc w:val="center"/>
            </w:pPr>
            <w:r/>
            <w:r>
              <w:rPr>
                <w:rFonts w:ascii="Arial" w:hAnsi="Arial"/>
                <w:b w:val="0"/>
                <w:i w:val="0"/>
                <w:sz w:val="18"/>
              </w:rPr>
              <w:t>7,517.00 (prior ATH retest) — +81.50 pts = +1.08R, 100% fib extension. Per the 3A runner rule, Unit 3 stop pulls to entry on Unit 2 fill (supersedes the +0.2R BE rule).</w:t>
            </w:r>
          </w:p>
        </w:tc>
        <w:tc>
          <w:tcPr>
            <w:tcW w:type="dxa" w:w="2592"/>
            <w:vAlign w:val="center"/>
          </w:tcPr>
          <w:p>
            <w:pPr>
              <w:jc w:val="center"/>
            </w:pPr>
            <w:r/>
            <w:r>
              <w:rPr>
                <w:rFonts w:ascii="Arial" w:hAnsi="Arial"/>
                <w:b w:val="0"/>
                <w:i w:val="0"/>
                <w:sz w:val="18"/>
              </w:rPr>
              <w:t>+8,150 points</w:t>
            </w:r>
          </w:p>
        </w:tc>
      </w:tr>
      <w:tr>
        <w:tc>
          <w:tcPr>
            <w:tcW w:type="dxa" w:w="2016"/>
            <w:vAlign w:val="center"/>
          </w:tcPr>
          <w:p>
            <w:pPr>
              <w:jc w:val="center"/>
            </w:pPr>
            <w:r/>
            <w:r>
              <w:rPr>
                <w:rFonts w:ascii="Arial" w:hAnsi="Arial"/>
                <w:b w:val="0"/>
                <w:i w:val="0"/>
                <w:sz w:val="18"/>
              </w:rPr>
              <w:t>Take-profit 3 (Unit 3 / runner)</w:t>
            </w:r>
          </w:p>
        </w:tc>
        <w:tc>
          <w:tcPr>
            <w:tcW w:type="dxa" w:w="4392"/>
            <w:vAlign w:val="center"/>
          </w:tcPr>
          <w:p>
            <w:pPr>
              <w:jc w:val="center"/>
            </w:pPr>
            <w:r/>
            <w:r>
              <w:rPr>
                <w:rFonts w:ascii="Arial" w:hAnsi="Arial"/>
                <w:b w:val="0"/>
                <w:i w:val="0"/>
                <w:sz w:val="18"/>
              </w:rPr>
              <w:t>7,573.00 (weekly R2) — +137.50 pts = +1.82R; open-ended above on breakout</w:t>
            </w:r>
          </w:p>
        </w:tc>
        <w:tc>
          <w:tcPr>
            <w:tcW w:type="dxa" w:w="2592"/>
            <w:vAlign w:val="center"/>
          </w:tcPr>
          <w:p>
            <w:pPr>
              <w:jc w:val="center"/>
            </w:pPr>
            <w:r/>
            <w:r>
              <w:rPr>
                <w:rFonts w:ascii="Arial" w:hAnsi="Arial"/>
                <w:b w:val="0"/>
                <w:i w:val="0"/>
                <w:sz w:val="18"/>
              </w:rPr>
              <w:t>+13,750 points</w:t>
            </w:r>
          </w:p>
        </w:tc>
      </w:tr>
      <w:tr>
        <w:tc>
          <w:tcPr>
            <w:tcW w:type="dxa" w:w="2016"/>
            <w:vAlign w:val="center"/>
          </w:tcPr>
          <w:p>
            <w:pPr>
              <w:jc w:val="center"/>
            </w:pPr>
            <w:r/>
            <w:r>
              <w:rPr>
                <w:rFonts w:ascii="Arial" w:hAnsi="Arial"/>
                <w:b w:val="0"/>
                <w:i w:val="0"/>
                <w:sz w:val="18"/>
              </w:rPr>
              <w:t>Confluences</w:t>
            </w:r>
          </w:p>
        </w:tc>
        <w:tc>
          <w:tcPr>
            <w:tcW w:type="dxa" w:w="4392"/>
            <w:vAlign w:val="center"/>
          </w:tcPr>
          <w:p>
            <w:pPr>
              <w:jc w:val="center"/>
            </w:pPr>
            <w:r/>
            <w:r>
              <w:rPr>
                <w:rFonts w:ascii="Arial" w:hAnsi="Arial"/>
                <w:b w:val="0"/>
                <w:i w:val="0"/>
                <w:sz w:val="18"/>
              </w:rPr>
              <w:t>50-61.8% fib retracement of impulse · daily R1 / monthly R2 zone above · Trending-up KER bias · structural ATH magnet above</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Thesis invalidation</w:t>
            </w:r>
          </w:p>
        </w:tc>
        <w:tc>
          <w:tcPr>
            <w:tcW w:type="dxa" w:w="4392"/>
            <w:vAlign w:val="center"/>
          </w:tcPr>
          <w:p>
            <w:pPr>
              <w:jc w:val="center"/>
            </w:pPr>
            <w:r/>
            <w:r>
              <w:rPr>
                <w:rFonts w:ascii="Arial" w:hAnsi="Arial"/>
                <w:b w:val="0"/>
                <w:i w:val="0"/>
                <w:sz w:val="18"/>
              </w:rPr>
              <w:t>A daily close below 7,360 breaks the 78.6% fib and the structural pullback floor — regime read shifts to TRANSITION and the momentum-pullback variant is no longer active.</w:t>
            </w:r>
          </w:p>
        </w:tc>
        <w:tc>
          <w:tcPr>
            <w:tcW w:type="dxa" w:w="2592"/>
            <w:vAlign w:val="center"/>
          </w:tcPr>
          <w:p>
            <w:pPr>
              <w:jc w:val="center"/>
            </w:pPr>
            <w:r/>
            <w:r>
              <w:rPr>
                <w:rFonts w:ascii="Arial" w:hAnsi="Arial"/>
                <w:b w:val="0"/>
                <w:i w:val="0"/>
                <w:sz w:val="18"/>
              </w:rPr>
              <w:t>—</w:t>
            </w:r>
          </w:p>
        </w:tc>
      </w:tr>
      <w:tr>
        <w:tc>
          <w:tcPr>
            <w:tcW w:type="dxa" w:w="2016"/>
            <w:vAlign w:val="center"/>
          </w:tcPr>
          <w:p>
            <w:pPr>
              <w:jc w:val="center"/>
            </w:pPr>
            <w:r/>
            <w:r>
              <w:rPr>
                <w:rFonts w:ascii="Arial" w:hAnsi="Arial"/>
                <w:b w:val="0"/>
                <w:i w:val="0"/>
                <w:sz w:val="18"/>
              </w:rPr>
              <w:t>Caveats</w:t>
            </w:r>
          </w:p>
        </w:tc>
        <w:tc>
          <w:tcPr>
            <w:tcW w:type="dxa" w:w="4392"/>
            <w:vAlign w:val="center"/>
          </w:tcPr>
          <w:p>
            <w:pPr>
              <w:jc w:val="center"/>
            </w:pPr>
            <w:r/>
            <w:r>
              <w:rPr>
                <w:rFonts w:ascii="Arial" w:hAnsi="Arial"/>
                <w:b w:val="0"/>
                <w:i w:val="0"/>
                <w:sz w:val="18"/>
              </w:rPr>
              <w:t>Adaptive fib lookback used (4-session impulse: 14 May high → 18 May low, magnitude 145.4 pts ≈ 2.1× ATR14, default 4-day window is appropriate).</w:t>
            </w:r>
          </w:p>
        </w:tc>
        <w:tc>
          <w:tcPr>
            <w:tcW w:type="dxa" w:w="2592"/>
            <w:vAlign w:val="center"/>
          </w:tcPr>
          <w:p>
            <w:pPr>
              <w:jc w:val="center"/>
            </w:pPr>
            <w:r/>
            <w:r>
              <w:rPr>
                <w:rFonts w:ascii="Arial" w:hAnsi="Arial"/>
                <w:b w:val="0"/>
                <w:i w:val="0"/>
                <w:sz w:val="18"/>
              </w:rPr>
              <w:t>—</w:t>
            </w:r>
          </w:p>
        </w:tc>
      </w:tr>
    </w:tbl>
    <w:p>
      <w:r>
        <w:rPr>
          <w:rFonts w:ascii="Arial" w:hAnsi="Arial"/>
          <w:b w:val="0"/>
          <w:i/>
          <w:color w:val="555555"/>
          <w:sz w:val="20"/>
        </w:rPr>
        <w:t>Simultaneous-long/short policy: ALLOWED. All three trade cards are long-biased — no directional conflict to resolve. Combined exposure if all three trigger and reach Unit 1: approximately 3 units long across three independent entry levels (7,372 / 7,403 / 7,436), delivering layered scale-in into a trending pullback. Aggregate risk capped at 3R per trade card (9R if all stops hit).</w:t>
      </w:r>
    </w:p>
    <w:p>
      <w:r>
        <w:rPr>
          <w:rFonts w:ascii="Arial" w:hAnsi="Arial"/>
          <w:b/>
          <w:i w:val="0"/>
          <w:sz w:val="24"/>
        </w:rPr>
        <w:t>§21c  5-Session No-Leakage Backtest</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52"/>
            <w:shd w:val="clear" w:color="auto" w:fill="1F3A5F"/>
            <w:vAlign w:val="center"/>
          </w:tcPr>
          <w:p>
            <w:pPr>
              <w:jc w:val="center"/>
            </w:pPr>
            <w:r/>
            <w:r>
              <w:rPr>
                <w:rFonts w:ascii="Arial" w:hAnsi="Arial"/>
                <w:b/>
                <w:i w:val="0"/>
                <w:color w:val="FFFFFF"/>
                <w:sz w:val="20"/>
              </w:rPr>
              <w:t>Session date</w:t>
            </w:r>
          </w:p>
        </w:tc>
        <w:tc>
          <w:tcPr>
            <w:tcW w:type="dxa" w:w="1008"/>
            <w:shd w:val="clear" w:color="auto" w:fill="1F3A5F"/>
            <w:vAlign w:val="center"/>
          </w:tcPr>
          <w:p>
            <w:pPr>
              <w:jc w:val="center"/>
            </w:pPr>
            <w:r/>
            <w:r>
              <w:rPr>
                <w:rFonts w:ascii="Arial" w:hAnsi="Arial"/>
                <w:b/>
                <w:i w:val="0"/>
                <w:color w:val="FFFFFF"/>
                <w:sz w:val="20"/>
              </w:rPr>
              <w:t>Strategy</w:t>
            </w:r>
          </w:p>
        </w:tc>
        <w:tc>
          <w:tcPr>
            <w:tcW w:type="dxa" w:w="1512"/>
            <w:shd w:val="clear" w:color="auto" w:fill="1F3A5F"/>
            <w:vAlign w:val="center"/>
          </w:tcPr>
          <w:p>
            <w:pPr>
              <w:jc w:val="center"/>
            </w:pPr>
            <w:r/>
            <w:r>
              <w:rPr>
                <w:rFonts w:ascii="Arial" w:hAnsi="Arial"/>
                <w:b/>
                <w:i w:val="0"/>
                <w:color w:val="FFFFFF"/>
                <w:sz w:val="20"/>
              </w:rPr>
              <w:t>Direction</w:t>
            </w:r>
          </w:p>
        </w:tc>
        <w:tc>
          <w:tcPr>
            <w:tcW w:type="dxa" w:w="1224"/>
            <w:shd w:val="clear" w:color="auto" w:fill="1F3A5F"/>
            <w:vAlign w:val="center"/>
          </w:tcPr>
          <w:p>
            <w:pPr>
              <w:jc w:val="center"/>
            </w:pPr>
            <w:r/>
            <w:r>
              <w:rPr>
                <w:rFonts w:ascii="Arial" w:hAnsi="Arial"/>
                <w:b/>
                <w:i w:val="0"/>
                <w:color w:val="FFFFFF"/>
                <w:sz w:val="20"/>
              </w:rPr>
              <w:t>Triggered?</w:t>
            </w:r>
          </w:p>
        </w:tc>
        <w:tc>
          <w:tcPr>
            <w:tcW w:type="dxa" w:w="864"/>
            <w:shd w:val="clear" w:color="auto" w:fill="1F3A5F"/>
            <w:vAlign w:val="center"/>
          </w:tcPr>
          <w:p>
            <w:pPr>
              <w:jc w:val="center"/>
            </w:pPr>
            <w:r/>
            <w:r>
              <w:rPr>
                <w:rFonts w:ascii="Arial" w:hAnsi="Arial"/>
                <w:b/>
                <w:i w:val="0"/>
                <w:color w:val="FFFFFF"/>
                <w:sz w:val="20"/>
              </w:rPr>
              <w:t>Entry</w:t>
            </w:r>
          </w:p>
        </w:tc>
        <w:tc>
          <w:tcPr>
            <w:tcW w:type="dxa" w:w="1368"/>
            <w:shd w:val="clear" w:color="auto" w:fill="1F3A5F"/>
            <w:vAlign w:val="center"/>
          </w:tcPr>
          <w:p>
            <w:pPr>
              <w:jc w:val="center"/>
            </w:pPr>
            <w:r/>
            <w:r>
              <w:rPr>
                <w:rFonts w:ascii="Arial" w:hAnsi="Arial"/>
                <w:b/>
                <w:i w:val="0"/>
                <w:color w:val="FFFFFF"/>
                <w:sz w:val="20"/>
              </w:rPr>
              <w:t>Exit</w:t>
            </w:r>
          </w:p>
        </w:tc>
        <w:tc>
          <w:tcPr>
            <w:tcW w:type="dxa" w:w="1008"/>
            <w:shd w:val="clear" w:color="auto" w:fill="1F3A5F"/>
            <w:vAlign w:val="center"/>
          </w:tcPr>
          <w:p>
            <w:pPr>
              <w:jc w:val="center"/>
            </w:pPr>
            <w:r/>
            <w:r>
              <w:rPr>
                <w:rFonts w:ascii="Arial" w:hAnsi="Arial"/>
                <w:b/>
                <w:i w:val="0"/>
                <w:color w:val="FFFFFF"/>
                <w:sz w:val="20"/>
              </w:rPr>
              <w:t>R outcome</w:t>
            </w:r>
          </w:p>
        </w:tc>
        <w:tc>
          <w:tcPr>
            <w:tcW w:type="dxa" w:w="864"/>
            <w:shd w:val="clear" w:color="auto" w:fill="1F3A5F"/>
            <w:vAlign w:val="center"/>
          </w:tcPr>
          <w:p>
            <w:pPr>
              <w:jc w:val="center"/>
            </w:pPr>
            <w:r/>
            <w:r>
              <w:rPr>
                <w:rFonts w:ascii="Arial" w:hAnsi="Arial"/>
                <w:b/>
                <w:i w:val="0"/>
                <w:color w:val="FFFFFF"/>
                <w:sz w:val="20"/>
              </w:rPr>
              <w:t>Days to resolution</w:t>
            </w:r>
          </w:p>
        </w:tc>
      </w:tr>
      <w:tr>
        <w:tc>
          <w:tcPr>
            <w:tcW w:type="dxa" w:w="1152"/>
            <w:vAlign w:val="center"/>
          </w:tcPr>
          <w:p>
            <w:pPr>
              <w:jc w:val="center"/>
            </w:pPr>
            <w:r/>
            <w:r>
              <w:rPr>
                <w:rFonts w:ascii="Arial" w:hAnsi="Arial"/>
                <w:b w:val="0"/>
                <w:i w:val="0"/>
                <w:sz w:val="18"/>
              </w:rPr>
              <w:t>12 May 2026</w:t>
            </w:r>
          </w:p>
        </w:tc>
        <w:tc>
          <w:tcPr>
            <w:tcW w:type="dxa" w:w="1008"/>
            <w:vAlign w:val="center"/>
          </w:tcPr>
          <w:p>
            <w:pPr>
              <w:jc w:val="center"/>
            </w:pPr>
            <w:r/>
            <w:r>
              <w:rPr>
                <w:rFonts w:ascii="Arial" w:hAnsi="Arial"/>
                <w:b w:val="0"/>
                <w:i w:val="0"/>
                <w:sz w:val="18"/>
              </w:rPr>
              <w:t>T1 Daily</w:t>
            </w:r>
          </w:p>
        </w:tc>
        <w:tc>
          <w:tcPr>
            <w:tcW w:type="dxa" w:w="1512"/>
            <w:vAlign w:val="center"/>
          </w:tcPr>
          <w:p>
            <w:pPr>
              <w:jc w:val="center"/>
            </w:pPr>
            <w:r/>
            <w:r>
              <w:rPr>
                <w:rFonts w:ascii="Arial" w:hAnsi="Arial"/>
                <w:b w:val="0"/>
                <w:i w:val="0"/>
                <w:sz w:val="18"/>
              </w:rPr>
              <w:t>LONG (score +0.42)</w:t>
            </w:r>
          </w:p>
        </w:tc>
        <w:tc>
          <w:tcPr>
            <w:tcW w:type="dxa" w:w="1224"/>
            <w:vAlign w:val="center"/>
          </w:tcPr>
          <w:p>
            <w:pPr>
              <w:jc w:val="center"/>
            </w:pPr>
            <w:r/>
            <w:r>
              <w:rPr>
                <w:rFonts w:ascii="Arial" w:hAnsi="Arial"/>
                <w:b w:val="0"/>
                <w:i w:val="0"/>
                <w:sz w:val="18"/>
              </w:rPr>
              <w:t>Y</w:t>
            </w:r>
          </w:p>
        </w:tc>
        <w:tc>
          <w:tcPr>
            <w:tcW w:type="dxa" w:w="864"/>
            <w:vAlign w:val="center"/>
          </w:tcPr>
          <w:p>
            <w:pPr>
              <w:jc w:val="center"/>
            </w:pPr>
            <w:r/>
            <w:r>
              <w:rPr>
                <w:rFonts w:ascii="Arial" w:hAnsi="Arial"/>
                <w:b w:val="0"/>
                <w:i w:val="0"/>
                <w:sz w:val="18"/>
              </w:rPr>
              <w:t>7,472.10</w:t>
            </w:r>
          </w:p>
        </w:tc>
        <w:tc>
          <w:tcPr>
            <w:tcW w:type="dxa" w:w="1368"/>
            <w:vAlign w:val="center"/>
          </w:tcPr>
          <w:p>
            <w:pPr>
              <w:jc w:val="center"/>
            </w:pPr>
            <w:r/>
            <w:r>
              <w:rPr>
                <w:rFonts w:ascii="Arial" w:hAnsi="Arial"/>
                <w:b w:val="0"/>
                <w:i w:val="0"/>
                <w:sz w:val="18"/>
              </w:rPr>
              <w:t>7,488.62 (TP1) → 7,495.18 (TP2 next day)</w:t>
            </w:r>
          </w:p>
        </w:tc>
        <w:tc>
          <w:tcPr>
            <w:tcW w:type="dxa" w:w="1008"/>
            <w:vAlign w:val="center"/>
          </w:tcPr>
          <w:p>
            <w:pPr>
              <w:jc w:val="center"/>
            </w:pPr>
            <w:r/>
            <w:r>
              <w:rPr>
                <w:rFonts w:ascii="Arial" w:hAnsi="Arial"/>
                <w:b w:val="0"/>
                <w:i w:val="0"/>
                <w:sz w:val="18"/>
              </w:rPr>
              <w:t>+0.45R then +1.30R</w:t>
            </w:r>
          </w:p>
        </w:tc>
        <w:tc>
          <w:tcPr>
            <w:tcW w:type="dxa" w:w="864"/>
            <w:vAlign w:val="center"/>
          </w:tcPr>
          <w:p>
            <w:pPr>
              <w:jc w:val="center"/>
            </w:pPr>
            <w:r/>
            <w:r>
              <w:rPr>
                <w:rFonts w:ascii="Arial" w:hAnsi="Arial"/>
                <w:b w:val="0"/>
                <w:i w:val="0"/>
                <w:sz w:val="18"/>
              </w:rPr>
              <w:t>1-2 sessions</w:t>
            </w:r>
          </w:p>
        </w:tc>
      </w:tr>
      <w:tr>
        <w:tc>
          <w:tcPr>
            <w:tcW w:type="dxa" w:w="1152"/>
            <w:vAlign w:val="center"/>
          </w:tcPr>
          <w:p>
            <w:pPr>
              <w:jc w:val="center"/>
            </w:pPr>
            <w:r/>
            <w:r>
              <w:rPr>
                <w:rFonts w:ascii="Arial" w:hAnsi="Arial"/>
                <w:b w:val="0"/>
                <w:i w:val="0"/>
                <w:sz w:val="18"/>
              </w:rPr>
              <w:t>12 May 2026</w:t>
            </w:r>
          </w:p>
        </w:tc>
        <w:tc>
          <w:tcPr>
            <w:tcW w:type="dxa" w:w="1008"/>
            <w:vAlign w:val="center"/>
          </w:tcPr>
          <w:p>
            <w:pPr>
              <w:jc w:val="center"/>
            </w:pPr>
            <w:r/>
            <w:r>
              <w:rPr>
                <w:rFonts w:ascii="Arial" w:hAnsi="Arial"/>
                <w:b w:val="0"/>
                <w:i w:val="0"/>
                <w:sz w:val="18"/>
              </w:rPr>
              <w:t>T2 Pivot</w:t>
            </w:r>
          </w:p>
        </w:tc>
        <w:tc>
          <w:tcPr>
            <w:tcW w:type="dxa" w:w="1512"/>
            <w:vAlign w:val="center"/>
          </w:tcPr>
          <w:p>
            <w:pPr>
              <w:jc w:val="center"/>
            </w:pPr>
            <w:r/>
            <w:r>
              <w:rPr>
                <w:rFonts w:ascii="Arial" w:hAnsi="Arial"/>
                <w:b w:val="0"/>
                <w:i w:val="0"/>
                <w:sz w:val="18"/>
              </w:rPr>
              <w:t>LONG</w:t>
            </w:r>
          </w:p>
        </w:tc>
        <w:tc>
          <w:tcPr>
            <w:tcW w:type="dxa" w:w="1224"/>
            <w:vAlign w:val="center"/>
          </w:tcPr>
          <w:p>
            <w:pPr>
              <w:jc w:val="center"/>
            </w:pPr>
            <w:r/>
            <w:r>
              <w:rPr>
                <w:rFonts w:ascii="Arial" w:hAnsi="Arial"/>
                <w:b w:val="0"/>
                <w:i w:val="0"/>
                <w:sz w:val="18"/>
              </w:rPr>
              <w:t>N (no pullback to S1)</w:t>
            </w:r>
          </w:p>
        </w:tc>
        <w:tc>
          <w:tcPr>
            <w:tcW w:type="dxa" w:w="864"/>
            <w:vAlign w:val="center"/>
          </w:tcPr>
          <w:p>
            <w:pPr>
              <w:jc w:val="center"/>
            </w:pPr>
            <w:r/>
            <w:r>
              <w:rPr>
                <w:rFonts w:ascii="Arial" w:hAnsi="Arial"/>
                <w:b w:val="0"/>
                <w:i w:val="0"/>
                <w:sz w:val="18"/>
              </w:rPr>
              <w:t>—</w:t>
            </w:r>
          </w:p>
        </w:tc>
        <w:tc>
          <w:tcPr>
            <w:tcW w:type="dxa" w:w="1368"/>
            <w:vAlign w:val="center"/>
          </w:tcPr>
          <w:p>
            <w:pPr>
              <w:jc w:val="center"/>
            </w:pPr>
            <w:r/>
            <w:r>
              <w:rPr>
                <w:rFonts w:ascii="Arial" w:hAnsi="Arial"/>
                <w:b w:val="0"/>
                <w:i w:val="0"/>
                <w:sz w:val="18"/>
              </w:rPr>
              <w:t>—</w:t>
            </w:r>
          </w:p>
        </w:tc>
        <w:tc>
          <w:tcPr>
            <w:tcW w:type="dxa" w:w="1008"/>
            <w:vAlign w:val="center"/>
          </w:tcPr>
          <w:p>
            <w:pPr>
              <w:jc w:val="center"/>
            </w:pPr>
            <w:r/>
            <w:r>
              <w:rPr>
                <w:rFonts w:ascii="Arial" w:hAnsi="Arial"/>
                <w:b w:val="0"/>
                <w:i w:val="0"/>
                <w:sz w:val="18"/>
              </w:rPr>
              <w:t>0R (no fill)</w:t>
            </w:r>
          </w:p>
        </w:tc>
        <w:tc>
          <w:tcPr>
            <w:tcW w:type="dxa" w:w="864"/>
            <w:vAlign w:val="center"/>
          </w:tcPr>
          <w:p>
            <w:pPr>
              <w:jc w:val="center"/>
            </w:pPr>
            <w:r/>
            <w:r>
              <w:rPr>
                <w:rFonts w:ascii="Arial" w:hAnsi="Arial"/>
                <w:b w:val="0"/>
                <w:i w:val="0"/>
                <w:sz w:val="18"/>
              </w:rPr>
              <w:t>—</w:t>
            </w:r>
          </w:p>
        </w:tc>
      </w:tr>
      <w:tr>
        <w:tc>
          <w:tcPr>
            <w:tcW w:type="dxa" w:w="1152"/>
            <w:vAlign w:val="center"/>
          </w:tcPr>
          <w:p>
            <w:pPr>
              <w:jc w:val="center"/>
            </w:pPr>
            <w:r/>
            <w:r>
              <w:rPr>
                <w:rFonts w:ascii="Arial" w:hAnsi="Arial"/>
                <w:b w:val="0"/>
                <w:i w:val="0"/>
                <w:sz w:val="18"/>
              </w:rPr>
              <w:t>12 May 2026</w:t>
            </w:r>
          </w:p>
        </w:tc>
        <w:tc>
          <w:tcPr>
            <w:tcW w:type="dxa" w:w="1008"/>
            <w:vAlign w:val="center"/>
          </w:tcPr>
          <w:p>
            <w:pPr>
              <w:jc w:val="center"/>
            </w:pPr>
            <w:r/>
            <w:r>
              <w:rPr>
                <w:rFonts w:ascii="Arial" w:hAnsi="Arial"/>
                <w:b w:val="0"/>
                <w:i w:val="0"/>
                <w:sz w:val="18"/>
              </w:rPr>
              <w:t>T3 Complex 3A</w:t>
            </w:r>
          </w:p>
        </w:tc>
        <w:tc>
          <w:tcPr>
            <w:tcW w:type="dxa" w:w="1512"/>
            <w:vAlign w:val="center"/>
          </w:tcPr>
          <w:p>
            <w:pPr>
              <w:jc w:val="center"/>
            </w:pPr>
            <w:r/>
            <w:r>
              <w:rPr>
                <w:rFonts w:ascii="Arial" w:hAnsi="Arial"/>
                <w:b w:val="0"/>
                <w:i w:val="0"/>
                <w:sz w:val="18"/>
              </w:rPr>
              <w:t>LONG</w:t>
            </w:r>
          </w:p>
        </w:tc>
        <w:tc>
          <w:tcPr>
            <w:tcW w:type="dxa" w:w="1224"/>
            <w:vAlign w:val="center"/>
          </w:tcPr>
          <w:p>
            <w:pPr>
              <w:jc w:val="center"/>
            </w:pPr>
            <w:r/>
            <w:r>
              <w:rPr>
                <w:rFonts w:ascii="Arial" w:hAnsi="Arial"/>
                <w:b w:val="0"/>
                <w:i w:val="0"/>
                <w:sz w:val="18"/>
              </w:rPr>
              <w:t>N (no pullback fib)</w:t>
            </w:r>
          </w:p>
        </w:tc>
        <w:tc>
          <w:tcPr>
            <w:tcW w:type="dxa" w:w="864"/>
            <w:vAlign w:val="center"/>
          </w:tcPr>
          <w:p>
            <w:pPr>
              <w:jc w:val="center"/>
            </w:pPr>
            <w:r/>
            <w:r>
              <w:rPr>
                <w:rFonts w:ascii="Arial" w:hAnsi="Arial"/>
                <w:b w:val="0"/>
                <w:i w:val="0"/>
                <w:sz w:val="18"/>
              </w:rPr>
              <w:t>—</w:t>
            </w:r>
          </w:p>
        </w:tc>
        <w:tc>
          <w:tcPr>
            <w:tcW w:type="dxa" w:w="1368"/>
            <w:vAlign w:val="center"/>
          </w:tcPr>
          <w:p>
            <w:pPr>
              <w:jc w:val="center"/>
            </w:pPr>
            <w:r/>
            <w:r>
              <w:rPr>
                <w:rFonts w:ascii="Arial" w:hAnsi="Arial"/>
                <w:b w:val="0"/>
                <w:i w:val="0"/>
                <w:sz w:val="18"/>
              </w:rPr>
              <w:t>—</w:t>
            </w:r>
          </w:p>
        </w:tc>
        <w:tc>
          <w:tcPr>
            <w:tcW w:type="dxa" w:w="1008"/>
            <w:vAlign w:val="center"/>
          </w:tcPr>
          <w:p>
            <w:pPr>
              <w:jc w:val="center"/>
            </w:pPr>
            <w:r/>
            <w:r>
              <w:rPr>
                <w:rFonts w:ascii="Arial" w:hAnsi="Arial"/>
                <w:b w:val="0"/>
                <w:i w:val="0"/>
                <w:sz w:val="18"/>
              </w:rPr>
              <w:t>0R (no fill)</w:t>
            </w:r>
          </w:p>
        </w:tc>
        <w:tc>
          <w:tcPr>
            <w:tcW w:type="dxa" w:w="864"/>
            <w:vAlign w:val="center"/>
          </w:tcPr>
          <w:p>
            <w:pPr>
              <w:jc w:val="center"/>
            </w:pPr>
            <w:r/>
            <w:r>
              <w:rPr>
                <w:rFonts w:ascii="Arial" w:hAnsi="Arial"/>
                <w:b w:val="0"/>
                <w:i w:val="0"/>
                <w:sz w:val="18"/>
              </w:rPr>
              <w:t>—</w:t>
            </w:r>
          </w:p>
        </w:tc>
      </w:tr>
      <w:tr>
        <w:tc>
          <w:tcPr>
            <w:tcW w:type="dxa" w:w="1152"/>
            <w:vAlign w:val="center"/>
          </w:tcPr>
          <w:p>
            <w:pPr>
              <w:jc w:val="center"/>
            </w:pPr>
            <w:r/>
            <w:r>
              <w:rPr>
                <w:rFonts w:ascii="Arial" w:hAnsi="Arial"/>
                <w:b w:val="0"/>
                <w:i w:val="0"/>
                <w:sz w:val="18"/>
              </w:rPr>
              <w:t>13 May 2026</w:t>
            </w:r>
          </w:p>
        </w:tc>
        <w:tc>
          <w:tcPr>
            <w:tcW w:type="dxa" w:w="1008"/>
            <w:vAlign w:val="center"/>
          </w:tcPr>
          <w:p>
            <w:pPr>
              <w:jc w:val="center"/>
            </w:pPr>
            <w:r/>
            <w:r>
              <w:rPr>
                <w:rFonts w:ascii="Arial" w:hAnsi="Arial"/>
                <w:b w:val="0"/>
                <w:i w:val="0"/>
                <w:sz w:val="18"/>
              </w:rPr>
              <w:t>T1 Daily</w:t>
            </w:r>
          </w:p>
        </w:tc>
        <w:tc>
          <w:tcPr>
            <w:tcW w:type="dxa" w:w="1512"/>
            <w:vAlign w:val="center"/>
          </w:tcPr>
          <w:p>
            <w:pPr>
              <w:jc w:val="center"/>
            </w:pPr>
            <w:r/>
            <w:r>
              <w:rPr>
                <w:rFonts w:ascii="Arial" w:hAnsi="Arial"/>
                <w:b w:val="0"/>
                <w:i w:val="0"/>
                <w:sz w:val="18"/>
              </w:rPr>
              <w:t>LONG (score +0.38)</w:t>
            </w:r>
          </w:p>
        </w:tc>
        <w:tc>
          <w:tcPr>
            <w:tcW w:type="dxa" w:w="1224"/>
            <w:vAlign w:val="center"/>
          </w:tcPr>
          <w:p>
            <w:pPr>
              <w:jc w:val="center"/>
            </w:pPr>
            <w:r/>
            <w:r>
              <w:rPr>
                <w:rFonts w:ascii="Arial" w:hAnsi="Arial"/>
                <w:b w:val="0"/>
                <w:i w:val="0"/>
                <w:sz w:val="18"/>
              </w:rPr>
              <w:t>Y</w:t>
            </w:r>
          </w:p>
        </w:tc>
        <w:tc>
          <w:tcPr>
            <w:tcW w:type="dxa" w:w="864"/>
            <w:vAlign w:val="center"/>
          </w:tcPr>
          <w:p>
            <w:pPr>
              <w:jc w:val="center"/>
            </w:pPr>
            <w:r/>
            <w:r>
              <w:rPr>
                <w:rFonts w:ascii="Arial" w:hAnsi="Arial"/>
                <w:b w:val="0"/>
                <w:i w:val="0"/>
                <w:sz w:val="18"/>
              </w:rPr>
              <w:t>7,488.62</w:t>
            </w:r>
          </w:p>
        </w:tc>
        <w:tc>
          <w:tcPr>
            <w:tcW w:type="dxa" w:w="1368"/>
            <w:vAlign w:val="center"/>
          </w:tcPr>
          <w:p>
            <w:pPr>
              <w:jc w:val="center"/>
            </w:pPr>
            <w:r/>
            <w:r>
              <w:rPr>
                <w:rFonts w:ascii="Arial" w:hAnsi="Arial"/>
                <w:b w:val="0"/>
                <w:i w:val="0"/>
                <w:sz w:val="18"/>
              </w:rPr>
              <w:t>7,495.18 (Unit 1 small win)</w:t>
            </w:r>
          </w:p>
        </w:tc>
        <w:tc>
          <w:tcPr>
            <w:tcW w:type="dxa" w:w="1008"/>
            <w:vAlign w:val="center"/>
          </w:tcPr>
          <w:p>
            <w:pPr>
              <w:jc w:val="center"/>
            </w:pPr>
            <w:r/>
            <w:r>
              <w:rPr>
                <w:rFonts w:ascii="Arial" w:hAnsi="Arial"/>
                <w:b w:val="0"/>
                <w:i w:val="0"/>
                <w:sz w:val="18"/>
              </w:rPr>
              <w:t>+0.20R blended</w:t>
            </w:r>
          </w:p>
        </w:tc>
        <w:tc>
          <w:tcPr>
            <w:tcW w:type="dxa" w:w="864"/>
            <w:vAlign w:val="center"/>
          </w:tcPr>
          <w:p>
            <w:pPr>
              <w:jc w:val="center"/>
            </w:pPr>
            <w:r/>
            <w:r>
              <w:rPr>
                <w:rFonts w:ascii="Arial" w:hAnsi="Arial"/>
                <w:b w:val="0"/>
                <w:i w:val="0"/>
                <w:sz w:val="18"/>
              </w:rPr>
              <w:t>1 session</w:t>
            </w:r>
          </w:p>
        </w:tc>
      </w:tr>
      <w:tr>
        <w:tc>
          <w:tcPr>
            <w:tcW w:type="dxa" w:w="1152"/>
            <w:vAlign w:val="center"/>
          </w:tcPr>
          <w:p>
            <w:pPr>
              <w:jc w:val="center"/>
            </w:pPr>
            <w:r/>
            <w:r>
              <w:rPr>
                <w:rFonts w:ascii="Arial" w:hAnsi="Arial"/>
                <w:b w:val="0"/>
                <w:i w:val="0"/>
                <w:sz w:val="18"/>
              </w:rPr>
              <w:t>13 May 2026</w:t>
            </w:r>
          </w:p>
        </w:tc>
        <w:tc>
          <w:tcPr>
            <w:tcW w:type="dxa" w:w="1008"/>
            <w:vAlign w:val="center"/>
          </w:tcPr>
          <w:p>
            <w:pPr>
              <w:jc w:val="center"/>
            </w:pPr>
            <w:r/>
            <w:r>
              <w:rPr>
                <w:rFonts w:ascii="Arial" w:hAnsi="Arial"/>
                <w:b w:val="0"/>
                <w:i w:val="0"/>
                <w:sz w:val="18"/>
              </w:rPr>
              <w:t>T2 Pivot</w:t>
            </w:r>
          </w:p>
        </w:tc>
        <w:tc>
          <w:tcPr>
            <w:tcW w:type="dxa" w:w="1512"/>
            <w:vAlign w:val="center"/>
          </w:tcPr>
          <w:p>
            <w:pPr>
              <w:jc w:val="center"/>
            </w:pPr>
            <w:r/>
            <w:r>
              <w:rPr>
                <w:rFonts w:ascii="Arial" w:hAnsi="Arial"/>
                <w:b w:val="0"/>
                <w:i w:val="0"/>
                <w:sz w:val="18"/>
              </w:rPr>
              <w:t>LONG</w:t>
            </w:r>
          </w:p>
        </w:tc>
        <w:tc>
          <w:tcPr>
            <w:tcW w:type="dxa" w:w="1224"/>
            <w:vAlign w:val="center"/>
          </w:tcPr>
          <w:p>
            <w:pPr>
              <w:jc w:val="center"/>
            </w:pPr>
            <w:r/>
            <w:r>
              <w:rPr>
                <w:rFonts w:ascii="Arial" w:hAnsi="Arial"/>
                <w:b w:val="0"/>
                <w:i w:val="0"/>
                <w:sz w:val="18"/>
              </w:rPr>
              <w:t>N</w:t>
            </w:r>
          </w:p>
        </w:tc>
        <w:tc>
          <w:tcPr>
            <w:tcW w:type="dxa" w:w="864"/>
            <w:vAlign w:val="center"/>
          </w:tcPr>
          <w:p>
            <w:pPr>
              <w:jc w:val="center"/>
            </w:pPr>
            <w:r/>
            <w:r>
              <w:rPr>
                <w:rFonts w:ascii="Arial" w:hAnsi="Arial"/>
                <w:b w:val="0"/>
                <w:i w:val="0"/>
                <w:sz w:val="18"/>
              </w:rPr>
              <w:t>—</w:t>
            </w:r>
          </w:p>
        </w:tc>
        <w:tc>
          <w:tcPr>
            <w:tcW w:type="dxa" w:w="1368"/>
            <w:vAlign w:val="center"/>
          </w:tcPr>
          <w:p>
            <w:pPr>
              <w:jc w:val="center"/>
            </w:pPr>
            <w:r/>
            <w:r>
              <w:rPr>
                <w:rFonts w:ascii="Arial" w:hAnsi="Arial"/>
                <w:b w:val="0"/>
                <w:i w:val="0"/>
                <w:sz w:val="18"/>
              </w:rPr>
              <w:t>—</w:t>
            </w:r>
          </w:p>
        </w:tc>
        <w:tc>
          <w:tcPr>
            <w:tcW w:type="dxa" w:w="1008"/>
            <w:vAlign w:val="center"/>
          </w:tcPr>
          <w:p>
            <w:pPr>
              <w:jc w:val="center"/>
            </w:pPr>
            <w:r/>
            <w:r>
              <w:rPr>
                <w:rFonts w:ascii="Arial" w:hAnsi="Arial"/>
                <w:b w:val="0"/>
                <w:i w:val="0"/>
                <w:sz w:val="18"/>
              </w:rPr>
              <w:t>0R (no fill)</w:t>
            </w:r>
          </w:p>
        </w:tc>
        <w:tc>
          <w:tcPr>
            <w:tcW w:type="dxa" w:w="864"/>
            <w:vAlign w:val="center"/>
          </w:tcPr>
          <w:p>
            <w:pPr>
              <w:jc w:val="center"/>
            </w:pPr>
            <w:r/>
            <w:r>
              <w:rPr>
                <w:rFonts w:ascii="Arial" w:hAnsi="Arial"/>
                <w:b w:val="0"/>
                <w:i w:val="0"/>
                <w:sz w:val="18"/>
              </w:rPr>
              <w:t>—</w:t>
            </w:r>
          </w:p>
        </w:tc>
      </w:tr>
      <w:tr>
        <w:tc>
          <w:tcPr>
            <w:tcW w:type="dxa" w:w="1152"/>
            <w:vAlign w:val="center"/>
          </w:tcPr>
          <w:p>
            <w:pPr>
              <w:jc w:val="center"/>
            </w:pPr>
            <w:r/>
            <w:r>
              <w:rPr>
                <w:rFonts w:ascii="Arial" w:hAnsi="Arial"/>
                <w:b w:val="0"/>
                <w:i w:val="0"/>
                <w:sz w:val="18"/>
              </w:rPr>
              <w:t>13 May 2026</w:t>
            </w:r>
          </w:p>
        </w:tc>
        <w:tc>
          <w:tcPr>
            <w:tcW w:type="dxa" w:w="1008"/>
            <w:vAlign w:val="center"/>
          </w:tcPr>
          <w:p>
            <w:pPr>
              <w:jc w:val="center"/>
            </w:pPr>
            <w:r/>
            <w:r>
              <w:rPr>
                <w:rFonts w:ascii="Arial" w:hAnsi="Arial"/>
                <w:b w:val="0"/>
                <w:i w:val="0"/>
                <w:sz w:val="18"/>
              </w:rPr>
              <w:t>T3 Complex 3A</w:t>
            </w:r>
          </w:p>
        </w:tc>
        <w:tc>
          <w:tcPr>
            <w:tcW w:type="dxa" w:w="1512"/>
            <w:vAlign w:val="center"/>
          </w:tcPr>
          <w:p>
            <w:pPr>
              <w:jc w:val="center"/>
            </w:pPr>
            <w:r/>
            <w:r>
              <w:rPr>
                <w:rFonts w:ascii="Arial" w:hAnsi="Arial"/>
                <w:b w:val="0"/>
                <w:i w:val="0"/>
                <w:sz w:val="18"/>
              </w:rPr>
              <w:t>LONG</w:t>
            </w:r>
          </w:p>
        </w:tc>
        <w:tc>
          <w:tcPr>
            <w:tcW w:type="dxa" w:w="1224"/>
            <w:vAlign w:val="center"/>
          </w:tcPr>
          <w:p>
            <w:pPr>
              <w:jc w:val="center"/>
            </w:pPr>
            <w:r/>
            <w:r>
              <w:rPr>
                <w:rFonts w:ascii="Arial" w:hAnsi="Arial"/>
                <w:b w:val="0"/>
                <w:i w:val="0"/>
                <w:sz w:val="18"/>
              </w:rPr>
              <w:t>N</w:t>
            </w:r>
          </w:p>
        </w:tc>
        <w:tc>
          <w:tcPr>
            <w:tcW w:type="dxa" w:w="864"/>
            <w:vAlign w:val="center"/>
          </w:tcPr>
          <w:p>
            <w:pPr>
              <w:jc w:val="center"/>
            </w:pPr>
            <w:r/>
            <w:r>
              <w:rPr>
                <w:rFonts w:ascii="Arial" w:hAnsi="Arial"/>
                <w:b w:val="0"/>
                <w:i w:val="0"/>
                <w:sz w:val="18"/>
              </w:rPr>
              <w:t>—</w:t>
            </w:r>
          </w:p>
        </w:tc>
        <w:tc>
          <w:tcPr>
            <w:tcW w:type="dxa" w:w="1368"/>
            <w:vAlign w:val="center"/>
          </w:tcPr>
          <w:p>
            <w:pPr>
              <w:jc w:val="center"/>
            </w:pPr>
            <w:r/>
            <w:r>
              <w:rPr>
                <w:rFonts w:ascii="Arial" w:hAnsi="Arial"/>
                <w:b w:val="0"/>
                <w:i w:val="0"/>
                <w:sz w:val="18"/>
              </w:rPr>
              <w:t>—</w:t>
            </w:r>
          </w:p>
        </w:tc>
        <w:tc>
          <w:tcPr>
            <w:tcW w:type="dxa" w:w="1008"/>
            <w:vAlign w:val="center"/>
          </w:tcPr>
          <w:p>
            <w:pPr>
              <w:jc w:val="center"/>
            </w:pPr>
            <w:r/>
            <w:r>
              <w:rPr>
                <w:rFonts w:ascii="Arial" w:hAnsi="Arial"/>
                <w:b w:val="0"/>
                <w:i w:val="0"/>
                <w:sz w:val="18"/>
              </w:rPr>
              <w:t>0R (no fill)</w:t>
            </w:r>
          </w:p>
        </w:tc>
        <w:tc>
          <w:tcPr>
            <w:tcW w:type="dxa" w:w="864"/>
            <w:vAlign w:val="center"/>
          </w:tcPr>
          <w:p>
            <w:pPr>
              <w:jc w:val="center"/>
            </w:pPr>
            <w:r/>
            <w:r>
              <w:rPr>
                <w:rFonts w:ascii="Arial" w:hAnsi="Arial"/>
                <w:b w:val="0"/>
                <w:i w:val="0"/>
                <w:sz w:val="18"/>
              </w:rPr>
              <w:t>—</w:t>
            </w:r>
          </w:p>
        </w:tc>
      </w:tr>
      <w:tr>
        <w:tc>
          <w:tcPr>
            <w:tcW w:type="dxa" w:w="1152"/>
            <w:vAlign w:val="center"/>
          </w:tcPr>
          <w:p>
            <w:pPr>
              <w:jc w:val="center"/>
            </w:pPr>
            <w:r/>
            <w:r>
              <w:rPr>
                <w:rFonts w:ascii="Arial" w:hAnsi="Arial"/>
                <w:b w:val="0"/>
                <w:i w:val="0"/>
                <w:sz w:val="18"/>
              </w:rPr>
              <w:t>14 May 2026</w:t>
            </w:r>
          </w:p>
        </w:tc>
        <w:tc>
          <w:tcPr>
            <w:tcW w:type="dxa" w:w="1008"/>
            <w:vAlign w:val="center"/>
          </w:tcPr>
          <w:p>
            <w:pPr>
              <w:jc w:val="center"/>
            </w:pPr>
            <w:r/>
            <w:r>
              <w:rPr>
                <w:rFonts w:ascii="Arial" w:hAnsi="Arial"/>
                <w:b w:val="0"/>
                <w:i w:val="0"/>
                <w:sz w:val="18"/>
              </w:rPr>
              <w:t>T1 Daily</w:t>
            </w:r>
          </w:p>
        </w:tc>
        <w:tc>
          <w:tcPr>
            <w:tcW w:type="dxa" w:w="1512"/>
            <w:vAlign w:val="center"/>
          </w:tcPr>
          <w:p>
            <w:pPr>
              <w:jc w:val="center"/>
            </w:pPr>
            <w:r/>
            <w:r>
              <w:rPr>
                <w:rFonts w:ascii="Arial" w:hAnsi="Arial"/>
                <w:b w:val="0"/>
                <w:i w:val="0"/>
                <w:sz w:val="18"/>
              </w:rPr>
              <w:t>LONG (score +0.45)</w:t>
            </w:r>
          </w:p>
        </w:tc>
        <w:tc>
          <w:tcPr>
            <w:tcW w:type="dxa" w:w="1224"/>
            <w:vAlign w:val="center"/>
          </w:tcPr>
          <w:p>
            <w:pPr>
              <w:jc w:val="center"/>
            </w:pPr>
            <w:r/>
            <w:r>
              <w:rPr>
                <w:rFonts w:ascii="Arial" w:hAnsi="Arial"/>
                <w:b w:val="0"/>
                <w:i w:val="0"/>
                <w:sz w:val="18"/>
              </w:rPr>
              <w:t>Y</w:t>
            </w:r>
          </w:p>
        </w:tc>
        <w:tc>
          <w:tcPr>
            <w:tcW w:type="dxa" w:w="864"/>
            <w:vAlign w:val="center"/>
          </w:tcPr>
          <w:p>
            <w:pPr>
              <w:jc w:val="center"/>
            </w:pPr>
            <w:r/>
            <w:r>
              <w:rPr>
                <w:rFonts w:ascii="Arial" w:hAnsi="Arial"/>
                <w:b w:val="0"/>
                <w:i w:val="0"/>
                <w:sz w:val="18"/>
              </w:rPr>
              <w:t>7,495.18</w:t>
            </w:r>
          </w:p>
        </w:tc>
        <w:tc>
          <w:tcPr>
            <w:tcW w:type="dxa" w:w="1368"/>
            <w:vAlign w:val="center"/>
          </w:tcPr>
          <w:p>
            <w:pPr>
              <w:jc w:val="center"/>
            </w:pPr>
            <w:r/>
            <w:r>
              <w:rPr>
                <w:rFonts w:ascii="Arial" w:hAnsi="Arial"/>
                <w:b w:val="0"/>
                <w:i w:val="0"/>
                <w:sz w:val="18"/>
              </w:rPr>
              <w:t>7,501.24 (intraday); stopped 7,408.50 next session (Fri reversal)</w:t>
            </w:r>
          </w:p>
        </w:tc>
        <w:tc>
          <w:tcPr>
            <w:tcW w:type="dxa" w:w="1008"/>
            <w:vAlign w:val="center"/>
          </w:tcPr>
          <w:p>
            <w:pPr>
              <w:jc w:val="center"/>
            </w:pPr>
            <w:r/>
            <w:r>
              <w:rPr>
                <w:rFonts w:ascii="Arial" w:hAnsi="Arial"/>
                <w:b w:val="0"/>
                <w:i w:val="0"/>
                <w:sz w:val="18"/>
              </w:rPr>
              <w:t>−0.85R blended (TP1 missed)</w:t>
            </w:r>
          </w:p>
        </w:tc>
        <w:tc>
          <w:tcPr>
            <w:tcW w:type="dxa" w:w="864"/>
            <w:vAlign w:val="center"/>
          </w:tcPr>
          <w:p>
            <w:pPr>
              <w:jc w:val="center"/>
            </w:pPr>
            <w:r/>
            <w:r>
              <w:rPr>
                <w:rFonts w:ascii="Arial" w:hAnsi="Arial"/>
                <w:b w:val="0"/>
                <w:i w:val="0"/>
                <w:sz w:val="18"/>
              </w:rPr>
              <w:t>1-2 sessions</w:t>
            </w:r>
          </w:p>
        </w:tc>
      </w:tr>
      <w:tr>
        <w:tc>
          <w:tcPr>
            <w:tcW w:type="dxa" w:w="1152"/>
            <w:vAlign w:val="center"/>
          </w:tcPr>
          <w:p>
            <w:pPr>
              <w:jc w:val="center"/>
            </w:pPr>
            <w:r/>
            <w:r>
              <w:rPr>
                <w:rFonts w:ascii="Arial" w:hAnsi="Arial"/>
                <w:b w:val="0"/>
                <w:i w:val="0"/>
                <w:sz w:val="18"/>
              </w:rPr>
              <w:t>14 May 2026</w:t>
            </w:r>
          </w:p>
        </w:tc>
        <w:tc>
          <w:tcPr>
            <w:tcW w:type="dxa" w:w="1008"/>
            <w:vAlign w:val="center"/>
          </w:tcPr>
          <w:p>
            <w:pPr>
              <w:jc w:val="center"/>
            </w:pPr>
            <w:r/>
            <w:r>
              <w:rPr>
                <w:rFonts w:ascii="Arial" w:hAnsi="Arial"/>
                <w:b w:val="0"/>
                <w:i w:val="0"/>
                <w:sz w:val="18"/>
              </w:rPr>
              <w:t>T2 Pivot</w:t>
            </w:r>
          </w:p>
        </w:tc>
        <w:tc>
          <w:tcPr>
            <w:tcW w:type="dxa" w:w="1512"/>
            <w:vAlign w:val="center"/>
          </w:tcPr>
          <w:p>
            <w:pPr>
              <w:jc w:val="center"/>
            </w:pPr>
            <w:r/>
            <w:r>
              <w:rPr>
                <w:rFonts w:ascii="Arial" w:hAnsi="Arial"/>
                <w:b w:val="0"/>
                <w:i w:val="0"/>
                <w:sz w:val="18"/>
              </w:rPr>
              <w:t>LONG</w:t>
            </w:r>
          </w:p>
        </w:tc>
        <w:tc>
          <w:tcPr>
            <w:tcW w:type="dxa" w:w="1224"/>
            <w:vAlign w:val="center"/>
          </w:tcPr>
          <w:p>
            <w:pPr>
              <w:jc w:val="center"/>
            </w:pPr>
            <w:r/>
            <w:r>
              <w:rPr>
                <w:rFonts w:ascii="Arial" w:hAnsi="Arial"/>
                <w:b w:val="0"/>
                <w:i w:val="0"/>
                <w:sz w:val="18"/>
              </w:rPr>
              <w:t>N (no pullback)</w:t>
            </w:r>
          </w:p>
        </w:tc>
        <w:tc>
          <w:tcPr>
            <w:tcW w:type="dxa" w:w="864"/>
            <w:vAlign w:val="center"/>
          </w:tcPr>
          <w:p>
            <w:pPr>
              <w:jc w:val="center"/>
            </w:pPr>
            <w:r/>
            <w:r>
              <w:rPr>
                <w:rFonts w:ascii="Arial" w:hAnsi="Arial"/>
                <w:b w:val="0"/>
                <w:i w:val="0"/>
                <w:sz w:val="18"/>
              </w:rPr>
              <w:t>—</w:t>
            </w:r>
          </w:p>
        </w:tc>
        <w:tc>
          <w:tcPr>
            <w:tcW w:type="dxa" w:w="1368"/>
            <w:vAlign w:val="center"/>
          </w:tcPr>
          <w:p>
            <w:pPr>
              <w:jc w:val="center"/>
            </w:pPr>
            <w:r/>
            <w:r>
              <w:rPr>
                <w:rFonts w:ascii="Arial" w:hAnsi="Arial"/>
                <w:b w:val="0"/>
                <w:i w:val="0"/>
                <w:sz w:val="18"/>
              </w:rPr>
              <w:t>—</w:t>
            </w:r>
          </w:p>
        </w:tc>
        <w:tc>
          <w:tcPr>
            <w:tcW w:type="dxa" w:w="1008"/>
            <w:vAlign w:val="center"/>
          </w:tcPr>
          <w:p>
            <w:pPr>
              <w:jc w:val="center"/>
            </w:pPr>
            <w:r/>
            <w:r>
              <w:rPr>
                <w:rFonts w:ascii="Arial" w:hAnsi="Arial"/>
                <w:b w:val="0"/>
                <w:i w:val="0"/>
                <w:sz w:val="18"/>
              </w:rPr>
              <w:t>0R (no fill)</w:t>
            </w:r>
          </w:p>
        </w:tc>
        <w:tc>
          <w:tcPr>
            <w:tcW w:type="dxa" w:w="864"/>
            <w:vAlign w:val="center"/>
          </w:tcPr>
          <w:p>
            <w:pPr>
              <w:jc w:val="center"/>
            </w:pPr>
            <w:r/>
            <w:r>
              <w:rPr>
                <w:rFonts w:ascii="Arial" w:hAnsi="Arial"/>
                <w:b w:val="0"/>
                <w:i w:val="0"/>
                <w:sz w:val="18"/>
              </w:rPr>
              <w:t>—</w:t>
            </w:r>
          </w:p>
        </w:tc>
      </w:tr>
      <w:tr>
        <w:tc>
          <w:tcPr>
            <w:tcW w:type="dxa" w:w="1152"/>
            <w:vAlign w:val="center"/>
          </w:tcPr>
          <w:p>
            <w:pPr>
              <w:jc w:val="center"/>
            </w:pPr>
            <w:r/>
            <w:r>
              <w:rPr>
                <w:rFonts w:ascii="Arial" w:hAnsi="Arial"/>
                <w:b w:val="0"/>
                <w:i w:val="0"/>
                <w:sz w:val="18"/>
              </w:rPr>
              <w:t>14 May 2026</w:t>
            </w:r>
          </w:p>
        </w:tc>
        <w:tc>
          <w:tcPr>
            <w:tcW w:type="dxa" w:w="1008"/>
            <w:vAlign w:val="center"/>
          </w:tcPr>
          <w:p>
            <w:pPr>
              <w:jc w:val="center"/>
            </w:pPr>
            <w:r/>
            <w:r>
              <w:rPr>
                <w:rFonts w:ascii="Arial" w:hAnsi="Arial"/>
                <w:b w:val="0"/>
                <w:i w:val="0"/>
                <w:sz w:val="18"/>
              </w:rPr>
              <w:t>T3 Complex 3A</w:t>
            </w:r>
          </w:p>
        </w:tc>
        <w:tc>
          <w:tcPr>
            <w:tcW w:type="dxa" w:w="1512"/>
            <w:vAlign w:val="center"/>
          </w:tcPr>
          <w:p>
            <w:pPr>
              <w:jc w:val="center"/>
            </w:pPr>
            <w:r/>
            <w:r>
              <w:rPr>
                <w:rFonts w:ascii="Arial" w:hAnsi="Arial"/>
                <w:b w:val="0"/>
                <w:i w:val="0"/>
                <w:sz w:val="18"/>
              </w:rPr>
              <w:t>LONG</w:t>
            </w:r>
          </w:p>
        </w:tc>
        <w:tc>
          <w:tcPr>
            <w:tcW w:type="dxa" w:w="1224"/>
            <w:vAlign w:val="center"/>
          </w:tcPr>
          <w:p>
            <w:pPr>
              <w:jc w:val="center"/>
            </w:pPr>
            <w:r/>
            <w:r>
              <w:rPr>
                <w:rFonts w:ascii="Arial" w:hAnsi="Arial"/>
                <w:b w:val="0"/>
                <w:i w:val="0"/>
                <w:sz w:val="18"/>
              </w:rPr>
              <w:t>N (no pullback)</w:t>
            </w:r>
          </w:p>
        </w:tc>
        <w:tc>
          <w:tcPr>
            <w:tcW w:type="dxa" w:w="864"/>
            <w:vAlign w:val="center"/>
          </w:tcPr>
          <w:p>
            <w:pPr>
              <w:jc w:val="center"/>
            </w:pPr>
            <w:r/>
            <w:r>
              <w:rPr>
                <w:rFonts w:ascii="Arial" w:hAnsi="Arial"/>
                <w:b w:val="0"/>
                <w:i w:val="0"/>
                <w:sz w:val="18"/>
              </w:rPr>
              <w:t>—</w:t>
            </w:r>
          </w:p>
        </w:tc>
        <w:tc>
          <w:tcPr>
            <w:tcW w:type="dxa" w:w="1368"/>
            <w:vAlign w:val="center"/>
          </w:tcPr>
          <w:p>
            <w:pPr>
              <w:jc w:val="center"/>
            </w:pPr>
            <w:r/>
            <w:r>
              <w:rPr>
                <w:rFonts w:ascii="Arial" w:hAnsi="Arial"/>
                <w:b w:val="0"/>
                <w:i w:val="0"/>
                <w:sz w:val="18"/>
              </w:rPr>
              <w:t>—</w:t>
            </w:r>
          </w:p>
        </w:tc>
        <w:tc>
          <w:tcPr>
            <w:tcW w:type="dxa" w:w="1008"/>
            <w:vAlign w:val="center"/>
          </w:tcPr>
          <w:p>
            <w:pPr>
              <w:jc w:val="center"/>
            </w:pPr>
            <w:r/>
            <w:r>
              <w:rPr>
                <w:rFonts w:ascii="Arial" w:hAnsi="Arial"/>
                <w:b w:val="0"/>
                <w:i w:val="0"/>
                <w:sz w:val="18"/>
              </w:rPr>
              <w:t>0R (no fill)</w:t>
            </w:r>
          </w:p>
        </w:tc>
        <w:tc>
          <w:tcPr>
            <w:tcW w:type="dxa" w:w="864"/>
            <w:vAlign w:val="center"/>
          </w:tcPr>
          <w:p>
            <w:pPr>
              <w:jc w:val="center"/>
            </w:pPr>
            <w:r/>
            <w:r>
              <w:rPr>
                <w:rFonts w:ascii="Arial" w:hAnsi="Arial"/>
                <w:b w:val="0"/>
                <w:i w:val="0"/>
                <w:sz w:val="18"/>
              </w:rPr>
              <w:t>—</w:t>
            </w:r>
          </w:p>
        </w:tc>
      </w:tr>
      <w:tr>
        <w:tc>
          <w:tcPr>
            <w:tcW w:type="dxa" w:w="1152"/>
            <w:vAlign w:val="center"/>
          </w:tcPr>
          <w:p>
            <w:pPr>
              <w:jc w:val="center"/>
            </w:pPr>
            <w:r/>
            <w:r>
              <w:rPr>
                <w:rFonts w:ascii="Arial" w:hAnsi="Arial"/>
                <w:b w:val="0"/>
                <w:i w:val="0"/>
                <w:sz w:val="18"/>
              </w:rPr>
              <w:t>15 May 2026</w:t>
            </w:r>
          </w:p>
        </w:tc>
        <w:tc>
          <w:tcPr>
            <w:tcW w:type="dxa" w:w="1008"/>
            <w:vAlign w:val="center"/>
          </w:tcPr>
          <w:p>
            <w:pPr>
              <w:jc w:val="center"/>
            </w:pPr>
            <w:r/>
            <w:r>
              <w:rPr>
                <w:rFonts w:ascii="Arial" w:hAnsi="Arial"/>
                <w:b w:val="0"/>
                <w:i w:val="0"/>
                <w:sz w:val="18"/>
              </w:rPr>
              <w:t>T1 Daily</w:t>
            </w:r>
          </w:p>
        </w:tc>
        <w:tc>
          <w:tcPr>
            <w:tcW w:type="dxa" w:w="1512"/>
            <w:vAlign w:val="center"/>
          </w:tcPr>
          <w:p>
            <w:pPr>
              <w:jc w:val="center"/>
            </w:pPr>
            <w:r/>
            <w:r>
              <w:rPr>
                <w:rFonts w:ascii="Arial" w:hAnsi="Arial"/>
                <w:b w:val="0"/>
                <w:i w:val="0"/>
                <w:sz w:val="18"/>
              </w:rPr>
              <w:t>LONG (score +0.10)</w:t>
            </w:r>
          </w:p>
        </w:tc>
        <w:tc>
          <w:tcPr>
            <w:tcW w:type="dxa" w:w="1224"/>
            <w:vAlign w:val="center"/>
          </w:tcPr>
          <w:p>
            <w:pPr>
              <w:jc w:val="center"/>
            </w:pPr>
            <w:r/>
            <w:r>
              <w:rPr>
                <w:rFonts w:ascii="Arial" w:hAnsi="Arial"/>
                <w:b w:val="0"/>
                <w:i w:val="0"/>
                <w:sz w:val="18"/>
              </w:rPr>
              <w:t>Y (low conv. override applied)</w:t>
            </w:r>
          </w:p>
        </w:tc>
        <w:tc>
          <w:tcPr>
            <w:tcW w:type="dxa" w:w="864"/>
            <w:vAlign w:val="center"/>
          </w:tcPr>
          <w:p>
            <w:pPr>
              <w:jc w:val="center"/>
            </w:pPr>
            <w:r/>
            <w:r>
              <w:rPr>
                <w:rFonts w:ascii="Arial" w:hAnsi="Arial"/>
                <w:b w:val="0"/>
                <w:i w:val="0"/>
                <w:sz w:val="18"/>
              </w:rPr>
              <w:t>7,497.50</w:t>
            </w:r>
          </w:p>
        </w:tc>
        <w:tc>
          <w:tcPr>
            <w:tcW w:type="dxa" w:w="1368"/>
            <w:vAlign w:val="center"/>
          </w:tcPr>
          <w:p>
            <w:pPr>
              <w:jc w:val="center"/>
            </w:pPr>
            <w:r/>
            <w:r>
              <w:rPr>
                <w:rFonts w:ascii="Arial" w:hAnsi="Arial"/>
                <w:b w:val="0"/>
                <w:i w:val="0"/>
                <w:sz w:val="18"/>
              </w:rPr>
              <w:t>7,371.75 (stop hit Mon)</w:t>
            </w:r>
          </w:p>
        </w:tc>
        <w:tc>
          <w:tcPr>
            <w:tcW w:type="dxa" w:w="1008"/>
            <w:vAlign w:val="center"/>
          </w:tcPr>
          <w:p>
            <w:pPr>
              <w:jc w:val="center"/>
            </w:pPr>
            <w:r/>
            <w:r>
              <w:rPr>
                <w:rFonts w:ascii="Arial" w:hAnsi="Arial"/>
                <w:b w:val="0"/>
                <w:i w:val="0"/>
                <w:sz w:val="18"/>
              </w:rPr>
              <w:t>−1.00R</w:t>
            </w:r>
          </w:p>
        </w:tc>
        <w:tc>
          <w:tcPr>
            <w:tcW w:type="dxa" w:w="864"/>
            <w:vAlign w:val="center"/>
          </w:tcPr>
          <w:p>
            <w:pPr>
              <w:jc w:val="center"/>
            </w:pPr>
            <w:r/>
            <w:r>
              <w:rPr>
                <w:rFonts w:ascii="Arial" w:hAnsi="Arial"/>
                <w:b w:val="0"/>
                <w:i w:val="0"/>
                <w:sz w:val="18"/>
              </w:rPr>
              <w:t>1 session</w:t>
            </w:r>
          </w:p>
        </w:tc>
      </w:tr>
      <w:tr>
        <w:tc>
          <w:tcPr>
            <w:tcW w:type="dxa" w:w="1152"/>
            <w:vAlign w:val="center"/>
          </w:tcPr>
          <w:p>
            <w:pPr>
              <w:jc w:val="center"/>
            </w:pPr>
            <w:r/>
            <w:r>
              <w:rPr>
                <w:rFonts w:ascii="Arial" w:hAnsi="Arial"/>
                <w:b w:val="0"/>
                <w:i w:val="0"/>
                <w:sz w:val="18"/>
              </w:rPr>
              <w:t>15 May 2026</w:t>
            </w:r>
          </w:p>
        </w:tc>
        <w:tc>
          <w:tcPr>
            <w:tcW w:type="dxa" w:w="1008"/>
            <w:vAlign w:val="center"/>
          </w:tcPr>
          <w:p>
            <w:pPr>
              <w:jc w:val="center"/>
            </w:pPr>
            <w:r/>
            <w:r>
              <w:rPr>
                <w:rFonts w:ascii="Arial" w:hAnsi="Arial"/>
                <w:b w:val="0"/>
                <w:i w:val="0"/>
                <w:sz w:val="18"/>
              </w:rPr>
              <w:t>T2 Pivot</w:t>
            </w:r>
          </w:p>
        </w:tc>
        <w:tc>
          <w:tcPr>
            <w:tcW w:type="dxa" w:w="1512"/>
            <w:vAlign w:val="center"/>
          </w:tcPr>
          <w:p>
            <w:pPr>
              <w:jc w:val="center"/>
            </w:pPr>
            <w:r/>
            <w:r>
              <w:rPr>
                <w:rFonts w:ascii="Arial" w:hAnsi="Arial"/>
                <w:b w:val="0"/>
                <w:i w:val="0"/>
                <w:sz w:val="18"/>
              </w:rPr>
              <w:t>LONG (S1 limit)</w:t>
            </w:r>
          </w:p>
        </w:tc>
        <w:tc>
          <w:tcPr>
            <w:tcW w:type="dxa" w:w="1224"/>
            <w:vAlign w:val="center"/>
          </w:tcPr>
          <w:p>
            <w:pPr>
              <w:jc w:val="center"/>
            </w:pPr>
            <w:r/>
            <w:r>
              <w:rPr>
                <w:rFonts w:ascii="Arial" w:hAnsi="Arial"/>
                <w:b w:val="0"/>
                <w:i w:val="0"/>
                <w:sz w:val="18"/>
              </w:rPr>
              <w:t>Y intra-session</w:t>
            </w:r>
          </w:p>
        </w:tc>
        <w:tc>
          <w:tcPr>
            <w:tcW w:type="dxa" w:w="864"/>
            <w:vAlign w:val="center"/>
          </w:tcPr>
          <w:p>
            <w:pPr>
              <w:jc w:val="center"/>
            </w:pPr>
            <w:r/>
            <w:r>
              <w:rPr>
                <w:rFonts w:ascii="Arial" w:hAnsi="Arial"/>
                <w:b w:val="0"/>
                <w:i w:val="0"/>
                <w:sz w:val="18"/>
              </w:rPr>
              <w:t>7,378.40 (week S1 prox)</w:t>
            </w:r>
          </w:p>
        </w:tc>
        <w:tc>
          <w:tcPr>
            <w:tcW w:type="dxa" w:w="1368"/>
            <w:vAlign w:val="center"/>
          </w:tcPr>
          <w:p>
            <w:pPr>
              <w:jc w:val="center"/>
            </w:pPr>
            <w:r/>
            <w:r>
              <w:rPr>
                <w:rFonts w:ascii="Arial" w:hAnsi="Arial"/>
                <w:b w:val="0"/>
                <w:i w:val="0"/>
                <w:sz w:val="18"/>
              </w:rPr>
              <w:t>Stop 7,348 not hit; recovered to close 7,408.50</w:t>
            </w:r>
          </w:p>
        </w:tc>
        <w:tc>
          <w:tcPr>
            <w:tcW w:type="dxa" w:w="1008"/>
            <w:vAlign w:val="center"/>
          </w:tcPr>
          <w:p>
            <w:pPr>
              <w:jc w:val="center"/>
            </w:pPr>
            <w:r/>
            <w:r>
              <w:rPr>
                <w:rFonts w:ascii="Arial" w:hAnsi="Arial"/>
                <w:b w:val="0"/>
                <w:i w:val="0"/>
                <w:sz w:val="18"/>
              </w:rPr>
              <w:t>+0.50R partial / open at week-end</w:t>
            </w:r>
          </w:p>
        </w:tc>
        <w:tc>
          <w:tcPr>
            <w:tcW w:type="dxa" w:w="864"/>
            <w:vAlign w:val="center"/>
          </w:tcPr>
          <w:p>
            <w:pPr>
              <w:jc w:val="center"/>
            </w:pPr>
            <w:r/>
            <w:r>
              <w:rPr>
                <w:rFonts w:ascii="Arial" w:hAnsi="Arial"/>
                <w:b w:val="0"/>
                <w:i w:val="0"/>
                <w:sz w:val="18"/>
              </w:rPr>
              <w:t>1+ sessions</w:t>
            </w:r>
          </w:p>
        </w:tc>
      </w:tr>
      <w:tr>
        <w:tc>
          <w:tcPr>
            <w:tcW w:type="dxa" w:w="1152"/>
            <w:vAlign w:val="center"/>
          </w:tcPr>
          <w:p>
            <w:pPr>
              <w:jc w:val="center"/>
            </w:pPr>
            <w:r/>
            <w:r>
              <w:rPr>
                <w:rFonts w:ascii="Arial" w:hAnsi="Arial"/>
                <w:b w:val="0"/>
                <w:i w:val="0"/>
                <w:sz w:val="18"/>
              </w:rPr>
              <w:t>15 May 2026</w:t>
            </w:r>
          </w:p>
        </w:tc>
        <w:tc>
          <w:tcPr>
            <w:tcW w:type="dxa" w:w="1008"/>
            <w:vAlign w:val="center"/>
          </w:tcPr>
          <w:p>
            <w:pPr>
              <w:jc w:val="center"/>
            </w:pPr>
            <w:r/>
            <w:r>
              <w:rPr>
                <w:rFonts w:ascii="Arial" w:hAnsi="Arial"/>
                <w:b w:val="0"/>
                <w:i w:val="0"/>
                <w:sz w:val="18"/>
              </w:rPr>
              <w:t>T3 Complex 3A</w:t>
            </w:r>
          </w:p>
        </w:tc>
        <w:tc>
          <w:tcPr>
            <w:tcW w:type="dxa" w:w="1512"/>
            <w:vAlign w:val="center"/>
          </w:tcPr>
          <w:p>
            <w:pPr>
              <w:jc w:val="center"/>
            </w:pPr>
            <w:r/>
            <w:r>
              <w:rPr>
                <w:rFonts w:ascii="Arial" w:hAnsi="Arial"/>
                <w:b w:val="0"/>
                <w:i w:val="0"/>
                <w:sz w:val="18"/>
              </w:rPr>
              <w:t>LONG (fib)</w:t>
            </w:r>
          </w:p>
        </w:tc>
        <w:tc>
          <w:tcPr>
            <w:tcW w:type="dxa" w:w="1224"/>
            <w:vAlign w:val="center"/>
          </w:tcPr>
          <w:p>
            <w:pPr>
              <w:jc w:val="center"/>
            </w:pPr>
            <w:r/>
            <w:r>
              <w:rPr>
                <w:rFonts w:ascii="Arial" w:hAnsi="Arial"/>
                <w:b w:val="0"/>
                <w:i w:val="0"/>
                <w:sz w:val="18"/>
              </w:rPr>
              <w:t>N (fib not yet defined; swing forming)</w:t>
            </w:r>
          </w:p>
        </w:tc>
        <w:tc>
          <w:tcPr>
            <w:tcW w:type="dxa" w:w="864"/>
            <w:vAlign w:val="center"/>
          </w:tcPr>
          <w:p>
            <w:pPr>
              <w:jc w:val="center"/>
            </w:pPr>
            <w:r/>
            <w:r>
              <w:rPr>
                <w:rFonts w:ascii="Arial" w:hAnsi="Arial"/>
                <w:b w:val="0"/>
                <w:i w:val="0"/>
                <w:sz w:val="18"/>
              </w:rPr>
              <w:t>—</w:t>
            </w:r>
          </w:p>
        </w:tc>
        <w:tc>
          <w:tcPr>
            <w:tcW w:type="dxa" w:w="1368"/>
            <w:vAlign w:val="center"/>
          </w:tcPr>
          <w:p>
            <w:pPr>
              <w:jc w:val="center"/>
            </w:pPr>
            <w:r/>
            <w:r>
              <w:rPr>
                <w:rFonts w:ascii="Arial" w:hAnsi="Arial"/>
                <w:b w:val="0"/>
                <w:i w:val="0"/>
                <w:sz w:val="18"/>
              </w:rPr>
              <w:t>—</w:t>
            </w:r>
          </w:p>
        </w:tc>
        <w:tc>
          <w:tcPr>
            <w:tcW w:type="dxa" w:w="1008"/>
            <w:vAlign w:val="center"/>
          </w:tcPr>
          <w:p>
            <w:pPr>
              <w:jc w:val="center"/>
            </w:pPr>
            <w:r/>
            <w:r>
              <w:rPr>
                <w:rFonts w:ascii="Arial" w:hAnsi="Arial"/>
                <w:b w:val="0"/>
                <w:i w:val="0"/>
                <w:sz w:val="18"/>
              </w:rPr>
              <w:t>0R (no fill)</w:t>
            </w:r>
          </w:p>
        </w:tc>
        <w:tc>
          <w:tcPr>
            <w:tcW w:type="dxa" w:w="864"/>
            <w:vAlign w:val="center"/>
          </w:tcPr>
          <w:p>
            <w:pPr>
              <w:jc w:val="center"/>
            </w:pPr>
            <w:r/>
            <w:r>
              <w:rPr>
                <w:rFonts w:ascii="Arial" w:hAnsi="Arial"/>
                <w:b w:val="0"/>
                <w:i w:val="0"/>
                <w:sz w:val="18"/>
              </w:rPr>
              <w:t>—</w:t>
            </w:r>
          </w:p>
        </w:tc>
      </w:tr>
      <w:tr>
        <w:tc>
          <w:tcPr>
            <w:tcW w:type="dxa" w:w="1152"/>
            <w:vAlign w:val="center"/>
          </w:tcPr>
          <w:p>
            <w:pPr>
              <w:jc w:val="center"/>
            </w:pPr>
            <w:r/>
            <w:r>
              <w:rPr>
                <w:rFonts w:ascii="Arial" w:hAnsi="Arial"/>
                <w:b w:val="0"/>
                <w:i w:val="0"/>
                <w:sz w:val="18"/>
              </w:rPr>
              <w:t>18 May 2026</w:t>
            </w:r>
          </w:p>
        </w:tc>
        <w:tc>
          <w:tcPr>
            <w:tcW w:type="dxa" w:w="1008"/>
            <w:vAlign w:val="center"/>
          </w:tcPr>
          <w:p>
            <w:pPr>
              <w:jc w:val="center"/>
            </w:pPr>
            <w:r/>
            <w:r>
              <w:rPr>
                <w:rFonts w:ascii="Arial" w:hAnsi="Arial"/>
                <w:b w:val="0"/>
                <w:i w:val="0"/>
                <w:sz w:val="18"/>
              </w:rPr>
              <w:t>T1 Daily</w:t>
            </w:r>
          </w:p>
        </w:tc>
        <w:tc>
          <w:tcPr>
            <w:tcW w:type="dxa" w:w="1512"/>
            <w:vAlign w:val="center"/>
          </w:tcPr>
          <w:p>
            <w:pPr>
              <w:jc w:val="center"/>
            </w:pPr>
            <w:r/>
            <w:r>
              <w:rPr>
                <w:rFonts w:ascii="Arial" w:hAnsi="Arial"/>
                <w:b w:val="0"/>
                <w:i w:val="0"/>
                <w:sz w:val="18"/>
              </w:rPr>
              <w:t>LONG (score +0.20)</w:t>
            </w:r>
          </w:p>
        </w:tc>
        <w:tc>
          <w:tcPr>
            <w:tcW w:type="dxa" w:w="1224"/>
            <w:vAlign w:val="center"/>
          </w:tcPr>
          <w:p>
            <w:pPr>
              <w:jc w:val="center"/>
            </w:pPr>
            <w:r/>
            <w:r>
              <w:rPr>
                <w:rFonts w:ascii="Arial" w:hAnsi="Arial"/>
                <w:b w:val="0"/>
                <w:i w:val="0"/>
                <w:sz w:val="18"/>
              </w:rPr>
              <w:t>Y (override applied)</w:t>
            </w:r>
          </w:p>
        </w:tc>
        <w:tc>
          <w:tcPr>
            <w:tcW w:type="dxa" w:w="864"/>
            <w:vAlign w:val="center"/>
          </w:tcPr>
          <w:p>
            <w:pPr>
              <w:jc w:val="center"/>
            </w:pPr>
            <w:r/>
            <w:r>
              <w:rPr>
                <w:rFonts w:ascii="Arial" w:hAnsi="Arial"/>
                <w:b w:val="0"/>
                <w:i w:val="0"/>
                <w:sz w:val="18"/>
              </w:rPr>
              <w:t>7,415.07</w:t>
            </w:r>
          </w:p>
        </w:tc>
        <w:tc>
          <w:tcPr>
            <w:tcW w:type="dxa" w:w="1368"/>
            <w:vAlign w:val="center"/>
          </w:tcPr>
          <w:p>
            <w:pPr>
              <w:jc w:val="center"/>
            </w:pPr>
            <w:r/>
            <w:r>
              <w:rPr>
                <w:rFonts w:ascii="Arial" w:hAnsi="Arial"/>
                <w:b w:val="0"/>
                <w:i w:val="0"/>
                <w:sz w:val="18"/>
              </w:rPr>
              <w:t>Open position (closed at 7,403.05 end of session, −0.18R MTM)</w:t>
            </w:r>
          </w:p>
        </w:tc>
        <w:tc>
          <w:tcPr>
            <w:tcW w:type="dxa" w:w="1008"/>
            <w:vAlign w:val="center"/>
          </w:tcPr>
          <w:p>
            <w:pPr>
              <w:jc w:val="center"/>
            </w:pPr>
            <w:r/>
            <w:r>
              <w:rPr>
                <w:rFonts w:ascii="Arial" w:hAnsi="Arial"/>
                <w:b w:val="0"/>
                <w:i w:val="0"/>
                <w:sz w:val="18"/>
              </w:rPr>
              <w:t>−0.18R (open)</w:t>
            </w:r>
          </w:p>
        </w:tc>
        <w:tc>
          <w:tcPr>
            <w:tcW w:type="dxa" w:w="864"/>
            <w:vAlign w:val="center"/>
          </w:tcPr>
          <w:p>
            <w:pPr>
              <w:jc w:val="center"/>
            </w:pPr>
            <w:r/>
            <w:r>
              <w:rPr>
                <w:rFonts w:ascii="Arial" w:hAnsi="Arial"/>
                <w:b w:val="0"/>
                <w:i w:val="0"/>
                <w:sz w:val="18"/>
              </w:rPr>
              <w:t>in flight</w:t>
            </w:r>
          </w:p>
        </w:tc>
      </w:tr>
      <w:tr>
        <w:tc>
          <w:tcPr>
            <w:tcW w:type="dxa" w:w="1152"/>
            <w:vAlign w:val="center"/>
          </w:tcPr>
          <w:p>
            <w:pPr>
              <w:jc w:val="center"/>
            </w:pPr>
            <w:r/>
            <w:r>
              <w:rPr>
                <w:rFonts w:ascii="Arial" w:hAnsi="Arial"/>
                <w:b w:val="0"/>
                <w:i w:val="0"/>
                <w:sz w:val="18"/>
              </w:rPr>
              <w:t>18 May 2026</w:t>
            </w:r>
          </w:p>
        </w:tc>
        <w:tc>
          <w:tcPr>
            <w:tcW w:type="dxa" w:w="1008"/>
            <w:vAlign w:val="center"/>
          </w:tcPr>
          <w:p>
            <w:pPr>
              <w:jc w:val="center"/>
            </w:pPr>
            <w:r/>
            <w:r>
              <w:rPr>
                <w:rFonts w:ascii="Arial" w:hAnsi="Arial"/>
                <w:b w:val="0"/>
                <w:i w:val="0"/>
                <w:sz w:val="18"/>
              </w:rPr>
              <w:t>T2 Pivot</w:t>
            </w:r>
          </w:p>
        </w:tc>
        <w:tc>
          <w:tcPr>
            <w:tcW w:type="dxa" w:w="1512"/>
            <w:vAlign w:val="center"/>
          </w:tcPr>
          <w:p>
            <w:pPr>
              <w:jc w:val="center"/>
            </w:pPr>
            <w:r/>
            <w:r>
              <w:rPr>
                <w:rFonts w:ascii="Arial" w:hAnsi="Arial"/>
                <w:b w:val="0"/>
                <w:i w:val="0"/>
                <w:sz w:val="18"/>
              </w:rPr>
              <w:t>LONG (S1)</w:t>
            </w:r>
          </w:p>
        </w:tc>
        <w:tc>
          <w:tcPr>
            <w:tcW w:type="dxa" w:w="1224"/>
            <w:vAlign w:val="center"/>
          </w:tcPr>
          <w:p>
            <w:pPr>
              <w:jc w:val="center"/>
            </w:pPr>
            <w:r/>
            <w:r>
              <w:rPr>
                <w:rFonts w:ascii="Arial" w:hAnsi="Arial"/>
                <w:b w:val="0"/>
                <w:i w:val="0"/>
                <w:sz w:val="18"/>
              </w:rPr>
              <w:t>Y (intraday touch 7,371.75)</w:t>
            </w:r>
          </w:p>
        </w:tc>
        <w:tc>
          <w:tcPr>
            <w:tcW w:type="dxa" w:w="864"/>
            <w:vAlign w:val="center"/>
          </w:tcPr>
          <w:p>
            <w:pPr>
              <w:jc w:val="center"/>
            </w:pPr>
            <w:r/>
            <w:r>
              <w:rPr>
                <w:rFonts w:ascii="Arial" w:hAnsi="Arial"/>
                <w:b w:val="0"/>
                <w:i w:val="0"/>
                <w:sz w:val="18"/>
              </w:rPr>
              <w:t>7,371.85</w:t>
            </w:r>
          </w:p>
        </w:tc>
        <w:tc>
          <w:tcPr>
            <w:tcW w:type="dxa" w:w="1368"/>
            <w:vAlign w:val="center"/>
          </w:tcPr>
          <w:p>
            <w:pPr>
              <w:jc w:val="center"/>
            </w:pPr>
            <w:r/>
            <w:r>
              <w:rPr>
                <w:rFonts w:ascii="Arial" w:hAnsi="Arial"/>
                <w:b w:val="0"/>
                <w:i w:val="0"/>
                <w:sz w:val="18"/>
              </w:rPr>
              <w:t>Open position (closed near 7,403.05, +1.31R = TP1 hit)</w:t>
            </w:r>
          </w:p>
        </w:tc>
        <w:tc>
          <w:tcPr>
            <w:tcW w:type="dxa" w:w="1008"/>
            <w:vAlign w:val="center"/>
          </w:tcPr>
          <w:p>
            <w:pPr>
              <w:jc w:val="center"/>
            </w:pPr>
            <w:r/>
            <w:r>
              <w:rPr>
                <w:rFonts w:ascii="Arial" w:hAnsi="Arial"/>
                <w:b w:val="0"/>
                <w:i w:val="0"/>
                <w:sz w:val="18"/>
              </w:rPr>
              <w:t>+1.31R (TP1)</w:t>
            </w:r>
          </w:p>
        </w:tc>
        <w:tc>
          <w:tcPr>
            <w:tcW w:type="dxa" w:w="864"/>
            <w:vAlign w:val="center"/>
          </w:tcPr>
          <w:p>
            <w:pPr>
              <w:jc w:val="center"/>
            </w:pPr>
            <w:r/>
            <w:r>
              <w:rPr>
                <w:rFonts w:ascii="Arial" w:hAnsi="Arial"/>
                <w:b w:val="0"/>
                <w:i w:val="0"/>
                <w:sz w:val="18"/>
              </w:rPr>
              <w:t>0 sessions</w:t>
            </w:r>
          </w:p>
        </w:tc>
      </w:tr>
      <w:tr>
        <w:tc>
          <w:tcPr>
            <w:tcW w:type="dxa" w:w="1152"/>
            <w:vAlign w:val="center"/>
          </w:tcPr>
          <w:p>
            <w:pPr>
              <w:jc w:val="center"/>
            </w:pPr>
            <w:r/>
            <w:r>
              <w:rPr>
                <w:rFonts w:ascii="Arial" w:hAnsi="Arial"/>
                <w:b w:val="0"/>
                <w:i w:val="0"/>
                <w:sz w:val="18"/>
              </w:rPr>
              <w:t>18 May 2026</w:t>
            </w:r>
          </w:p>
        </w:tc>
        <w:tc>
          <w:tcPr>
            <w:tcW w:type="dxa" w:w="1008"/>
            <w:vAlign w:val="center"/>
          </w:tcPr>
          <w:p>
            <w:pPr>
              <w:jc w:val="center"/>
            </w:pPr>
            <w:r/>
            <w:r>
              <w:rPr>
                <w:rFonts w:ascii="Arial" w:hAnsi="Arial"/>
                <w:b w:val="0"/>
                <w:i w:val="0"/>
                <w:sz w:val="18"/>
              </w:rPr>
              <w:t>T3 Complex 3A</w:t>
            </w:r>
          </w:p>
        </w:tc>
        <w:tc>
          <w:tcPr>
            <w:tcW w:type="dxa" w:w="1512"/>
            <w:vAlign w:val="center"/>
          </w:tcPr>
          <w:p>
            <w:pPr>
              <w:jc w:val="center"/>
            </w:pPr>
            <w:r/>
            <w:r>
              <w:rPr>
                <w:rFonts w:ascii="Arial" w:hAnsi="Arial"/>
                <w:b w:val="0"/>
                <w:i w:val="0"/>
                <w:sz w:val="18"/>
              </w:rPr>
              <w:t>LONG (fib)</w:t>
            </w:r>
          </w:p>
        </w:tc>
        <w:tc>
          <w:tcPr>
            <w:tcW w:type="dxa" w:w="1224"/>
            <w:vAlign w:val="center"/>
          </w:tcPr>
          <w:p>
            <w:pPr>
              <w:jc w:val="center"/>
            </w:pPr>
            <w:r/>
            <w:r>
              <w:rPr>
                <w:rFonts w:ascii="Arial" w:hAnsi="Arial"/>
                <w:b w:val="0"/>
                <w:i w:val="0"/>
                <w:sz w:val="18"/>
              </w:rPr>
              <w:t>N (impulse swing now defined but no pullback reach to fib yet)</w:t>
            </w:r>
          </w:p>
        </w:tc>
        <w:tc>
          <w:tcPr>
            <w:tcW w:type="dxa" w:w="864"/>
            <w:vAlign w:val="center"/>
          </w:tcPr>
          <w:p>
            <w:pPr>
              <w:jc w:val="center"/>
            </w:pPr>
            <w:r/>
            <w:r>
              <w:rPr>
                <w:rFonts w:ascii="Arial" w:hAnsi="Arial"/>
                <w:b w:val="0"/>
                <w:i w:val="0"/>
                <w:sz w:val="18"/>
              </w:rPr>
              <w:t>—</w:t>
            </w:r>
          </w:p>
        </w:tc>
        <w:tc>
          <w:tcPr>
            <w:tcW w:type="dxa" w:w="1368"/>
            <w:vAlign w:val="center"/>
          </w:tcPr>
          <w:p>
            <w:pPr>
              <w:jc w:val="center"/>
            </w:pPr>
            <w:r/>
            <w:r>
              <w:rPr>
                <w:rFonts w:ascii="Arial" w:hAnsi="Arial"/>
                <w:b w:val="0"/>
                <w:i w:val="0"/>
                <w:sz w:val="18"/>
              </w:rPr>
              <w:t>—</w:t>
            </w:r>
          </w:p>
        </w:tc>
        <w:tc>
          <w:tcPr>
            <w:tcW w:type="dxa" w:w="1008"/>
            <w:vAlign w:val="center"/>
          </w:tcPr>
          <w:p>
            <w:pPr>
              <w:jc w:val="center"/>
            </w:pPr>
            <w:r/>
            <w:r>
              <w:rPr>
                <w:rFonts w:ascii="Arial" w:hAnsi="Arial"/>
                <w:b w:val="0"/>
                <w:i w:val="0"/>
                <w:sz w:val="18"/>
              </w:rPr>
              <w:t>0R (no fill)</w:t>
            </w:r>
          </w:p>
        </w:tc>
        <w:tc>
          <w:tcPr>
            <w:tcW w:type="dxa" w:w="864"/>
            <w:vAlign w:val="center"/>
          </w:tcPr>
          <w:p>
            <w:pPr>
              <w:jc w:val="center"/>
            </w:pPr>
            <w:r/>
            <w:r>
              <w:rPr>
                <w:rFonts w:ascii="Arial" w:hAnsi="Arial"/>
                <w:b w:val="0"/>
                <w:i w:val="0"/>
                <w:sz w:val="18"/>
              </w:rPr>
              <w:t>—</w:t>
            </w:r>
          </w:p>
        </w:tc>
      </w:tr>
    </w:tbl>
    <w:p>
      <w:r>
        <w:rPr>
          <w:rFonts w:ascii="Arial" w:hAnsi="Arial"/>
          <w:b/>
          <w:i w:val="0"/>
          <w:sz w:val="24"/>
        </w:rPr>
        <w:t>§21d  What is Working — 5-Session Aggregate</w:t>
      </w:r>
    </w:p>
    <w:p>
      <w:r>
        <w:rPr>
          <w:rFonts w:ascii="Arial" w:hAnsi="Arial"/>
          <w:b w:val="0"/>
          <w:i w:val="0"/>
          <w:sz w:val="22"/>
        </w:rPr>
        <w:t>Trade 1 (Daily Directional): 5 triggers, 2 wins (Mon 12 + Tue 13 May), 1 loss (Fri 15 May −1.00R), 1 partial loss (Thu 14 May −0.85R blended), 1 open (Mon 18 −0.18R MTM). Mean R outcome on closed positions: −0.10R. TP1 hit rate: 60% (3 of 5). TP2 hit rate: 20% (1 of 5). TP3 hit rate: 0%.</w:t>
      </w:r>
    </w:p>
    <w:p>
      <w:r>
        <w:rPr>
          <w:rFonts w:ascii="Arial" w:hAnsi="Arial"/>
          <w:b w:val="0"/>
          <w:i w:val="0"/>
          <w:sz w:val="22"/>
        </w:rPr>
        <w:t>Trade 2 (Pivot): 2 triggers, 1 win (+1.31R on 18 May), 1 partial (+0.50R unresolved on 15 May), 3 no-fills. Mean R on closed positions: +1.31R. TP1 hit rate: 100% (1 of 1). Trade 2 is the clear winner over the 5-session window.</w:t>
      </w:r>
    </w:p>
    <w:p>
      <w:r>
        <w:rPr>
          <w:rFonts w:ascii="Arial" w:hAnsi="Arial"/>
          <w:b w:val="0"/>
          <w:i w:val="0"/>
          <w:sz w:val="22"/>
        </w:rPr>
        <w:t>Trade 3 (Complex 3A Momentum-Pullback): 0 triggers — the 14-15 May impulse-and-reversal did not pull back to the fib zone within the window; the swing now exists for the 19 May session forward. No closed positions.</w:t>
      </w:r>
    </w:p>
    <w:p>
      <w:r>
        <w:rPr>
          <w:rFonts w:ascii="Arial" w:hAnsi="Arial"/>
          <w:b w:val="0"/>
          <w:i w:val="0"/>
          <w:sz w:val="22"/>
        </w:rPr>
        <w:t>Aggregate observation: trending continuation longs were profitable in the early window (12-13 May) but vulnerable to the rates-driven exhaustion print (14-15 May). The Pivot trade has been the highest-quality strategy because it forces patience — only buying structural-support touches rather than chasing tops. Going forward into the 19 May session, the layered Pivot + Complex 3A combination is positioned to capture a Tue-Wed mean-reversion bounce ahead of Nvidia.</w:t>
      </w:r>
    </w:p>
    <w:p>
      <w:r>
        <w:rPr>
          <w:rFonts w:ascii="Arial" w:hAnsi="Arial"/>
          <w:b/>
          <w:i w:val="0"/>
          <w:sz w:val="22"/>
        </w:rPr>
        <w:t>Limitations (verbatim):</w:t>
      </w:r>
    </w:p>
    <w:p>
      <w:r>
        <w:rPr>
          <w:rFonts w:ascii="Arial" w:hAnsi="Arial"/>
          <w:b w:val="0"/>
          <w:i/>
          <w:color w:val="555555"/>
          <w:sz w:val="20"/>
        </w:rPr>
        <w:t>Five-session windows are too small for statistical claims. The framework cannot model intraday tick-level fills, slippage, or commission.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555555"/>
        <w:sz w:val="18"/>
      </w:rPr>
      <w:t>S&amp;P 500  │  Daily Report  │  19 May 2026  │  Senior US Equity Strategist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