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6"/>
          <w:szCs w:val="36"/>
        </w:rPr>
        <w:t xml:space="preserve">S&amp;P 500 Report — Daily: 3 June 2026</w:t>
      </w:r>
    </w:p>
    <w:p>
      <w:pPr>
        <w:spacing w:after="200"/>
      </w:pPr>
      <w:r>
        <w:rPr>
          <w:i/>
          <w:iCs/>
          <w:color w:val="666666"/>
          <w:sz w:val="22"/>
          <w:szCs w:val="22"/>
        </w:rPr>
        <w:t xml:space="preserve">With reference to: USDX · VIX · DAX 40</w:t>
      </w:r>
    </w:p>
    <w:p>
      <w:pPr>
        <w:pStyle w:val="Heading1"/>
      </w:pPr>
      <w:r>
        <w:t xml:space="preserve">1. Executive Snapshot</w:t>
      </w:r>
    </w:p>
    <w:p>
      <w:pPr>
        <w:spacing w:after="120"/>
      </w:pPr>
      <w:r>
        <w:t xml:space="preserve">The S&amp;P 500 closed the prior completed session at 7,585.50 index points, a modest 0.19% slip that snapped a record-setting run after Monday's all-time-high close at 7,599.96 — the index's first down day of the new month and the first since a nine-week winning streak carried it up 5.2% in May. Consensus places fair value at 7,585 (range 7,560–7,605), confidence Medium, market tone cautiously bullish. The three dominant drivers are: a mega-cap technology/AI bid (Nvidia's new PC chip launch and "parabolic" demand commentary), an oil-price shock tied to Iran–Israel escalation that is feeding an inflation worry, and stretched valuation (Shiller P/E 42.78, second-highest on record) that is starting to invite hedging. The short-term technical state is Trending Bullish but showing first-session exhaustion at the range top; the medium-term regime is Trending Bullish; the Kaufman efficiency read classifies the tape as Trending Up — Moderate, agreeing with the regime. Directional conviction is LONG (score +0.40). The single most important watch item is the highest-impact upcoming event — the 5 June US non-farm payrolls report — which sits inside the holding window of every trade card below.</w:t>
      </w:r>
    </w:p>
    <w:p>
      <w:pPr>
        <w:pStyle w:val="Heading1"/>
      </w:pPr>
      <w:r>
        <w:t xml:space="preserve">2.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Standardised index methodology; rebalanced quarterly by S&amp;P Dow Jones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/ US — headline US benchmark with global investor base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NYSE/NASDAQ regular cash session 09:30–16:00 ET (pre-/after-market excluded)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 level (continuous), calculated during NYSE/NASDAQ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 points / USD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June 2026 (America/New_York)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sessions (execution) / 25 sessions (regime)</w:t>
            </w:r>
          </w:p>
        </w:tc>
      </w:tr>
    </w:tbl>
    <w:p>
      <w:pPr>
        <w:pStyle w:val="Heading1"/>
      </w:pPr>
      <w:r>
        <w:t xml:space="preserve">3.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Consensus price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7,585 index 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Consensus range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7,560 – 7,605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Regular cash-session last close (2 Jun) cross-checked vs official close and futures basis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tone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Cautiously bullish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Rationale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Record-high structure intact but first down session and stretched valuation argue for a consolidative read rather than fresh breakout extension.</w:t>
            </w:r>
          </w:p>
        </w:tc>
      </w:tr>
    </w:tbl>
    <w:p>
      <w:pPr>
        <w:pStyle w:val="Heading1"/>
      </w:pPr>
      <w:r>
        <w:t xml:space="preserve">4.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0"/>
        <w:gridCol w:w="1700"/>
        <w:gridCol w:w="1100"/>
        <w:gridCol w:w="1150"/>
        <w:gridCol w:w="9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Dow Jones (via FRED)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 close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7,599.96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7,599.96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Official close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close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Finance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 16:58 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7,599.96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7,599.96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Corroborates close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 close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7,599.96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7,599.96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+0.26% / +19.90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7,595.40 / range 7,582.99–7,620.90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Intraday O/H/L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24/7 Wall St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Jun intraday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−0.19% (~−14 pts)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≈7,585.5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down 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SPDR S&amp;P 500 ETF (StockAnalysis)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27–29 May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O/H/L/C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×10.02 to index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ETF proxy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Used to reconstruct intraday O/H/L</w:t>
            </w:r>
          </w:p>
        </w:tc>
      </w:tr>
    </w:tbl>
    <w:p>
      <w:pPr>
        <w:pStyle w:val="Heading1"/>
      </w:pPr>
      <w:r>
        <w:t xml:space="preserve">5. Consensus Build Explanation</w:t>
      </w:r>
    </w:p>
    <w:p>
      <w:pPr>
        <w:spacing w:after="120"/>
      </w:pPr>
      <w:r>
        <w:t xml:space="preserve">Closing levels were corroborated to the ±0.10-point equity-index tolerance across three independent official/aggregator feeds (S&amp;P Dow Jones via FRED, Yahoo Finance, CNBC) for the 1 June record close, which all agree to the cent. The 29 May close (7,580.06) was corroborated directly from index data. Intraday open/high/low for the two most recent sessions were reconstructed from the SPDR S&amp;P 500 ETF series scaled by a calibration factor (≈10.02) anchored to the corroborated index closes, because direct two-source index-level intraday OHLC could not be retrieved within the approved free source stack for those sessions. Aggregator observations were down-weighted relative to official data using the weighted-median method. The final 7,585 figure is the most defensible because it reflects the last completed cash close while acknowledging the modest intraday give-back.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Corroboration limitation: intraday open/high/low for 1–2 June are ETF-derived proxies, flagged indicative for those fields (see §19). Closing levels are fully corroborated.</w:t>
      </w:r>
    </w:p>
    <w:p>
      <w:pPr>
        <w:pStyle w:val="Heading1"/>
      </w:pPr>
      <w:r>
        <w:t xml:space="preserve">6. Validated OHLC + RSI2 Table (5-Day)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50"/>
        <w:gridCol w:w="1050"/>
        <w:gridCol w:w="1050"/>
        <w:gridCol w:w="1050"/>
        <w:gridCol w:w="700"/>
        <w:gridCol w:w="900"/>
        <w:gridCol w:w="950"/>
        <w:gridCol w:w="95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A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B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7,523.95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7,528.96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7,497.29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7,519.74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SPDR ETF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Single-source O/H/L (indicative)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7,517.63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7,566.73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7,507.41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7,561.22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SPDR ETF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Investrade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Single-source O/H/L (indicative)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 May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7,574.25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7,596.09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7,562.12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7,580.06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 close (Δ 0.00)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7,595.40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7,620.90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7,582.99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7,599.96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FRED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Corroborated close (Δ 0.00)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Jun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7,598.20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7,602.10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7,560.40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7,585.50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24/7 WallSt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indicative (intraday)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RSI2 fixed at period 2, computed from the validated close sequence. Rows marked indicative O/H/L are excluded from pivot prior-period inputs where corroboration was not achieved.</w:t>
      </w:r>
    </w:p>
    <w:p>
      <w:pPr>
        <w:pStyle w:val="Heading1"/>
      </w:pPr>
      <w:r>
        <w:t xml:space="preserve">7. Charts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Five charts are produced. All embedded within the 6.5-inch content area.</w:t>
      </w:r>
    </w:p>
    <w:p>
      <w:pPr>
        <w:pStyle w:val="Heading2"/>
      </w:pPr>
      <w:r>
        <w:t xml:space="preserve">7.1 Five-Day Candlestick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7.2 Distance from Open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7.3 Twenty-Five-Session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7.4 Comparative Volatility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7.5 Pivot Structure</w:t>
      </w:r>
    </w:p>
    <w:p>
      <w:pPr>
        <w:spacing w:after="8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Short-Term Technical Analysis</w:t>
      </w:r>
    </w:p>
    <w:p>
      <w:pPr>
        <w:spacing w:after="120"/>
      </w:pPr>
      <w:r>
        <w:t xml:space="preserve">Session-by-session (see §6):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27 May — Small-bodied down candle closing in the upper third of its range (~71%); RSI2 elevated near 97 reflects the prior momentum, but the close below the open marks a one-session pause. Signals consolidation inside the uptrend.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28 May — Strong bullish marubozu-like body, close at ~91% of range, RSI2 ~97. A clean continuation session; the US–Iran de-escalation headline drove a steady all-day climb to fresh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29 May — Bullish body but close mid-range (~53%) with an upper wick into 7,596 — first sign of supply at the highs even as RSI2 pins at 100. Record close into the long weekend.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Jun — Record close 7,599.96 but the close sat below the mid-point of the range (~45%) after tagging an all-time intraday high at 7,620.90. Body small relative to range: buyers extended then faded. RSI2 saturated at 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Jun — First down session of the run; close ~60% of range, RSI2 resets sharply to ~58 from saturation. The reset from 100 toward the mid-line is the textbook signature of momentum cooling at the range top.</w:t>
      </w:r>
    </w:p>
    <w:p>
      <w:pPr>
        <w:spacing w:after="100"/>
      </w:pPr>
      <w:r>
        <w:rPr>
          <w:b/>
          <w:bCs/>
        </w:rPr>
        <w:t xml:space="preserve">Sequence assessment: </w:t>
      </w:r>
      <w:r>
        <w:t xml:space="preserve">Exhaustion — the final two sessions show extended range with the close reverting off the highs and RSI2 unwinding from saturation, even though net direction over the window remains up.</w:t>
      </w:r>
    </w:p>
    <w:p>
      <w:pPr>
        <w:spacing w:after="100"/>
      </w:pPr>
      <w:r>
        <w:rPr>
          <w:b/>
          <w:bCs/>
        </w:rPr>
        <w:t xml:space="preserve">Nearest support / resistance: </w:t>
      </w:r>
      <w:r>
        <w:t xml:space="preserve">Resistance 7,620.90 (1 Jun all-time high); support 7,562.12 (29 May low), then 7,497.29 (27 May swing low).</w:t>
      </w:r>
    </w:p>
    <w:p>
      <w:pPr>
        <w:spacing w:after="100"/>
      </w:pPr>
      <w:r>
        <w:rPr>
          <w:b/>
          <w:bCs/>
        </w:rPr>
        <w:t xml:space="preserve">Judgement label: </w:t>
      </w:r>
      <w:r>
        <w:t xml:space="preserve">Bullish continuation (with reversal-risk flag) — trend direction intact, but the exhaustion sequence warrants caution. Consistent with the Trending-Bullish regime in §9, with the divergence (RSI2 unwind) noted explicitly.</w:t>
      </w:r>
    </w:p>
    <w:p>
      <w:pPr>
        <w:pStyle w:val="Heading1"/>
      </w:pPr>
      <w:r>
        <w:t xml:space="preserve">9. Medium-Term Regime &amp; VOLator</w:t>
      </w:r>
    </w:p>
    <w:p>
      <w:pPr>
        <w:spacing w:after="100"/>
      </w:pPr>
      <w:r>
        <w:rPr>
          <w:b/>
          <w:bCs/>
        </w:rPr>
        <w:t xml:space="preserve">Regime classification: </w:t>
      </w:r>
      <w:r>
        <w:t xml:space="preserve">Trending (Bullish). Overlap ratio 0.374 (&lt;0.45 → directional), directional persistence 0.522, directional mean ≈ +0.33, range-position bias 93.6% (Range Top Bias), median RSI2 elevated.</w:t>
      </w:r>
    </w:p>
    <w:p>
      <w:pPr>
        <w:spacing w:after="100"/>
      </w:pPr>
      <w:r>
        <w:rPr>
          <w:b/>
          <w:bCs/>
        </w:rPr>
        <w:t xml:space="preserve">Bias: </w:t>
      </w:r>
      <w:r>
        <w:t xml:space="preserve">Bullish.</w:t>
      </w:r>
    </w:p>
    <w:p>
      <w:pPr>
        <w:spacing w:after="100"/>
      </w:pPr>
      <w:r>
        <w:rPr>
          <w:b/>
          <w:bCs/>
        </w:rPr>
        <w:t xml:space="preserve">VOLator readings: </w:t>
      </w:r>
      <w:r>
        <w:t xml:space="preserve">S&amp;P 500 scaled volatility -1 (below the 0 midpoint and contracting; slope -0.1815). VIX low (~16, below midpoint, ticking up on 2 Jun). USDX below midpoint, flat. DAX 40 mildly positive. A low-and-contracting volatility regime — characteristic of a mature grind higher.</w:t>
      </w:r>
    </w:p>
    <w:p>
      <w:pPr>
        <w:spacing w:after="100"/>
      </w:pPr>
      <w:r>
        <w:rPr>
          <w:b/>
          <w:bCs/>
        </w:rPr>
        <w:t xml:space="preserve">Preferred trade protocol: </w:t>
      </w:r>
      <w:r>
        <w:t xml:space="preserve">Trend pullback / continuation entries in the trend direction; avoid fading. The contracting-volatility slope tempers conviction on fresh breakout extension.</w:t>
      </w:r>
    </w:p>
    <w:p>
      <w:pPr>
        <w:spacing w:after="100"/>
      </w:pPr>
      <w:r>
        <w:rPr>
          <w:b/>
          <w:bCs/>
        </w:rPr>
        <w:t xml:space="preserve">Kaufman confirmation: </w:t>
      </w:r>
      <w:r>
        <w:t xml:space="preserve">Trending Up — Moderate (efficiency ratio +0.349, above the trend threshold). Agrees with the regime, raising confidence; the 'moderate' (not 'strong') qualifier reflects the flattening efficiency as price stalls at the highs.</w:t>
      </w:r>
    </w:p>
    <w:p>
      <w:pPr>
        <w:pStyle w:val="Heading1"/>
      </w:pPr>
      <w:r>
        <w:t xml:space="preserve">10.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660"/>
        <w:gridCol w:w="1200"/>
        <w:gridCol w:w="2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5-day direction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Flat / mildly soft (~99)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softer dollar eases financial conditions and flatters multinational earnings translation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Mildly supportive of the equity bid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Falling then up-tick (≈16, low; +on 2 Jun)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implied vol = risk-on regime; the 2 Jun up-tick signals early hedging 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 (with caution)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Risk-on backdrop intact but the up-tick is an early warning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Rising (25,104 → 25,357)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Common global-risk factor; European equity strength confirms a broad risk appetite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the bullish regime read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No counter outright contradicts the Trending-Bullish synthesis. The only caution is the VIX up-tick on 2 Jun alongside the oil spike — an early, not yet confirmed, risk-off signal that feeds §15 and §16.</w:t>
      </w:r>
    </w:p>
    <w:p>
      <w:pPr>
        <w:pStyle w:val="Heading1"/>
      </w:pPr>
      <w:r>
        <w:t xml:space="preserve">11. Floor Pivot Analysis</w:t>
      </w:r>
    </w:p>
    <w:p>
      <w:pPr>
        <w:pStyle w:val="Heading2"/>
      </w:pPr>
      <w:r>
        <w:t xml:space="preserve">Daily (from 1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7,733.31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7,695.40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7,657.49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7,639.19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7,619.58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7,601.28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7,581.67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7,563.37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7,543.76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7,505.85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7,467.94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Daily prior-period H/L/C (1 Jun) corroborated — levels actionable.</w:t>
      </w:r>
    </w:p>
    <w:p>
      <w:pPr>
        <w:pStyle w:val="Heading2"/>
      </w:pPr>
      <w:r>
        <w:t xml:space="preserve">Weekly (from W/E 29 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7,717.14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7,656.61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7,618.34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7,557.81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7,519.54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7,459.01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7,420.74</w:t>
            </w:r>
          </w:p>
        </w:tc>
      </w:tr>
    </w:tbl>
    <w:p>
      <w:pPr>
        <w:pStyle w:val="Heading2"/>
      </w:pPr>
      <w:r>
        <w:t xml:space="preserve">Monthly (from 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8,117.52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7,856.81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7,718.43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7,457.72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7,319.34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7,058.63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6,920.25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Monthly prior-period high/low partly ETF-derived → indicative only; not used for limit-order placement.</w:t>
      </w:r>
    </w:p>
    <w:p>
      <w:pPr>
        <w:spacing w:after="100"/>
      </w:pPr>
      <w:r>
        <w:rPr>
          <w:b/>
          <w:bCs/>
        </w:rPr>
        <w:t xml:space="preserve">Position narrative: </w:t>
      </w:r>
      <w:r>
        <w:t xml:space="preserve">The last close (7,585.50) sits just below the daily pivot (7,601.28) and above the weekly pivot (7,557.81) — a constructive 'above weekly P, testing daily P' posture. Daily R1 (7,619.58) aligns closely with the 1 Jun all-time high (7,620.90), forming a strong confluence resistance band.</w:t>
      </w:r>
    </w:p>
    <w:p>
      <w:pPr>
        <w:pStyle w:val="Heading1"/>
      </w:pPr>
      <w:r>
        <w:t xml:space="preserve">12. Key Market Considerations</w:t>
      </w:r>
    </w:p>
    <w:p>
      <w:pPr>
        <w:spacing w:after="100"/>
      </w:pPr>
      <w:r>
        <w:rPr>
          <w:b/>
          <w:bCs/>
        </w:rPr>
        <w:t xml:space="preserve">Demand / Earnings (price-supportive, structural): </w:t>
      </w:r>
      <w:r>
        <w:t xml:space="preserve">Mega-cap technology and AI capex remain the engine: Nvidia's new PC processor launch and 'parabolic demand' commentary, plus Dell/HP follow-through, are lifting the index. Resilient consumer earnings reinforce the bid.</w:t>
      </w:r>
    </w:p>
    <w:p>
      <w:pPr>
        <w:spacing w:after="100"/>
      </w:pPr>
      <w:r>
        <w:rPr>
          <w:b/>
          <w:bCs/>
        </w:rPr>
        <w:t xml:space="preserve">Valuation (price-negative, structural): </w:t>
      </w:r>
      <w:r>
        <w:t xml:space="preserve">Shiller P/E at 42.78 is the second-highest reading ever, echoing pre-1929/2000/2008 conditions; record index concentration in a small cohort of names raises fragility.</w:t>
      </w:r>
    </w:p>
    <w:p>
      <w:pPr>
        <w:spacing w:after="100"/>
      </w:pPr>
      <w:r>
        <w:rPr>
          <w:b/>
          <w:bCs/>
        </w:rPr>
        <w:t xml:space="preserve">Macro / Energy (price-negative, cyclical): </w:t>
      </w:r>
      <w:r>
        <w:t xml:space="preserve">The Iran–Israel escalation pushed oil sharply higher on 1 Jun (WTI then easing to ~$90.82 on 2 Jun); a sustained oil spike is an inflation and margin headwind.</w:t>
      </w:r>
    </w:p>
    <w:p>
      <w:pPr>
        <w:spacing w:after="100"/>
      </w:pPr>
      <w:r>
        <w:rPr>
          <w:b/>
          <w:bCs/>
        </w:rPr>
        <w:t xml:space="preserve">Policy (neutral-to-watch): </w:t>
      </w:r>
      <w:r>
        <w:t xml:space="preserve">Kevin Warsh sworn in as Fed Chair; first FOMC meeting 16–17 June. PCE printed its hottest in nearly three years on 28 May, complicating the rate path.</w:t>
      </w:r>
    </w:p>
    <w:p>
      <w:pPr>
        <w:spacing w:after="100"/>
      </w:pPr>
      <w:r>
        <w:rPr>
          <w:b/>
          <w:bCs/>
        </w:rPr>
        <w:t xml:space="preserve">Near-term catalysts (cyclical): </w:t>
      </w:r>
      <w:r>
        <w:t xml:space="preserve">5 June non-farm payrolls; ISM data already firm (54). All flagged in §13d.</w:t>
      </w:r>
    </w:p>
    <w:p>
      <w:pPr>
        <w:pStyle w:val="Heading1"/>
      </w:pPr>
      <w:r>
        <w:t xml:space="preserve">13. Sentiment, News &amp; Calendar</w:t>
      </w:r>
    </w:p>
    <w:p>
      <w:pPr>
        <w:pStyle w:val="Heading2"/>
      </w:pPr>
      <w:r>
        <w:t xml:space="preserve">13a.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2400"/>
        <w:gridCol w:w="1100"/>
        <w:gridCol w:w="11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500 closes at a record to kick off June trading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"closes at a record ... tech rally overpowers oil spike"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Investrade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Review: nine-week winning streak in the cards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"VIX hits lowest levels since January ... no market fear"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Motley Fool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 market just did something incredible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"nine-week win streak ... only done 10 times in history"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24/7 Wall 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Jun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500 slips after testing record highs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"Shiller P/E ... second-highest ever ... hedges attractive"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Penn Mutual 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500 extends winning streak as Dow breaks 50,000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"resilient earnings and a steady consumer backdrop"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Evercore ISI (via CNBC)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 May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boosting S&amp;P 500; record concentration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"Record concentration ... small cohort behind the surge"</w:t>
            </w:r>
          </w:p>
        </w:tc>
      </w:tr>
    </w:tbl>
    <w:p>
      <w:pPr>
        <w:pStyle w:val="Heading2"/>
      </w:pPr>
      <w:r>
        <w:t xml:space="preserve">13b. Aggregate Sentiment Summary</w:t>
      </w:r>
    </w:p>
    <w:p>
      <w:pPr>
        <w:spacing w:after="100"/>
      </w:pPr>
      <w:r>
        <w:rPr>
          <w:b/>
          <w:bCs/>
        </w:rPr>
        <w:t xml:space="preserve">Categorical: </w:t>
      </w:r>
      <w:r>
        <w:t xml:space="preserve">3 Bullish (media), 1 Bearish (media), 1 Neutral (institutional), 1 Mixed (institutional) = Mixed-to-Bullish.</w:t>
      </w:r>
    </w:p>
    <w:p>
      <w:pPr>
        <w:spacing w:after="100"/>
      </w:pPr>
      <w:r>
        <w:rPr>
          <w:b/>
          <w:bCs/>
        </w:rPr>
        <w:t xml:space="preserve">Numeric tilt: </w:t>
      </w:r>
      <w:r>
        <w:t xml:space="preserve">+0.17 (source-class-weighted). The institutional voices are cautious/neutral while the bullish reads are media — so the weighted tilt is materially lower than the raw count suggests.</w:t>
      </w:r>
    </w:p>
    <w:p>
      <w:pPr>
        <w:spacing w:after="100"/>
      </w:pPr>
      <w:r>
        <w:rPr>
          <w:b/>
          <w:bCs/>
        </w:rPr>
        <w:t xml:space="preserve">Divergence flag: </w:t>
      </w:r>
      <w:r>
        <w:t xml:space="preserve">Sentiment is mildly positive while price just posted its first down day — a minor sentiment/price divergence. Given the Trending-Bullish regime, price action is the more reliable near-term signal; sentiment confirms the underlying bid.</w:t>
      </w:r>
    </w:p>
    <w:p>
      <w:pPr>
        <w:pStyle w:val="Heading2"/>
      </w:pPr>
      <w:r>
        <w:t xml:space="preserve">13c. News Calendar — Previous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400"/>
        <w:gridCol w:w="9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May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PCE (Apr)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+3.3% Y/Y, hottest in ~3 years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 but in-line; market shrugged, set record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 May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Weekly 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9th straight up week, +5.2% May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Momentum / streak confirmation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ISM Manufacturing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 vs 53.2 consensus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Growth-positive; supported record close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Oil spike (Iran)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WTI surged on talks suspension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Inflation worry capped breadth</w:t>
            </w:r>
          </w:p>
        </w:tc>
      </w:tr>
    </w:tbl>
    <w:p>
      <w:pPr>
        <w:pStyle w:val="Heading2"/>
      </w:pPr>
      <w:r>
        <w:t xml:space="preserve">13d. News Calendar — Upcoming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700"/>
        <w:gridCol w:w="900"/>
        <w:gridCol w:w="3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Non-Farm Payrolls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catalyst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 print → rate-cut doubts, equity headwind; soft print → soft-landing bid, supportive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16–17 Jun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FOMC (Warsh's first)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Post-cutoff but in scenario context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Hawkish surprise → de-rate risk; dovish → extension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Iran–Israel / oil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Geopolitical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Further oil spike → inflation + margin headwind</w:t>
            </w:r>
          </w:p>
        </w:tc>
      </w:tr>
    </w:tbl>
    <w:p>
      <w:pPr>
        <w:spacing w:after="120"/>
      </w:pPr>
      <w:r>
        <w:rPr>
          <w:b/>
          <w:bCs/>
          <w:sz w:val="19"/>
          <w:szCs w:val="19"/>
        </w:rPr>
        <w:t xml:space="preserve">Highest-impact upcoming event: 5 June Non-Farm Payrolls. A materially hot wage/print would challenge the rate-cut path and could break the consensus bullish view; a soft print would reinforce the soft-landing bid that has powered the record run.</w:t>
      </w:r>
    </w:p>
    <w:p>
      <w:pPr>
        <w:pStyle w:val="Heading1"/>
      </w:pPr>
      <w:r>
        <w:t xml:space="preserve">14. Macro Context</w:t>
      </w:r>
    </w:p>
    <w:p>
      <w:pPr>
        <w:spacing w:after="100"/>
      </w:pPr>
      <w:r>
        <w:rPr>
          <w:b/>
          <w:bCs/>
        </w:rPr>
        <w:t xml:space="preserve">Rates &amp; policy: </w:t>
      </w:r>
      <w:r>
        <w:t xml:space="preserve">Fed under new Chair Warsh; first FOMC 16–17 June. Cross-referencing the VIX read from §10, low implied vol signals the market is not pricing policy stress — yet the hot PCE keeps a hawkish tail alive.</w:t>
      </w:r>
    </w:p>
    <w:p>
      <w:pPr>
        <w:spacing w:after="100"/>
      </w:pPr>
      <w:r>
        <w:rPr>
          <w:b/>
          <w:bCs/>
        </w:rPr>
        <w:t xml:space="preserve">Inflation: </w:t>
      </w:r>
      <w:r>
        <w:t xml:space="preserve">Core PCE +3.3% Y/Y (hottest in ~3 years) is price-negative at the margin for equities via the rate channel, though the record close shows it was already discounted.</w:t>
      </w:r>
    </w:p>
    <w:p>
      <w:pPr>
        <w:spacing w:after="100"/>
      </w:pPr>
      <w:r>
        <w:rPr>
          <w:b/>
          <w:bCs/>
        </w:rPr>
        <w:t xml:space="preserve">Liquidity &amp; FX: </w:t>
      </w:r>
      <w:r>
        <w:t xml:space="preserve">Per §10, the USDX is soft-to-flat (~99) — easier financial conditions, mildly supportive.</w:t>
      </w:r>
    </w:p>
    <w:p>
      <w:pPr>
        <w:spacing w:after="100"/>
      </w:pPr>
      <w:r>
        <w:rPr>
          <w:b/>
          <w:bCs/>
        </w:rPr>
        <w:t xml:space="preserve">Energy: </w:t>
      </w:r>
      <w:r>
        <w:t xml:space="preserve">Per §10 context, the Iran-driven oil spike is the key macro swing factor; a sustained move higher is the main inflation/margin risk.</w:t>
      </w:r>
    </w:p>
    <w:p>
      <w:pPr>
        <w:spacing w:after="100"/>
      </w:pPr>
      <w:r>
        <w:rPr>
          <w:b/>
          <w:bCs/>
        </w:rPr>
        <w:t xml:space="preserve">Positioning: </w:t>
      </w:r>
      <w:r>
        <w:t xml:space="preserve">NAAIM exposure jumped to ~98 (near max long); AAII bulls 35.6%. Elevated long positioning raises pullback vulnerability — a watch item if 5 June payrolls disappoints.</w:t>
      </w:r>
    </w:p>
    <w:p>
      <w:pPr>
        <w:pStyle w:val="Heading1"/>
      </w:pPr>
      <w:r>
        <w:t xml:space="preserve">15. Bull / Bear Balance</w:t>
      </w:r>
    </w:p>
    <w:p>
      <w:pPr>
        <w:spacing w:after="100"/>
      </w:pPr>
      <w:r>
        <w:rPr>
          <w:b/>
          <w:bCs/>
        </w:rPr>
        <w:t xml:space="preserve">Upside risks: </w:t>
      </w:r>
      <w:r>
        <w:t xml:space="preserve">Continued AI/mega-cap leadership; soft 5 June payrolls reinforcing soft-landing; close above the 7,620.90 confluence (1 Jun high + daily R1) opening measured-move extension toward ~7,745.</w:t>
      </w:r>
    </w:p>
    <w:p>
      <w:pPr>
        <w:spacing w:after="100"/>
      </w:pPr>
      <w:r>
        <w:rPr>
          <w:b/>
          <w:bCs/>
        </w:rPr>
        <w:t xml:space="preserve">Downside risks: </w:t>
      </w:r>
      <w:r>
        <w:t xml:space="preserve">Stretched valuation (Shiller P/E 42.78) + record concentration; sustained oil spike feeding inflation; the VIX up-tick and first down session at the range top; near-max long positioning. The 5 June payrolls (see §13d) is the pivotal swing event; a break back below the weekly pivot (7,557.81) would tilt the balance bearish.</w:t>
      </w:r>
    </w:p>
    <w:p>
      <w:pPr>
        <w:pStyle w:val="Heading1"/>
      </w:pPr>
      <w:r>
        <w:t xml:space="preserve">16. Forward View</w:t>
      </w:r>
    </w:p>
    <w:p>
      <w:pPr>
        <w:spacing w:after="120"/>
      </w:pPr>
      <w:r>
        <w:t xml:space="preserve">Expected direction over the next five sessions: mildly higher to consolidative, respecting the Trending-Bullish regime (§9) but acknowledging first-session exhaustion at the highs. Expected trading range: roughly 7,560 – 7,640, with the 7,620.90 confluence as the gate to extension. Base-case invalidation: a daily close back below the weekly pivot (7,557.81), which would signal the consolidation has become a reversal. This view respects the technical regime and does not contradict it; the principal risk to the view is the 5 June payrolls print (§13d).</w:t>
      </w:r>
    </w:p>
    <w:p>
      <w:pPr>
        <w:pStyle w:val="Heading1"/>
      </w:pPr>
      <w:r>
        <w:t xml:space="preserve">17. Forecast</w:t>
      </w:r>
    </w:p>
    <w:p>
      <w:pPr>
        <w:spacing w:after="120"/>
      </w:pPr>
      <w:r>
        <w:rPr>
          <w:i/>
          <w:iCs/>
        </w:rPr>
        <w:t xml:space="preserve">The S&amp;P 500 grinds modestly higher into a 7,560–7,640 band, with the 7,620.90 record-high confluence the decisive level, unless the 5 June payrolls print forces a break below the weekly pivot.</w:t>
      </w:r>
    </w:p>
    <w:p>
      <w:pPr>
        <w:pStyle w:val="Heading1"/>
      </w:pPr>
      <w:r>
        <w:t xml:space="preserve">18. Final Analyst Judgement</w:t>
      </w:r>
    </w:p>
    <w:p>
      <w:pPr>
        <w:spacing w:after="100"/>
      </w:pPr>
      <w:r>
        <w:rPr>
          <w:b/>
          <w:bCs/>
        </w:rPr>
        <w:t xml:space="preserve">Consensus price call: </w:t>
      </w:r>
      <w:r>
        <w:t xml:space="preserve">7,585 index points (range 7,560–7,605), confidence Medium, tone cautiously bullish.</w:t>
      </w:r>
    </w:p>
    <w:p>
      <w:pPr>
        <w:spacing w:after="100"/>
      </w:pPr>
      <w:r>
        <w:rPr>
          <w:b/>
          <w:bCs/>
        </w:rPr>
        <w:t xml:space="preserve">Three most important reasons: </w:t>
      </w:r>
      <w:r>
        <w:t xml:space="preserve">(1) Trending-Bullish regime confirmed by Kaufman efficiency and rising European equities; (2) first down session with RSI2 unwinding from saturation at the range top signals near-term exhaustion; (3) stretched valuation and a near-max-long positioning backdrop raise pullback sensitivity to the 5 June payrolls.</w:t>
      </w:r>
    </w:p>
    <w:p>
      <w:pPr>
        <w:spacing w:after="100"/>
      </w:pPr>
      <w:r>
        <w:rPr>
          <w:b/>
          <w:bCs/>
        </w:rPr>
        <w:t xml:space="preserve">Single watch item: </w:t>
      </w:r>
      <w:r>
        <w:t xml:space="preserve">5 June US Non-Farm Payrolls.</w:t>
      </w:r>
    </w:p>
    <w:p>
      <w:pPr>
        <w:pStyle w:val="Heading1"/>
      </w:pPr>
      <w:r>
        <w:t xml:space="preserve">19. Source Discipline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vs indicative: 1 Jun and 29 May closing levels are fully corroborated (three+ independent sources, delta 0.00). The 2 Jun close is indicative (intraday-derived, single completed-session reference).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gaps: direct two-source index-level intraday open/high/low for 27–28 May and 1–2 June could not be obtained from the approved free stack; these fields were reconstructed from the SPDR S&amp;P 500 ETF scaled to corroborated index closes and are flagged indicative.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Normalization assumptions: ETF→index calibration factor ≈10.02, anchored to the corroborated 29 May index close.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Corroboration status per instrument: S&amp;P 500 closes CORROBORATED; intraday O/H/L SINGLE-SOURCE INDICATIVE. Daily pivot inputs (1 Jun) corroborated. Weekly/monthly pivot extremes partly indicative. Counters (USDX, VIX, DAX) corroborated at close level for directional use.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Per instruction, trading strategies are produced despite incomplete intraday-OHLC corroboration; pivot-dependent entries that rely on indicative levels are flagged in the trade-card caveats below.</w:t>
      </w:r>
    </w:p>
    <w:p>
      <w:pPr>
        <w:pStyle w:val="Heading1"/>
      </w:pPr>
      <w:r>
        <w:t xml:space="preserve">20. Agent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Sources attempted (price): FRED, Yahoo Finance, CNBC, Investing.com, StockAnalysis (SPDR proxy), 24/7 Wall St, TheStreet, Advisor Perspectives. Closing-level corroboration achieved for 29 May and 1 Jun (delta 0.00).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method: weighted-median across official + aggregator feeds; equity-index tolerance ±0.10 pts for closes.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Corroboration pairs: 1 Jun close FRED × Yahoo (Δ 0.00); 29 May close Yahoo × CNBC context (Δ 0.00).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Sentiment derivation: six primary-asset articles, source-class weighted (institutional 1.0 / media 0.5); numeric tilt = +0.17. Low-confidence flag NOT triggered (6 ≥ 3 articles).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Direction-score weights: defaults (baseline). Score +0.4. Forward-test session: weights locked (within first-20-session lock window).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 reasoning: regime (trending bullish) + Kaufman (trending up moderate) + positive-but-modest sentiment tilt, tempered by exhaustion sequence and contracting volatility.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Anomalies: RSI2 saturation at 100 across 29 May–1 Jun then sharp reset to ~58 on 2 Jun (momentum cooling). VIX up-tick on 2 Jun against a falling-vol regime.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Backtest reconstruction: 5 sessions replayed at each t−1 close with sentiment frozen at the reconstruction date; ATR/swings/pivots recomputed without forward leakage. Daily-open anchor set to the 00:00 UK reference per the run instruction.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Timestamp: 3 June 2026, pre-NY-open European-session window.</w:t>
      </w:r>
    </w:p>
    <w:p>
      <w:pPr>
        <w:pStyle w:val="Heading1"/>
      </w:pPr>
      <w:r>
        <w:t xml:space="preserve">21. Strategy Recommendations</w:t>
      </w:r>
    </w:p>
    <w:p>
      <w:pPr>
        <w:pStyle w:val="Heading2"/>
      </w:pPr>
      <w:r>
        <w:t xml:space="preserve">21a. Directional Conviction</w:t>
      </w:r>
    </w:p>
    <w:p>
      <w:pPr>
        <w:spacing w:after="120"/>
      </w:pPr>
      <w:r>
        <w:t xml:space="preserve">Direction: LONG. Score +0.4 (above the conviction threshold). The three highest-weighted contributing signals are short-term technical bias (§8) at roughly +0.18 of the total, medium-term regime (§9) at +0.12, and the Kaufman trend read (§9) at +0.08, with sentiment (§13b, +0.03) and cross-asset confirmation (§10, +0.03) adding marginally and the contracting-volatility slope subtracting ~0.03. Weights basis: defaults. No conflict with the §17 forecast — both lean cautiously long. The conviction is tempered by the first-session exhaustion flag, so size accordingly.</w:t>
      </w:r>
    </w:p>
    <w:p>
      <w:pPr>
        <w:pStyle w:val="Heading2"/>
      </w:pPr>
      <w:r>
        <w:t xml:space="preserve">21b. Trade Cards</w:t>
      </w:r>
    </w:p>
    <w:p>
      <w:pPr>
        <w:spacing w:after="120"/>
      </w:pPr>
      <w:r>
        <w:rPr>
          <w:b/>
          <w:bCs/>
        </w:rPr>
        <w:t xml:space="preserve">Trade 1 — Daily Directional (LONG — trending-bullish regime)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— trending-bullish regime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at 00:00 UK reference / on session open, 7,585.50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7,499.14 — 86 points below entry (1.3× ATR, below 27 May swing 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86.36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7,671.86 — +1R (86 points)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7,758.22 — +2R (173 points)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(Unit 3 — runner)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7,784.79 — session-close time-stop + 3×ATR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equal units; Unit 1 exits TP1; Unit 2 exits TP2; on Unit 2 fill, Unit 3 stop → entry +0.2R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 region near daily R1 / 1 Jun all-time high 7,620.90 — strong confluence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close back below the weekly pivot 7,557.81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Holding-period collides with 5 Jun payrolls (Tier-1 event); first-session exhaustion flag</w:t>
            </w:r>
          </w:p>
        </w:tc>
      </w:tr>
    </w:tbl>
    <w:p>
      <w:pPr>
        <w:spacing w:after="120"/>
      </w:pPr>
      <w:r>
        <w:rPr>
          <w:b/>
          <w:bCs/>
        </w:rPr>
        <w:t xml:space="preserve">Trade 2 — Pivot (regime-aware, trend pullback)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— buy pullback in 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 limit at daily pivot 7,601.28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7,557.81 — below weekly pivot (43 points)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43.47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7,619.58 — daily R1 (+1R)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7,639.19 — daily R2 (+2R)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7,657.49 — daily R3 / runner to pivot-P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equal units; standard tranche rule; Unit 3 stop → entry +0.2R on Unit 2 fill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R1 ≈ 1 Jun all-time high — strong confluence at TP1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below weekly pivot 7,557.81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Monthly pivot extremes single-source indicative (§19); 5 Jun payrolls collision</w:t>
            </w:r>
          </w:p>
        </w:tc>
      </w:tr>
    </w:tbl>
    <w:p>
      <w:pPr>
        <w:spacing w:after="120"/>
      </w:pPr>
      <w:r>
        <w:rPr>
          <w:b/>
          <w:bCs/>
        </w:rPr>
        <w:t xml:space="preserve">Trade 3A — Momentum-Pullback (trend-up fork)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— pullback to 38.2% fib of the 27 May–1 Jun swing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 limit at 7,573.68 (38.2% retrace)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7,484.00 — below the 27 May swing low (90 points)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89.68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7,620.90 — prior swing high (1 Jun ATH)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7,744.51 — measured move (1× swing width)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100%+ extension; structural runner override on extension break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units; Trade-3A override: on 100%-extension break, stop → halfway between entry and swing-low anchor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Fib 50% 7,559.09 / 61.8% 7,544.51 cluster near weekly pivot — support confluence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below the 27 May swing low 7,497.29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Jun payrolls collision; entry requires a pullback that may not trigger in a continued grind</w:t>
            </w:r>
          </w:p>
        </w:tc>
      </w:tr>
    </w:tbl>
    <w:p>
      <w:pPr>
        <w:pStyle w:val="Heading2"/>
      </w:pPr>
      <w:r>
        <w:t xml:space="preserve">21c. Five-Session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100"/>
        <w:gridCol w:w="1100"/>
        <w:gridCol w:w="1000"/>
        <w:gridCol w:w="1900"/>
        <w:gridCol w:w="1300"/>
        <w:gridCol w:w="710"/>
      </w:tblGrid>
      <w:tr>
        <w:trPr>
          <w:tblHeader/>
        </w:trP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May (t−5)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7,519 / 7,561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 (TP1)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May (t−5)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May (t−5)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range too shallow (&lt;2×ATR)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May (t−4)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7,561 / 7,580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 (TP1)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May (t−4)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pivot / R1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 (TP1)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May (t−4)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pullback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 May (t−3)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7,580 / 7,600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+0.8 (partial)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 May (t−3)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pivot / R1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 (TP1)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 (t−2)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7,600 / 7,585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−0.4 (stop trail)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Jun (t−2)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above limit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Jun (t−1)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@ +0.1R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1+ (open)</w:t>
            </w:r>
          </w:p>
        </w:tc>
      </w:tr>
      <w:tr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Jun (t−1)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7,574 / OPEN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@ −0.2R</w:t>
            </w:r>
          </w:p>
        </w:tc>
        <w:tc>
          <w:tcPr>
            <w:tcW w:type="dxa" w:w="7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6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1+ (open)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Suppressed reconstructions are reported for traceability and excluded from the aggregate. Slippage = 0; SL-first tick-priority applied where both could fill.</w:t>
      </w:r>
    </w:p>
    <w:p>
      <w:pPr>
        <w:pStyle w:val="Heading2"/>
      </w:pPr>
      <w:r>
        <w:t xml:space="preserve">21d. 'What Is Working' Aggregate</w:t>
      </w:r>
    </w:p>
    <w:p>
      <w:pPr>
        <w:spacing w:after="120"/>
      </w:pPr>
      <w:r>
        <w:t xml:space="preserve">Trade 1 over the last 5 sessions: triggered 5/5 times, mean R ≈ +0.60, TP1/TP2/TP3 hit rates ≈ 60% / 0% / 0%. Trade 2: triggered 2/4 eligible, mean R ≈ +1.0, TP1 hit 100% of triggers. Trade 3A: triggered 1/3 eligible (1 suppressed), 1 open. Strongest performer: Trade 2 (Pivot) on mean R among closed positions. Weakest: Trade 3A — insufficient closed triggers to rank.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S&amp;P 500 Daily Report │ 3 June 2026 │ Senior US Equity Strategist</w:t>
    </w:r>
    <w:r>
      <w:rPr>
        <w:color w:val="666666"/>
        <w:sz w:val="16"/>
        <w:szCs w:val="16"/>
      </w:rPr>
      <w:t xml:space="preserve"> 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S&amp;P 500 Daily Report  ·  3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26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b8de698e867b333e96b3d7dec05a35cf9a1ce1.png"/><Relationship Id="rId10" Type="http://schemas.openxmlformats.org/officeDocument/2006/relationships/image" Target="media/32470ebaa2712342929455313f2b26a04b521fbb.png"/><Relationship Id="rId11" Type="http://schemas.openxmlformats.org/officeDocument/2006/relationships/image" Target="media/fa9e9bffae6fb33dc881b8ad4c02e5d6b52c981f.png"/><Relationship Id="rId12" Type="http://schemas.openxmlformats.org/officeDocument/2006/relationships/image" Target="media/5f0386fb8d17957baf9e23911deb7d986012d05e.png"/><Relationship Id="rId13" Type="http://schemas.openxmlformats.org/officeDocument/2006/relationships/image" Target="media/fcddd920fefa84210a8580e58d2f8922de5228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2026-06-02T21:25:06.812Z</dcterms:created>
  <dcterms:modified xsi:type="dcterms:W3CDTF">2026-06-02T21:25:06.812Z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