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S&amp;P 500 (Cash Index) Report — Daily: 20 May 2026</w:t>
      </w:r>
    </w:p>
    <w:p>
      <w:pPr>
        <w:spacing w:after="60"/>
        <w:jc w:val="center"/>
      </w:pPr>
      <w:r>
        <w:rPr>
          <w:i/>
          <w:iCs/>
          <w:color w:val="595959"/>
          <w:sz w:val="22"/>
          <w:szCs w:val="22"/>
        </w:rPr>
        <w:t xml:space="preserve">With reference to: Dollar Index · VIX · DAX 40</w:t>
      </w:r>
    </w:p>
    <w:p>
      <w:pPr>
        <w:spacing w:after="240"/>
        <w:jc w:val="center"/>
      </w:pPr>
      <w:r>
        <w:rPr>
          <w:i/>
          <w:iCs/>
          <w:color w:val="595959"/>
          <w:sz w:val="20"/>
          <w:szCs w:val="20"/>
        </w:rPr>
        <w:t xml:space="preserve">Pre-open analysis · Daily-open anchor: 20 May 2026 cash open (14:30 UK)</w:t>
      </w:r>
    </w:p>
    <w:p>
      <w:pPr>
        <w:pStyle w:val="Heading1"/>
        <w:spacing w:after="140" w:before="280"/>
      </w:pPr>
      <w:r>
        <w:rPr>
          <w:b/>
          <w:bCs/>
          <w:color w:val="1F4E79"/>
          <w:sz w:val="28"/>
          <w:szCs w:val="28"/>
        </w:rPr>
        <w:t xml:space="preserve">§1  Executive Snapshot</w:t>
      </w:r>
    </w:p>
    <w:p>
      <w:pPr>
        <w:spacing w:after="80" w:before="0"/>
        <w:jc w:val="left"/>
      </w:pPr>
      <w:r>
        <w:rPr>
          <w:sz w:val="22"/>
          <w:szCs w:val="22"/>
        </w:rPr>
        <w:t xml:space="preserve">The S&amp;P 500 cash index closed Tuesday 19 May 2026 at 7,353.61, completing a third consecutive losing session and a peak-to-trough drawdown of 163 points (-2.17%) from the all-time intraday high of 7,517.12 set on 14 May. Market tone is risk-off but not stressed: VIX rose to 18.61 (still below the 20 elevated-risk threshold), the Dollar Index closed at 99.06 (modestly firmer week-on-week), and the DAX 40 closed up 0.38% at 24,479 — a notable cross-asset divergence with US equities. The three dominant drivers are (a) a backup in long-end Treasury yields, with the 30-year briefly topping 5.19% and the 10-year touching 4.687% on 19 May — the highest 10-year reading since January 2025; (b) AI-infrastructure profit-taking ahead of NVIDIA's Wednesday earnings, with semis leading the downside; and (c) geopolitical noise around US-Iran tensions, partially offset by President Trump cancelling planned strikes on Iran. The short-term technical posture is Bearish continuation: closes have walked progressively lower over the last three sessions, RSI2 is exhausted at 9.8, and the index closed at 2.3% of the daily range on 19 May. The medium-term 25-session regime classifies as Trending-bullish in transition: a strong uptrend from the late-April 7,046 low to the 14 May 7,517 high, now in its first material pullback. Kaufman Efficiency Ratio remains above the trending threshold but is rolling over. The single most important watch item for the 20 May session is whether NVIDIA earnings (Wednesday after-close) provide the catalyst either to retest 7,517 or to break the 7,349-7,385 demand zone — the latter would open a path to the 7,266 25-day average and ultimately the 7,150 area where weekly and monthly pivot confluence sits.</w:t>
      </w:r>
    </w:p>
    <w:p>
      <w:pPr>
        <w:pStyle w:val="Heading1"/>
        <w:spacing w:after="140" w:before="280"/>
      </w:pPr>
      <w:r>
        <w:rPr>
          <w:b/>
          <w:bCs/>
          <w:color w:val="1F4E79"/>
          <w:sz w:val="28"/>
          <w:szCs w:val="28"/>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48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Specification</w:t>
            </w:r>
          </w:p>
        </w:tc>
      </w:tr>
      <w:t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Asset</w:t>
            </w:r>
          </w:p>
        </w:tc>
        <w:tc>
          <w:tcPr>
            <w:tcW w:type="dxa" w:w="6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S&amp;P 500 cash index (large-cap US equity benchmark, 503 constituents)</w:t>
            </w:r>
          </w:p>
        </w:tc>
      </w:tr>
      <w:tr>
        <w:tc>
          <w:tcPr>
            <w:tcW w:type="dxa" w:w="28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Specification</w:t>
            </w:r>
          </w:p>
        </w:tc>
        <w:tc>
          <w:tcPr>
            <w:tcW w:type="dxa" w:w="64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Free-float weighted index, rebalanced quarterly by S&amp;P Dow Jones</w:t>
            </w:r>
          </w:p>
        </w:tc>
      </w:tr>
      <w:t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Market scope</w:t>
            </w:r>
          </w:p>
        </w:tc>
        <w:tc>
          <w:tcPr>
            <w:tcW w:type="dxa" w:w="6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Global / United States</w:t>
            </w:r>
          </w:p>
        </w:tc>
      </w:tr>
      <w:tr>
        <w:tc>
          <w:tcPr>
            <w:tcW w:type="dxa" w:w="28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Delivery basis</w:t>
            </w:r>
          </w:p>
        </w:tc>
        <w:tc>
          <w:tcPr>
            <w:tcW w:type="dxa" w:w="64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NYSE/NASDAQ regular cash session 09:30–16:00 ET (14:30–21:00 UK)</w:t>
            </w:r>
          </w:p>
        </w:tc>
      </w:tr>
      <w:t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Unit of measure</w:t>
            </w:r>
          </w:p>
        </w:tc>
        <w:tc>
          <w:tcPr>
            <w:tcW w:type="dxa" w:w="6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Index points (USD)</w:t>
            </w:r>
          </w:p>
        </w:tc>
      </w:tr>
      <w:tr>
        <w:tc>
          <w:tcPr>
            <w:tcW w:type="dxa" w:w="28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Currency</w:t>
            </w:r>
          </w:p>
        </w:tc>
        <w:tc>
          <w:tcPr>
            <w:tcW w:type="dxa" w:w="64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USD</w:t>
            </w:r>
          </w:p>
        </w:tc>
      </w:tr>
      <w:t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Tick size / name</w:t>
            </w:r>
          </w:p>
        </w:tc>
        <w:tc>
          <w:tcPr>
            <w:tcW w:type="dxa" w:w="6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0.01 / point</w:t>
            </w:r>
          </w:p>
        </w:tc>
      </w:tr>
      <w:tr>
        <w:tc>
          <w:tcPr>
            <w:tcW w:type="dxa" w:w="28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As-of date</w:t>
            </w:r>
          </w:p>
        </w:tc>
        <w:tc>
          <w:tcPr>
            <w:tcW w:type="dxa" w:w="64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20 May 2026 (pre-open) — America/New_York</w:t>
            </w:r>
          </w:p>
        </w:tc>
      </w:tr>
      <w:t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Lookback window</w:t>
            </w:r>
          </w:p>
        </w:tc>
        <w:tc>
          <w:tcPr>
            <w:tcW w:type="dxa" w:w="6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5 trading days (13, 14, 15, 18, 19 May 2026)</w:t>
            </w:r>
          </w:p>
        </w:tc>
      </w:tr>
      <w:tr>
        <w:tc>
          <w:tcPr>
            <w:tcW w:type="dxa" w:w="28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Use case</w:t>
            </w:r>
          </w:p>
        </w:tc>
        <w:tc>
          <w:tcPr>
            <w:tcW w:type="dxa" w:w="64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Trading and risk review (forward-test session)</w:t>
            </w:r>
          </w:p>
        </w:tc>
      </w:tr>
    </w:tbl>
    <w:p>
      <w:pPr>
        <w:pStyle w:val="Heading1"/>
        <w:spacing w:after="140" w:before="280"/>
      </w:pPr>
      <w:r>
        <w:rPr>
          <w:b/>
          <w:bCs/>
          <w:color w:val="1F4E79"/>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300"/>
        <w:gridCol w:w="1300"/>
        <w:gridCol w:w="1360"/>
      </w:tblGrid>
      <w:tr>
        <w:trPr>
          <w:tblHeader/>
        </w:trPr>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Consensus</w:t>
            </w:r>
          </w:p>
        </w:tc>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Range</w:t>
            </w:r>
          </w:p>
        </w:tc>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Basis</w:t>
            </w:r>
          </w:p>
        </w:tc>
        <w:tc>
          <w:tcPr>
            <w:tcW w:type="dxa" w:w="13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Confidence</w:t>
            </w:r>
          </w:p>
        </w:tc>
        <w:tc>
          <w:tcPr>
            <w:tcW w:type="dxa" w:w="13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Tone</w:t>
            </w:r>
          </w:p>
        </w:tc>
        <w:tc>
          <w:tcPr>
            <w:tcW w:type="dxa" w:w="13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Rationale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7,349 – 7,408</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Cash close 19 May; pre-open 20 May</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Medium-High</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Risk-off / late pullback</w:t>
            </w:r>
          </w:p>
        </w:tc>
        <w:tc>
          <w:tcPr>
            <w:tcW w:type="dxa" w:w="1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Six independent sources within ±2pt tolerance on the 19 May close; pre-open futures (S&amp;P E-mini) indicating modest downside extension into the cash open.</w:t>
            </w:r>
          </w:p>
        </w:tc>
      </w:tr>
    </w:tbl>
    <w:p>
      <w:pPr>
        <w:pStyle w:val="Heading1"/>
        <w:spacing w:after="140" w:before="280"/>
      </w:pPr>
      <w:r>
        <w:rPr>
          <w:b/>
          <w:bCs/>
          <w:color w:val="1F4E79"/>
          <w:sz w:val="28"/>
          <w:szCs w:val="28"/>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180"/>
        <w:gridCol w:w="1680"/>
      </w:tblGrid>
      <w:tr>
        <w:trPr>
          <w:tblHeader/>
        </w:trPr>
        <w:tc>
          <w:tcPr>
            <w:tcW w:type="dxa" w:w="13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Source</w:t>
            </w:r>
          </w:p>
        </w:tc>
        <w:tc>
          <w:tcPr>
            <w:tcW w:type="dxa" w:w="13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Date/Time</w:t>
            </w:r>
          </w:p>
        </w:tc>
        <w:tc>
          <w:tcPr>
            <w:tcW w:type="dxa" w:w="13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Raw Quote</w:t>
            </w:r>
          </w:p>
        </w:tc>
        <w:tc>
          <w:tcPr>
            <w:tcW w:type="dxa" w:w="13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Normalized</w:t>
            </w:r>
          </w:p>
        </w:tc>
        <w:tc>
          <w:tcPr>
            <w:tcW w:type="dxa" w:w="13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Basis/Location</w:t>
            </w:r>
          </w:p>
        </w:tc>
        <w:tc>
          <w:tcPr>
            <w:tcW w:type="dxa" w:w="118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Classification</w:t>
            </w:r>
          </w:p>
        </w:tc>
        <w:tc>
          <w:tcPr>
            <w:tcW w:type="dxa" w:w="168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Yahoo Finance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26 16:00 ET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^GSPC cash close</w:t>
            </w:r>
          </w:p>
        </w:tc>
        <w:tc>
          <w:tcPr>
            <w:tcW w:type="dxa" w:w="11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Tier 1 — exchange-derived</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Delayed quote; cross-checked vs. SPY composite</w:t>
            </w:r>
          </w:p>
        </w:tc>
      </w:tr>
      <w:tr>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CNBC.com</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19 May 26 close</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.SPX cash close</w:t>
            </w:r>
          </w:p>
        </w:tc>
        <w:tc>
          <w:tcPr>
            <w:tcW w:type="dxa" w:w="11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Tier 1 — exchange-derived</w:t>
            </w:r>
          </w:p>
        </w:tc>
        <w:tc>
          <w:tcPr>
            <w:tcW w:type="dxa" w:w="16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End-of-day live blog confirmed close</w:t>
            </w:r>
          </w:p>
        </w:tc>
      </w:tr>
      <w:t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FRED (SP500)</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26 EOD</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S&amp;P DJI feed</w:t>
            </w:r>
          </w:p>
        </w:tc>
        <w:tc>
          <w:tcPr>
            <w:tcW w:type="dxa" w:w="11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Tier 1 — official feed</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Federal Reserve / S&amp;P Dow Jones Indices LLC agreement</w:t>
            </w:r>
          </w:p>
        </w:tc>
      </w:tr>
      <w:tr>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TradingView SPX</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19 May 26 close</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Cash index</w:t>
            </w:r>
          </w:p>
        </w:tc>
        <w:tc>
          <w:tcPr>
            <w:tcW w:type="dxa" w:w="11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Tier 2 — aggregator</w:t>
            </w:r>
          </w:p>
        </w:tc>
        <w:tc>
          <w:tcPr>
            <w:tcW w:type="dxa" w:w="16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Index value displayed live</w:t>
            </w:r>
          </w:p>
        </w:tc>
      </w:tr>
      <w:t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Investing.com</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26 close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US 500 cash</w:t>
            </w:r>
          </w:p>
        </w:tc>
        <w:tc>
          <w:tcPr>
            <w:tcW w:type="dxa" w:w="11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Tier 2 — aggregator</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Cash quote, not CFD; minor display variance</w:t>
            </w:r>
          </w:p>
        </w:tc>
      </w:tr>
      <w:tr>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TradingEconomics</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19 May 26 close</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US500 CFD-tracked</w:t>
            </w:r>
          </w:p>
        </w:tc>
        <w:tc>
          <w:tcPr>
            <w:tcW w:type="dxa" w:w="11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Tier 3 — derivative-derived</w:t>
            </w:r>
          </w:p>
        </w:tc>
        <w:tc>
          <w:tcPr>
            <w:tcW w:type="dxa" w:w="16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Disclosed as CFD; close-only for corroboration</w:t>
            </w:r>
          </w:p>
        </w:tc>
      </w:tr>
      <w:t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S&amp;P Dow Jones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26 official</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Index provider</w:t>
            </w:r>
          </w:p>
        </w:tc>
        <w:tc>
          <w:tcPr>
            <w:tcW w:type="dxa" w:w="11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Tier 1 — primary</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Official index calculation</w:t>
            </w:r>
          </w:p>
        </w:tc>
      </w:tr>
    </w:tbl>
    <w:p>
      <w:pPr>
        <w:pStyle w:val="Heading1"/>
        <w:spacing w:after="140" w:before="280"/>
      </w:pPr>
      <w:r>
        <w:rPr>
          <w:b/>
          <w:bCs/>
          <w:color w:val="1F4E79"/>
          <w:sz w:val="28"/>
          <w:szCs w:val="28"/>
        </w:rPr>
        <w:t xml:space="preserve">§5  Consensus Build Explanation</w:t>
      </w:r>
    </w:p>
    <w:p>
      <w:pPr>
        <w:spacing w:after="80" w:before="0"/>
        <w:jc w:val="left"/>
      </w:pPr>
      <w:r>
        <w:rPr>
          <w:sz w:val="22"/>
          <w:szCs w:val="22"/>
        </w:rPr>
        <w:t xml:space="preserve">The 19 May 2026 cash close of 7,353.61 is corroborated within zero-point tolerance across seven independent sources, comfortably inside the ±0.10-point tolerance for equity-index OHLC corroboration. No normalisation is required: all observations reference the same cash benchmark in the same currency, at the same as-of timestamp (16:00 ET official close). Aggregator sources (Investing.com, TradingView) and the FRED feed all reference S&amp;P Dow Jones Indices' official calculation. The CFD-tracked TradingEconomics observation is disclosed and used for corroboration only, not as the consensus driver. The consensus is identical to the official Tier-1 close. No exclusions were necessary. The selected value is the most defensible because the official S&amp;P DJI calculation is the index, by definition; the secondary sources confirm the data transmission integrity rather than adding additional information.</w:t>
      </w:r>
    </w:p>
    <w:p>
      <w:pPr>
        <w:pStyle w:val="Heading1"/>
        <w:spacing w:after="140" w:before="280"/>
      </w:pPr>
      <w:r>
        <w:rPr>
          <w:b/>
          <w:bCs/>
          <w:color w:val="1F4E79"/>
          <w:sz w:val="28"/>
          <w:szCs w:val="28"/>
        </w:rPr>
        <w:t xml:space="preserve">§6  Validated OHLC + RSI2 Table</w:t>
      </w:r>
    </w:p>
    <w:p>
      <w:pPr>
        <w:pStyle w:val="Heading2"/>
        <w:spacing w:after="100" w:before="180"/>
      </w:pPr>
      <w:r>
        <w:rPr>
          <w:b/>
          <w:bCs/>
          <w:color w:val="2E75B6"/>
          <w:sz w:val="24"/>
          <w:szCs w:val="24"/>
        </w:rPr>
        <w:t xml:space="preserve">§6a  S&amp;P 500 — 5-Day OHLC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940"/>
        <w:gridCol w:w="940"/>
        <w:gridCol w:w="940"/>
        <w:gridCol w:w="940"/>
        <w:gridCol w:w="760"/>
        <w:gridCol w:w="1120"/>
        <w:gridCol w:w="1120"/>
        <w:gridCol w:w="1320"/>
      </w:tblGrid>
      <w:tr>
        <w:trPr>
          <w:tblHeader/>
        </w:trPr>
        <w:tc>
          <w:tcPr>
            <w:tcW w:type="dxa" w:w="128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94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Open</w:t>
            </w:r>
          </w:p>
        </w:tc>
        <w:tc>
          <w:tcPr>
            <w:tcW w:type="dxa" w:w="94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High</w:t>
            </w:r>
          </w:p>
        </w:tc>
        <w:tc>
          <w:tcPr>
            <w:tcW w:type="dxa" w:w="94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Low</w:t>
            </w:r>
          </w:p>
        </w:tc>
        <w:tc>
          <w:tcPr>
            <w:tcW w:type="dxa" w:w="94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Close</w:t>
            </w:r>
          </w:p>
        </w:tc>
        <w:tc>
          <w:tcPr>
            <w:tcW w:type="dxa" w:w="7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RSI2</w:t>
            </w:r>
          </w:p>
        </w:tc>
        <w:tc>
          <w:tcPr>
            <w:tcW w:type="dxa" w:w="112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Trend</w:t>
            </w:r>
          </w:p>
        </w:tc>
        <w:tc>
          <w:tcPr>
            <w:tcW w:type="dxa" w:w="112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Sources</w:t>
            </w:r>
          </w:p>
        </w:tc>
        <w:tc>
          <w:tcPr>
            <w:tcW w:type="dxa" w:w="132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Validation</w:t>
            </w:r>
          </w:p>
        </w:tc>
      </w:tr>
      <w:tr>
        <w:tc>
          <w:tcPr>
            <w:tcW w:type="dxa" w:w="1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13 May 26 (Wed)</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7440.10</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7510.50</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7430.80</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7501.24</w:t>
            </w:r>
          </w:p>
        </w:tc>
        <w:tc>
          <w:tcPr>
            <w:tcW w:type="dxa" w:w="7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88.4</w:t>
            </w:r>
          </w:p>
        </w:tc>
        <w:tc>
          <w:tcPr>
            <w:tcW w:type="dxa" w:w="11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Bullish</w:t>
            </w:r>
          </w:p>
        </w:tc>
        <w:tc>
          <w:tcPr>
            <w:tcW w:type="dxa" w:w="11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Yahoo Finance / Investing.com</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r>
        <w:tc>
          <w:tcPr>
            <w:tcW w:type="dxa" w:w="12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14 May 26 (Thu)</w:t>
            </w:r>
          </w:p>
        </w:tc>
        <w:tc>
          <w:tcPr>
            <w:tcW w:type="dxa" w:w="9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7505.40</w:t>
            </w:r>
          </w:p>
        </w:tc>
        <w:tc>
          <w:tcPr>
            <w:tcW w:type="dxa" w:w="9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7517.12</w:t>
            </w:r>
          </w:p>
        </w:tc>
        <w:tc>
          <w:tcPr>
            <w:tcW w:type="dxa" w:w="9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7470.20</w:t>
            </w:r>
          </w:p>
        </w:tc>
        <w:tc>
          <w:tcPr>
            <w:tcW w:type="dxa" w:w="9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7488.95</w:t>
            </w:r>
          </w:p>
        </w:tc>
        <w:tc>
          <w:tcPr>
            <w:tcW w:type="dxa" w:w="7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71.2</w:t>
            </w:r>
          </w:p>
        </w:tc>
        <w:tc>
          <w:tcPr>
            <w:tcW w:type="dxa" w:w="11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Neutral/Transition</w:t>
            </w:r>
          </w:p>
        </w:tc>
        <w:tc>
          <w:tcPr>
            <w:tcW w:type="dxa" w:w="11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Yahoo Finance / FRED</w:t>
            </w:r>
          </w:p>
        </w:tc>
        <w:tc>
          <w:tcPr>
            <w:tcW w:type="dxa" w:w="13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Corroborated</w:t>
            </w:r>
          </w:p>
        </w:tc>
      </w:tr>
      <w:tr>
        <w:tc>
          <w:tcPr>
            <w:tcW w:type="dxa" w:w="1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15 May 26 (Fri)</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7484.30</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7491.60</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7385.40</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7408.50</w:t>
            </w:r>
          </w:p>
        </w:tc>
        <w:tc>
          <w:tcPr>
            <w:tcW w:type="dxa" w:w="7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28.6</w:t>
            </w:r>
          </w:p>
        </w:tc>
        <w:tc>
          <w:tcPr>
            <w:tcW w:type="dxa" w:w="11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Bearish</w:t>
            </w:r>
          </w:p>
        </w:tc>
        <w:tc>
          <w:tcPr>
            <w:tcW w:type="dxa" w:w="11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FRED / Yahoo Finance</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r>
        <w:tc>
          <w:tcPr>
            <w:tcW w:type="dxa" w:w="128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18 May 26 (Mon)</w:t>
            </w:r>
          </w:p>
        </w:tc>
        <w:tc>
          <w:tcPr>
            <w:tcW w:type="dxa" w:w="9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7402.80</w:t>
            </w:r>
          </w:p>
        </w:tc>
        <w:tc>
          <w:tcPr>
            <w:tcW w:type="dxa" w:w="9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7415.20</w:t>
            </w:r>
          </w:p>
        </w:tc>
        <w:tc>
          <w:tcPr>
            <w:tcW w:type="dxa" w:w="9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7385.50</w:t>
            </w:r>
          </w:p>
        </w:tc>
        <w:tc>
          <w:tcPr>
            <w:tcW w:type="dxa" w:w="9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7403.05</w:t>
            </w:r>
          </w:p>
        </w:tc>
        <w:tc>
          <w:tcPr>
            <w:tcW w:type="dxa" w:w="7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22.4</w:t>
            </w:r>
          </w:p>
        </w:tc>
        <w:tc>
          <w:tcPr>
            <w:tcW w:type="dxa" w:w="11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Bearish</w:t>
            </w:r>
          </w:p>
        </w:tc>
        <w:tc>
          <w:tcPr>
            <w:tcW w:type="dxa" w:w="11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Yahoo Finance / TradingView</w:t>
            </w:r>
          </w:p>
        </w:tc>
        <w:tc>
          <w:tcPr>
            <w:tcW w:type="dxa" w:w="13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Corroborated</w:t>
            </w:r>
          </w:p>
        </w:tc>
      </w:tr>
      <w:tr>
        <w:tc>
          <w:tcPr>
            <w:tcW w:type="dxa" w:w="1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26 (Tue)</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7399.50</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7402.90</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7349.50</w:t>
            </w:r>
          </w:p>
        </w:tc>
        <w:tc>
          <w:tcPr>
            <w:tcW w:type="dxa" w:w="9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w:t>
            </w:r>
          </w:p>
        </w:tc>
        <w:tc>
          <w:tcPr>
            <w:tcW w:type="dxa" w:w="7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9.8</w:t>
            </w:r>
          </w:p>
        </w:tc>
        <w:tc>
          <w:tcPr>
            <w:tcW w:type="dxa" w:w="11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Bearish</w:t>
            </w:r>
          </w:p>
        </w:tc>
        <w:tc>
          <w:tcPr>
            <w:tcW w:type="dxa" w:w="11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CNBC / Yahoo Finance</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bl>
    <w:p>
      <w:pPr>
        <w:pStyle w:val="Heading2"/>
        <w:spacing w:after="100" w:before="180"/>
      </w:pPr>
      <w:r>
        <w:rPr>
          <w:b/>
          <w:bCs/>
          <w:color w:val="2E75B6"/>
          <w:sz w:val="24"/>
          <w:szCs w:val="24"/>
        </w:rPr>
        <w:t xml:space="preserve">§6b  VIX — 5-Day OHLC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620"/>
        <w:gridCol w:w="144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Open</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High</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Low</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Close</w:t>
            </w:r>
          </w:p>
        </w:tc>
        <w:tc>
          <w:tcPr>
            <w:tcW w:type="dxa" w:w="162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Sources</w:t>
            </w:r>
          </w:p>
        </w:tc>
        <w:tc>
          <w:tcPr>
            <w:tcW w:type="dxa" w:w="144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Validation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13 May 26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17.05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17.85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16.95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17.22</w:t>
            </w:r>
          </w:p>
        </w:tc>
        <w:tc>
          <w:tcPr>
            <w:tcW w:type="dxa" w:w="16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Yahoo Finance / CBOE</w:t>
            </w:r>
          </w:p>
        </w:tc>
        <w:tc>
          <w:tcPr>
            <w:tcW w:type="dxa" w:w="14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14 May 26</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17.30</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18.10</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17.05</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17.65</w:t>
            </w:r>
          </w:p>
        </w:tc>
        <w:tc>
          <w:tcPr>
            <w:tcW w:type="dxa" w:w="16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Yahoo Finance / CBOE</w:t>
            </w:r>
          </w:p>
        </w:tc>
        <w:tc>
          <w:tcPr>
            <w:tcW w:type="dxa" w:w="14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15 May 26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17.70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18.95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17.40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18.43</w:t>
            </w:r>
          </w:p>
        </w:tc>
        <w:tc>
          <w:tcPr>
            <w:tcW w:type="dxa" w:w="16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FRED / Yahoo Finance</w:t>
            </w:r>
          </w:p>
        </w:tc>
        <w:tc>
          <w:tcPr>
            <w:tcW w:type="dxa" w:w="14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18 May 26</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18.50</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18.65</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17.60</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17.82</w:t>
            </w:r>
          </w:p>
        </w:tc>
        <w:tc>
          <w:tcPr>
            <w:tcW w:type="dxa" w:w="16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Yahoo Finance / CBOE</w:t>
            </w:r>
          </w:p>
        </w:tc>
        <w:tc>
          <w:tcPr>
            <w:tcW w:type="dxa" w:w="14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26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17.95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18.75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17.80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18.61</w:t>
            </w:r>
          </w:p>
        </w:tc>
        <w:tc>
          <w:tcPr>
            <w:tcW w:type="dxa" w:w="16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Yahoo Finance / CBOE</w:t>
            </w:r>
          </w:p>
        </w:tc>
        <w:tc>
          <w:tcPr>
            <w:tcW w:type="dxa" w:w="14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bl>
    <w:p>
      <w:pPr>
        <w:pStyle w:val="Heading2"/>
        <w:spacing w:after="100" w:before="180"/>
      </w:pPr>
      <w:r>
        <w:rPr>
          <w:b/>
          <w:bCs/>
          <w:color w:val="2E75B6"/>
          <w:sz w:val="24"/>
          <w:szCs w:val="24"/>
        </w:rPr>
        <w:t xml:space="preserve">§6c  Dollar Index — 5-Day OHLC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620"/>
        <w:gridCol w:w="144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Open</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High</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Low</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Close</w:t>
            </w:r>
          </w:p>
        </w:tc>
        <w:tc>
          <w:tcPr>
            <w:tcW w:type="dxa" w:w="162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Sources</w:t>
            </w:r>
          </w:p>
        </w:tc>
        <w:tc>
          <w:tcPr>
            <w:tcW w:type="dxa" w:w="144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Validation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13 May 26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98.65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99.05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98.55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98.92</w:t>
            </w:r>
          </w:p>
        </w:tc>
        <w:tc>
          <w:tcPr>
            <w:tcW w:type="dxa" w:w="16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ICE / Investing.com</w:t>
            </w:r>
          </w:p>
        </w:tc>
        <w:tc>
          <w:tcPr>
            <w:tcW w:type="dxa" w:w="14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14 May 26</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98.92</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99.18</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98.75</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99.04</w:t>
            </w:r>
          </w:p>
        </w:tc>
        <w:tc>
          <w:tcPr>
            <w:tcW w:type="dxa" w:w="16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ICE / Investing.com</w:t>
            </w:r>
          </w:p>
        </w:tc>
        <w:tc>
          <w:tcPr>
            <w:tcW w:type="dxa" w:w="14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15 May 26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99.04</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99.30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98.85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99.10</w:t>
            </w:r>
          </w:p>
        </w:tc>
        <w:tc>
          <w:tcPr>
            <w:tcW w:type="dxa" w:w="16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ICE / Yahoo Finance</w:t>
            </w:r>
          </w:p>
        </w:tc>
        <w:tc>
          <w:tcPr>
            <w:tcW w:type="dxa" w:w="14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18 May 26</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99.10</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99.35</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98.95</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99.29</w:t>
            </w:r>
          </w:p>
        </w:tc>
        <w:tc>
          <w:tcPr>
            <w:tcW w:type="dxa" w:w="16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ICE / Yahoo Finance</w:t>
            </w:r>
          </w:p>
        </w:tc>
        <w:tc>
          <w:tcPr>
            <w:tcW w:type="dxa" w:w="14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26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99.29</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99.38</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98.95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99.06</w:t>
            </w:r>
          </w:p>
        </w:tc>
        <w:tc>
          <w:tcPr>
            <w:tcW w:type="dxa" w:w="16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ICE / Investing.com</w:t>
            </w:r>
          </w:p>
        </w:tc>
        <w:tc>
          <w:tcPr>
            <w:tcW w:type="dxa" w:w="14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bl>
    <w:p>
      <w:pPr>
        <w:pStyle w:val="Heading2"/>
        <w:spacing w:after="100" w:before="180"/>
      </w:pPr>
      <w:r>
        <w:rPr>
          <w:b/>
          <w:bCs/>
          <w:color w:val="2E75B6"/>
          <w:sz w:val="24"/>
          <w:szCs w:val="24"/>
        </w:rPr>
        <w:t xml:space="preserve">§6d  DAX 40 — 5-Day OHLC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620"/>
        <w:gridCol w:w="144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Open</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High</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Low</w:t>
            </w:r>
          </w:p>
        </w:tc>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Close</w:t>
            </w:r>
          </w:p>
        </w:tc>
        <w:tc>
          <w:tcPr>
            <w:tcW w:type="dxa" w:w="162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Sources</w:t>
            </w:r>
          </w:p>
        </w:tc>
        <w:tc>
          <w:tcPr>
            <w:tcW w:type="dxa" w:w="144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Validation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13 May 26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24210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24380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24190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24355</w:t>
            </w:r>
          </w:p>
        </w:tc>
        <w:tc>
          <w:tcPr>
            <w:tcW w:type="dxa" w:w="16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Yahoo Finance / Investing.com</w:t>
            </w:r>
          </w:p>
        </w:tc>
        <w:tc>
          <w:tcPr>
            <w:tcW w:type="dxa" w:w="14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14 May 26</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24360</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24505</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24340</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24480</w:t>
            </w:r>
          </w:p>
        </w:tc>
        <w:tc>
          <w:tcPr>
            <w:tcW w:type="dxa" w:w="16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Yahoo Finance / Investing.com</w:t>
            </w:r>
          </w:p>
        </w:tc>
        <w:tc>
          <w:tcPr>
            <w:tcW w:type="dxa" w:w="14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15 May 26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24470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24520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24305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24400</w:t>
            </w:r>
          </w:p>
        </w:tc>
        <w:tc>
          <w:tcPr>
            <w:tcW w:type="dxa" w:w="16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Yahoo Finance / Investing.com</w:t>
            </w:r>
          </w:p>
        </w:tc>
        <w:tc>
          <w:tcPr>
            <w:tcW w:type="dxa" w:w="14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18 May 26</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24310</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24355</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24240</w:t>
            </w:r>
          </w:p>
        </w:tc>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24308</w:t>
            </w:r>
          </w:p>
        </w:tc>
        <w:tc>
          <w:tcPr>
            <w:tcW w:type="dxa" w:w="162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Yahoo Finance / Investing.com</w:t>
            </w:r>
          </w:p>
        </w:tc>
        <w:tc>
          <w:tcPr>
            <w:tcW w:type="dxa" w:w="144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Corroborated</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26</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24315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24495</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24300</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24479</w:t>
            </w:r>
          </w:p>
        </w:tc>
        <w:tc>
          <w:tcPr>
            <w:tcW w:type="dxa" w:w="162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Yahoo Finance / Investing.com</w:t>
            </w:r>
          </w:p>
        </w:tc>
        <w:tc>
          <w:tcPr>
            <w:tcW w:type="dxa" w:w="144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Corroborated</w:t>
            </w:r>
          </w:p>
        </w:tc>
      </w:tr>
    </w:tbl>
    <w:p>
      <w:pPr>
        <w:pStyle w:val="Heading1"/>
        <w:spacing w:after="140" w:before="280"/>
      </w:pPr>
      <w:r>
        <w:rPr>
          <w:b/>
          <w:bCs/>
          <w:color w:val="1F4E79"/>
          <w:sz w:val="28"/>
          <w:szCs w:val="28"/>
        </w:rPr>
        <w:t xml:space="preserve">§7  Charts</w:t>
      </w:r>
    </w:p>
    <w:p>
      <w:pPr>
        <w:spacing w:after="80" w:before="0"/>
        <w:jc w:val="left"/>
      </w:pPr>
      <w:r>
        <w:rPr>
          <w:i/>
          <w:iCs/>
          <w:sz w:val="22"/>
          <w:szCs w:val="22"/>
        </w:rPr>
        <w:t xml:space="preserve">Chart 1: 5-day candlestick — S&amp;P 500. Chart 2: 5-day distance-from-open (rebased Open=0). Chart 3: 25-session structure. Chart 4: VOLator comparative volatility (S&amp;P 500, VIX, USDX, DAX 40). Chart 5: Floor pivot chart with prior + current weekly candles. Charts are rendered in text form below for in-line readability; standalone PNGs are produced to the session output folder.</w:t>
      </w:r>
    </w:p>
    <w:p>
      <w:pPr>
        <w:pStyle w:val="Heading2"/>
        <w:spacing w:after="100" w:before="180"/>
      </w:pPr>
      <w:r>
        <w:rPr>
          <w:b/>
          <w:bCs/>
          <w:color w:val="2E75B6"/>
          <w:sz w:val="24"/>
          <w:szCs w:val="24"/>
        </w:rPr>
        <w:t xml:space="preserve">Chart 1 — 5-Day Candlestick (S&amp;P 500)</w:t>
      </w:r>
    </w:p>
    <w:p>
      <w:pPr>
        <w:spacing w:after="0"/>
      </w:pPr>
      <w:r>
        <w:rPr>
          <w:rFonts w:ascii="Courier New" w:cs="Courier New" w:eastAsia="Courier New" w:hAnsi="Courier New"/>
          <w:sz w:val="16"/>
          <w:szCs w:val="16"/>
        </w:rPr>
        <w:t xml:space="preserve">█ = bullish body   ▓ = bearish body   | = wick</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7517       |              </w:t>
      </w:r>
    </w:p>
    <w:p>
      <w:pPr>
        <w:spacing w:after="0"/>
      </w:pPr>
      <w:r>
        <w:rPr>
          <w:rFonts w:ascii="Courier New" w:cs="Courier New" w:eastAsia="Courier New" w:hAnsi="Courier New"/>
          <w:sz w:val="16"/>
          <w:szCs w:val="16"/>
        </w:rPr>
        <w:t xml:space="preserve">  7504  ███ ▓▓▓             </w:t>
      </w:r>
    </w:p>
    <w:p>
      <w:pPr>
        <w:spacing w:after="0"/>
      </w:pPr>
      <w:r>
        <w:rPr>
          <w:rFonts w:ascii="Courier New" w:cs="Courier New" w:eastAsia="Courier New" w:hAnsi="Courier New"/>
          <w:sz w:val="16"/>
          <w:szCs w:val="16"/>
        </w:rPr>
        <w:t xml:space="preserve">  7491  ███ ▓▓▓  |          </w:t>
      </w:r>
    </w:p>
    <w:p>
      <w:pPr>
        <w:spacing w:after="0"/>
      </w:pPr>
      <w:r>
        <w:rPr>
          <w:rFonts w:ascii="Courier New" w:cs="Courier New" w:eastAsia="Courier New" w:hAnsi="Courier New"/>
          <w:sz w:val="16"/>
          <w:szCs w:val="16"/>
        </w:rPr>
        <w:t xml:space="preserve">  7478  ███  |  ▓▓▓         </w:t>
      </w:r>
    </w:p>
    <w:p>
      <w:pPr>
        <w:spacing w:after="0"/>
      </w:pPr>
      <w:r>
        <w:rPr>
          <w:rFonts w:ascii="Courier New" w:cs="Courier New" w:eastAsia="Courier New" w:hAnsi="Courier New"/>
          <w:sz w:val="16"/>
          <w:szCs w:val="16"/>
        </w:rPr>
        <w:t xml:space="preserve">  7466  ███  |  ▓▓▓         </w:t>
      </w:r>
    </w:p>
    <w:p>
      <w:pPr>
        <w:spacing w:after="0"/>
      </w:pPr>
      <w:r>
        <w:rPr>
          <w:rFonts w:ascii="Courier New" w:cs="Courier New" w:eastAsia="Courier New" w:hAnsi="Courier New"/>
          <w:sz w:val="16"/>
          <w:szCs w:val="16"/>
        </w:rPr>
        <w:t xml:space="preserve">  7453  ███     ▓▓▓         </w:t>
      </w:r>
    </w:p>
    <w:p>
      <w:pPr>
        <w:spacing w:after="0"/>
      </w:pPr>
      <w:r>
        <w:rPr>
          <w:rFonts w:ascii="Courier New" w:cs="Courier New" w:eastAsia="Courier New" w:hAnsi="Courier New"/>
          <w:sz w:val="16"/>
          <w:szCs w:val="16"/>
        </w:rPr>
        <w:t xml:space="preserve">  7440  ███     ▓▓▓         </w:t>
      </w:r>
    </w:p>
    <w:p>
      <w:pPr>
        <w:spacing w:after="0"/>
      </w:pPr>
      <w:r>
        <w:rPr>
          <w:rFonts w:ascii="Courier New" w:cs="Courier New" w:eastAsia="Courier New" w:hAnsi="Courier New"/>
          <w:sz w:val="16"/>
          <w:szCs w:val="16"/>
        </w:rPr>
        <w:t xml:space="preserve">  7427   |      ▓▓▓         </w:t>
      </w:r>
    </w:p>
    <w:p>
      <w:pPr>
        <w:spacing w:after="0"/>
      </w:pPr>
      <w:r>
        <w:rPr>
          <w:rFonts w:ascii="Courier New" w:cs="Courier New" w:eastAsia="Courier New" w:hAnsi="Courier New"/>
          <w:sz w:val="16"/>
          <w:szCs w:val="16"/>
        </w:rPr>
        <w:t xml:space="preserve">  7414          ▓▓▓  |      </w:t>
      </w:r>
    </w:p>
    <w:p>
      <w:pPr>
        <w:spacing w:after="0"/>
      </w:pPr>
      <w:r>
        <w:rPr>
          <w:rFonts w:ascii="Courier New" w:cs="Courier New" w:eastAsia="Courier New" w:hAnsi="Courier New"/>
          <w:sz w:val="16"/>
          <w:szCs w:val="16"/>
        </w:rPr>
        <w:t xml:space="preserve">  7401           |  ███ ▓▓▓ </w:t>
      </w:r>
    </w:p>
    <w:p>
      <w:pPr>
        <w:spacing w:after="0"/>
      </w:pPr>
      <w:r>
        <w:rPr>
          <w:rFonts w:ascii="Courier New" w:cs="Courier New" w:eastAsia="Courier New" w:hAnsi="Courier New"/>
          <w:sz w:val="16"/>
          <w:szCs w:val="16"/>
        </w:rPr>
        <w:t xml:space="preserve">  7388           |   |  ▓▓▓ </w:t>
      </w:r>
    </w:p>
    <w:p>
      <w:pPr>
        <w:spacing w:after="0"/>
      </w:pPr>
      <w:r>
        <w:rPr>
          <w:rFonts w:ascii="Courier New" w:cs="Courier New" w:eastAsia="Courier New" w:hAnsi="Courier New"/>
          <w:sz w:val="16"/>
          <w:szCs w:val="16"/>
        </w:rPr>
        <w:t xml:space="preserve">  7375                  ▓▓▓ </w:t>
      </w:r>
    </w:p>
    <w:p>
      <w:pPr>
        <w:spacing w:after="0"/>
      </w:pPr>
      <w:r>
        <w:rPr>
          <w:rFonts w:ascii="Courier New" w:cs="Courier New" w:eastAsia="Courier New" w:hAnsi="Courier New"/>
          <w:sz w:val="16"/>
          <w:szCs w:val="16"/>
        </w:rPr>
        <w:t xml:space="preserve">  7362                  ▓▓▓ </w:t>
      </w:r>
    </w:p>
    <w:p>
      <w:pPr>
        <w:spacing w:after="0"/>
      </w:pPr>
      <w:r>
        <w:rPr>
          <w:rFonts w:ascii="Courier New" w:cs="Courier New" w:eastAsia="Courier New" w:hAnsi="Courier New"/>
          <w:sz w:val="16"/>
          <w:szCs w:val="16"/>
        </w:rPr>
        <w:t xml:space="preserve">  7350                  ▓▓▓ </w:t>
      </w:r>
    </w:p>
    <w:p>
      <w:pPr>
        <w:spacing w:after="0"/>
      </w:pPr>
      <w:r>
        <w:rPr>
          <w:rFonts w:ascii="Courier New" w:cs="Courier New" w:eastAsia="Courier New" w:hAnsi="Courier New"/>
          <w:sz w:val="16"/>
          <w:szCs w:val="16"/>
        </w:rPr>
        <w:t xml:space="preserve">          13  14  15  18  19</w:t>
      </w:r>
    </w:p>
    <w:p>
      <w:pPr>
        <w:spacing w:after="80" w:before="0"/>
        <w:jc w:val="left"/>
      </w:pPr>
      <w:r>
        <w:rPr>
          <w:sz w:val="22"/>
          <w:szCs w:val="22"/>
        </w:rPr>
        <w:t xml:space="preserve"/>
      </w:r>
    </w:p>
    <w:p>
      <w:pPr>
        <w:pStyle w:val="Heading2"/>
        <w:spacing w:after="100" w:before="180"/>
      </w:pPr>
      <w:r>
        <w:rPr>
          <w:b/>
          <w:bCs/>
          <w:color w:val="2E75B6"/>
          <w:sz w:val="24"/>
          <w:szCs w:val="24"/>
        </w:rPr>
        <w:t xml:space="preserve">Chart 2 — Distance From 5-Day Open (Open=0)</w:t>
      </w:r>
    </w:p>
    <w:p>
      <w:pPr>
        <w:spacing w:after="0"/>
      </w:pPr>
      <w:r>
        <w:rPr>
          <w:rFonts w:ascii="Courier New" w:cs="Courier New" w:eastAsia="Courier New" w:hAnsi="Courier New"/>
          <w:sz w:val="16"/>
          <w:szCs w:val="16"/>
        </w:rPr>
        <w:t xml:space="preserve">Rebased: Day-1 open = 0  (axis in index points)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77       |              </w:t>
      </w:r>
    </w:p>
    <w:p>
      <w:pPr>
        <w:spacing w:after="0"/>
      </w:pPr>
      <w:r>
        <w:rPr>
          <w:rFonts w:ascii="Courier New" w:cs="Courier New" w:eastAsia="Courier New" w:hAnsi="Courier New"/>
          <w:sz w:val="16"/>
          <w:szCs w:val="16"/>
        </w:rPr>
        <w:t xml:space="preserve">    64  ███ ▓▓▓             </w:t>
      </w:r>
    </w:p>
    <w:p>
      <w:pPr>
        <w:spacing w:after="0"/>
      </w:pPr>
      <w:r>
        <w:rPr>
          <w:rFonts w:ascii="Courier New" w:cs="Courier New" w:eastAsia="Courier New" w:hAnsi="Courier New"/>
          <w:sz w:val="16"/>
          <w:szCs w:val="16"/>
        </w:rPr>
        <w:t xml:space="preserve">    51  ███ ▓▓▓  |          </w:t>
      </w:r>
    </w:p>
    <w:p>
      <w:pPr>
        <w:spacing w:after="0"/>
      </w:pPr>
      <w:r>
        <w:rPr>
          <w:rFonts w:ascii="Courier New" w:cs="Courier New" w:eastAsia="Courier New" w:hAnsi="Courier New"/>
          <w:sz w:val="16"/>
          <w:szCs w:val="16"/>
        </w:rPr>
        <w:t xml:space="preserve">    38  ███  |  ▓▓▓         </w:t>
      </w:r>
    </w:p>
    <w:p>
      <w:pPr>
        <w:spacing w:after="0"/>
      </w:pPr>
      <w:r>
        <w:rPr>
          <w:rFonts w:ascii="Courier New" w:cs="Courier New" w:eastAsia="Courier New" w:hAnsi="Courier New"/>
          <w:sz w:val="16"/>
          <w:szCs w:val="16"/>
        </w:rPr>
        <w:t xml:space="preserve">    25  ███  |  ▓▓▓         </w:t>
      </w:r>
    </w:p>
    <w:p>
      <w:pPr>
        <w:spacing w:after="0"/>
      </w:pPr>
      <w:r>
        <w:rPr>
          <w:rFonts w:ascii="Courier New" w:cs="Courier New" w:eastAsia="Courier New" w:hAnsi="Courier New"/>
          <w:sz w:val="16"/>
          <w:szCs w:val="16"/>
        </w:rPr>
        <w:t xml:space="preserve">    13  ███     ▓▓▓         </w:t>
      </w:r>
    </w:p>
    <w:p>
      <w:pPr>
        <w:spacing w:after="0"/>
      </w:pPr>
      <w:r>
        <w:rPr>
          <w:rFonts w:ascii="Courier New" w:cs="Courier New" w:eastAsia="Courier New" w:hAnsi="Courier New"/>
          <w:sz w:val="16"/>
          <w:szCs w:val="16"/>
        </w:rPr>
        <w:t xml:space="preserve">    -0  ███     ▓▓▓         </w:t>
      </w:r>
    </w:p>
    <w:p>
      <w:pPr>
        <w:spacing w:after="0"/>
      </w:pPr>
      <w:r>
        <w:rPr>
          <w:rFonts w:ascii="Courier New" w:cs="Courier New" w:eastAsia="Courier New" w:hAnsi="Courier New"/>
          <w:sz w:val="16"/>
          <w:szCs w:val="16"/>
        </w:rPr>
        <w:t xml:space="preserve">   -13   |      ▓▓▓         </w:t>
      </w:r>
    </w:p>
    <w:p>
      <w:pPr>
        <w:spacing w:after="0"/>
      </w:pPr>
      <w:r>
        <w:rPr>
          <w:rFonts w:ascii="Courier New" w:cs="Courier New" w:eastAsia="Courier New" w:hAnsi="Courier New"/>
          <w:sz w:val="16"/>
          <w:szCs w:val="16"/>
        </w:rPr>
        <w:t xml:space="preserve">   -26          ▓▓▓  |      </w:t>
      </w:r>
    </w:p>
    <w:p>
      <w:pPr>
        <w:spacing w:after="0"/>
      </w:pPr>
      <w:r>
        <w:rPr>
          <w:rFonts w:ascii="Courier New" w:cs="Courier New" w:eastAsia="Courier New" w:hAnsi="Courier New"/>
          <w:sz w:val="16"/>
          <w:szCs w:val="16"/>
        </w:rPr>
        <w:t xml:space="preserve">   -39           |  ███ ▓▓▓ </w:t>
      </w:r>
    </w:p>
    <w:p>
      <w:pPr>
        <w:spacing w:after="0"/>
      </w:pPr>
      <w:r>
        <w:rPr>
          <w:rFonts w:ascii="Courier New" w:cs="Courier New" w:eastAsia="Courier New" w:hAnsi="Courier New"/>
          <w:sz w:val="16"/>
          <w:szCs w:val="16"/>
        </w:rPr>
        <w:t xml:space="preserve">   -52           |   |  ▓▓▓ </w:t>
      </w:r>
    </w:p>
    <w:p>
      <w:pPr>
        <w:spacing w:after="0"/>
      </w:pPr>
      <w:r>
        <w:rPr>
          <w:rFonts w:ascii="Courier New" w:cs="Courier New" w:eastAsia="Courier New" w:hAnsi="Courier New"/>
          <w:sz w:val="16"/>
          <w:szCs w:val="16"/>
        </w:rPr>
        <w:t xml:space="preserve">   -65                  ▓▓▓ </w:t>
      </w:r>
    </w:p>
    <w:p>
      <w:pPr>
        <w:spacing w:after="0"/>
      </w:pPr>
      <w:r>
        <w:rPr>
          <w:rFonts w:ascii="Courier New" w:cs="Courier New" w:eastAsia="Courier New" w:hAnsi="Courier New"/>
          <w:sz w:val="16"/>
          <w:szCs w:val="16"/>
        </w:rPr>
        <w:t xml:space="preserve">   -78                  ▓▓▓ </w:t>
      </w:r>
    </w:p>
    <w:p>
      <w:pPr>
        <w:spacing w:after="0"/>
      </w:pPr>
      <w:r>
        <w:rPr>
          <w:rFonts w:ascii="Courier New" w:cs="Courier New" w:eastAsia="Courier New" w:hAnsi="Courier New"/>
          <w:sz w:val="16"/>
          <w:szCs w:val="16"/>
        </w:rPr>
        <w:t xml:space="preserve">   -91                  ▓▓▓ </w:t>
      </w:r>
    </w:p>
    <w:p>
      <w:pPr>
        <w:spacing w:after="0"/>
      </w:pPr>
      <w:r>
        <w:rPr>
          <w:rFonts w:ascii="Courier New" w:cs="Courier New" w:eastAsia="Courier New" w:hAnsi="Courier New"/>
          <w:sz w:val="16"/>
          <w:szCs w:val="16"/>
        </w:rPr>
        <w:t xml:space="preserve">          13  14  15  18  19</w:t>
      </w:r>
    </w:p>
    <w:p>
      <w:pPr>
        <w:spacing w:after="80" w:before="0"/>
        <w:jc w:val="left"/>
      </w:pPr>
      <w:r>
        <w:rPr>
          <w:sz w:val="22"/>
          <w:szCs w:val="22"/>
        </w:rPr>
        <w:t xml:space="preserve"/>
      </w:r>
    </w:p>
    <w:p>
      <w:pPr>
        <w:pStyle w:val="Heading2"/>
        <w:spacing w:after="100" w:before="180"/>
      </w:pPr>
      <w:r>
        <w:rPr>
          <w:b/>
          <w:bCs/>
          <w:color w:val="2E75B6"/>
          <w:sz w:val="24"/>
          <w:szCs w:val="24"/>
        </w:rPr>
        <w:t xml:space="preserve">Chart 3 — 25-Session Structure (Schematic)</w:t>
      </w:r>
    </w:p>
    <w:p>
      <w:pPr>
        <w:spacing w:after="80" w:before="0"/>
        <w:jc w:val="left"/>
      </w:pPr>
      <w:r>
        <w:rPr>
          <w:i/>
          <w:iCs/>
          <w:sz w:val="22"/>
          <w:szCs w:val="22"/>
        </w:rPr>
        <w:t xml:space="preserve">Late-April low at 7,046.55 (23 Apr) → first cross of 7,000 closing milestone on 15 Apr → rapid recovery through early May → first close above 7,500 on 13 May (7,501.24) → all-time intraday high 7,517.12 on 14 May → three-session pullback to 7,353.61 (19 May). Approximate session high/low envelope is rising; the slope of the 25-day mean is positive at ~+12 pts/session.</w:t>
      </w:r>
    </w:p>
    <w:p>
      <w:pPr>
        <w:spacing w:after="80" w:before="0"/>
        <w:jc w:val="left"/>
      </w:pPr>
      <w:r>
        <w:rPr>
          <w:i/>
          <w:iCs/>
          <w:sz w:val="22"/>
          <w:szCs w:val="22"/>
        </w:rPr>
        <w:t xml:space="preserve">Structure label: Uptrend in first material pullback. 25-day range 7,046.55 → 7,517.12; current close at the 18.3% retracement of that move.</w:t>
      </w:r>
    </w:p>
    <w:p>
      <w:pPr>
        <w:pStyle w:val="Heading2"/>
        <w:spacing w:after="100" w:before="180"/>
      </w:pPr>
      <w:r>
        <w:rPr>
          <w:b/>
          <w:bCs/>
          <w:color w:val="2E75B6"/>
          <w:sz w:val="24"/>
          <w:szCs w:val="24"/>
        </w:rPr>
        <w:t xml:space="preserve">Chart 4 — VOLator Comparative Volatility (5-Day, Scaled −1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9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Instrument</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Day −4</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Day −3</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Day −2</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Day −1</w:t>
            </w:r>
          </w:p>
        </w:tc>
        <w:tc>
          <w:tcPr>
            <w:tcW w:type="dxa" w:w="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Today</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S&amp;P 500 (ATR-based)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+0.10</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+0.22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+0.55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+0.48</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+0.62</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VIX</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-0.20</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-0.10</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+0.18</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+0.05</w:t>
            </w:r>
          </w:p>
        </w:tc>
        <w:tc>
          <w:tcPr>
            <w:tcW w:type="dxa" w:w="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+0.34</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Dollar Index</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+0.05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+0.08</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+0.12</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+0.15</w:t>
            </w:r>
          </w:p>
        </w:tc>
        <w:tc>
          <w:tcPr>
            <w:tcW w:type="dxa" w:w="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+0.10</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DAX 40</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+0.05</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+0.12</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+0.18</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+0.12</w:t>
            </w:r>
          </w:p>
        </w:tc>
        <w:tc>
          <w:tcPr>
            <w:tcW w:type="dxa" w:w="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+0.20</w:t>
            </w:r>
          </w:p>
        </w:tc>
      </w:tr>
    </w:tbl>
    <w:p>
      <w:pPr>
        <w:spacing w:after="80" w:before="0"/>
        <w:jc w:val="left"/>
      </w:pPr>
      <w:r>
        <w:rPr>
          <w:i/>
          <w:iCs/>
          <w:sz w:val="22"/>
          <w:szCs w:val="22"/>
        </w:rPr>
        <w:t xml:space="preserve">Volatility is expanding across S&amp;P 500, VIX, and DAX 40 — the classic pre-NVIDIA-earnings vol pickup. USDX vol is mid-range and slope flattening. No instrument is at the −1/+1 extremes; the regime is 'expanding from low-to-mid' rather than 'stressed'.</w:t>
      </w:r>
    </w:p>
    <w:p>
      <w:pPr>
        <w:pStyle w:val="Heading2"/>
        <w:spacing w:after="100" w:before="180"/>
      </w:pPr>
      <w:r>
        <w:rPr>
          <w:b/>
          <w:bCs/>
          <w:color w:val="2E75B6"/>
          <w:sz w:val="24"/>
          <w:szCs w:val="24"/>
        </w:rPr>
        <w:t xml:space="preserve">Chart 5 — Floor Pivot Chart (Weekly, Prior + Current Candle)</w:t>
      </w:r>
    </w:p>
    <w:p>
      <w:pPr>
        <w:spacing w:after="80" w:before="0"/>
        <w:jc w:val="left"/>
      </w:pPr>
      <w:r>
        <w:rPr>
          <w:i/>
          <w:iCs/>
          <w:sz w:val="22"/>
          <w:szCs w:val="22"/>
        </w:rPr>
        <w:t xml:space="preserve">Prior weekly candle (W/E 15 May): Open 7,440.10 · High 7,517.12 · Low 7,385.40 · Close 7,408.50. Current weekly candle (in progress, 18-19 May): Open 7,402.80 · High 7,415.20 · Low 7,349.50 · Last 7,353.61. Active weekly pivot: P=7437.01. Above: R1=7488.61, R1.5=7528.67, R2=7568.73, R3=7620.33. Below: S1=7356.89, S1.5=7331.09, S2=7305.29, S3=7225.17.</w:t>
      </w:r>
    </w:p>
    <w:p>
      <w:pPr>
        <w:pStyle w:val="Heading1"/>
        <w:spacing w:after="140" w:before="280"/>
      </w:pPr>
      <w:r>
        <w:rPr>
          <w:b/>
          <w:bCs/>
          <w:color w:val="1F4E79"/>
          <w:sz w:val="28"/>
          <w:szCs w:val="28"/>
        </w:rPr>
        <w:t xml:space="preserve">§8  Short-Term Technical Analysis</w:t>
      </w:r>
    </w:p>
    <w:p>
      <w:pPr>
        <w:pStyle w:val="Heading2"/>
        <w:spacing w:after="100" w:before="180"/>
      </w:pPr>
      <w:r>
        <w:rPr>
          <w:b/>
          <w:bCs/>
          <w:color w:val="2E75B6"/>
          <w:sz w:val="24"/>
          <w:szCs w:val="24"/>
        </w:rPr>
        <w:t xml:space="preserve">Session-by-session commentary — S&amp;P 500</w:t>
      </w:r>
    </w:p>
    <w:p>
      <w:pPr>
        <w:pStyle w:val="ListParagraph"/>
        <w:numPr>
          <w:ilvl w:val="0"/>
          <w:numId w:val="2"/>
        </w:numPr>
        <w:spacing w:after="60"/>
      </w:pPr>
      <w:r>
        <w:rPr>
          <w:sz w:val="22"/>
          <w:szCs w:val="22"/>
        </w:rPr>
        <w:t xml:space="preserve">13 May (Wed) — Strong bullish marubozu close (see §6). Body ~85% of range, minimal upper wick. RSI2 88.4 confirms momentum. Close at 95% of range. Reading: trend-continuation breakout, first close above 7,500.</w:t>
      </w:r>
    </w:p>
    <w:p>
      <w:pPr>
        <w:pStyle w:val="ListParagraph"/>
        <w:numPr>
          <w:ilvl w:val="0"/>
          <w:numId w:val="2"/>
        </w:numPr>
        <w:spacing w:after="60"/>
      </w:pPr>
      <w:r>
        <w:rPr>
          <w:sz w:val="22"/>
          <w:szCs w:val="22"/>
        </w:rPr>
        <w:t xml:space="preserve">14 May (Thu) — Indecision doji-like body after the breakout. Range expanded to 47 points but the body is small (close-open = −16 pts) and the upper wick rejected from the new all-time high 7,517.12. RSI2 71.2 — momentum cooling but not negative. Reading: distribution at the top.</w:t>
      </w:r>
    </w:p>
    <w:p>
      <w:pPr>
        <w:pStyle w:val="ListParagraph"/>
        <w:numPr>
          <w:ilvl w:val="0"/>
          <w:numId w:val="2"/>
        </w:numPr>
        <w:spacing w:after="60"/>
      </w:pPr>
      <w:r>
        <w:rPr>
          <w:sz w:val="22"/>
          <w:szCs w:val="22"/>
        </w:rPr>
        <w:t xml:space="preserve">15 May (Fri) — Bearish wide-range engulfing-style body, body ~75% of range, close at 22% of range. RSI2 28.6 — momentum has flipped. Reading: confirmed short-term top, sell signal across multiple frameworks.</w:t>
      </w:r>
    </w:p>
    <w:p>
      <w:pPr>
        <w:pStyle w:val="ListParagraph"/>
        <w:numPr>
          <w:ilvl w:val="0"/>
          <w:numId w:val="2"/>
        </w:numPr>
        <w:spacing w:after="60"/>
      </w:pPr>
      <w:r>
        <w:rPr>
          <w:sz w:val="22"/>
          <w:szCs w:val="22"/>
        </w:rPr>
        <w:t xml:space="preserve">18 May (Mon) — Bearish narrow-range continuation. Close 7,403.05 within Friday's range; small body, lower-half close at 59% of range. RSI2 22.4. Reading: orderly distribution rather than capitulation; supply still in control.</w:t>
      </w:r>
    </w:p>
    <w:p>
      <w:pPr>
        <w:pStyle w:val="ListParagraph"/>
        <w:numPr>
          <w:ilvl w:val="0"/>
          <w:numId w:val="2"/>
        </w:numPr>
        <w:spacing w:after="60"/>
      </w:pPr>
      <w:r>
        <w:rPr>
          <w:sz w:val="22"/>
          <w:szCs w:val="22"/>
        </w:rPr>
        <w:t xml:space="preserve">19 May (Tue) — Bearish wide-range third-down close 7,353.61. Body ~80% of range, close at 7% (near low). RSI2 9.8 — deeply oversold. Reading: bearish continuation in late stages; oversold bounce risk into NVIDIA earnings is material.</w:t>
      </w:r>
    </w:p>
    <w:p>
      <w:pPr>
        <w:spacing w:after="80" w:before="0"/>
        <w:jc w:val="left"/>
      </w:pPr>
      <w:r>
        <w:rPr>
          <w:b/>
          <w:bCs/>
          <w:sz w:val="22"/>
          <w:szCs w:val="22"/>
        </w:rPr>
        <w:t xml:space="preserve">Sequence assessment: </w:t>
      </w:r>
      <w:r>
        <w:rPr>
          <w:sz w:val="22"/>
          <w:szCs w:val="22"/>
        </w:rPr>
        <w:t xml:space="preserve">Exhaustion — reversal risk. The first two sessions printed a top (breakout + indecision doji at the high), the next three printed bearish continuation with progressively lower closes and a 3-session string of falling lows. RSI2 at 9.8 places the sequence in oversold territory; with NVIDIA earnings on Wednesday 20 May, a mechanical bounce is plausible without changing the structural conclusion.</w:t>
      </w:r>
    </w:p>
    <w:p>
      <w:pPr>
        <w:spacing w:after="80" w:before="0"/>
        <w:jc w:val="left"/>
      </w:pPr>
      <w:r>
        <w:rPr>
          <w:b/>
          <w:bCs/>
          <w:sz w:val="22"/>
          <w:szCs w:val="22"/>
        </w:rPr>
        <w:t xml:space="preserve">Nearest support: </w:t>
      </w:r>
      <w:r>
        <w:rPr>
          <w:sz w:val="22"/>
          <w:szCs w:val="22"/>
        </w:rPr>
        <w:t xml:space="preserve">7,349.50 (19 May session low), then 7,266.87 (1-month average level cited by Investing.com), 7,200 round-figure psychological.</w:t>
      </w:r>
    </w:p>
    <w:p>
      <w:pPr>
        <w:spacing w:after="80" w:before="0"/>
        <w:jc w:val="left"/>
      </w:pPr>
      <w:r>
        <w:rPr>
          <w:b/>
          <w:bCs/>
          <w:sz w:val="22"/>
          <w:szCs w:val="22"/>
        </w:rPr>
        <w:t xml:space="preserve">Nearest resistance: </w:t>
      </w:r>
      <w:r>
        <w:rPr>
          <w:sz w:val="22"/>
          <w:szCs w:val="22"/>
        </w:rPr>
        <w:t xml:space="preserve">7,402.90 (19 May high) / 7,408.50 (Friday close confluence), 7,415–7,440 (Monday range top + Wednesday open), 7,488 (14 May close).</w:t>
      </w:r>
    </w:p>
    <w:p>
      <w:pPr>
        <w:spacing w:after="80" w:before="0"/>
        <w:jc w:val="left"/>
      </w:pPr>
      <w:r>
        <w:rPr>
          <w:b/>
          <w:bCs/>
          <w:sz w:val="22"/>
          <w:szCs w:val="22"/>
        </w:rPr>
        <w:t xml:space="preserve">Judgement label: </w:t>
      </w:r>
      <w:r>
        <w:rPr>
          <w:b w:val="false"/>
          <w:bCs w:val="false"/>
          <w:i w:val="false"/>
          <w:iCs w:val="false"/>
          <w:sz w:val="22"/>
          <w:szCs w:val="22"/>
        </w:rPr>
        <w:t xml:space="preserve">Exhaustion — reversal risk. </w:t>
      </w:r>
      <w:r>
        <w:rPr>
          <w:sz w:val="22"/>
          <w:szCs w:val="22"/>
        </w:rPr>
        <w:t xml:space="preserve">Consistent with §9 medium-term Trending-bullish regime in pullback — short-term bearish exhaustion does not contradict a still-intact uptrend.</w:t>
      </w:r>
    </w:p>
    <w:p>
      <w:pPr>
        <w:pStyle w:val="Heading1"/>
        <w:spacing w:after="140" w:before="280"/>
      </w:pPr>
      <w:r>
        <w:rPr>
          <w:b/>
          <w:bCs/>
          <w:color w:val="1F4E79"/>
          <w:sz w:val="28"/>
          <w:szCs w:val="28"/>
        </w:rPr>
        <w:t xml:space="preserve">§9  Medium-Term Regime &amp; VOLator</w:t>
      </w:r>
    </w:p>
    <w:p>
      <w:pPr>
        <w:spacing w:after="80" w:before="0"/>
        <w:jc w:val="left"/>
      </w:pPr>
      <w:r>
        <w:rPr>
          <w:b/>
          <w:bCs/>
          <w:sz w:val="22"/>
          <w:szCs w:val="22"/>
        </w:rPr>
        <w:t xml:space="preserve">Regime classification: </w:t>
      </w:r>
      <w:r>
        <w:rPr>
          <w:sz w:val="22"/>
          <w:szCs w:val="22"/>
        </w:rPr>
        <w:t xml:space="preserve">Trending — bullish in first material pullback. Supporting metrics: overlap ratio 0.32 (sessions overlap modestly; non-ranging), directional persistence 0.71 (highs and lows have been making new local highs/lows in sequence over the 25-day window), VOLator slope positive over last 5 sessions (+0.62 today vs. +0.10 five days ago), median RSI2 = 54 across the 25-day window, range position bias firmly in upper half (current close at 65% of 7,046–7,517 range — though only just; if 7,300 breaks, range position flips to mid-zone).</w:t>
      </w:r>
    </w:p>
    <w:p>
      <w:pPr>
        <w:spacing w:after="80" w:before="0"/>
        <w:jc w:val="left"/>
      </w:pPr>
      <w:r>
        <w:rPr>
          <w:b/>
          <w:bCs/>
          <w:sz w:val="22"/>
          <w:szCs w:val="22"/>
        </w:rPr>
        <w:t xml:space="preserve">Bias: </w:t>
      </w:r>
      <w:r>
        <w:rPr>
          <w:sz w:val="22"/>
          <w:szCs w:val="22"/>
        </w:rPr>
        <w:t xml:space="preserve">Bullish (medium-term).</w:t>
      </w:r>
    </w:p>
    <w:p>
      <w:pPr>
        <w:spacing w:after="80" w:before="0"/>
        <w:jc w:val="left"/>
      </w:pPr>
      <w:r>
        <w:rPr>
          <w:b/>
          <w:bCs/>
          <w:sz w:val="22"/>
          <w:szCs w:val="22"/>
        </w:rPr>
        <w:t xml:space="preserve">VOLator readings (scaled −1 to +1): </w:t>
      </w:r>
      <w:r>
        <w:rPr>
          <w:sz w:val="22"/>
          <w:szCs w:val="22"/>
        </w:rPr>
        <w:t xml:space="preserve">S&amp;P 500 +0.62 (above midpoint, expanding); VIX +0.34 (above midpoint, expanding); USDX +0.10 (just above midpoint, slope flattening); DAX 40 +0.20 (above midpoint, expanding modestly). All four are above the 0 midpoint — synchronised vol expansion.</w:t>
      </w:r>
    </w:p>
    <w:p>
      <w:pPr>
        <w:spacing w:after="80" w:before="0"/>
        <w:jc w:val="left"/>
      </w:pPr>
      <w:r>
        <w:rPr>
          <w:b/>
          <w:bCs/>
          <w:sz w:val="22"/>
          <w:szCs w:val="22"/>
        </w:rPr>
        <w:t xml:space="preserve">Preferred trade protocol: </w:t>
      </w:r>
      <w:r>
        <w:rPr>
          <w:sz w:val="22"/>
          <w:szCs w:val="22"/>
        </w:rPr>
        <w:t xml:space="preserve">Short-term oversold bounce inside a still-bullish medium-term trend. Trade 3A (momentum-pullback long) is the natural expression; mean-reversion long at fib confluence. A conflicting Trade 1 SHORT signal from the direction score (score is mildly negative on 5-day weakness but offset by trending-bullish regime) is constrained by the conviction threshold.</w:t>
      </w:r>
    </w:p>
    <w:p>
      <w:pPr>
        <w:spacing w:after="80" w:before="0"/>
        <w:jc w:val="left"/>
      </w:pPr>
      <w:r>
        <w:rPr>
          <w:b/>
          <w:bCs/>
          <w:sz w:val="22"/>
          <w:szCs w:val="22"/>
        </w:rPr>
        <w:t xml:space="preserve">Kaufman confirmation: </w:t>
      </w:r>
      <w:r>
        <w:rPr>
          <w:sz w:val="22"/>
          <w:szCs w:val="22"/>
        </w:rPr>
        <w:t xml:space="preserve">KER (13-period, 3-EMA smoother) = 0.21 — above the 0.13 trending threshold but rolling over from a peak of 0.34 on 13 May. Classification: Trending-bullish (weakening). Agrees with the regime classification. Precedence rule does not need invoking.</w:t>
      </w:r>
    </w:p>
    <w:p>
      <w:pPr>
        <w:pStyle w:val="Heading1"/>
        <w:spacing w:after="140" w:before="280"/>
      </w:pPr>
      <w:r>
        <w:rPr>
          <w:b/>
          <w:bCs/>
          <w:color w:val="1F4E79"/>
          <w:sz w:val="28"/>
          <w:szCs w:val="28"/>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200"/>
        <w:gridCol w:w="2400"/>
        <w:gridCol w:w="1860"/>
      </w:tblGrid>
      <w:tr>
        <w:trPr>
          <w:tblHeader/>
        </w:trPr>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Counter</w:t>
            </w:r>
          </w:p>
        </w:tc>
        <w:tc>
          <w:tcPr>
            <w:tcW w:type="dxa" w:w="11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Direction</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Mechanism</w:t>
            </w:r>
          </w:p>
        </w:tc>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Read</w:t>
            </w:r>
          </w:p>
        </w:tc>
        <w:tc>
          <w:tcPr>
            <w:tcW w:type="dxa" w:w="18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Confirm / Contradict</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Dollar Index (USDX)</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Mildly up</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Stronger USD compresses multinational earnings (~40% of S&amp;P 500 revenue is foreign-sourced).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USDX 99.06, +0.5% on the week. The grind higher is a quiet headwind for the S&amp;P 500 but is not at stress levels (52-week range 95.55-100.90).</w:t>
            </w:r>
          </w:p>
        </w:tc>
        <w:tc>
          <w:tcPr>
            <w:tcW w:type="dxa" w:w="18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Mild contradiction to bullish read — but small magnitude.</w:t>
            </w:r>
          </w:p>
        </w:tc>
      </w:tr>
      <w:tr>
        <w:tc>
          <w:tcPr>
            <w:tcW w:type="dxa" w:w="18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VIX</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Up</w:t>
            </w:r>
          </w:p>
        </w:tc>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Implied vol bid as equities fall — classic inverse correlation.</w:t>
            </w:r>
          </w:p>
        </w:tc>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VIX rose from 17.05 to 18.61 over the 5 sessions; still below the 20 elevated-risk threshold and well below 30 stressed level.</w:t>
            </w:r>
          </w:p>
        </w:tc>
        <w:tc>
          <w:tcPr>
            <w:tcW w:type="dxa" w:w="18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Confirms short-term bearish read; does NOT confirm structural risk-off.</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DAX 40</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Up</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Common-factor global-risk gauge. Divergence indicates US-specific weakness (rates / tech) rather than global de-risking.</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DAX 40 closed 19 May at 24,479 (+0.7% on day), bouncing from the mid-week dip. Notable bullish divergence vs. S&amp;P 500.</w:t>
            </w:r>
          </w:p>
        </w:tc>
        <w:tc>
          <w:tcPr>
            <w:tcW w:type="dxa" w:w="18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Contradicts the bearish read — supports the 'localised US tech and rates story' interpretation.</w:t>
            </w:r>
          </w:p>
        </w:tc>
      </w:tr>
    </w:tbl>
    <w:p>
      <w:pPr>
        <w:spacing w:after="80" w:before="0"/>
        <w:jc w:val="left"/>
      </w:pPr>
      <w:r>
        <w:rPr>
          <w:sz w:val="22"/>
          <w:szCs w:val="22"/>
        </w:rPr>
        <w:t xml:space="preserve">Cross-asset summary: counter set is mixed. The DAX divergence is the most informative — when European equities advance while US equities sell on rates / tech, history suggests the US weakness is the corrective leg of an uptrend rather than the start of a synchronous bear move. VIX confirms the short-term bearish read but its low absolute level argues against capitulation positioning.</w:t>
      </w:r>
    </w:p>
    <w:p>
      <w:pPr>
        <w:pStyle w:val="Heading1"/>
        <w:spacing w:after="140" w:before="280"/>
      </w:pPr>
      <w:r>
        <w:rPr>
          <w:b/>
          <w:bCs/>
          <w:color w:val="1F4E79"/>
          <w:sz w:val="28"/>
          <w:szCs w:val="28"/>
        </w:rPr>
        <w:t xml:space="preserve">§11  Floor Pivot Analysis</w:t>
      </w:r>
    </w:p>
    <w:p>
      <w:pPr>
        <w:pStyle w:val="Heading2"/>
        <w:spacing w:after="100" w:before="180"/>
      </w:pPr>
      <w:r>
        <w:rPr>
          <w:b/>
          <w:bCs/>
          <w:color w:val="2E75B6"/>
          <w:sz w:val="24"/>
          <w:szCs w:val="24"/>
        </w:rPr>
        <w:t xml:space="preserve">§11a  Daily Pivots (from 19 May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1500"/>
        <w:gridCol w:w="19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Level</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Price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Level</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Price</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7441.24</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7281.04</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3 levels above/below</w:t>
            </w:r>
          </w:p>
        </w:tc>
      </w:tr>
      <w:tr>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R2</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7422.07</w:t>
            </w:r>
          </w:p>
        </w:tc>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S2</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7315.27</w:t>
            </w:r>
          </w:p>
        </w:tc>
        <w:tc>
          <w:tcPr>
            <w:tcW w:type="dxa" w:w="1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R1.5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7404.95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S1.5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7324.85</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
            </w:r>
          </w:p>
        </w:tc>
      </w:tr>
      <w:tr>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R1</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7387.84</w:t>
            </w:r>
          </w:p>
        </w:tc>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S1</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7334.44</w:t>
            </w:r>
          </w:p>
        </w:tc>
        <w:tc>
          <w:tcPr>
            <w:tcW w:type="dxa" w:w="1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P (pivot)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7368.67</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Daily pivot anchor</w:t>
            </w:r>
          </w:p>
        </w:tc>
      </w:tr>
    </w:tbl>
    <w:p>
      <w:pPr>
        <w:pStyle w:val="Heading2"/>
        <w:spacing w:after="100" w:before="180"/>
      </w:pPr>
      <w:r>
        <w:rPr>
          <w:b/>
          <w:bCs/>
          <w:color w:val="2E75B6"/>
          <w:sz w:val="24"/>
          <w:szCs w:val="24"/>
        </w:rPr>
        <w:t xml:space="preserve">§11b  Weekly Pivots (from W/E 15 May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1500"/>
        <w:gridCol w:w="19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Level</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Price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Level</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Price</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7620.33</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7225.17</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
            </w:r>
          </w:p>
        </w:tc>
      </w:tr>
      <w:tr>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R2</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7568.73</w:t>
            </w:r>
          </w:p>
        </w:tc>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S2</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7305.29</w:t>
            </w:r>
          </w:p>
        </w:tc>
        <w:tc>
          <w:tcPr>
            <w:tcW w:type="dxa" w:w="1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R1.5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7528.67</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S1.5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7331.09</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
            </w:r>
          </w:p>
        </w:tc>
      </w:tr>
      <w:tr>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R1</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7488.61</w:t>
            </w:r>
          </w:p>
        </w:tc>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S1</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7356.89</w:t>
            </w:r>
          </w:p>
        </w:tc>
        <w:tc>
          <w:tcPr>
            <w:tcW w:type="dxa" w:w="1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P (pivot)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7437.01</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Weekly pivot anchor</w:t>
            </w:r>
          </w:p>
        </w:tc>
      </w:tr>
    </w:tbl>
    <w:p>
      <w:pPr>
        <w:pStyle w:val="Heading2"/>
        <w:spacing w:after="100" w:before="180"/>
      </w:pPr>
      <w:r>
        <w:rPr>
          <w:b/>
          <w:bCs/>
          <w:color w:val="2E75B6"/>
          <w:sz w:val="24"/>
          <w:szCs w:val="24"/>
        </w:rPr>
        <w:t xml:space="preserve">§11c  Monthly Pivots (from April 2026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1500"/>
        <w:gridCol w:w="19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Level</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Price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Level</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Price</w:t>
            </w:r>
          </w:p>
        </w:tc>
        <w:tc>
          <w:tcPr>
            <w:tcW w:type="dxa" w:w="1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7383.33</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6783.33</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Monthly pivots derived from approximate April H 7,150 / L 6,950 / C 7,100 — flagged as approximate; corroboration partial</w:t>
            </w:r>
          </w:p>
        </w:tc>
      </w:tr>
      <w:tr>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R2</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7266.67</w:t>
            </w:r>
          </w:p>
        </w:tc>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S2</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6866.67</w:t>
            </w:r>
          </w:p>
        </w:tc>
        <w:tc>
          <w:tcPr>
            <w:tcW w:type="dxa" w:w="1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R1.5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7225.00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S1.5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6925.00</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
            </w:r>
          </w:p>
        </w:tc>
      </w:tr>
      <w:tr>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R1</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7183.33</w:t>
            </w:r>
          </w:p>
        </w:tc>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S1</w:t>
            </w:r>
          </w:p>
        </w:tc>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6983.33</w:t>
            </w:r>
          </w:p>
        </w:tc>
        <w:tc>
          <w:tcPr>
            <w:tcW w:type="dxa" w:w="1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P (pivot)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7066.67</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Monthly pivot anchor</w:t>
            </w:r>
          </w:p>
        </w:tc>
      </w:tr>
    </w:tbl>
    <w:p>
      <w:pPr>
        <w:spacing w:after="80" w:before="0"/>
        <w:jc w:val="left"/>
      </w:pPr>
      <w:r>
        <w:rPr>
          <w:i/>
          <w:iCs/>
          <w:sz w:val="22"/>
          <w:szCs w:val="22"/>
        </w:rPr>
        <w:t xml:space="preserve">Pivot read: current price (7,353.61) sits between daily P (7368.67) and daily S1 (7334.44) — bearish-leaning intraday. The weekly pivot P=7437.01 is meaningful overhead resistance for any bounce. Monthly R1=7183.33 aligns with the 7,353 area — strong confluence: weekly pivot proximity + monthly R1 zone. Caveat: monthly pivots use approximate April-month H/L/C and are flagged single-source-indicative for entry purposes.</w:t>
      </w:r>
    </w:p>
    <w:p>
      <w:pPr>
        <w:pStyle w:val="Heading1"/>
        <w:spacing w:after="140" w:before="280"/>
      </w:pPr>
      <w:r>
        <w:rPr>
          <w:b/>
          <w:bCs/>
          <w:color w:val="1F4E79"/>
          <w:sz w:val="28"/>
          <w:szCs w:val="28"/>
        </w:rPr>
        <w:t xml:space="preserve">§12  Key Market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460"/>
      </w:tblGrid>
      <w:tr>
        <w:trPr>
          <w:tblHeader/>
        </w:trPr>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Factor</w:t>
            </w:r>
          </w:p>
        </w:tc>
        <w:tc>
          <w:tcPr>
            <w:tcW w:type="dxa" w:w="11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Direction</w:t>
            </w:r>
          </w:p>
        </w:tc>
        <w:tc>
          <w:tcPr>
            <w:tcW w:type="dxa" w:w="6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Detail</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Earnings / Catalysts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Mixed</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NVIDIA reports after the close 20 May — single largest catalyst of the week. Index weight ~7%. HSBC reiterated buy, target raised to $325 (from $295). Morgan Stanley reiterated OW, target $285 (from $265). Consensus expectation: beat-and-raise.</w:t>
            </w:r>
          </w:p>
        </w:tc>
      </w:tr>
      <w:tr>
        <w:tc>
          <w:tcPr>
            <w:tcW w:type="dxa" w:w="18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Rates / Monetary policy</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Headwind</w:t>
            </w:r>
          </w:p>
        </w:tc>
        <w:tc>
          <w:tcPr>
            <w:tcW w:type="dxa" w:w="64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30-year Treasury yield briefly topped 5.19% on 19 May — highest in ~19 years. 10-year touched 4.687% — highest since Jan 2025. Bank of America: Fed may need to delay cuts to H2 2027 on persistent inflation pressure. Kevin Warsh confirmed as Fed governor 11 May.</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Geopolitics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Mixed</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Iran-US tensions remain a swing factor. Trump cancelled planned strikes on Iran ahead of 19 May session — partial relief. Brent crude eased to ~$109/bbl from peaks above $111.</w:t>
            </w:r>
          </w:p>
        </w:tc>
      </w:tr>
      <w:tr>
        <w:tc>
          <w:tcPr>
            <w:tcW w:type="dxa" w:w="18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Sector dispersion</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Cautious</w:t>
            </w:r>
          </w:p>
        </w:tc>
        <w:tc>
          <w:tcPr>
            <w:tcW w:type="dxa" w:w="64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AI / semis under profit-taking after a parabolic month. NVIDIA −1.39%, Tesla, Meta lower. Defensive bid in healthcare (Amgen +1.97%, Merck +1.52%). Sector rotation rather than broad de-risking.</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Valuation</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Stretched</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Index at ~30x trailing P/E (10y avg ~25x); fwd P/E ~21x (10y avg ~19x). Bull-case finish 2026 at 7,750 (Motley Fool note); bear-case mid-7,000s on growth disappointment.</w:t>
            </w:r>
          </w:p>
        </w:tc>
      </w:tr>
      <w:tr>
        <w:tc>
          <w:tcPr>
            <w:tcW w:type="dxa" w:w="18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Positioning</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Vulnerable</w:t>
            </w:r>
          </w:p>
        </w:tc>
        <w:tc>
          <w:tcPr>
            <w:tcW w:type="dxa" w:w="64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BofA Fund Manager Survey: cash levels dropped to 3.9% of portfolios from 4.3% — triggers BofA's 'sell signal' (median 4-week loss after trigger: -1%). Speculators in Nasdaq-100 futures at largest net short since 2023 low (Wolfe).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Catalysts coming</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Material</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NVIDIA earnings (Wed 20 May), Costco earnings (later May), May FOMC minutes (released this week), 30-year yield trajectory.</w:t>
            </w:r>
          </w:p>
        </w:tc>
      </w:tr>
    </w:tbl>
    <w:p>
      <w:pPr>
        <w:pStyle w:val="Heading1"/>
        <w:spacing w:after="140" w:before="280"/>
      </w:pPr>
      <w:r>
        <w:rPr>
          <w:b/>
          <w:bCs/>
          <w:color w:val="1F4E79"/>
          <w:sz w:val="28"/>
          <w:szCs w:val="28"/>
        </w:rPr>
        <w:t xml:space="preserve">§13  Sentiment, News &amp; Calendar</w:t>
      </w:r>
    </w:p>
    <w:p>
      <w:pPr>
        <w:pStyle w:val="Heading2"/>
        <w:spacing w:after="100" w:before="180"/>
      </w:pPr>
      <w:r>
        <w:rPr>
          <w:b/>
          <w:bCs/>
          <w:color w:val="2E75B6"/>
          <w:sz w:val="24"/>
          <w:szCs w:val="24"/>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18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Source / Date</w:t>
            </w:r>
          </w:p>
        </w:tc>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Headline / Theme</w:t>
            </w:r>
          </w:p>
        </w:tc>
        <w:tc>
          <w:tcPr>
            <w:tcW w:type="dxa" w:w="2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Summary (paraphrased)</w:t>
            </w:r>
          </w:p>
        </w:tc>
        <w:tc>
          <w:tcPr>
            <w:tcW w:type="dxa" w:w="18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Sentiment</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CNBC · 19 May 26</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S&amp;P 500 third straight losing session</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Yields rising hard, 30-year briefly above 5.19% — bond-market volatility threatening the bull market.</w:t>
            </w:r>
          </w:p>
        </w:tc>
        <w:tc>
          <w:tcPr>
            <w:tcW w:type="dxa" w:w="18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Bearish</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24/7 Wall St · 19 May 26</w:t>
            </w:r>
          </w:p>
        </w:tc>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S&amp;P 500 still slipping on uncertainty</w:t>
            </w:r>
          </w:p>
        </w:tc>
        <w:tc>
          <w:tcPr>
            <w:tcW w:type="dxa" w:w="27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AI infrastructure profit-taking, NVIDIA earnings on watch, BofA flags possible 2027-onwards rate-cut delay.</w:t>
            </w:r>
          </w:p>
        </w:tc>
        <w:tc>
          <w:tcPr>
            <w:tcW w:type="dxa" w:w="18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Bearish</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Trading Economics · 19 May 26</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US Stock Market Index US500 falls 0.42%</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Heavyweight tech sector under further pressure; speculative AI infra positioning unwinding.</w:t>
            </w:r>
          </w:p>
        </w:tc>
        <w:tc>
          <w:tcPr>
            <w:tcW w:type="dxa" w:w="18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Bearish</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Motley Fool · 19 May 26</w:t>
            </w:r>
          </w:p>
        </w:tc>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S&amp;P 500 wild 2026 — where it could finish</w:t>
            </w:r>
          </w:p>
        </w:tc>
        <w:tc>
          <w:tcPr>
            <w:tcW w:type="dxa" w:w="27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Bull-case 7,750 if earnings hold near $334; bear-case mid-7,000s on earnings disappointment.</w:t>
            </w:r>
          </w:p>
        </w:tc>
        <w:tc>
          <w:tcPr>
            <w:tcW w:type="dxa" w:w="18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Neutral / mixed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CNBC · 13 May 26</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Dow recaptures 50k; S&amp;P 500 first close above 7,500</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Strong Cisco earnings and US-China meeting drove the breakout to new highs.</w:t>
            </w:r>
          </w:p>
        </w:tc>
        <w:tc>
          <w:tcPr>
            <w:tcW w:type="dxa" w:w="18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Bullish (historic)</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TheStreet · 18 May 26</w:t>
            </w:r>
          </w:p>
        </w:tc>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Markets sink to start week — 10Y yield hits 1y high</w:t>
            </w:r>
          </w:p>
        </w:tc>
        <w:tc>
          <w:tcPr>
            <w:tcW w:type="dxa" w:w="27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Pre-NVIDIA jitters, geopolitical overhang on Iran.</w:t>
            </w:r>
          </w:p>
        </w:tc>
        <w:tc>
          <w:tcPr>
            <w:tcW w:type="dxa" w:w="18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Bearish</w:t>
            </w:r>
          </w:p>
        </w:tc>
      </w:tr>
    </w:tbl>
    <w:p>
      <w:pPr>
        <w:pStyle w:val="Heading2"/>
        <w:spacing w:after="100" w:before="180"/>
      </w:pPr>
      <w:r>
        <w:rPr>
          <w:b/>
          <w:bCs/>
          <w:color w:val="2E75B6"/>
          <w:sz w:val="24"/>
          <w:szCs w:val="24"/>
        </w:rPr>
        <w:t xml:space="preserve">§13b  Aggregate sentiment</w:t>
      </w:r>
    </w:p>
    <w:p>
      <w:pPr>
        <w:spacing w:after="80" w:before="0"/>
        <w:jc w:val="left"/>
      </w:pPr>
      <w:r>
        <w:rPr>
          <w:sz w:val="22"/>
          <w:szCs w:val="22"/>
        </w:rPr>
        <w:t xml:space="preserve">Categorical: Bearish-leaning (4 of 6 directionally bearish, 1 neutral, 1 historic-bullish). Numeric tilt: −0.35 on the −1 to +1 scale — moderately bearish; not at extreme. The bearish stories cluster around rates and tech profit-taking, not recession risk; the structural narrative remains intact.</w:t>
      </w:r>
    </w:p>
    <w:p>
      <w:pPr>
        <w:pStyle w:val="Heading2"/>
        <w:spacing w:after="100" w:before="180"/>
      </w:pPr>
      <w:r>
        <w:rPr>
          <w:b/>
          <w:bCs/>
          <w:color w:val="2E75B6"/>
          <w:sz w:val="24"/>
          <w:szCs w:val="24"/>
        </w:rPr>
        <w:t xml:space="preserve">§13c  News calendar — Past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Event</w:t>
            </w:r>
          </w:p>
        </w:tc>
        <w:tc>
          <w:tcPr>
            <w:tcW w:type="dxa" w:w="50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Outcome / Note</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13 May 26 (Wed)</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Cisco earnings + US-China meeting</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Cisco beat; SPX first close above 7,500</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14 May 26 (Thu)</w:t>
            </w:r>
          </w:p>
        </w:tc>
        <w:tc>
          <w:tcPr>
            <w:tcW w:type="dxa" w:w="28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Producer / import price data</w:t>
            </w:r>
          </w:p>
        </w:tc>
        <w:tc>
          <w:tcPr>
            <w:tcW w:type="dxa" w:w="50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Import prices +3.3%, 12m export prices +8.8% (highest since Sep-22)</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15 May 26 (Fri)</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Mid-month sentiment data</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Mixed; SPX -0.91% from intraweek high</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18 May 26 (Mon)</w:t>
            </w:r>
          </w:p>
        </w:tc>
        <w:tc>
          <w:tcPr>
            <w:tcW w:type="dxa" w:w="28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10Y Treasury yield touches 1-year high</w:t>
            </w:r>
          </w:p>
        </w:tc>
        <w:tc>
          <w:tcPr>
            <w:tcW w:type="dxa" w:w="50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Rates lead the sell-off into NVDA week</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26 (Tue)</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30Y yield 5.19% briefly; Home Depot earnings beat</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Index -0.67%; defensives outperform tech</w:t>
            </w:r>
          </w:p>
        </w:tc>
      </w:tr>
    </w:tbl>
    <w:p>
      <w:pPr>
        <w:pStyle w:val="Heading2"/>
        <w:spacing w:after="100" w:before="180"/>
      </w:pPr>
      <w:r>
        <w:rPr>
          <w:b/>
          <w:bCs/>
          <w:color w:val="2E75B6"/>
          <w:sz w:val="24"/>
          <w:szCs w:val="24"/>
        </w:rPr>
        <w:t xml:space="preserve">§13d  News calendar — Coming 10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Event</w:t>
            </w:r>
          </w:p>
        </w:tc>
        <w:tc>
          <w:tcPr>
            <w:tcW w:type="dxa" w:w="50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Tier / Impact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20 May 26 (Wed)</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NVIDIA earnings (after close)</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Tier 1 — single largest near-term catalyst; potential 1-2% gap on cash open 21 May</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21 May 26 (Thu)</w:t>
            </w:r>
          </w:p>
        </w:tc>
        <w:tc>
          <w:tcPr>
            <w:tcW w:type="dxa" w:w="28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Jobless claims; FOMC minutes (preliminary release)</w:t>
            </w:r>
          </w:p>
        </w:tc>
        <w:tc>
          <w:tcPr>
            <w:tcW w:type="dxa" w:w="50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Tier 2 — rates-sensitive</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22 May 26 (Fri)</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Existing home sales</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Tier 3 — limited market impact</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27 May 26 (Tue)</w:t>
            </w:r>
          </w:p>
        </w:tc>
        <w:tc>
          <w:tcPr>
            <w:tcW w:type="dxa" w:w="28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Consumer confidence; new home sales</w:t>
            </w:r>
          </w:p>
        </w:tc>
        <w:tc>
          <w:tcPr>
            <w:tcW w:type="dxa" w:w="50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Tier 2</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28 May 26 (Wed)</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Costco earnings; selected retail earnings</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Tier 2</w:t>
            </w:r>
          </w:p>
        </w:tc>
      </w:tr>
      <w:tr>
        <w:tc>
          <w:tcPr>
            <w:tcW w:type="dxa" w:w="15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29 May 26 (Thu)</w:t>
            </w:r>
          </w:p>
        </w:tc>
        <w:tc>
          <w:tcPr>
            <w:tcW w:type="dxa" w:w="28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GDP Q1 second estimate; durable goods</w:t>
            </w:r>
          </w:p>
        </w:tc>
        <w:tc>
          <w:tcPr>
            <w:tcW w:type="dxa" w:w="50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Tier 2</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30 May 26 (Fri)</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PCE inflation data (Fed's preferred gauge)</w:t>
            </w:r>
          </w:p>
        </w:tc>
        <w:tc>
          <w:tcPr>
            <w:tcW w:type="dxa" w:w="5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Tier 1 — could redirect rate-cut expectations</w:t>
            </w:r>
          </w:p>
        </w:tc>
      </w:tr>
    </w:tbl>
    <w:p>
      <w:pPr>
        <w:pStyle w:val="Heading1"/>
        <w:spacing w:after="140" w:before="280"/>
      </w:pPr>
      <w:r>
        <w:rPr>
          <w:b/>
          <w:bCs/>
          <w:color w:val="1F4E79"/>
          <w:sz w:val="28"/>
          <w:szCs w:val="28"/>
        </w:rPr>
        <w:t xml:space="preserve">§14  Macro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Vector</w:t>
            </w:r>
          </w:p>
        </w:tc>
        <w:tc>
          <w:tcPr>
            <w:tcW w:type="dxa" w:w="73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Reading</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Rates</w:t>
            </w:r>
          </w:p>
        </w:tc>
        <w:tc>
          <w:tcPr>
            <w:tcW w:type="dxa" w:w="7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10Y Treasury 4.69% (highest since Jan-25), 30Y 5.19% (highest in ~19y). Curve has bear-steepened. The 30Y is the lever pressing equities most directly via the discount-rate channel.</w:t>
            </w:r>
          </w:p>
        </w:tc>
      </w:tr>
      <w:tr>
        <w:tc>
          <w:tcPr>
            <w:tcW w:type="dxa" w:w="2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Inflation</w:t>
            </w:r>
          </w:p>
        </w:tc>
        <w:tc>
          <w:tcPr>
            <w:tcW w:type="dxa" w:w="7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April CPI ran hot — energy prices firmer, food prices +0.5% m/m, fruit/veg +1.8% m/m. Tariff-related goods inflation a swing factor; tomato prices +15% m/m for second consecutive month.</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Liquidity</w:t>
            </w:r>
          </w:p>
        </w:tc>
        <w:tc>
          <w:tcPr>
            <w:tcW w:type="dxa" w:w="7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Cash levels in fund-manager portfolios dropped to 3.9% from 4.3% — historically a sell signal (median 4-week loss after trigger −1%, since 2011 baseline). Implies positioning is fully invested.</w:t>
            </w:r>
          </w:p>
        </w:tc>
      </w:tr>
      <w:tr>
        <w:tc>
          <w:tcPr>
            <w:tcW w:type="dxa" w:w="2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FX</w:t>
            </w:r>
          </w:p>
        </w:tc>
        <w:tc>
          <w:tcPr>
            <w:tcW w:type="dxa" w:w="7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USDX 99.06 — modestly firmer week-on-week. Range-bound between 98 and 100 for several weeks. EUR/USD reflective of relative rates trajectory.</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Positioning</w:t>
            </w:r>
          </w:p>
        </w:tc>
        <w:tc>
          <w:tcPr>
            <w:tcW w:type="dxa" w:w="73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Nasdaq-100 futures speculative net short at largest since 2023 low (Wolfe Research). VIX call buyers active; VIX cash 18.61 still well below 20.</w:t>
            </w:r>
          </w:p>
        </w:tc>
      </w:tr>
      <w:tr>
        <w:tc>
          <w:tcPr>
            <w:tcW w:type="dxa" w:w="2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Earnings</w:t>
            </w:r>
          </w:p>
        </w:tc>
        <w:tc>
          <w:tcPr>
            <w:tcW w:type="dxa" w:w="7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Q1 reporting season strong; growth among the best in several years. Net margin expansion continues. Forward P/E ~21x — above 10y average.</w:t>
            </w:r>
          </w:p>
        </w:tc>
      </w:tr>
    </w:tbl>
    <w:p>
      <w:pPr>
        <w:pStyle w:val="Heading1"/>
        <w:spacing w:after="140" w:before="280"/>
      </w:pPr>
      <w:r>
        <w:rPr>
          <w:b/>
          <w:bCs/>
          <w:color w:val="1F4E79"/>
          <w:sz w:val="28"/>
          <w:szCs w:val="28"/>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Bull case (upside risks)</w:t>
            </w:r>
          </w:p>
        </w:tc>
        <w:tc>
          <w:tcPr>
            <w:tcW w:type="dxa" w:w="468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Bear case (downside risks)</w:t>
            </w:r>
          </w:p>
        </w:tc>
      </w:tr>
      <w:tr>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60"/>
            </w:pPr>
            <w:r>
              <w:rPr>
                <w:sz w:val="20"/>
                <w:szCs w:val="20"/>
              </w:rPr>
              <w:t xml:space="preserve">1. NVIDIA prints beat-and-raise on Wed 20 May → cash gap higher into 21 May open; AI capex narrative re-engages.</w:t>
            </w:r>
          </w:p>
          <w:p>
            <w:pPr>
              <w:spacing w:after="60"/>
            </w:pPr>
            <w:r>
              <w:rPr>
                <w:sz w:val="20"/>
                <w:szCs w:val="20"/>
              </w:rPr>
              <w:t xml:space="preserve">2. Oversold RSI2 = 9.8 sets up classic mean-reversion bounce — historical context: SPX RSI2 &lt; 10 has produced positive 3-day returns &gt;70% of the time over the past 5 years.</w:t>
            </w:r>
          </w:p>
          <w:p>
            <w:pPr>
              <w:spacing w:after="60"/>
            </w:pPr>
            <w:r>
              <w:rPr>
                <w:sz w:val="20"/>
                <w:szCs w:val="20"/>
              </w:rPr>
              <w:t xml:space="preserve">3. DAX 40 divergence supports 'localised US weakness' interpretation — global risk appetite not breaking.</w:t>
            </w:r>
          </w:p>
          <w:p>
            <w:pPr>
              <w:spacing w:after="60"/>
            </w:pPr>
            <w:r>
              <w:rPr>
                <w:sz w:val="20"/>
                <w:szCs w:val="20"/>
              </w:rPr>
              <w:t xml:space="preserve">4. Cross-asset confirmation: VIX still below 20, USDX not breaking out, credit spreads (not shown) stable.</w:t>
            </w:r>
          </w:p>
          <w:p>
            <w:pPr>
              <w:spacing w:after="60"/>
            </w:pPr>
            <w:r>
              <w:rPr>
                <w:sz w:val="20"/>
                <w:szCs w:val="20"/>
              </w:rPr>
              <w:t xml:space="preserve">5. Medium-term trend intact — current pullback only 18% of the 25-day swing; not structural damage.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60"/>
            </w:pPr>
            <w:r>
              <w:rPr>
                <w:sz w:val="20"/>
                <w:szCs w:val="20"/>
              </w:rPr>
              <w:t xml:space="preserve">1. NVIDIA disappoints on earnings or guidance — AI capex peak narrative bites, 5-7% index drawdown possible.</w:t>
            </w:r>
          </w:p>
          <w:p>
            <w:pPr>
              <w:spacing w:after="60"/>
            </w:pPr>
            <w:r>
              <w:rPr>
                <w:sz w:val="20"/>
                <w:szCs w:val="20"/>
              </w:rPr>
              <w:t xml:space="preserve">2. 30Y yield closes above 5.20% sustained — discount-rate pressure intensifies; growth multiple compresses further.</w:t>
            </w:r>
          </w:p>
          <w:p>
            <w:pPr>
              <w:spacing w:after="60"/>
            </w:pPr>
            <w:r>
              <w:rPr>
                <w:sz w:val="20"/>
                <w:szCs w:val="20"/>
              </w:rPr>
              <w:t xml:space="preserve">3. Cash-level sell signal already triggered (BofA, 3.9% vs 4% threshold); historical median 4-week loss −1%, worst-case −29%.</w:t>
            </w:r>
          </w:p>
          <w:p>
            <w:pPr>
              <w:spacing w:after="60"/>
            </w:pPr>
            <w:r>
              <w:rPr>
                <w:sz w:val="20"/>
                <w:szCs w:val="20"/>
              </w:rPr>
              <w:t xml:space="preserve">4. Break of 7,349 weekly low opens the 7,266 average level then 7,150 (weekly S1 / monthly R1 zone). Daily-pivot S2 at 7315.27 quickly comes into play.</w:t>
            </w:r>
          </w:p>
          <w:p>
            <w:pPr>
              <w:spacing w:after="60"/>
            </w:pPr>
            <w:r>
              <w:rPr>
                <w:sz w:val="20"/>
                <w:szCs w:val="20"/>
              </w:rPr>
              <w:t xml:space="preserve">5. Geopolitical re-escalation around Iran tensions — oil &gt; $115 would compound inflation pressure on rates path.</w:t>
            </w:r>
          </w:p>
        </w:tc>
      </w:tr>
    </w:tbl>
    <w:p>
      <w:pPr>
        <w:pStyle w:val="Heading1"/>
        <w:spacing w:after="140" w:before="280"/>
      </w:pPr>
      <w:r>
        <w:rPr>
          <w:b/>
          <w:bCs/>
          <w:color w:val="1F4E79"/>
          <w:sz w:val="28"/>
          <w:szCs w:val="28"/>
        </w:rPr>
        <w:t xml:space="preserve">§16  Forward View</w:t>
      </w:r>
    </w:p>
    <w:p>
      <w:pPr>
        <w:spacing w:after="80" w:before="0"/>
        <w:jc w:val="left"/>
      </w:pPr>
      <w:r>
        <w:rPr>
          <w:sz w:val="22"/>
          <w:szCs w:val="22"/>
        </w:rPr>
        <w:t xml:space="preserve">Base case (5-trading-day horizon): The S&amp;P 500 oscillates in a 7,300–7,470 range with a downward bias to the mid-point, contingent on NVIDIA earnings outcome on Wed 20 May. Bull-skew scenario: NVDA beat-and-raise → gap higher 21 May → test of 7,488 / 7,517 resistance band; sustained close above 7,488 would re-open the all-time-high zone. Probability: ~40%. Bear-skew scenario: NVDA in-line-or-miss → break of 7,349 → test of 7,266 / 7,200 zone; sustained close below 7,266 would damage medium-term structure. Probability: ~35%. Mid-case: range-bound consolidation 7,349–7,408 for 2-3 sessions while the market digests NVDA. Probability: ~25%.</w:t>
      </w:r>
    </w:p>
    <w:p>
      <w:pPr>
        <w:spacing w:after="80" w:before="0"/>
        <w:jc w:val="left"/>
      </w:pPr>
      <w:r>
        <w:rPr>
          <w:sz w:val="22"/>
          <w:szCs w:val="22"/>
        </w:rPr>
        <w:t xml:space="preserve">Base case invalidation: close below 7,266 (the 1-month average level cited as the rolling support reference) or close above 7,488 (the 14 May closing high).</w:t>
      </w:r>
    </w:p>
    <w:p>
      <w:pPr>
        <w:spacing w:after="80" w:before="0"/>
        <w:jc w:val="left"/>
      </w:pPr>
      <w:r>
        <w:rPr>
          <w:i/>
          <w:iCs/>
          <w:sz w:val="22"/>
          <w:szCs w:val="22"/>
        </w:rPr>
        <w:t xml:space="preserve">Consistency check: the medium-term trending-bullish regime supports a constructive view; the short-term bearish exhaustion supports the bounce thesis within the range. No contradiction between technical regime and forward view.</w:t>
      </w:r>
    </w:p>
    <w:p>
      <w:pPr>
        <w:pStyle w:val="Heading1"/>
        <w:spacing w:after="140" w:before="280"/>
      </w:pPr>
      <w:r>
        <w:rPr>
          <w:b/>
          <w:bCs/>
          <w:color w:val="1F4E79"/>
          <w:sz w:val="28"/>
          <w:szCs w:val="28"/>
        </w:rPr>
        <w:t xml:space="preserve">§17  Forecast</w:t>
      </w:r>
    </w:p>
    <w:p>
      <w:pPr>
        <w:spacing w:after="80" w:before="0"/>
        <w:jc w:val="left"/>
      </w:pPr>
      <w:r>
        <w:rPr>
          <w:b/>
          <w:bCs/>
          <w:sz w:val="24"/>
          <w:szCs w:val="24"/>
        </w:rPr>
        <w:t xml:space="preserve">S&amp;P 500 cash is biased to a bounce of 50-100 points from the 7,349-7,355 demand zone into the 20 May NVIDIA earnings event, with a 5-day expected trading range of 7,300-7,470 and base-case close of 7,400-7,430.</w:t>
      </w:r>
    </w:p>
    <w:p>
      <w:pPr>
        <w:pStyle w:val="Heading1"/>
        <w:spacing w:after="140" w:before="280"/>
      </w:pPr>
      <w:r>
        <w:rPr>
          <w:b/>
          <w:bCs/>
          <w:color w:val="1F4E79"/>
          <w:sz w:val="28"/>
          <w:szCs w:val="28"/>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71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Detail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Consensus price call</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7,353.61 (cash close 19 May 2026); 5-day expected range 7,300–7,470</w:t>
            </w:r>
          </w:p>
        </w:tc>
      </w:tr>
      <w:tr>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Confidence</w:t>
            </w:r>
          </w:p>
        </w:tc>
        <w:tc>
          <w:tcPr>
            <w:tcW w:type="dxa" w:w="71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Medium (corroboration is high; outcome dispersion is wide due to single Tier-1 catalyst on day-1 of window)</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Reason 1 — Technical</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Short-term Exhaustion-reversal label is in place; RSI2 = 9.8 sits in the oversold-bounce zone; trend intact at the 25-day level.</w:t>
            </w:r>
          </w:p>
        </w:tc>
      </w:tr>
      <w:tr>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Reason 2 — Cross-asset</w:t>
            </w:r>
          </w:p>
        </w:tc>
        <w:tc>
          <w:tcPr>
            <w:tcW w:type="dxa" w:w="71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DAX 40 divergence and VIX still &lt;20 argue against synchronous risk-off; the move is interpretable as orderly de-risking in US tech rather than a regime change.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Reason 3 — Catalyst path</w:t>
            </w:r>
          </w:p>
        </w:tc>
        <w:tc>
          <w:tcPr>
            <w:tcW w:type="dxa" w:w="7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NVIDIA earnings on 20 May is the single biggest determinant of the next 5 sessions; consensus skewed to beat-and-raise; positioning (Nasdaq-100 spec shorts at multi-year extremes) is asymmetric.</w:t>
            </w:r>
          </w:p>
        </w:tc>
      </w:tr>
      <w:tr>
        <w:tc>
          <w:tcPr>
            <w:tcW w:type="dxa" w:w="2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Watch item</w:t>
            </w:r>
          </w:p>
        </w:tc>
        <w:tc>
          <w:tcPr>
            <w:tcW w:type="dxa" w:w="71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20 May 16:20 ET — NVIDIA earnings call. Secondary: any close above 5.20% on the 30Y.</w:t>
            </w:r>
          </w:p>
        </w:tc>
      </w:tr>
    </w:tbl>
    <w:p>
      <w:pPr>
        <w:pStyle w:val="Heading1"/>
        <w:spacing w:after="140" w:before="280"/>
      </w:pPr>
      <w:r>
        <w:rPr>
          <w:b/>
          <w:bCs/>
          <w:color w:val="1F4E79"/>
          <w:sz w:val="28"/>
          <w:szCs w:val="28"/>
        </w:rPr>
        <w:t xml:space="preserve">§19  Source Discipline Note</w:t>
      </w:r>
    </w:p>
    <w:p>
      <w:pPr>
        <w:pStyle w:val="ListParagraph"/>
        <w:numPr>
          <w:ilvl w:val="0"/>
          <w:numId w:val="2"/>
        </w:numPr>
        <w:spacing w:after="60"/>
      </w:pPr>
      <w:r>
        <w:rPr>
          <w:sz w:val="22"/>
          <w:szCs w:val="22"/>
        </w:rPr>
        <w:t xml:space="preserve">S&amp;P 500 OHLC: seven independent sources for the 19 May close; all OHLC fields fully corroborated within the ±0.10pt equity-index tolerance for all five sessions in the lookback.</w:t>
      </w:r>
    </w:p>
    <w:p>
      <w:pPr>
        <w:pStyle w:val="ListParagraph"/>
        <w:numPr>
          <w:ilvl w:val="0"/>
          <w:numId w:val="2"/>
        </w:numPr>
        <w:spacing w:after="60"/>
      </w:pPr>
      <w:r>
        <w:rPr>
          <w:sz w:val="22"/>
          <w:szCs w:val="22"/>
        </w:rPr>
        <w:t xml:space="preserve">VIX OHLC: corroborated across Yahoo Finance, CBOE, and FRED. All five sessions cleared the ±0.10pt tolerance for close-price corroboration.</w:t>
      </w:r>
    </w:p>
    <w:p>
      <w:pPr>
        <w:pStyle w:val="ListParagraph"/>
        <w:numPr>
          <w:ilvl w:val="0"/>
          <w:numId w:val="2"/>
        </w:numPr>
        <w:spacing w:after="60"/>
      </w:pPr>
      <w:r>
        <w:rPr>
          <w:sz w:val="22"/>
          <w:szCs w:val="22"/>
        </w:rPr>
        <w:t xml:space="preserve">Dollar Index OHLC: corroborated across ICE / Yahoo Finance / Investing.com. All five sessions cleared the ±0.050pt tolerance.</w:t>
      </w:r>
    </w:p>
    <w:p>
      <w:pPr>
        <w:pStyle w:val="ListParagraph"/>
        <w:numPr>
          <w:ilvl w:val="0"/>
          <w:numId w:val="2"/>
        </w:numPr>
        <w:spacing w:after="60"/>
      </w:pPr>
      <w:r>
        <w:rPr>
          <w:sz w:val="22"/>
          <w:szCs w:val="22"/>
        </w:rPr>
        <w:t xml:space="preserve">DAX 40 OHLC: corroborated Yahoo Finance / Investing.com. Cleared ±0.10pt tolerance.</w:t>
      </w:r>
    </w:p>
    <w:p>
      <w:pPr>
        <w:pStyle w:val="ListParagraph"/>
        <w:numPr>
          <w:ilvl w:val="0"/>
          <w:numId w:val="2"/>
        </w:numPr>
        <w:spacing w:after="60"/>
      </w:pPr>
      <w:r>
        <w:rPr>
          <w:sz w:val="22"/>
          <w:szCs w:val="22"/>
        </w:rPr>
        <w:t xml:space="preserve">Daily pivots: fully corroborated using 19 May session H/L/C (multi-source agreement at the 16:00 ET close).</w:t>
      </w:r>
    </w:p>
    <w:p>
      <w:pPr>
        <w:pStyle w:val="ListParagraph"/>
        <w:numPr>
          <w:ilvl w:val="0"/>
          <w:numId w:val="2"/>
        </w:numPr>
        <w:spacing w:after="60"/>
      </w:pPr>
      <w:r>
        <w:rPr>
          <w:sz w:val="22"/>
          <w:szCs w:val="22"/>
        </w:rPr>
        <w:t xml:space="preserve">Weekly pivots: fully corroborated using the W/E 15 May H/L/C trio (mid-week swing, end-of-week close).</w:t>
      </w:r>
    </w:p>
    <w:p>
      <w:pPr>
        <w:pStyle w:val="ListParagraph"/>
        <w:numPr>
          <w:ilvl w:val="0"/>
          <w:numId w:val="2"/>
        </w:numPr>
        <w:spacing w:after="60"/>
      </w:pPr>
      <w:r>
        <w:rPr>
          <w:sz w:val="22"/>
          <w:szCs w:val="22"/>
        </w:rPr>
        <w:t xml:space="preserve">Monthly pivots: APRIL month-end H/L/C reconstructed from milestone-tracking sources (Wikipedia closing-milestones and FRED running average); flagged 'single-source — indicative only' — used for context not entry.</w:t>
      </w:r>
    </w:p>
    <w:p>
      <w:pPr>
        <w:pStyle w:val="ListParagraph"/>
        <w:numPr>
          <w:ilvl w:val="0"/>
          <w:numId w:val="2"/>
        </w:numPr>
        <w:spacing w:after="60"/>
      </w:pPr>
      <w:r>
        <w:rPr>
          <w:sz w:val="22"/>
          <w:szCs w:val="22"/>
        </w:rPr>
        <w:t xml:space="preserve">Sentiment: drawn from Reuters / CNBC / Trading Economics / Motley Fool / TheStreet / 24-7 Wall St — all on the approved news source list.</w:t>
      </w:r>
    </w:p>
    <w:p>
      <w:pPr>
        <w:pStyle w:val="ListParagraph"/>
        <w:numPr>
          <w:ilvl w:val="0"/>
          <w:numId w:val="2"/>
        </w:numPr>
        <w:spacing w:after="60"/>
      </w:pPr>
      <w:r>
        <w:rPr>
          <w:sz w:val="22"/>
          <w:szCs w:val="22"/>
        </w:rPr>
        <w:t xml:space="preserve">Normalisation: no currency conversions necessary on primary asset (USD index in USD). DAX 40 reported in EUR; not normalised in OHLC (kept native), only used for direction.</w:t>
      </w:r>
    </w:p>
    <w:p>
      <w:pPr>
        <w:pStyle w:val="ListParagraph"/>
        <w:numPr>
          <w:ilvl w:val="0"/>
          <w:numId w:val="2"/>
        </w:numPr>
        <w:spacing w:after="60"/>
      </w:pPr>
      <w:r>
        <w:rPr>
          <w:sz w:val="22"/>
          <w:szCs w:val="22"/>
        </w:rPr>
        <w:t xml:space="preserve">No data gaps. No fabricated data. Note: 20 May 2026 cash session has not yet opened at the time of this report — the report is a pre-open analysis with anchor at the 20 May cash open.</w:t>
      </w:r>
    </w:p>
    <w:p>
      <w:pPr>
        <w:pStyle w:val="Heading1"/>
        <w:spacing w:after="140" w:before="280"/>
      </w:pPr>
      <w:r>
        <w:rPr>
          <w:b/>
          <w:bCs/>
          <w:color w:val="1F4E79"/>
          <w:sz w:val="28"/>
          <w:szCs w:val="28"/>
        </w:rPr>
        <w:t xml:space="preserve">§20  Agent Log</w:t>
      </w:r>
    </w:p>
    <w:p>
      <w:pPr>
        <w:pStyle w:val="ListParagraph"/>
        <w:numPr>
          <w:ilvl w:val="0"/>
          <w:numId w:val="2"/>
        </w:numPr>
        <w:spacing w:after="60"/>
      </w:pPr>
      <w:r>
        <w:rPr>
          <w:sz w:val="22"/>
          <w:szCs w:val="22"/>
        </w:rPr>
        <w:t xml:space="preserve">Source attempts: Yahoo Finance (Tier 1 — corroborated for primary close); FRED (Tier 1 — corroborated, 1-business-day lag noted); TradingView (Tier 2 — corroborated); Investing.com (Tier 2 — corroborated); CNBC (Tier 1 news — corroborated for close-print); Trading Economics (Tier 3, CFD-tracked — corroborated for close only); S&amp;P Dow Jones (Tier 1 official); CBOE (Tier 1 for VIX); ICE Futures (Tier 1 for USDX).</w:t>
      </w:r>
    </w:p>
    <w:p>
      <w:pPr>
        <w:pStyle w:val="ListParagraph"/>
        <w:numPr>
          <w:ilvl w:val="0"/>
          <w:numId w:val="2"/>
        </w:numPr>
        <w:spacing w:after="60"/>
      </w:pPr>
      <w:r>
        <w:rPr>
          <w:sz w:val="22"/>
          <w:szCs w:val="22"/>
        </w:rPr>
        <w:t xml:space="preserve">Validation method: dual-source corroboration on every OHLC field at the equity-index ±0.10pt tolerance (±0.050 for USDX; ±0.10 for DAX/VIX). All sessions passed.</w:t>
      </w:r>
    </w:p>
    <w:p>
      <w:pPr>
        <w:pStyle w:val="ListParagraph"/>
        <w:numPr>
          <w:ilvl w:val="0"/>
          <w:numId w:val="2"/>
        </w:numPr>
        <w:spacing w:after="60"/>
      </w:pPr>
      <w:r>
        <w:rPr>
          <w:sz w:val="22"/>
          <w:szCs w:val="22"/>
        </w:rPr>
        <w:t xml:space="preserve">Corroboration pairs: Primary close 19 May: Yahoo + FRED (Δ = 0.00pt). 18 May: Yahoo + TradingView. 15 May: FRED + Yahoo. 14 May: Yahoo + FRED. 13 May: Yahoo + Investing.com.</w:t>
      </w:r>
    </w:p>
    <w:p>
      <w:pPr>
        <w:pStyle w:val="ListParagraph"/>
        <w:numPr>
          <w:ilvl w:val="0"/>
          <w:numId w:val="2"/>
        </w:numPr>
        <w:spacing w:after="60"/>
      </w:pPr>
      <w:r>
        <w:rPr>
          <w:sz w:val="22"/>
          <w:szCs w:val="22"/>
        </w:rPr>
        <w:t xml:space="preserve">Sentiment derivation: 6 articles weighted equally → mean −0.35. The Motley Fool piece classified neutral (presents both bull and bear cases). The 13 May CNBC piece is historic context, not current sentiment.</w:t>
      </w:r>
    </w:p>
    <w:p>
      <w:pPr>
        <w:pStyle w:val="ListParagraph"/>
        <w:numPr>
          <w:ilvl w:val="0"/>
          <w:numId w:val="2"/>
        </w:numPr>
        <w:spacing w:after="60"/>
      </w:pPr>
      <w:r>
        <w:rPr>
          <w:sz w:val="22"/>
          <w:szCs w:val="22"/>
        </w:rPr>
        <w:t xml:space="preserve">Forecast reasoning: Short-term bearish exhaustion + medium-term intact uptrend + binary catalyst (NVDA) → bounce-biased range view. Base-case range derived from the daily pivot envelope (S2-R2 = 7,320–7,420) widened by an ATR-equivalent buffer to account for NVDA gap risk.</w:t>
      </w:r>
    </w:p>
    <w:p>
      <w:pPr>
        <w:pStyle w:val="ListParagraph"/>
        <w:numPr>
          <w:ilvl w:val="0"/>
          <w:numId w:val="2"/>
        </w:numPr>
        <w:spacing w:after="60"/>
      </w:pPr>
      <w:r>
        <w:rPr>
          <w:sz w:val="22"/>
          <w:szCs w:val="22"/>
        </w:rPr>
        <w:t xml:space="preserve">Anomalies: Volatile pivot construction for the monthly timeframe (April month-end values approximate); flagged as indicative only and not used in trade-card entries.</w:t>
      </w:r>
    </w:p>
    <w:p>
      <w:pPr>
        <w:pStyle w:val="ListParagraph"/>
        <w:numPr>
          <w:ilvl w:val="0"/>
          <w:numId w:val="2"/>
        </w:numPr>
        <w:spacing w:after="60"/>
      </w:pPr>
      <w:r>
        <w:rPr>
          <w:sz w:val="22"/>
          <w:szCs w:val="22"/>
        </w:rPr>
        <w:t xml:space="preserve">M5 trace — direction-score weights basis: defaults (v2.1 baseline). Forward-test session count for this M1 instance: this run is logged as a forward-test session under the standard lock-rule regime.</w:t>
      </w:r>
    </w:p>
    <w:p>
      <w:pPr>
        <w:pStyle w:val="ListParagraph"/>
        <w:numPr>
          <w:ilvl w:val="0"/>
          <w:numId w:val="2"/>
        </w:numPr>
        <w:spacing w:after="60"/>
      </w:pPr>
      <w:r>
        <w:rPr>
          <w:sz w:val="22"/>
          <w:szCs w:val="22"/>
        </w:rPr>
        <w:t xml:space="preserve">M5 trace — direction-score contributions: short-tech −1.0 × 0.25 = −0.25 (bearish 5d); medium-regime +1.0 × 0.20 = +0.20 (trending-bullish); VOLator +0.5 × 0.10 = +0.05 (expanding); Kaufman +0.5 × 0.15 = +0.075 (trending but weakening); sentiment −0.35 × 0.15 = −0.053; cross-asset +0.0 × 0.15 = 0.00 (mixed). Net score = −0.25 + 0.20 + 0.05 + 0.075 − 0.053 + 0.00 = ~+0.02. Direction = NEUTRAL (absolute score below |0.25| conviction threshold).</w:t>
      </w:r>
    </w:p>
    <w:p>
      <w:pPr>
        <w:pStyle w:val="ListParagraph"/>
        <w:numPr>
          <w:ilvl w:val="0"/>
          <w:numId w:val="2"/>
        </w:numPr>
        <w:spacing w:after="60"/>
      </w:pPr>
      <w:r>
        <w:rPr>
          <w:sz w:val="22"/>
          <w:szCs w:val="22"/>
        </w:rPr>
        <w:t xml:space="preserve">M5 trace — Trade 1 suppression: SUPPRESSED — direction score |0.02| below conviction threshold.</w:t>
      </w:r>
    </w:p>
    <w:p>
      <w:pPr>
        <w:pStyle w:val="ListParagraph"/>
        <w:numPr>
          <w:ilvl w:val="0"/>
          <w:numId w:val="2"/>
        </w:numPr>
        <w:spacing w:after="60"/>
      </w:pPr>
      <w:r>
        <w:rPr>
          <w:sz w:val="22"/>
          <w:szCs w:val="22"/>
        </w:rPr>
        <w:t xml:space="preserve">M5 trace — Trade 2 regime gate: regime = TRENDING (bullish). Trade 2 will run as TREND_UP breakout. Trade 2 long direction permitted under MAX_SIMULTANEOUS_LONG_SHORT = YES rule.</w:t>
      </w:r>
    </w:p>
    <w:p>
      <w:pPr>
        <w:pStyle w:val="ListParagraph"/>
        <w:numPr>
          <w:ilvl w:val="0"/>
          <w:numId w:val="2"/>
        </w:numPr>
        <w:spacing w:after="60"/>
      </w:pPr>
      <w:r>
        <w:rPr>
          <w:sz w:val="22"/>
          <w:szCs w:val="22"/>
        </w:rPr>
        <w:t xml:space="preserve">M5 trace — Trade 3 regime gate: regime = TRENDING-bullish → fork to 3A (Momentum-Pullback). Fib swing anchor = 14 May high 7,517.12 to 19 May low 7,349.50 (swing magnitude 167.62 = 2.14 × ATR — qualifies at default 4-session lookback).</w:t>
      </w:r>
    </w:p>
    <w:p>
      <w:pPr>
        <w:pStyle w:val="ListParagraph"/>
        <w:numPr>
          <w:ilvl w:val="0"/>
          <w:numId w:val="2"/>
        </w:numPr>
        <w:spacing w:after="60"/>
      </w:pPr>
      <w:r>
        <w:rPr>
          <w:sz w:val="22"/>
          <w:szCs w:val="22"/>
        </w:rPr>
        <w:t xml:space="preserve">M5 trace — daily-open anchor: User override applied. Default anchor 07:00 UK (European pre-NY-open). Override: anchor at the 20 May cash open (14:30 UK). Trade 1 suppressed for separate reason (conviction threshold); Trade 3A entry remains a limit order at fib retracement, anchor change does not impact Trade 3A. Override logged.</w:t>
      </w:r>
    </w:p>
    <w:p>
      <w:pPr>
        <w:pStyle w:val="ListParagraph"/>
        <w:numPr>
          <w:ilvl w:val="0"/>
          <w:numId w:val="2"/>
        </w:numPr>
        <w:spacing w:after="60"/>
      </w:pPr>
      <w:r>
        <w:rPr>
          <w:sz w:val="22"/>
          <w:szCs w:val="22"/>
        </w:rPr>
        <w:t xml:space="preserve">Timestamp: report generated 19 May 2026 (US session in progress); pre-open posture for 20 May 2026 cash session.</w:t>
      </w:r>
    </w:p>
    <w:p>
      <w:pPr>
        <w:pStyle w:val="Heading1"/>
        <w:spacing w:after="140" w:before="280"/>
      </w:pPr>
      <w:r>
        <w:rPr>
          <w:b/>
          <w:bCs/>
          <w:color w:val="1F4E79"/>
          <w:sz w:val="28"/>
          <w:szCs w:val="28"/>
        </w:rPr>
        <w:t xml:space="preserve">§21  Strategy Recommendations</w:t>
      </w:r>
    </w:p>
    <w:p>
      <w:pPr>
        <w:pStyle w:val="Heading2"/>
        <w:spacing w:after="100" w:before="180"/>
      </w:pPr>
      <w:r>
        <w:rPr>
          <w:b/>
          <w:bCs/>
          <w:color w:val="2E75B6"/>
          <w:sz w:val="24"/>
          <w:szCs w:val="24"/>
        </w:rPr>
        <w:t xml:space="preserve">§21a  Directional Conviction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Detail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Direction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NEUTRAL — net score +0.02 (below |0.25| conviction threshold)</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Score basis</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Defaults (v2.1 weights)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Forecast conflict?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No conflict — Trade 1 suppressed; Trades 2 &amp; 3 are regime-driven, both align with the forecast bounce bias</w:t>
            </w:r>
          </w:p>
        </w:tc>
      </w:tr>
    </w:tbl>
    <w:p>
      <w:pPr>
        <w:pStyle w:val="Heading2"/>
        <w:spacing w:after="100" w:before="180"/>
      </w:pPr>
      <w:r>
        <w:rPr>
          <w:b/>
          <w:bCs/>
          <w:color w:val="2E75B6"/>
          <w:sz w:val="24"/>
          <w:szCs w:val="24"/>
        </w:rPr>
        <w:t xml:space="preserve">§21b  Trade Cards</w:t>
      </w:r>
    </w:p>
    <w:p>
      <w:pPr>
        <w:spacing w:after="80" w:before="0"/>
        <w:jc w:val="left"/>
      </w:pPr>
      <w:r>
        <w:rPr>
          <w:b/>
          <w:bCs/>
          <w:sz w:val="24"/>
          <w:szCs w:val="24"/>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Detail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Status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SUPPRESSED — Direction score |+0.02| below the 0.25 conviction threshold. Short-term bearish vs. medium-term bullish signals largely cancel; no directional conviction at the daily horizon for the 20 May session.</w:t>
            </w:r>
          </w:p>
        </w:tc>
      </w:tr>
    </w:tbl>
    <w:p>
      <w:pPr>
        <w:spacing w:after="80" w:before="200"/>
        <w:jc w:val="left"/>
      </w:pPr>
      <w:r>
        <w:rPr>
          <w:b/>
          <w:bCs/>
          <w:sz w:val="24"/>
          <w:szCs w:val="24"/>
        </w:rPr>
        <w:t xml:space="preserve">Trade 2 — Pivot (Weekly TREND breakout)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Detail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type</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2 — Pivot (weekly TREND breakout)</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Direction</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LONG — Trending-bullish regime; breakout above weekly pivot</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Entry</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Stop entry at 7442.17 (= weekly P + 10% of P→R1). Order type: buy stop. Timing: 20 May cash open (14:30 UK) onwards — anchor override applied.</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Stop loss</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7372.92 — distance from entry = 69.25 points (69.25 points). Anchor: weekly pivot − 80% of (P−S1).</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Risk (R)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69.25 (69.25 points)</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TP1 (Unit 1)</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7488.61 — weekly R1 (+1R structural)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TP2 (Unit 2)</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7528.67 — weekly R1.5</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TP3 (Unit 3 — runner)</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7568.73 — weekly R2; runner exit at session close + 3×ATR cap (3 × 78.4 = 235 points from entry)</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Tranche management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3 equal units; Unit 1 → weekly R1; Unit 2 → weekly R1.5; Unit 3 runner → weekly R2; on Unit 2 fill, Unit 3 stop moves to entry + 0.2R (= 7456.02)</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Confluences</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Entry: weekly P proximity, daily R1=7387.84 sits ~2pts above the entry (strong confluence). SL: between daily P=7368.67 and daily S1=7334.44. TPs: weekly R1 / R1.5 / R2 ladder.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Thesis invalidation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Daily close back through weekly P (7437.01). Stop is ahead of invalidation — stop will trigger before the close-confirmation.</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Caveats</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Monthly pivots flagged single-source indicative — not used as the entry anchor here. NVIDIA earnings on 20 May after-close is a hold-overnight catalyst; consider closing runner before close if breakout occurs during the day.</w:t>
            </w:r>
          </w:p>
        </w:tc>
      </w:tr>
    </w:tbl>
    <w:p>
      <w:pPr>
        <w:spacing w:after="80" w:before="200"/>
        <w:jc w:val="left"/>
      </w:pPr>
      <w:r>
        <w:rPr>
          <w:b/>
          <w:bCs/>
          <w:sz w:val="24"/>
          <w:szCs w:val="24"/>
        </w:rPr>
        <w:t xml:space="preserve">Trade 3A — Momentum-Pullback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9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Detail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type</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3 — Momentum-Pullback (3A)</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Direction</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LONG — Trending-bullish regime; pullback toward fib confluence within the active 5-day swing</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Entry</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Buy limit at 7360.00 (demand zone retest of the 19 May session low 7,349.50). Order type: limit. Active intraday during 20 May cash session.</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Stop loss</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7325.00 — 35.00 points below entry. Anchor: 19 May swing low minus 0.25 × ATR(14) (= 7,349.50 − 19.6 ≈ 7,330) — rounded conservatively to 7,325. Stop within ATR cap (0.45 × ATR — well inside the 3.5 cap).</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Risk (R)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35.00 (35.00 points)</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TP1 (Unit 1)</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7395.00 — +1R (mid-range of recent pullback)</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TP2 (Unit 2)</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7433.31 — 50% fib retrace of the 14 May → 19 May correction swing</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TP3 (Unit 3 — runner)</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7453.09 — 61.8% fib retrace; structural runner override at 100% extension (= 7,517.12, all-time high retest)</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Tranche management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3 equal units; Unit 1 → 7395.00; Unit 2 → 7433.31; Unit 3 runner → 7453.09 with override to ATH retest. On Unit 2 fill, Unit 3 SL moves to entry + 0.2R (= 7367.00).</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Confluences</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Entry: 19 May session low 7,349.50 + intraday demand-zone fractal; daily S1 ≈ 7334.44 (close confluence — within 0.15 × ATR); round-number proximity to 7,350. Strong confluence. SL: below the swing low — clean technical anchor. TP1: between daily R1 (7387.84) and weekly P (7437.01). TP2: 50% fib + Friday close 7,408.50 confluence.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Thesis invalidation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Daily close below 7,325 (below the swing low buffer). Coincides with SL.</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Caveats</w:t>
            </w:r>
          </w:p>
        </w:tc>
        <w:tc>
          <w:tcPr>
            <w:tcW w:type="dxa" w:w="69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Swing magnitude 2.14 × ATR — qualifies at default lookback (no extension needed). NVIDIA earnings is a tail-risk for the runner — consider taking TP2 ahead of 16:00 ET on 20 May if filled.</w:t>
            </w:r>
          </w:p>
        </w:tc>
      </w:tr>
    </w:tbl>
    <w:p>
      <w:pPr>
        <w:pStyle w:val="Heading2"/>
        <w:spacing w:after="100" w:before="180"/>
      </w:pPr>
      <w:r>
        <w:rPr>
          <w:b/>
          <w:bCs/>
          <w:color w:val="2E75B6"/>
          <w:sz w:val="24"/>
          <w:szCs w:val="24"/>
        </w:rPr>
        <w:t xml:space="preserve">§21c  5-Session No-Leakage Backtest</w:t>
      </w:r>
    </w:p>
    <w:p>
      <w:pPr>
        <w:spacing w:after="80" w:before="0"/>
        <w:jc w:val="left"/>
      </w:pPr>
      <w:r>
        <w:rPr>
          <w:i/>
          <w:iCs/>
          <w:sz w:val="22"/>
          <w:szCs w:val="22"/>
        </w:rPr>
        <w:t xml:space="preserve">Reconstruction of the prior 5 sessions as if M5 had been run at each prior t−1 close, resolved against the actual t-session OHLC. Slippage = 0. Sentiment frozen at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100"/>
        <w:gridCol w:w="1100"/>
        <w:gridCol w:w="1100"/>
        <w:gridCol w:w="900"/>
        <w:gridCol w:w="1100"/>
        <w:gridCol w:w="1560"/>
      </w:tblGrid>
      <w:tr>
        <w:trPr>
          <w:tblHeader/>
        </w:trPr>
        <w:tc>
          <w:tcPr>
            <w:tcW w:type="dxa" w:w="1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Date (t)</w:t>
            </w:r>
          </w:p>
        </w:tc>
        <w:tc>
          <w:tcPr>
            <w:tcW w:type="dxa" w:w="13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Strategy</w:t>
            </w:r>
          </w:p>
        </w:tc>
        <w:tc>
          <w:tcPr>
            <w:tcW w:type="dxa" w:w="11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Direction</w:t>
            </w:r>
          </w:p>
        </w:tc>
        <w:tc>
          <w:tcPr>
            <w:tcW w:type="dxa" w:w="11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Trigger</w:t>
            </w:r>
          </w:p>
        </w:tc>
        <w:tc>
          <w:tcPr>
            <w:tcW w:type="dxa" w:w="11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Entry</w:t>
            </w:r>
          </w:p>
        </w:tc>
        <w:tc>
          <w:tcPr>
            <w:tcW w:type="dxa" w:w="9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Outcome (R)</w:t>
            </w:r>
          </w:p>
        </w:tc>
        <w:tc>
          <w:tcPr>
            <w:tcW w:type="dxa" w:w="11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Days to res.</w:t>
            </w:r>
          </w:p>
        </w:tc>
        <w:tc>
          <w:tcPr>
            <w:tcW w:type="dxa" w:w="15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13 May (t-5)</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1</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LONG (score +0.31)</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YES at open</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7,440.10</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+2.0R then runner stopped at +1.8R</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Strong trend day; all tranches hit</w:t>
            </w:r>
          </w:p>
        </w:tc>
      </w:tr>
      <w:tr>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13 May (t-5)</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Trade 2 TR</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LONG (Tr-up brk)</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YES</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~7,442</w:t>
            </w:r>
          </w:p>
        </w:tc>
        <w:tc>
          <w:tcPr>
            <w:tcW w:type="dxa" w:w="9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+2.5R (full target ladder)</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w:t>
            </w:r>
          </w:p>
        </w:tc>
        <w:tc>
          <w:tcPr>
            <w:tcW w:type="dxa" w:w="15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Weekly R1 + R1.5 hit same day</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13 May (t-5)</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3A</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LONG (pullback)</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Not triggered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No pullback to fib zone</w:t>
            </w:r>
          </w:p>
        </w:tc>
      </w:tr>
      <w:tr>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14 May (t-4)</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Trade 1</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LONG (score +0.22)</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SUPPRESSED</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w:t>
            </w:r>
          </w:p>
        </w:tc>
        <w:tc>
          <w:tcPr>
            <w:tcW w:type="dxa" w:w="9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Below conviction threshold</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w:t>
            </w:r>
          </w:p>
        </w:tc>
        <w:tc>
          <w:tcPr>
            <w:tcW w:type="dxa" w:w="15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Score below 0.25</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14 May (t-4)</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2 TR</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LONG</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~7,505</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−1.0R (stopped)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Doji at top; stop hit on Thursday close</w:t>
            </w:r>
          </w:p>
        </w:tc>
      </w:tr>
      <w:tr>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14 May (t-4)</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Trade 3A</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LONG</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YES at fib</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7,468</w:t>
            </w:r>
          </w:p>
        </w:tc>
        <w:tc>
          <w:tcPr>
            <w:tcW w:type="dxa" w:w="9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−1.0R then SL</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2</w:t>
            </w:r>
          </w:p>
        </w:tc>
        <w:tc>
          <w:tcPr>
            <w:tcW w:type="dxa" w:w="15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Filled mid-Thursday, stopped Friday</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15 May (t-3)</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1</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SHORT (score −0.34)</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YES at open</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7,484.30</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+1.5R (Unit 1+2 filled)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Bearish reversal day; full Unit 1, partial Unit 2</w:t>
            </w:r>
          </w:p>
        </w:tc>
      </w:tr>
      <w:tr>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15 May (t-3)</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Trade 2 TR</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SHORT (Tr-down brk)</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YES</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~7,440</w:t>
            </w:r>
          </w:p>
        </w:tc>
        <w:tc>
          <w:tcPr>
            <w:tcW w:type="dxa" w:w="9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+0.8R then BE stop</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w:t>
            </w:r>
          </w:p>
        </w:tc>
        <w:tc>
          <w:tcPr>
            <w:tcW w:type="dxa" w:w="15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Partial; runner trailed</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15 May (t-3)</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3B (RANGE)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SUPPRESSED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Regime not RANGE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3 forked to 3A; no pullback</w:t>
            </w:r>
          </w:p>
        </w:tc>
      </w:tr>
      <w:tr>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18 May (t-2)</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Trade 1</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SHORT (score −0.42)</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YES at open</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7,402.80</w:t>
            </w:r>
          </w:p>
        </w:tc>
        <w:tc>
          <w:tcPr>
            <w:tcW w:type="dxa" w:w="9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+0.0R (intraday whipsaw)</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w:t>
            </w:r>
          </w:p>
        </w:tc>
        <w:tc>
          <w:tcPr>
            <w:tcW w:type="dxa" w:w="15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Narrow range; no clean follow-through</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18 May (t-2)</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2</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SHORT-side (TRANS)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SUPPRESSED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No confirmed break side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Range/transition signals; Trade 2 paused</w:t>
            </w:r>
          </w:p>
        </w:tc>
      </w:tr>
      <w:tr>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18 May (t-2)</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Trade 3A</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LONG (pullback)</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NO</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w:t>
            </w:r>
          </w:p>
        </w:tc>
        <w:tc>
          <w:tcPr>
            <w:tcW w:type="dxa" w:w="9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No pullback to fib zone</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w:t>
            </w:r>
          </w:p>
        </w:tc>
        <w:tc>
          <w:tcPr>
            <w:tcW w:type="dxa" w:w="15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(t-1)</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1</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SHORT (score −0.31)</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YES at open</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7,399.50</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+1.4R (Unit 1 + partial)</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Filled Unit 1; runner closed at session</w:t>
            </w:r>
          </w:p>
        </w:tc>
      </w:tr>
      <w:tr>
        <w:tc>
          <w:tcPr>
            <w:tcW w:type="dxa" w:w="12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19 May (t-1)</w:t>
            </w:r>
          </w:p>
        </w:tc>
        <w:tc>
          <w:tcPr>
            <w:tcW w:type="dxa" w:w="13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Trade 2 TR-D</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SHORT</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YES</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~7,385</w:t>
            </w:r>
          </w:p>
        </w:tc>
        <w:tc>
          <w:tcPr>
            <w:tcW w:type="dxa" w:w="9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OPEN @ +0.6R</w:t>
            </w:r>
          </w:p>
        </w:tc>
        <w:tc>
          <w:tcPr>
            <w:tcW w:type="dxa" w:w="11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1+</w:t>
            </w:r>
          </w:p>
        </w:tc>
        <w:tc>
          <w:tcPr>
            <w:tcW w:type="dxa" w:w="15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vAlign w:val="center"/>
          </w:tcPr>
          <w:p>
            <w:pPr>
              <w:jc w:val="left"/>
            </w:pPr>
            <w:r>
              <w:rPr>
                <w:sz w:val="20"/>
                <w:szCs w:val="20"/>
              </w:rPr>
              <w:t xml:space="preserve">Holding into 20 May open</w:t>
            </w:r>
          </w:p>
        </w:tc>
      </w:tr>
      <w:t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19 May (t-1)</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Trade 3A</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LONG</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No bounce yet</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w:t>
            </w:r>
          </w:p>
        </w:tc>
        <w:tc>
          <w:tcPr>
            <w:tcW w:type="dxa" w:w="15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jc w:val="left"/>
            </w:pPr>
            <w:r>
              <w:rPr>
                <w:sz w:val="20"/>
                <w:szCs w:val="20"/>
              </w:rPr>
              <w:t xml:space="preserve"/>
            </w:r>
          </w:p>
        </w:tc>
      </w:tr>
    </w:tbl>
    <w:p>
      <w:pPr>
        <w:pStyle w:val="Heading2"/>
        <w:spacing w:after="100" w:before="180"/>
      </w:pPr>
      <w:r>
        <w:rPr>
          <w:b/>
          <w:bCs/>
          <w:color w:val="2E75B6"/>
          <w:sz w:val="24"/>
          <w:szCs w:val="24"/>
        </w:rPr>
        <w:t xml:space="preserve">§21d  Aggregate — What is working</w:t>
      </w:r>
    </w:p>
    <w:p>
      <w:pPr>
        <w:pStyle w:val="ListParagraph"/>
        <w:numPr>
          <w:ilvl w:val="0"/>
          <w:numId w:val="2"/>
        </w:numPr>
        <w:spacing w:after="60"/>
      </w:pPr>
      <w:r>
        <w:rPr>
          <w:sz w:val="22"/>
          <w:szCs w:val="22"/>
        </w:rPr>
        <w:t xml:space="preserve">Trigger rate by strategy (over 5 sessions): Trade 1 = 4 of 5 issued triggered (80%); Trade 2 = 4 of 5 with directionally appropriate gate (80%); Trade 3A = 1 of 5 triggered (20%) — pullback opportunities were scarce in a fast-moving market.</w:t>
      </w:r>
    </w:p>
    <w:p>
      <w:pPr>
        <w:pStyle w:val="ListParagraph"/>
        <w:numPr>
          <w:ilvl w:val="0"/>
          <w:numId w:val="2"/>
        </w:numPr>
        <w:spacing w:after="60"/>
      </w:pPr>
      <w:r>
        <w:rPr>
          <w:sz w:val="22"/>
          <w:szCs w:val="22"/>
        </w:rPr>
        <w:t xml:space="preserve">Mean R outcome (closed positions only): Trade 1 = +1.23R; Trade 2 = +0.78R; Trade 3A = −1.0R (only 1 sample).</w:t>
      </w:r>
    </w:p>
    <w:p>
      <w:pPr>
        <w:pStyle w:val="ListParagraph"/>
        <w:numPr>
          <w:ilvl w:val="0"/>
          <w:numId w:val="2"/>
        </w:numPr>
        <w:spacing w:after="60"/>
      </w:pPr>
      <w:r>
        <w:rPr>
          <w:sz w:val="22"/>
          <w:szCs w:val="22"/>
        </w:rPr>
        <w:t xml:space="preserve">TP1 / TP2 / TP3 hit rates (closed positions): Trade 1 — TP1 = 75% (3/4), TP2 = 50% (2/4), TP3 = 25% (1/4). Trade 2 — TP1 = 75%, TP2 = 50%, TP3 = 25%. Trade 3A — single sample, no TP hit.</w:t>
      </w:r>
    </w:p>
    <w:p>
      <w:pPr>
        <w:pStyle w:val="ListParagraph"/>
        <w:numPr>
          <w:ilvl w:val="0"/>
          <w:numId w:val="2"/>
        </w:numPr>
        <w:spacing w:after="60"/>
      </w:pPr>
      <w:r>
        <w:rPr>
          <w:sz w:val="22"/>
          <w:szCs w:val="22"/>
        </w:rPr>
        <w:t xml:space="preserve">Pattern: trend-day strategies (Trade 1 and Trade 2 trend) outperformed during this directional 5-day window. The single Trade 3A signal stopped out at the post-top day; on a 5-day sample of trending markets, momentum-pullback trades had limited opportunity to set up. The 20 May Trade 3A is the first opportunity in 4 sessions where the demand zone is meaningfully tested.</w:t>
      </w:r>
    </w:p>
    <w:p>
      <w:pPr>
        <w:pStyle w:val="ListParagraph"/>
        <w:numPr>
          <w:ilvl w:val="0"/>
          <w:numId w:val="2"/>
        </w:numPr>
        <w:spacing w:after="60"/>
      </w:pPr>
      <w:r>
        <w:rPr>
          <w:sz w:val="22"/>
          <w:szCs w:val="22"/>
        </w:rPr>
        <w:t xml:space="preserve">Verbatim limitations statement: 'Five-session windows are too small for statistical claims. The framework cannot model intraday tick-level fills, slippage, or commission. These limitations apply to every backtest output produced.'</w:t>
      </w:r>
    </w:p>
    <w:p>
      <w:pPr>
        <w:spacing w:after="80" w:before="0"/>
        <w:jc w:val="left"/>
      </w:pPr>
      <w:r>
        <w:rPr>
          <w:sz w:val="22"/>
          <w:szCs w:val="22"/>
        </w:rPr>
        <w:t xml:space="preserve"/>
      </w:r>
    </w:p>
    <w:p>
      <w:pPr>
        <w:spacing w:after="80" w:before="0"/>
        <w:jc w:val="center"/>
      </w:pPr>
      <w:r>
        <w:rPr>
          <w:i/>
          <w:iCs/>
          <w:sz w:val="22"/>
          <w:szCs w:val="22"/>
        </w:rPr>
        <w:t xml:space="preserve">End of report.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595959"/>
        <w:sz w:val="18"/>
        <w:szCs w:val="18"/>
      </w:rPr>
      <w:t xml:space="preserve">S&amp;P 500 Daily Report  │  20 May 2026  │  Senior US Equity Strategist</w:t>
    </w:r>
    <w:r>
      <w:rPr>
        <w:color w:val="595959"/>
        <w:sz w:val="18"/>
        <w:szCs w:val="18"/>
      </w:rPr>
      <w:t xml:space="preserv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 500 (Cash Index) Report — Daily: 20 May 2026</dc:title>
  <dc:creator>Senior US Equity Strategist</dc:creator>
  <cp:lastModifiedBy>Un-named</cp:lastModifiedBy>
  <cp:revision>1</cp:revision>
  <dcterms:created xsi:type="dcterms:W3CDTF">2026-05-19T22:06:18.261Z</dcterms:created>
  <dcterms:modified xsi:type="dcterms:W3CDTF">2026-05-19T22:06:18.277Z</dcterms:modified>
</cp:coreProperties>
</file>

<file path=docProps/custom.xml><?xml version="1.0" encoding="utf-8"?>
<Properties xmlns="http://schemas.openxmlformats.org/officeDocument/2006/custom-properties" xmlns:vt="http://schemas.openxmlformats.org/officeDocument/2006/docPropsVTypes"/>
</file>