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S&amp;P 500 Report — Daily: 28 July 2026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With reference to: USDX · VIX · DAX 40</w:t>
      </w:r>
    </w:p>
    <w:p>
      <w:pPr>
        <w:pBdr>
          <w:bottom w:val="single" w:color="1F3864" w:sz="6"/>
        </w:pBdr>
        <w:spacing w:after="100"/>
      </w:pPr>
    </w:p>
    <w:p>
      <w:pPr>
        <w:spacing w:after="60"/>
      </w:pPr>
      <w:r>
        <w:rPr>
          <w:color w:val="555555"/>
          <w:sz w:val="18"/>
          <w:szCs w:val="18"/>
        </w:rPr>
        <w:t xml:space="preserve">Prepared by: </w:t>
      </w:r>
      <w:r>
        <w:rPr>
          <w:b/>
          <w:bCs/>
          <w:color w:val="555555"/>
          <w:sz w:val="18"/>
          <w:szCs w:val="18"/>
        </w:rPr>
        <w:t xml:space="preserve">Senior US Equity Strategist</w:t>
      </w:r>
      <w:r>
        <w:rPr>
          <w:color w:val="555555"/>
          <w:sz w:val="18"/>
          <w:szCs w:val="18"/>
        </w:rPr>
        <w:t xml:space="preserve">   ·   Basis date (last corroborated session): </w:t>
      </w:r>
      <w:r>
        <w:rPr>
          <w:b/>
          <w:bCs/>
          <w:color w:val="555555"/>
          <w:sz w:val="18"/>
          <w:szCs w:val="18"/>
        </w:rPr>
        <w:t xml:space="preserve">Friday 24 July 2026 close</w:t>
      </w:r>
      <w:r>
        <w:rPr>
          <w:color w:val="555555"/>
          <w:sz w:val="18"/>
          <w:szCs w:val="18"/>
        </w:rPr>
        <w:t xml:space="preserve">   ·   America/New_York</w:t>
      </w:r>
    </w:p>
    <w:p>
      <w:pPr>
        <w:shd w:fill="FFF6E5" w:val="clear"/>
        <w:spacing w:after="120"/>
      </w:pPr>
      <w:r>
        <w:rPr>
          <w:i/>
          <w:iCs/>
          <w:color w:val="8A5A00"/>
          <w:sz w:val="17"/>
          <w:szCs w:val="17"/>
        </w:rPr>
        <w:t xml:space="preserve">  Data note: The container network could not reach the approved live price stack (Stooq / Twelve Data / Investing.com APIs were blocked at the egress layer). Session closes for 20–24 Jul 2026 are corroborated across multiple independent sources (official index publisher, wire and bank desks). Intraday Open/High/Low for 20–24 Jul are single-source — indicative only and are flagged as such throughout; per the run instruction, corroboration was relaxed and strategies were NOT suppressed. The daily-open anchor was overridden for this run (see §20).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1 · Executive Snapshot</w:t>
      </w:r>
    </w:p>
    <w:p>
      <w:pPr>
        <w:spacing w:after="120"/>
      </w:pPr>
      <w:r>
        <w:t xml:space="preserve">The S&amp;P 500 cash index closed at 7,411.98 on Friday 24 July 2026 (+0.05%), finishing the week almost exactly where it began after a volatile round-trip: a Tuesday surge to 7,509.20 was fully unwound by Thursday's 1.21% slide — the sharpest single session in a month — before Friday steadied. The consensus current level is 7,412 (range 7,408–7,412), with a balanced-to-cautious tone. Three drivers dominate: (i) a chip-led capex scare that pulled growth names lower into week-end even as the broad index held; (ii) oil back above $100 Brent on the US–Iran conflict, lifting yields and reviving the inflation/rate watch; and (iii) resilient mega-cap earnings optimism heading into a very heavy reporting week. The short-term technical read is Indecision within a range: RSI2 finished at 3.9 (deeply oversold) after a whippy five-session sequence, and price sits just below the daily pivot. The medium-term (25-session) regime classifies as Ranging / MidRange / Neutral, and the Kaufman efficiency read is Ranging — Neutral (KER −0.06), confirming the absence of a durable trend. The single most important watch item is the Federal Reserve policy decision on Wednesday 29 July, which lands mid-holding-period for every trade card in §21.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1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Asset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Price basis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index level (continuous), calculated during NYSE/NASDAQ hours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Delivery / session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Regular cash session 09:30–16:00 ET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Index points · USD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Tick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0.01 point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As-of date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Report date 28 July 2026; last corroborated session Fri 24 Jul 2026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As-of timezone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America/New_York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sessions (execution block); 25 sessions (regime block)</w:t>
            </w:r>
          </w:p>
        </w:tc>
      </w:tr>
    </w:tbl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000"/>
        <w:gridCol w:w="1700"/>
        <w:gridCol w:w="1900"/>
        <w:gridCol w:w="176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Consensus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7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7,411.98 pts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7,408.30 – 7,411.98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Cash close, Fri 24 Jul</w:t>
            </w:r>
          </w:p>
        </w:tc>
        <w:tc>
          <w:tcPr>
            <w:tcW w:type="dxa" w:w="1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Balanced / cautious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Rationale: The Friday cash close of 7,411.98 is corroborated by the official index publisher and multiple independent desks within the ±0.10-pt equity tolerance, so the current-level read is high confidence. Tone is balanced rather than directional because the week ended flat with offsetting forces — chip-capex de-rating against mega-cap earnings resilience — and price is pinned mid-range.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500"/>
        <w:gridCol w:w="1500"/>
        <w:gridCol w:w="1400"/>
        <w:gridCol w:w="1560"/>
        <w:gridCol w:w="1700"/>
        <w:gridCol w:w="17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Raw close</w:t>
            </w:r>
          </w:p>
        </w:tc>
        <w:tc>
          <w:tcPr>
            <w:tcW w:type="dxa" w:w="15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Normalized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DJI (via FRED)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 index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+0.05% headline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TheStreet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Session recap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Yahoo Finance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Delayed quote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Saxo desk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7,509.20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7,509.20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close +0.89%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Capis / Vantage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7,408.30</w:t>
            </w:r>
          </w:p>
        </w:tc>
        <w:tc>
          <w:tcPr>
            <w:tcW w:type="dxa" w:w="1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7,408.30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close −1.21%</w:t>
            </w:r>
          </w:p>
        </w:tc>
      </w:tr>
    </w:tbl>
    <w:p>
      <w:pPr>
        <w:shd w:fill="FFF6E5" w:val="clear"/>
        <w:spacing w:after="120"/>
      </w:pPr>
      <w:r>
        <w:rPr>
          <w:i/>
          <w:iCs/>
          <w:color w:val="8A5A00"/>
          <w:sz w:val="17"/>
          <w:szCs w:val="17"/>
        </w:rPr>
        <w:t xml:space="preserve">  Six independent observations meet the minimum source count. All are close-price evidence. Intraday Open/High/Low for the 20–24 Jul block are single-source (indicative) and appear flagged in §6.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5 · Consensus Build Explanation</w:t>
      </w:r>
    </w:p>
    <w:p>
      <w:pPr>
        <w:spacing w:after="120"/>
      </w:pPr>
      <w:r>
        <w:t xml:space="preserve">All observations are already on the same specification (cash index, USD, index points, regular-session close), so no FX, freight, or spec normalization was required. The consensus is the Friday 24 July cash close, weighted by recency and source credibility (weighted-median method): the official publisher print anchors the number and three independent desks corroborate it to the exact point, comfortably inside the ±0.10-pt equity tolerance. No observation was excluded on staleness within the 5-day window. Earlier-week closes (Mon 7,443.28; Tue 7,509.20; Wed 7,498.96; Thu 7,408.30) are used for the technical sequence, not the current-level consensus. The final number is the most defensible because it is a corroborated official settlement rather than a derived or CFD-proxy value.</w:t>
      </w:r>
    </w:p>
    <w:p>
      <w:pPr>
        <w:pStyle w:val="Heading1"/>
        <w:spacing w:after="90" w:before="220"/>
      </w:pPr>
      <w:r>
        <w:rPr>
          <w:b/>
          <w:bCs/>
          <w:color w:val="1B5E20"/>
          <w:sz w:val="26"/>
          <w:szCs w:val="26"/>
        </w:rPr>
        <w:t xml:space="preserve">6 · Validated OHLC + RSI2 Table (5-Day)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100"/>
        <w:gridCol w:w="1080"/>
        <w:gridCol w:w="1080"/>
        <w:gridCol w:w="1080"/>
        <w:gridCol w:w="1120"/>
        <w:gridCol w:w="700"/>
        <w:gridCol w:w="1300"/>
        <w:gridCol w:w="1900"/>
      </w:tblGrid>
      <w:tr>
        <w:trPr>
          <w:tblHeader/>
        </w:trPr>
        <w:tc>
          <w:tcPr>
            <w:tcW w:type="dxa" w:w="11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8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08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8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12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7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13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20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7,549.00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7,557.00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7,434.00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7,443.28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5"/>
                <w:szCs w:val="15"/>
              </w:rPr>
              <w:t xml:space="preserve">Close corrob.; O/H/L indic.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21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7,455.00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7,515.00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7,451.00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7,509.20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39.7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5"/>
                <w:szCs w:val="15"/>
              </w:rPr>
              <w:t xml:space="preserve">Close corrob.; O/H/L indic.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22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7,512.00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7,540.00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7,470.00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7,498.96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86.6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5"/>
                <w:szCs w:val="15"/>
              </w:rPr>
              <w:t xml:space="preserve">Close corrob.; O/H/L indic.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23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7,490.00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7,500.00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7,370.00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7,408.30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5"/>
                <w:szCs w:val="15"/>
              </w:rPr>
              <w:t xml:space="preserve">Close corrob.; O/H/L indic.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24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7,409.00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7,434.00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7,386.00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7,411.98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3.9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A5A00"/>
                <w:sz w:val="15"/>
                <w:szCs w:val="15"/>
              </w:rPr>
              <w:t xml:space="preserve">Close corrob.; O/H/L indic.</w:t>
            </w:r>
          </w:p>
        </w:tc>
      </w:tr>
    </w:tbl>
    <w:p>
      <w:pPr>
        <w:shd w:fill="FFF6E5" w:val="clear"/>
        <w:spacing w:after="120"/>
      </w:pPr>
      <w:r>
        <w:rPr>
          <w:i/>
          <w:iCs/>
          <w:color w:val="8A5A00"/>
          <w:sz w:val="17"/>
          <w:szCs w:val="17"/>
        </w:rPr>
        <w:t xml:space="preserve">  Validation outcome: Close = CORROBORATED (≥2 independent sources within ±0.10 pt). Open/High/Low = SINGLE-SOURCE — indicative only; these cannot be used as definitive pivot inputs, and the daily-pivot table in §11 therefore carries the single-source-indicative flag. RSI2 (period 2, fixed) computed from the corroborated close column.</w:t>
      </w:r>
    </w:p>
    <w:p>
      <w:pPr>
        <w:pStyle w:val="Heading1"/>
        <w:spacing w:after="90" w:before="220"/>
      </w:pPr>
      <w:r>
        <w:rPr>
          <w:b/>
          <w:bCs/>
          <w:color w:val="1B5E20"/>
          <w:sz w:val="26"/>
          <w:szCs w:val="26"/>
        </w:rPr>
        <w:t xml:space="preserve">7 · Charts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Chart 1 — 5-session candlestick (index points).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Chart 2 — Distance from open, each session re-based to zero.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bCs/>
          <w:sz w:val="20"/>
          <w:szCs w:val="20"/>
        </w:rPr>
        <w:t xml:space="preserve">Chart 3 — 25-session structure with close overlay.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0"/>
          <w:szCs w:val="20"/>
        </w:rPr>
        <w:t xml:space="preserve">Chart 4 — VOLator comparative scaled volatility (S&amp;P 500 vs VIX, DAX).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bCs/>
          <w:sz w:val="20"/>
          <w:szCs w:val="20"/>
        </w:rPr>
        <w:t xml:space="preserve">Chart 5 — Floor pivots (weekly · monthly) with two weekly candles.</w:t>
      </w:r>
    </w:p>
    <w:p>
      <w:pPr>
        <w:spacing w:after="120" w:before="80"/>
        <w:jc w:val="center"/>
      </w:pPr>
      <w:r>
        <w:drawing>
          <wp:inline distT="0" distB="0" distL="0" distR="0">
            <wp:extent cx="512445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220"/>
      </w:pPr>
      <w:r>
        <w:rPr>
          <w:b/>
          <w:bCs/>
          <w:color w:val="1B5E20"/>
          <w:sz w:val="26"/>
          <w:szCs w:val="26"/>
        </w:rPr>
        <w:t xml:space="preserve">8 · Short-Term Technical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 20 Jul (see §6): </w:t>
      </w:r>
      <w:r>
        <w:t xml:space="preserve">Bearish. A wide-range down session closing near the lower third of range; RSI2 collapsed to 22 as the index gave back an early gain to finish −0.19%. Opening-strength-into-weakness signals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Tue 21 Jul (see §6): </w:t>
      </w:r>
      <w:r>
        <w:t xml:space="preserve">Neutral/up. A strong +0.89% rebound closing near the highs, snapping a three-day losing streak; RSI2 lifted to ~40. Chip-led, narrow-breadth advance.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Wed 22 Jul (see §6): </w:t>
      </w:r>
      <w:r>
        <w:t xml:space="preserve">Neutral. A small −0.14% inside-type session; RSI2 spiked to 86.6 reflecting the two-day up-thrust in the very-fast oscillator. Momentum stretched short-term.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Thu 23 Jul (see §6): </w:t>
      </w:r>
      <w:r>
        <w:t xml:space="preserve">Bearish. The decisive session — −1.21%, the worst in a month, closing on the lows with RSI2 pinned at 0. Alphabet capex guidance and a Tesla miss, plus oil above $100, drove the reversal.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Fri 24 Jul (see §6): </w:t>
      </w:r>
      <w:r>
        <w:t xml:space="preserve">Neutral. A flat +0.05% stabilization inside Thursday's range; RSI2 only ticked to 3.9, i.e. still deeply oversold — a pause, not yet a turn.</w:t>
      </w:r>
    </w:p>
    <w:p>
      <w:pPr>
        <w:spacing w:after="120"/>
      </w:pPr>
      <w:r>
        <w:t xml:space="preserve">Sequence assessment: Indecision. Evidence — high bar-to-bar overlap (overlap ratio 0.43), low directional persistence (0.22), and a close that finished the week essentially unchanged after a two-way 140-point swing. The deeply oversold RSI2 (3.9) alongside a flat close is the classic compression-after-flush signature rather than a clean continuation.</w:t>
      </w:r>
    </w:p>
    <w:p>
      <w:pPr>
        <w:spacing w:after="120"/>
      </w:pPr>
      <w:r>
        <w:t xml:space="preserve">Nearest support / resistance (from the validated 5-day structure): support at 7,386 then 7,370 (Fri/Thu lows); resistance at 7,434 then 7,540 (Fri high / Wed high).</w:t>
      </w:r>
    </w:p>
    <w:p>
      <w:pPr>
        <w:spacing w:after="120"/>
      </w:pPr>
      <w:r>
        <w:rPr>
          <w:b/>
          <w:bCs/>
        </w:rPr>
        <w:t xml:space="preserve">Judgement label: </w:t>
      </w:r>
      <w:r>
        <w:rPr>
          <w:b/>
          <w:bCs/>
          <w:color w:val="1B5E20"/>
        </w:rPr>
        <w:t xml:space="preserve">Indecision.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This is consistent with the §9 Ranging regime — no conflict.</w:t>
      </w:r>
    </w:p>
    <w:p>
      <w:pPr>
        <w:pStyle w:val="Heading1"/>
        <w:spacing w:after="90" w:before="220"/>
      </w:pPr>
      <w:r>
        <w:rPr>
          <w:b/>
          <w:bCs/>
          <w:color w:val="1B5E20"/>
          <w:sz w:val="26"/>
          <w:szCs w:val="26"/>
        </w:rPr>
        <w:t xml:space="preserve">9 · Medium-Term Regime &amp; VOLator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Regime classification: </w:t>
      </w:r>
      <w:r>
        <w:t xml:space="preserve">Ranging. Overlap ratio 0.43, directional persistence 0.22, median RSI2 33.3, range position MidRange, VOLator slope ≈ flat (marginally negative on the raw series, marginally positive on the scaled 10-obs fit).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Bias: </w:t>
      </w:r>
      <w:r>
        <w:t xml:space="preserve">Neutral (net 25-session direction bias +0.04 — negligible).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VOLator readings: </w:t>
      </w:r>
      <w:r>
        <w:t xml:space="preserve">S&amp;P 500 scaled volatility sits near its 0 midpoint and is essentially flat-to-contracting; VIX fell across the week (17.05 on 21 Jul, 18.58 on 24 Jul) — fear is not expanding. DAX volatility is contained. All counters sit near midpoint.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Preferred trade protocol: </w:t>
      </w:r>
      <w:r>
        <w:t xml:space="preserve">Range protocol — fade extremes toward the mean / pivot; reduced conviction on directional bets. Short-term Indecision (§8) and medium-term Ranging agree, so no conflict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Kaufman confirmation: </w:t>
      </w:r>
      <w:r>
        <w:t xml:space="preserve">KER −0.06, class Ranging — Neutral. |KER| 0.06 is below the 0.13 trend threshold, so Kaufman AGREES with the Ranging regime. Consolidated regime label: RANGE (both the KER gate and the VOLator gate are satisfied).</w:t>
      </w:r>
    </w:p>
    <w:p>
      <w:pPr>
        <w:pStyle w:val="Heading1"/>
        <w:spacing w:after="90" w:before="220"/>
      </w:pPr>
      <w:r>
        <w:rPr>
          <w:b/>
          <w:bCs/>
          <w:color w:val="1B5E20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500"/>
        <w:gridCol w:w="1300"/>
        <w:gridCol w:w="3260"/>
        <w:gridCol w:w="1500"/>
        <w:gridCol w:w="1800"/>
      </w:tblGrid>
      <w:tr>
        <w:trPr>
          <w:tblHeader/>
        </w:trPr>
        <w:tc>
          <w:tcPr>
            <w:tcW w:type="dxa" w:w="15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3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326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5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 (mild)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firmer dollar (fifth straight up session, ~100.6–101.0) is a mild translation headwind for multinational earnings.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Contradicts (mild)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Slight drag on the risk-on case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VIX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Falling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Falling implied vol removes a risk-off impulse; fear contracting is supportive for equities holding a range.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Range-hold / dip-buy support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DAX 40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European large-cap firmness signals a common global risk factor that is not deteriorating.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Confirms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Cross-market risk appetite intact</w:t>
            </w:r>
          </w:p>
        </w:tc>
      </w:tr>
    </w:tbl>
    <w:p>
      <w:pPr>
        <w:spacing w:after="120"/>
      </w:pPr>
      <w:r>
        <w:rPr>
          <w:b/>
          <w:bCs/>
        </w:rPr>
        <w:t xml:space="preserve">Aggregate cross-asset: MIXED — </w:t>
      </w:r>
      <w:r>
        <w:t xml:space="preserve">two counters confirm (VIX, DAX) and one mildly contradicts (USDX). Under the aggregation rule any co-occurrence of confirm and contradict resolves to MIXED. The USDX headwind is noted, not suppressed.</w:t>
      </w:r>
    </w:p>
    <w:p>
      <w:pPr>
        <w:pStyle w:val="Heading1"/>
        <w:spacing w:after="90" w:before="220"/>
      </w:pPr>
      <w:r>
        <w:rPr>
          <w:b/>
          <w:bCs/>
          <w:color w:val="1B5E20"/>
          <w:sz w:val="26"/>
          <w:szCs w:val="26"/>
        </w:rPr>
        <w:t xml:space="preserve">11 · Floor Pivot Analysis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Daily pivots (from prior corroborated session Fri 24 Jul H/L/C) — single-source-indicative flag applies because the prior-session H/L are single-source:</w:t>
      </w:r>
    </w:p>
    <w:tbl>
      <w:tblPr>
        <w:tblW w:type="dxa" w:w="7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600"/>
        <w:gridCol w:w="1900"/>
        <w:gridCol w:w="1600"/>
        <w:gridCol w:w="1900"/>
      </w:tblGrid>
      <w:tr>
        <w:trPr>
          <w:tblHeader/>
        </w:trPr>
        <w:tc>
          <w:tcPr>
            <w:tcW w:type="dxa" w:w="16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6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7,579.32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7,387.32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7,531.32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7,362.66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7,483.32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7,339.32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7,458.66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7,291.32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7,435.32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7,243.32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7,410.66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Weekly pivots (from prior week 13–17 Jul H/L/C) — H/L single-source-indicative:</w:t>
      </w:r>
    </w:p>
    <w:tbl>
      <w:tblPr>
        <w:tblW w:type="dxa" w:w="7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600"/>
        <w:gridCol w:w="1900"/>
        <w:gridCol w:w="1600"/>
        <w:gridCol w:w="1900"/>
      </w:tblGrid>
      <w:tr>
        <w:trPr>
          <w:tblHeader/>
        </w:trPr>
        <w:tc>
          <w:tcPr>
            <w:tcW w:type="dxa" w:w="16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6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7,747.38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7,511.54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7,688.42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7,479.50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7,629.46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7,452.58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7,597.42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7,393.62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7,570.50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7,334.66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7,538.46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Monthly pivots (from June H/L/C):</w:t>
      </w:r>
    </w:p>
    <w:tbl>
      <w:tblPr>
        <w:tblW w:type="dxa" w:w="7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600"/>
        <w:gridCol w:w="1900"/>
        <w:gridCol w:w="1600"/>
        <w:gridCol w:w="1900"/>
      </w:tblGrid>
      <w:tr>
        <w:trPr>
          <w:tblHeader/>
        </w:trPr>
        <w:tc>
          <w:tcPr>
            <w:tcW w:type="dxa" w:w="16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6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900"/>
            <w:shd w:fill="1B5E2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8,471.35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7,336.39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8,187.61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7,173.41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7,903.87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7,052.65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7,740.89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S4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6,768.91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7,620.13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6,485.17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7,457.15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 narrative: </w:t>
      </w:r>
      <w:r>
        <w:t xml:space="preserve">The 7,411.98 close sits fractionally above the daily pivot (7,410.66) but below the weekly pivot (7,538.46) and just below the monthly pivot (7,457.15). Price is caught between the daily P and the monthly P — a compression zone. Daily R1 7,435.32 and monthly P 7,457.15 cap the upside; daily S1 7,387.32 and weekly S4 7,393.62 form a confluence support shelf ~7,387–7,394.</w:t>
      </w:r>
    </w:p>
    <w:p>
      <w:pPr>
        <w:shd w:fill="FFF6E5" w:val="clear"/>
        <w:spacing w:after="120"/>
      </w:pPr>
      <w:r>
        <w:rPr>
          <w:i/>
          <w:iCs/>
          <w:color w:val="8A5A00"/>
          <w:sz w:val="17"/>
          <w:szCs w:val="17"/>
        </w:rPr>
        <w:t xml:space="preserve">  Chart 5 (§7) renders the weekly and monthly levels around the last two weekly candles. All daily and weekly pivots carry the single-source-indicative flag because their prior-period highs and lows are single-source; §21 reads this flag directly.</w:t>
      </w:r>
    </w:p>
    <w:p>
      <w:pPr>
        <w:pStyle w:val="Heading1"/>
        <w:spacing w:after="90" w:before="220"/>
      </w:pPr>
      <w:r>
        <w:rPr>
          <w:b/>
          <w:bCs/>
          <w:color w:val="8A5A00"/>
          <w:sz w:val="26"/>
          <w:szCs w:val="26"/>
        </w:rPr>
        <w:t xml:space="preserve">12 · Key Market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 / demand — price-supportive (cyclical). </w:t>
      </w:r>
      <w:r>
        <w:t xml:space="preserve">A heavy mega-cap week (Apple, Microsoft, Meta, plus Visa, Exxon, Ford, PayPal) with constructive pre-reads (e.g., positive ad-checks into Meta) underpins the resilience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Semiconductor capex — price-negative (cyclical). </w:t>
      </w:r>
      <w:r>
        <w:t xml:space="preserve">Rising Big-Tech and chip capital-expenditure guidance triggered a growth de-rating and the Thursday flush; the 'sell chips, buy software' rotation reappeared into Friday.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Energy / inflation — price-negative (cyclical, escalating). </w:t>
      </w:r>
      <w:r>
        <w:t xml:space="preserve">Brent back above $100 and WTI near $85 on the US–Iran conflict and Gulf tanker disruption lifted the 10-year yield to a two-month high, reviving rate-hike speculation.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/ rates — watch item (structural). </w:t>
      </w:r>
      <w:r>
        <w:t xml:space="preserve">The FOMC decides Wednesday 29 Jul; consensus is a hold, but a minority price a hike given energy-driven inflation. This is the dominant near-term catalyst (see §13d).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Macro / FX — mildly price-negative (cyclical). </w:t>
      </w:r>
      <w:r>
        <w:t xml:space="preserve">A fifth straight up day for the dollar and USDJPY above 163 tighten global financial conditions at the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Substitution / breadth — neutral-to-negative. </w:t>
      </w:r>
      <w:r>
        <w:t xml:space="preserve">Equal-weight S&amp;P lagged the cap-weight index all week; narrow breadth leaves the tape dependent on a few mega-caps.</w:t>
      </w:r>
    </w:p>
    <w:p>
      <w:pPr>
        <w:pStyle w:val="Heading1"/>
        <w:spacing w:after="90" w:before="220"/>
      </w:pPr>
      <w:r>
        <w:rPr>
          <w:b/>
          <w:bCs/>
          <w:color w:val="8A5A00"/>
          <w:sz w:val="26"/>
          <w:szCs w:val="26"/>
        </w:rPr>
        <w:t xml:space="preserve">13 · Sentiment, News &amp; Calendar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13a · Per-Article Sentiment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360"/>
        <w:gridCol w:w="900"/>
        <w:gridCol w:w="2760"/>
        <w:gridCol w:w="1150"/>
        <w:gridCol w:w="1150"/>
        <w:gridCol w:w="2040"/>
      </w:tblGrid>
      <w:tr>
        <w:trPr>
          <w:tblHeader/>
        </w:trPr>
        <w:tc>
          <w:tcPr>
            <w:tcW w:type="dxa" w:w="136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76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Headline (paraphrased)</w:t>
            </w:r>
          </w:p>
        </w:tc>
        <w:tc>
          <w:tcPr>
            <w:tcW w:type="dxa" w:w="11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Class.</w:t>
            </w:r>
          </w:p>
        </w:tc>
        <w:tc>
          <w:tcPr>
            <w:tcW w:type="dxa" w:w="11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204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Derivation quote (≤15 words)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CNBC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Chip sell-off, Iran fears keep index flat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2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“S&amp;P 500 ended near flat on Friday”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TheStreet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Nasdaq, Russell close lower on capex fears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“tech names faced a downturn… rising capital expenditures”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Saxo (desk)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 Jul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Chips cool vol, oil lifts yields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Mixed</w:t>
            </w:r>
          </w:p>
        </w:tc>
        <w:tc>
          <w:tcPr>
            <w:tcW w:type="dxa" w:w="2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“low-volatility bull… oil reignites the inflation watch”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Capis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S&amp;P clusters with second &gt;1% loss in July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Bearish</w:t>
            </w:r>
          </w:p>
        </w:tc>
        <w:tc>
          <w:tcPr>
            <w:tcW w:type="dxa" w:w="2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“second loss for the month of more than −1%”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Vantage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Index steadies after sharpest slide in a month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Neutral</w:t>
            </w:r>
          </w:p>
        </w:tc>
        <w:tc>
          <w:tcPr>
            <w:tcW w:type="dxa" w:w="2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“the SP500 chart had stopped falling”</w:t>
            </w:r>
          </w:p>
        </w:tc>
      </w:tr>
      <w:tr>
        <w:tc>
          <w:tcPr>
            <w:tcW w:type="dxa" w:w="1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Trading Economics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Jul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Indices mixed; earnings and rate outlook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Mixed</w:t>
            </w:r>
          </w:p>
        </w:tc>
        <w:tc>
          <w:tcPr>
            <w:tcW w:type="dxa" w:w="20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“equity indices closed mixed on Friday”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13b · Aggregate Sentiment</w:t>
      </w:r>
    </w:p>
    <w:p>
      <w:pPr>
        <w:spacing w:after="120"/>
      </w:pPr>
      <w:r>
        <w:t xml:space="preserve">Counts: 2 Bearish (1 media, 1 trade press), 2 Neutral (1 media, 1 trade press), 2 Mixed (1 institutional, 1 media) = Mixed / balanced with a mild bearish lean. Numeric tilt (source-class-weighted): −0.15. Reported as Mixed (tilt = −0.15). Divergence flag: sentiment's mild-bearish lean is consistent with the Ranging/Neutral regime and the flat price — no divergence. This tilt feeds §21 directional conviction.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13c · News Calendar — Previous Period (20–24 Jul)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50"/>
        <w:gridCol w:w="2400"/>
        <w:gridCol w:w="2160"/>
        <w:gridCol w:w="1000"/>
        <w:gridCol w:w="2550"/>
      </w:tblGrid>
      <w:tr>
        <w:trPr>
          <w:tblHeader/>
        </w:trPr>
        <w:tc>
          <w:tcPr>
            <w:tcW w:type="dxa" w:w="12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16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100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5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S&amp;P 500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 20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Iran conflict headlines / defence rotation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Ongoing US–Iran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Early gain sold; index −0.19%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21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Chip-led rebound (Micron, Sandisk)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3-day losing streak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+0.89% snap-back to 7,509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22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Oil 4th straight gain; 10Y to 2-mo high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Brent &gt;$100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Inside day −0.14%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23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Alphabet capex up; Tesla miss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Earnings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−1.21%, worst in a month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24 Jul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Apple +3.5%; peace-talk headlines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Pakistan/Iran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</w:t>
            </w:r>
          </w:p>
        </w:tc>
        <w:tc>
          <w:tcPr>
            <w:tcW w:type="dxa" w:w="2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Flat +0.05% stabilization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13d · News Calendar — Upcoming Period (next 5 sessions from 28 Jul)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50"/>
        <w:gridCol w:w="2450"/>
        <w:gridCol w:w="2010"/>
        <w:gridCol w:w="1000"/>
        <w:gridCol w:w="2650"/>
      </w:tblGrid>
      <w:tr>
        <w:trPr>
          <w:tblHeader/>
        </w:trPr>
        <w:tc>
          <w:tcPr>
            <w:tcW w:type="dxa" w:w="12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01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100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650"/>
            <w:shd w:fill="8A5A0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(beat / miss)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Tue 28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Mega-cap earnings begin (Visa, etc.)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Consensus mixed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Beat → range-top test; miss → S1 retest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29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FOMC rate decision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Hold expected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Hawkish surprise → break below monthly P; dovish → toward weekly P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Wed 29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Apple / Meta earnings (after close)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 bar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Guidance sets mega-cap tone into month-end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Thu 30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Microsoft earnings; jobless claims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Blackout ends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Cloud/AI capex read-through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Fri 31 Jul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PCE (Fed's preferred gauge)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3.4% y/y prior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Hot print → yields up, equities pressured</w:t>
            </w:r>
          </w:p>
        </w:tc>
      </w:tr>
    </w:tbl>
    <w:p>
      <w:pPr>
        <w:spacing w:after="120"/>
      </w:pPr>
      <w:r>
        <w:rPr>
          <w:b/>
          <w:bCs/>
        </w:rPr>
        <w:t xml:space="preserve">Highest-impact upcoming event: </w:t>
      </w:r>
      <w:r>
        <w:rPr>
          <w:b/>
          <w:bCs/>
        </w:rPr>
        <w:t xml:space="preserve">the FOMC decision on Wednesday 29 July — a hawkish surprise (or a hike) would likely push the index through the monthly pivot (7,457) support cluster and invalidate the range-hold base case, while a clear hold-with-easing-bias would open the weekly pivot (7,538) as the mean-reversion target.</w:t>
      </w:r>
    </w:p>
    <w:p>
      <w:pPr>
        <w:pStyle w:val="Heading1"/>
        <w:spacing w:after="90" w:before="220"/>
      </w:pPr>
      <w:r>
        <w:rPr>
          <w:b/>
          <w:bCs/>
          <w:color w:val="8A5A00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Rates &amp; policy: </w:t>
      </w:r>
      <w:r>
        <w:t xml:space="preserve">FOMC on 29 Jul; blackout runs through 30 Jul. Energy-driven inflation has revived hike speculation; the 10-year yield sits at a two-month high. Cross-referencing the §10 VIX read (falling), the options market is not pricing acute stress into the meeting.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Inflation: </w:t>
      </w:r>
      <w:r>
        <w:t xml:space="preserve">Core PCE printed 3.4% y/y (May), its highest since late 2023, and the next release lands Fri 31 Jul — price-negative for equities if it accelerates.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Liquidity &amp; FX: </w:t>
      </w:r>
      <w:r>
        <w:t xml:space="preserve">Per §10, USDX is rising (fifth straight session) — a mild multinational-earnings headwind and a marginal global-liquidity tightening.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Energy: </w:t>
      </w:r>
      <w:r>
        <w:t xml:space="preserve">Brent above $100 / WTI near $85 (fourth straight gain) is the transmission channel from the US–Iran conflict into yields and equity risk premia.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Positioning / vol: </w:t>
      </w:r>
      <w:r>
        <w:t xml:space="preserve">VIX 17–18.6 (below the 20 'elevated' line), VVIX ~96–103, SKEW ~146–152 (elevated downside-hedging demand). Regime desks read 'low-volatility bull', but with rich tail hedges. Watch item from §13d: the FOMC and Core PCE both threaten the rates leg.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Upside risks</w:t>
            </w:r>
          </w:p>
        </w:tc>
        <w:tc>
          <w:tcPr>
            <w:tcW w:type="dxa" w:w="46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Downside risks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Mega-cap earnings beats (Apple/Microsoft/Meta) reignite the leadership; VIX falling (§10) and DAX firm support a dip-buy back toward weekly P 7,538; deeply oversold RSI2 (3.9) sets up a mean-reversion bounce off the 7,387–7,394 support shelf (§11).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Hawkish FOMC or hot Core PCE (§13d) breaks the monthly-P 7,457 / daily-P 7,411 cluster and opens weekly S4/S5 toward 7,335; oil-driven yield spike compounds; narrow breadth (equal-weight lag) leaves the index exposed if a mega-cap disappoints.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Balance references the §13d FOMC as the pivotal event and the §11 pivot position (price pinned between daily and monthly P). Net: two-sided, event-gated.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16 · Forward View</w:t>
      </w:r>
    </w:p>
    <w:p>
      <w:pPr>
        <w:spacing w:after="120"/>
      </w:pPr>
      <w:r>
        <w:t xml:space="preserve">Expected direction over the next five sessions: range-bound with an event-driven skew, respecting the §9 Ranging regime. Base-case trading range 7,387–7,538 (daily/weekly support shelf to weekly pivot), with the FOMC (§13d) the binary that decides which edge resolves. A hold keeps the mean-reversion path toward 7,457–7,538 intact; a hawkish surprise flips the bias to a break of 7,411/7,457 toward 7,335. Base-case invalidation: a decisive daily close below 7,335 (weekly S5) negates the range-hold thesis and signals trend-down continuation. This view respects — does not contradict — the medium-term Ranging classification.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17 · Forecast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Deeply oversold and pinned mid-range with a mildly bearish sentiment tilt and mixed cross-asset read, the S&amp;P 500 most likely oscillates within 7,387–7,538 into the 29 July FOMC, with the decision the trigger that resolves the range.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18 · Final Analyst Judgement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Consensus price: </w:t>
      </w:r>
      <w:r>
        <w:t xml:space="preserve">7,411.98 pts (High confidence — corroborated official close).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most important reasons for the current level: </w:t>
      </w:r>
      <w:r>
        <w:t xml:space="preserve">(1) a chip-capex de-rating offset by mega-cap earnings resilience; (2) oil-above-$100 lifting yields and capping multiples; (3) a Ranging regime with no directional conviction pinning price to the pivots.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watch item: </w:t>
      </w:r>
      <w:r>
        <w:t xml:space="preserve">the 29 July FOMC decision.</w:t>
      </w:r>
    </w:p>
    <w:p>
      <w:pPr>
        <w:pStyle w:val="Heading1"/>
        <w:spacing w:after="90" w:before="220"/>
      </w:pPr>
      <w:r>
        <w:rPr>
          <w:b/>
          <w:bCs/>
          <w:color w:val="1F3864"/>
          <w:sz w:val="26"/>
          <w:szCs w:val="26"/>
        </w:rPr>
        <w:t xml:space="preserve">19 · Source Discipline Note</w:t>
      </w:r>
    </w:p>
    <w:p>
      <w:pPr>
        <w:spacing w:after="120"/>
      </w:pPr>
      <w:r>
        <w:t xml:space="preserve">Live vs indicative: Session closes for 20–24 Jul 2026 are LIVE-equivalent and CORROBORATED (official index publisher plus ≥1 independent desk, within ±0.10-pt equity tolerance). Intraday Open/High/Low for all five sessions are SINGLE-SOURCE — indicative only.</w:t>
      </w:r>
    </w:p>
    <w:p>
      <w:pPr>
        <w:spacing w:after="120"/>
      </w:pPr>
      <w:r>
        <w:t xml:space="preserve">Data gaps: The approved automated price stack (Stooq, Twelve Data, Investing.com programmatic) was unreachable from the execution environment (network egress restriction), and public historical-OHLC tables returned cached snapshots ending mid-July, so a second independent intraday High/Low could not be obtained for the target week. Per the run instruction, corroboration was relaxed and the analysis proceeded rather than halting on a data-corroboration error.</w:t>
      </w:r>
    </w:p>
    <w:p>
      <w:pPr>
        <w:spacing w:after="120"/>
      </w:pPr>
      <w:r>
        <w:t xml:space="preserve">Corroboration status per instrument: S&amp;P 500 close — CORROBORATED. S&amp;P 500 intraday O/H/L — SINGLE-SOURCE-INDICATIVE. Daily and weekly pivots — SINGLE-SOURCE-INDICATIVE (prior-period H/L single-source). Monthly pivots — indicative (June H/L single-source). VIX and DAX — directional context only, corroborated at the close level from desk notes.</w:t>
      </w:r>
    </w:p>
    <w:p>
      <w:pPr>
        <w:shd w:fill="FFF6E5" w:val="clear"/>
        <w:spacing w:after="120"/>
      </w:pPr>
      <w:r>
        <w:rPr>
          <w:i/>
          <w:iCs/>
          <w:color w:val="8A5A00"/>
          <w:sz w:val="17"/>
          <w:szCs w:val="17"/>
        </w:rPr>
        <w:t xml:space="preserve">  Because the daily and weekly pivot inputs are single-source-indicative, the strategy layer would ordinarily suppress level-based limit orders against them. Per the explicit instruction not to suppress strategies, §21 places those cards with the single-source-indicative caveat recorded rather than suppressing them.</w:t>
      </w:r>
    </w:p>
    <w:p>
      <w:pPr>
        <w:pStyle w:val="Heading1"/>
        <w:spacing w:after="90" w:before="220"/>
      </w:pPr>
      <w:r>
        <w:rPr>
          <w:b/>
          <w:bCs/>
          <w:color w:val="8A5A00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Sources attempted: </w:t>
      </w:r>
      <w:r>
        <w:t xml:space="preserve">Stooq (rank 3) — blocked at network egress; Twelve Data / Investing.com programmatic — unreachable; Investing.com &amp; Yahoo historical web tables — reachable but cached to mid-July (no 20–24 Jul rows). Corroboration achieved for closes via S&amp;P DJI/FRED, CNBC, TheStreet, Yahoo, Saxo desk, Capis, Vantage, Trading Economics.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method: </w:t>
      </w:r>
      <w:r>
        <w:t xml:space="preserve">Close prices cross-checked across ≥2 independent sources within ±0.10-pt tolerance. Corroborated pairs: 24 Jul 7,411.98 (S&amp;P DJI × CNBC, delta 0.00); 21 Jul 7,509.20 (Saxo × TheStreet); 23 Jul 7,408.30 (Capis × Vantage).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Sentiment derivation: </w:t>
      </w:r>
      <w:r>
        <w:t xml:space="preserve">Six articles classified from explicit language with ≤15-word derivation quotes; source-class-weighted tilt = −0.15 (Mixed).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Indicator basis: </w:t>
      </w:r>
      <w:r>
        <w:t xml:space="preserve">RSI2, KER (13/3, thr 0.13/0.09), ATR(14)=77.65, VOLator (ATR/historical) and floor pivots computed with the standard engine methods on the corroborated close series; O/H/L single-source-indicative.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M5 trace: </w:t>
      </w:r>
      <w:r>
        <w:t xml:space="preserve">Direction-score weights = defaults (0.25 / 0.20 / 0.10 / 0.15 / 0.15 / 0.15, weights basis: defaults, locked). Computed direction score = −0.10; |0.10| &lt; 0.25 conviction threshold, so Trade 1 (daily directional) would normally be SUPPRESSED. Per the explicit run instruction not to suppress trading strategies, Trade 1 is presented as a low-conviction card with the suppression basis recorded here. Trades 2 and 3 are regime-driven and produce regardless. Backtest reconstructed over 5 prior sessions with sentiment/ATR/pivots frozen at each t−1 close (no forward leakage).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Daily-open-anchor override: </w:t>
      </w:r>
      <w:r>
        <w:t xml:space="preserve">The M1 daily-open anchor value was overridden for this run as instructed. No alternative clock was specified, so the report retains the S&amp;P cash pre-NY-open anchoring for narrative timing while flagging the override here; this does not alter any corroborated OHLC or pivot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Anomalies: </w:t>
      </w:r>
      <w:r>
        <w:t xml:space="preserve">Single-source-indicative intraday O/H/L for the entire target week; RSI2 hit the 0/100 rails on 23–24 Jul owing to the period-2 sensitivity after the Thursday flush. Timestamp: generated 27 Jul 2026 (UK).</w:t>
      </w:r>
    </w:p>
    <w:p>
      <w:pPr>
        <w:pStyle w:val="Heading1"/>
        <w:spacing w:after="90" w:before="220"/>
      </w:pPr>
      <w:r>
        <w:rPr>
          <w:b/>
          <w:bCs/>
          <w:color w:val="9C1B5E"/>
          <w:sz w:val="26"/>
          <w:szCs w:val="26"/>
        </w:rPr>
        <w:t xml:space="preserve">21 · Strategy Recommendations</w:t>
      </w:r>
    </w:p>
    <w:p>
      <w:pPr>
        <w:spacing w:after="120"/>
      </w:pPr>
      <w:r>
        <w:rPr>
          <w:b/>
          <w:bCs/>
          <w:color w:val="9C1B5E"/>
          <w:sz w:val="21"/>
          <w:szCs w:val="21"/>
        </w:rPr>
        <w:t xml:space="preserve">21a · Directional Conviction</w:t>
      </w:r>
    </w:p>
    <w:p>
      <w:pPr>
        <w:spacing w:after="120"/>
      </w:pPr>
      <w:r>
        <w:t xml:space="preserve">Direction: NEUTRAL (low conviction). Direction score −0.10 (weights basis: defaults). The three highest-weighted contributing signals: short-term technical bias (§8) −0.09 (RSI2 3.9, two down/neutral closes, price below weekly P), sentiment tilt (§13b) −0.02 (Mixed, −0.15 tilt × 0.15 weight), and cross-asset confirmation (§10) +0.02 (MIXED — VIX/DAX confirm vs USDX contradict). The score sits below the 0.25 conviction threshold, so a directional Trade 1 would normally be suppressed; it is presented here as a low-conviction card per instruction. Conflict flag: the score (mild short bias) and the §17 forecast (range-bound, no net direction) do not conflict — both point to two-sided, mean-reverting behaviour into the FOMC.</w:t>
      </w:r>
    </w:p>
    <w:p>
      <w:pPr>
        <w:spacing w:after="120"/>
      </w:pPr>
      <w:r>
        <w:rPr>
          <w:b/>
          <w:bCs/>
          <w:color w:val="9C1B5E"/>
          <w:sz w:val="21"/>
          <w:szCs w:val="21"/>
        </w:rPr>
        <w:t xml:space="preserve">21b · Trade Cards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shd w:fill="9C1B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 1 — Daily Directional (LONG, low-conviction mean-reversion)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— presented despite sub-threshold conviction (RANGE regime, deeply oversold RSI2)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Buy limit 7,392 (into the 7,387–7,394 support shelf) — pre-NY-open working order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7,357 — 35 pts below entry (below daily S1 7,387 and the Thu/Fri low band)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 pts (35 points)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7,427 — +1R (+35 pts; daily P confluence 7,411/monthly P 7,457 approach)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7,462 — +2R (+70 pts; monthly P 7,457 cluster)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7,538 weekly P; runner exit = session close + 3×ATR cap (ATR 77.65)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equal units; U1 exits TP1; U2 exits TP2; on U2 fill, U3 stop → entry + 0.2R (7,399)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Entry: daily S1 7,387 + weekly S4 7,394 (strong confluence). TP2: monthly P 7,457. TP3: weekly P 7,538.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below 7,357 (breaks the oversold-bounce narrative)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sub-threshold conviction (presented per instruction); single-source-indicative pivots; holding period collides with 29 Jul FOMC (Tier-1); low-confidence sentiment tilt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shd w:fill="9C1B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 2 — Pivot (RANGE regime, fade toward P)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at support / SHORT at resistance — RANGE regime pivot fade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Entry (long leg)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Buy limit 7,387 (daily S1); (short leg) Sell limit 7,457 (monthly P) / 7,435 (daily R1)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Long: 7,362 (daily S2) — 25 pts. Short: 7,484 (daily R3) — 27–49 pts from chosen entry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leg 25 pts (25 points)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→ 7,411 daily P (+1R). Short → 7,411 daily P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→ 7,435 daily R1 (+~2R). Short → 7,387 daily S1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Runner exit at pivot P; long runner to weekly S1 7,512 on a range expansion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equal units; U1 at TP1; U2 at TP2; on U2 fill, U3 stop → entry ± 0.2R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7,387 = daily S1 + weekly S4 (strong). 7,457 = monthly P. 7,411 = daily P + current close.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beyond the faded edge (below 7,362 for longs / above 7,484 for shorts)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single-source-indicative pivots (limit orders placed against indicative levels per instruction); FOMC collision 29 Jul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shd w:fill="9C1B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 3B — Mean-Reversion (RANGE fork; KER &amp; VOLator gates satisfied)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Direction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— mean-reversion from oversold toward range mean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Buy stop 7,420 on confirmed reclaim of daily P (7,411) — momentum confirmation of the bounce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Stop loss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7,378 — below the 7,387 shelf; 42 pts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42 pts (42 points)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38.2% retrace of the 7,540→7,370 leg ≈ 7,435 (structural target)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Range mid ≈ 7,457 (monthly P)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Weekly P 7,538 / measured-move; runner exit on range-breakout or 100%+ extension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equal units; U1 at TP1; U2 at TP2; on U2 fill, U3 stop → entry + 0.2R (7,428)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TP1 7,435 = daily R1 + 38.2% retrace (strong). TP2 7,457 = monthly P. Entry trigger = daily P reclaim.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back below 7,387 after entry (failed reclaim)</w:t>
            </w:r>
          </w:p>
        </w:tc>
      </w:tr>
      <w:tr>
        <w:tc>
          <w:tcPr>
            <w:tcW w:type="dxa" w:w="2600"/>
            <w:shd w:fill="FBE9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Caveats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RANGE dual-gate satisfied (KER 0.06 &lt; 0.13 and VOLator slope ≤ 0); single-source-indicative pivots; FOMC collision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b/>
          <w:bCs/>
          <w:color w:val="9C1B5E"/>
          <w:sz w:val="21"/>
          <w:szCs w:val="21"/>
        </w:rPr>
        <w:t xml:space="preserve">21c · 5-Session No-Leakage Backtest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500"/>
        <w:gridCol w:w="1250"/>
        <w:gridCol w:w="1250"/>
        <w:gridCol w:w="1150"/>
        <w:gridCol w:w="2050"/>
        <w:gridCol w:w="1200"/>
        <w:gridCol w:w="960"/>
      </w:tblGrid>
      <w:tr>
        <w:trPr>
          <w:tblHeader/>
        </w:trPr>
        <w:tc>
          <w:tcPr>
            <w:tcW w:type="dxa" w:w="150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(t−N)</w:t>
            </w:r>
          </w:p>
        </w:tc>
        <w:tc>
          <w:tcPr>
            <w:tcW w:type="dxa" w:w="125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25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15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Triggered</w:t>
            </w:r>
          </w:p>
        </w:tc>
        <w:tc>
          <w:tcPr>
            <w:tcW w:type="dxa" w:w="205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Entry → Exit</w:t>
            </w:r>
          </w:p>
        </w:tc>
        <w:tc>
          <w:tcPr>
            <w:tcW w:type="dxa" w:w="120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960"/>
            <w:shd w:fill="9C1B5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Thu 23 Jul (t−1)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limit 7,466 not reached in flush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Thu 23 Jul (t−1)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7,500 → 7,441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+1.3R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Thu 23 Jul (t−1)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P-reclaim trigger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Wed 22 Jul (t−2)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7,470 → 7,499 (partial)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+0.6R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Wed 22 Jul (t−2)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7,470 → 7,499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+1.0R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Wed 22 Jul (t−2)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7,486 → 7,499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+0.4R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Tue 21 Jul (t−3)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7,455 → 7,509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+2.0R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Tue 21 Jul (t−3)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7,451 → 7,509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+2.0R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Tue 21 Jul (t−3)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7,470 → 7,509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+1.5R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Mon 20 Jul (t−4)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7,540 → 7,443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+1.8R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Mon 20 Jul (t−4)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7,530 → 7,460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+1.2R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Mon 20 Jul (t−4)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range-fork long-only; n/a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Fri 17 Jul (t−5)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 trigger (gap)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Fri 17 Jul (t−5)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7,512 → 7,543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+0.8R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Fri 17 Jul (t−5)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Trade 3B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OPEN</w:t>
            </w:r>
          </w:p>
        </w:tc>
        <w:tc>
          <w:tcPr>
            <w:tcW w:type="dxa" w:w="2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OPEN @ +0.5R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+0.5R</w:t>
            </w:r>
          </w:p>
        </w:tc>
        <w:tc>
          <w:tcPr>
            <w:tcW w:type="dxa" w:w="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5+ (open)</w:t>
            </w:r>
          </w:p>
        </w:tc>
      </w:tr>
    </w:tbl>
    <w:p>
      <w:pPr>
        <w:shd w:fill="FFF6E5" w:val="clear"/>
        <w:spacing w:after="120"/>
      </w:pPr>
      <w:r>
        <w:rPr>
          <w:i/>
          <w:iCs/>
          <w:color w:val="8A5A00"/>
          <w:sz w:val="17"/>
          <w:szCs w:val="17"/>
        </w:rPr>
        <w:t xml:space="preserve">  Reconstruction freezes sentiment, ATR, swings and pivots at each t−1 close with no forward leakage. Prior-week (t−5) inputs use corroborated closes; intraday fills use the indicative session ranges, so treat magnitudes as directional. SL-first tick-priority applies where both SL and TP could fill in one bar.</w:t>
      </w:r>
    </w:p>
    <w:p>
      <w:pPr>
        <w:spacing w:after="120"/>
      </w:pPr>
      <w:r>
        <w:rPr>
          <w:b/>
          <w:bCs/>
          <w:color w:val="9C1B5E"/>
          <w:sz w:val="21"/>
          <w:szCs w:val="21"/>
        </w:rPr>
        <w:t xml:space="preserve">21d · What Is Working</w:t>
      </w:r>
    </w:p>
    <w:p>
      <w:pPr>
        <w:spacing w:after="120"/>
      </w:pPr>
      <w:r>
        <w:t xml:space="preserve">Over the last 5 sessions: Trade 1 triggered 3/5, mean R ≈ +1.47, hit rates TP1/TP2/TP3 ≈ 100% / 33% / 0%. Trade 2 triggered 5/5, mean R ≈ +1.26, hit rates ≈ 100% / 60% / 0%. Trade 3B triggered 3/5 (1 open), mean R ≈ +0.80 on closed, hit rates ≈ 100% / 33% / 0%. Strongest performer: Trade 1 by mean R (small sample, driven by the Tuesday snap-back). Weakest performer: Trade 3B (lowest mean R; one position still open). Trade 2's pivot-fade was the most reliable trigger in the ranging tape.</w:t>
      </w:r>
    </w:p>
    <w:p>
      <w:pPr>
        <w:spacing w:after="120"/>
      </w:pPr>
      <w:r>
        <w:rPr>
          <w:i/>
          <w:iCs/>
          <w:sz w:val="17"/>
          <w:szCs w:val="17"/>
        </w:rPr>
        <w:t xml:space="preserve">Limitations: 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555555"/>
        <w:sz w:val="15"/>
        <w:szCs w:val="15"/>
      </w:rPr>
      <w:t xml:space="preserve">S&amp;P 500 Daily Report  │  28 July 2026  │  Senior US Equity Strategist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10d7d859bbb6a05134a89515e69c18a6610f9d.png"/><Relationship Id="rId9" Type="http://schemas.openxmlformats.org/officeDocument/2006/relationships/image" Target="media/bf43eec17f14ce1440a4f168572bb546e61df674.png"/><Relationship Id="rId10" Type="http://schemas.openxmlformats.org/officeDocument/2006/relationships/image" Target="media/22175098f30241def2ef24bc555d9f7b43682cb2.png"/><Relationship Id="rId11" Type="http://schemas.openxmlformats.org/officeDocument/2006/relationships/image" Target="media/b7d0917acdb9bb34aaf453bfe94b63a31a6f761e.png"/><Relationship Id="rId12" Type="http://schemas.openxmlformats.org/officeDocument/2006/relationships/image" Target="media/e8bffe98cff20ecda471e2da7dc77548a2ac090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Daily: 28 July 2026</dc:title>
  <dc:creator>Senior US Equity Strategist</dc:creator>
  <cp:lastModifiedBy>Un-named</cp:lastModifiedBy>
  <cp:revision>1</cp:revision>
  <dcterms:created xsi:type="dcterms:W3CDTF">2026-07-27T21:46:45.845Z</dcterms:created>
  <dcterms:modified xsi:type="dcterms:W3CDTF">2026-07-27T21:46:45.857Z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