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0"/>
        </w:rPr>
        <w:t>S&amp;P 500 Report — Daily: 28 May 2026</w:t>
      </w:r>
    </w:p>
    <w:p>
      <w:r>
        <w:rPr>
          <w:i/>
          <w:color w:val="555555"/>
          <w:sz w:val="22"/>
        </w:rPr>
        <w:t>With reference to: USDX · VIX · DAX 40</w:t>
      </w:r>
    </w:p>
    <w:p/>
    <w:p>
      <w:pPr>
        <w:pStyle w:val="Heading1"/>
      </w:pPr>
      <w:r>
        <w:t>1. Executive Snapshot</w:t>
      </w:r>
    </w:p>
    <w:p>
      <w:r>
        <w:rPr>
          <w:b w:val="0"/>
          <w:i w:val="0"/>
        </w:rPr>
        <w:t>The S&amp;P 500 enters the 28 May 2026 session at 7,519.12, a fresh all-time closing high set on Tuesday 26 May after an abbreviated holiday week. Market tone is bullish but late-cycle. The three drivers most responsible for the current level are an exceptional first-quarter earnings beat-rate (with consensus forward EPS estimates rising faster than price, compressing the forward multiple), a perceived progress in US–Iran negotiations that has compressed the geopolitical risk premium, and large-cap technology leadership — Micron’s 19% single-day move topping the $1 trillion market-cap mark on 26 May is the most visible expression. The short-term technical regime is Bullish continuation: five consecutive rising bodies, RSI(2) printing 94.4 (extreme overbought territory). The medium-term regime is Trending Up — Strong, with overlap low and directional persistence high across the 25-session window. The Kaufman Efficiency Ratio classification is Trending Up — Strong, in agreement with the regime. The single most important watch item is the April Personal Consumption Expenditures price index release scheduled for Thursday 29 May (US morning), pre-released ahead of US markets opening on the report date — a hot core PCE print is the principal mechanism by which the current setup could invalidate.</w:t>
      </w:r>
    </w:p>
    <w:p>
      <w:pPr>
        <w:pStyle w:val="Heading1"/>
      </w:pPr>
      <w:r>
        <w:t>2. Market Definition</w:t>
      </w:r>
    </w:p>
    <w:tbl>
      <w:tblPr>
        <w:tblStyle w:val="LightGrid-Accent1"/>
        <w:tblW w:type="auto" w:w="0"/>
        <w:tblLook w:firstColumn="1" w:firstRow="1" w:lastColumn="0" w:lastRow="0" w:noHBand="0" w:noVBand="1" w:val="04A0"/>
      </w:tblPr>
      <w:tblGrid>
        <w:gridCol w:w="4824"/>
        <w:gridCol w:w="4824"/>
      </w:tblGrid>
      <w:tr>
        <w:tc>
          <w:tcPr>
            <w:tcW w:type="dxa" w:w="3168"/>
          </w:tcPr>
          <w:p>
            <w:r/>
            <w:r>
              <w:rPr>
                <w:rFonts w:ascii="Arial" w:hAnsi="Arial"/>
                <w:b/>
                <w:color w:val="1F4E79"/>
                <w:sz w:val="19"/>
              </w:rPr>
              <w:t>Asset</w:t>
            </w:r>
          </w:p>
        </w:tc>
        <w:tc>
          <w:tcPr>
            <w:tcW w:type="dxa" w:w="6624"/>
          </w:tcPr>
          <w:p>
            <w:r/>
            <w:r>
              <w:rPr>
                <w:rFonts w:ascii="Arial" w:hAnsi="Arial"/>
                <w:b w:val="0"/>
                <w:sz w:val="19"/>
              </w:rPr>
              <w:t>S&amp;P 500 cash index (large-cap US equity benchmark, 503 constituents)</w:t>
            </w:r>
          </w:p>
        </w:tc>
      </w:tr>
      <w:tr>
        <w:tc>
          <w:tcPr>
            <w:tcW w:type="dxa" w:w="3168"/>
          </w:tcPr>
          <w:p>
            <w:r/>
            <w:r>
              <w:rPr>
                <w:rFonts w:ascii="Arial" w:hAnsi="Arial"/>
                <w:b/>
                <w:color w:val="1F4E79"/>
                <w:sz w:val="19"/>
              </w:rPr>
              <w:t>Specification</w:t>
            </w:r>
          </w:p>
        </w:tc>
        <w:tc>
          <w:tcPr>
            <w:tcW w:type="dxa" w:w="6624"/>
          </w:tcPr>
          <w:p>
            <w:r/>
            <w:r>
              <w:rPr>
                <w:rFonts w:ascii="Arial" w:hAnsi="Arial"/>
                <w:b w:val="0"/>
                <w:sz w:val="19"/>
              </w:rPr>
              <w:t>Cash index level, calculated continuously by S&amp;P Dow Jones during NYSE/NASDAQ hours</w:t>
            </w:r>
          </w:p>
        </w:tc>
      </w:tr>
      <w:tr>
        <w:tc>
          <w:tcPr>
            <w:tcW w:type="dxa" w:w="3168"/>
          </w:tcPr>
          <w:p>
            <w:r/>
            <w:r>
              <w:rPr>
                <w:rFonts w:ascii="Arial" w:hAnsi="Arial"/>
                <w:b/>
                <w:color w:val="1F4E79"/>
                <w:sz w:val="19"/>
              </w:rPr>
              <w:t>Scope / Region</w:t>
            </w:r>
          </w:p>
        </w:tc>
        <w:tc>
          <w:tcPr>
            <w:tcW w:type="dxa" w:w="6624"/>
          </w:tcPr>
          <w:p>
            <w:r/>
            <w:r>
              <w:rPr>
                <w:rFonts w:ascii="Arial" w:hAnsi="Arial"/>
                <w:b w:val="0"/>
                <w:sz w:val="19"/>
              </w:rPr>
              <w:t>Global / United States — headline US benchmark with international investor base</w:t>
            </w:r>
          </w:p>
        </w:tc>
      </w:tr>
      <w:tr>
        <w:tc>
          <w:tcPr>
            <w:tcW w:type="dxa" w:w="3168"/>
          </w:tcPr>
          <w:p>
            <w:r/>
            <w:r>
              <w:rPr>
                <w:rFonts w:ascii="Arial" w:hAnsi="Arial"/>
                <w:b/>
                <w:color w:val="1F4E79"/>
                <w:sz w:val="19"/>
              </w:rPr>
              <w:t>Delivery basis</w:t>
            </w:r>
          </w:p>
        </w:tc>
        <w:tc>
          <w:tcPr>
            <w:tcW w:type="dxa" w:w="6624"/>
          </w:tcPr>
          <w:p>
            <w:r/>
            <w:r>
              <w:rPr>
                <w:rFonts w:ascii="Arial" w:hAnsi="Arial"/>
                <w:b w:val="0"/>
                <w:sz w:val="19"/>
              </w:rPr>
              <w:t>NYSE/NASDAQ regular trading session, 09:30–16:00 ET (cash only; pre/after-market excluded from OHLC)</w:t>
            </w:r>
          </w:p>
        </w:tc>
      </w:tr>
      <w:tr>
        <w:tc>
          <w:tcPr>
            <w:tcW w:type="dxa" w:w="3168"/>
          </w:tcPr>
          <w:p>
            <w:r/>
            <w:r>
              <w:rPr>
                <w:rFonts w:ascii="Arial" w:hAnsi="Arial"/>
                <w:b/>
                <w:color w:val="1F4E79"/>
                <w:sz w:val="19"/>
              </w:rPr>
              <w:t>Unit</w:t>
            </w:r>
          </w:p>
        </w:tc>
        <w:tc>
          <w:tcPr>
            <w:tcW w:type="dxa" w:w="6624"/>
          </w:tcPr>
          <w:p>
            <w:r/>
            <w:r>
              <w:rPr>
                <w:rFonts w:ascii="Arial" w:hAnsi="Arial"/>
                <w:b w:val="0"/>
                <w:sz w:val="19"/>
              </w:rPr>
              <w:t>Index points</w:t>
            </w:r>
          </w:p>
        </w:tc>
      </w:tr>
      <w:tr>
        <w:tc>
          <w:tcPr>
            <w:tcW w:type="dxa" w:w="3168"/>
          </w:tcPr>
          <w:p>
            <w:r/>
            <w:r>
              <w:rPr>
                <w:rFonts w:ascii="Arial" w:hAnsi="Arial"/>
                <w:b/>
                <w:color w:val="1F4E79"/>
                <w:sz w:val="19"/>
              </w:rPr>
              <w:t>Currency</w:t>
            </w:r>
          </w:p>
        </w:tc>
        <w:tc>
          <w:tcPr>
            <w:tcW w:type="dxa" w:w="6624"/>
          </w:tcPr>
          <w:p>
            <w:r/>
            <w:r>
              <w:rPr>
                <w:rFonts w:ascii="Arial" w:hAnsi="Arial"/>
                <w:b w:val="0"/>
                <w:sz w:val="19"/>
              </w:rPr>
              <w:t>USD</w:t>
            </w:r>
          </w:p>
        </w:tc>
      </w:tr>
      <w:tr>
        <w:tc>
          <w:tcPr>
            <w:tcW w:type="dxa" w:w="3168"/>
          </w:tcPr>
          <w:p>
            <w:r/>
            <w:r>
              <w:rPr>
                <w:rFonts w:ascii="Arial" w:hAnsi="Arial"/>
                <w:b/>
                <w:color w:val="1F4E79"/>
                <w:sz w:val="19"/>
              </w:rPr>
              <w:t>Tick increment</w:t>
            </w:r>
          </w:p>
        </w:tc>
        <w:tc>
          <w:tcPr>
            <w:tcW w:type="dxa" w:w="6624"/>
          </w:tcPr>
          <w:p>
            <w:r/>
            <w:r>
              <w:rPr>
                <w:rFonts w:ascii="Arial" w:hAnsi="Arial"/>
                <w:b w:val="0"/>
                <w:sz w:val="19"/>
              </w:rPr>
              <w:t>0.01 point</w:t>
            </w:r>
          </w:p>
        </w:tc>
      </w:tr>
      <w:tr>
        <w:tc>
          <w:tcPr>
            <w:tcW w:type="dxa" w:w="3168"/>
          </w:tcPr>
          <w:p>
            <w:r/>
            <w:r>
              <w:rPr>
                <w:rFonts w:ascii="Arial" w:hAnsi="Arial"/>
                <w:b/>
                <w:color w:val="1F4E79"/>
                <w:sz w:val="19"/>
              </w:rPr>
              <w:t>As-of date</w:t>
            </w:r>
          </w:p>
        </w:tc>
        <w:tc>
          <w:tcPr>
            <w:tcW w:type="dxa" w:w="6624"/>
          </w:tcPr>
          <w:p>
            <w:r/>
            <w:r>
              <w:rPr>
                <w:rFonts w:ascii="Arial" w:hAnsi="Arial"/>
                <w:b w:val="0"/>
                <w:sz w:val="19"/>
              </w:rPr>
              <w:t>28 May 2026 (snapshot anchored to 07:00 UK, ahead of NY cash open)</w:t>
            </w:r>
          </w:p>
        </w:tc>
      </w:tr>
      <w:tr>
        <w:tc>
          <w:tcPr>
            <w:tcW w:type="dxa" w:w="3168"/>
          </w:tcPr>
          <w:p>
            <w:r/>
            <w:r>
              <w:rPr>
                <w:rFonts w:ascii="Arial" w:hAnsi="Arial"/>
                <w:b/>
                <w:color w:val="1F4E79"/>
                <w:sz w:val="19"/>
              </w:rPr>
              <w:t>Lookback window</w:t>
            </w:r>
          </w:p>
        </w:tc>
        <w:tc>
          <w:tcPr>
            <w:tcW w:type="dxa" w:w="6624"/>
          </w:tcPr>
          <w:p>
            <w:r/>
            <w:r>
              <w:rPr>
                <w:rFonts w:ascii="Arial" w:hAnsi="Arial"/>
                <w:b w:val="0"/>
                <w:sz w:val="19"/>
              </w:rPr>
              <w:t>5 trading sessions (short) · 25 trading sessions (medium)</w:t>
            </w:r>
          </w:p>
        </w:tc>
      </w:tr>
    </w:tbl>
    <w:p>
      <w:pPr>
        <w:pStyle w:val="Heading1"/>
      </w:pPr>
      <w:r>
        <w:t>3. Consensus Price Call</w:t>
      </w:r>
    </w:p>
    <w:tbl>
      <w:tblPr>
        <w:tblStyle w:val="LightGrid-Accent1"/>
        <w:tblW w:type="auto" w:w="0"/>
        <w:tblLook w:firstColumn="1" w:firstRow="1" w:lastColumn="0" w:lastRow="0" w:noHBand="0" w:noVBand="1" w:val="04A0"/>
      </w:tblPr>
      <w:tblGrid>
        <w:gridCol w:w="4824"/>
        <w:gridCol w:w="4824"/>
      </w:tblGrid>
      <w:tr>
        <w:tc>
          <w:tcPr>
            <w:tcW w:type="dxa" w:w="3168"/>
          </w:tcPr>
          <w:p>
            <w:r/>
            <w:r>
              <w:rPr>
                <w:rFonts w:ascii="Arial" w:hAnsi="Arial"/>
                <w:b/>
                <w:color w:val="1F4E79"/>
                <w:sz w:val="19"/>
              </w:rPr>
              <w:t>Consensus price</w:t>
            </w:r>
          </w:p>
        </w:tc>
        <w:tc>
          <w:tcPr>
            <w:tcW w:type="dxa" w:w="6624"/>
          </w:tcPr>
          <w:p>
            <w:r/>
            <w:r>
              <w:rPr>
                <w:rFonts w:ascii="Arial" w:hAnsi="Arial"/>
                <w:b w:val="0"/>
                <w:sz w:val="19"/>
              </w:rPr>
              <w:t>7,519.12  (latest official cash close, Tue 26 May 2026)</w:t>
            </w:r>
          </w:p>
        </w:tc>
      </w:tr>
      <w:tr>
        <w:tc>
          <w:tcPr>
            <w:tcW w:type="dxa" w:w="3168"/>
          </w:tcPr>
          <w:p>
            <w:r/>
            <w:r>
              <w:rPr>
                <w:rFonts w:ascii="Arial" w:hAnsi="Arial"/>
                <w:b/>
                <w:color w:val="1F4E79"/>
                <w:sz w:val="19"/>
              </w:rPr>
              <w:t>Consensus range</w:t>
            </w:r>
          </w:p>
        </w:tc>
        <w:tc>
          <w:tcPr>
            <w:tcW w:type="dxa" w:w="6624"/>
          </w:tcPr>
          <w:p>
            <w:r/>
            <w:r>
              <w:rPr>
                <w:rFonts w:ascii="Arial" w:hAnsi="Arial"/>
                <w:b w:val="0"/>
                <w:sz w:val="19"/>
              </w:rPr>
              <w:t>7,500 – 7,540 (intraday open-anchor band consistent with Tue close and pre-open futures)</w:t>
            </w:r>
          </w:p>
        </w:tc>
      </w:tr>
      <w:tr>
        <w:tc>
          <w:tcPr>
            <w:tcW w:type="dxa" w:w="3168"/>
          </w:tcPr>
          <w:p>
            <w:r/>
            <w:r>
              <w:rPr>
                <w:rFonts w:ascii="Arial" w:hAnsi="Arial"/>
                <w:b/>
                <w:color w:val="1F4E79"/>
                <w:sz w:val="19"/>
              </w:rPr>
              <w:t>Basis</w:t>
            </w:r>
          </w:p>
        </w:tc>
        <w:tc>
          <w:tcPr>
            <w:tcW w:type="dxa" w:w="6624"/>
          </w:tcPr>
          <w:p>
            <w:r/>
            <w:r>
              <w:rPr>
                <w:rFonts w:ascii="Arial" w:hAnsi="Arial"/>
                <w:b w:val="0"/>
                <w:sz w:val="19"/>
              </w:rPr>
              <w:t>Cash index close, NYSE/NASDAQ regular session</w:t>
            </w:r>
          </w:p>
        </w:tc>
      </w:tr>
      <w:tr>
        <w:tc>
          <w:tcPr>
            <w:tcW w:type="dxa" w:w="3168"/>
          </w:tcPr>
          <w:p>
            <w:r/>
            <w:r>
              <w:rPr>
                <w:rFonts w:ascii="Arial" w:hAnsi="Arial"/>
                <w:b/>
                <w:color w:val="1F4E79"/>
                <w:sz w:val="19"/>
              </w:rPr>
              <w:t>Confidence</w:t>
            </w:r>
          </w:p>
        </w:tc>
        <w:tc>
          <w:tcPr>
            <w:tcW w:type="dxa" w:w="6624"/>
          </w:tcPr>
          <w:p>
            <w:r/>
            <w:r>
              <w:rPr>
                <w:rFonts w:ascii="Arial" w:hAnsi="Arial"/>
                <w:b w:val="0"/>
                <w:sz w:val="19"/>
              </w:rPr>
              <w:t>High — close is dual-source corroborated within ±0.10-point tolerance</w:t>
            </w:r>
          </w:p>
        </w:tc>
      </w:tr>
      <w:tr>
        <w:tc>
          <w:tcPr>
            <w:tcW w:type="dxa" w:w="3168"/>
          </w:tcPr>
          <w:p>
            <w:r/>
            <w:r>
              <w:rPr>
                <w:rFonts w:ascii="Arial" w:hAnsi="Arial"/>
                <w:b/>
                <w:color w:val="1F4E79"/>
                <w:sz w:val="19"/>
              </w:rPr>
              <w:t>Market tone</w:t>
            </w:r>
          </w:p>
        </w:tc>
        <w:tc>
          <w:tcPr>
            <w:tcW w:type="dxa" w:w="6624"/>
          </w:tcPr>
          <w:p>
            <w:r/>
            <w:r>
              <w:rPr>
                <w:rFonts w:ascii="Arial" w:hAnsi="Arial"/>
                <w:b w:val="0"/>
                <w:sz w:val="19"/>
              </w:rPr>
              <w:t>Bullish (extended)</w:t>
            </w:r>
          </w:p>
        </w:tc>
      </w:tr>
      <w:tr>
        <w:tc>
          <w:tcPr>
            <w:tcW w:type="dxa" w:w="3168"/>
          </w:tcPr>
          <w:p>
            <w:r/>
            <w:r>
              <w:rPr>
                <w:rFonts w:ascii="Arial" w:hAnsi="Arial"/>
                <w:b/>
                <w:color w:val="1F4E79"/>
                <w:sz w:val="19"/>
              </w:rPr>
              <w:t>Rationale (1)</w:t>
            </w:r>
          </w:p>
        </w:tc>
        <w:tc>
          <w:tcPr>
            <w:tcW w:type="dxa" w:w="6624"/>
          </w:tcPr>
          <w:p>
            <w:r/>
            <w:r>
              <w:rPr>
                <w:rFonts w:ascii="Arial" w:hAnsi="Arial"/>
                <w:b w:val="0"/>
                <w:sz w:val="19"/>
              </w:rPr>
              <w:t>Eight consecutive weekly gains through w/e 22 May — longest streak since 2023 — extended by Tue 26 May new closing high.</w:t>
            </w:r>
          </w:p>
        </w:tc>
      </w:tr>
      <w:tr>
        <w:tc>
          <w:tcPr>
            <w:tcW w:type="dxa" w:w="3168"/>
          </w:tcPr>
          <w:p>
            <w:r/>
            <w:r>
              <w:rPr>
                <w:rFonts w:ascii="Arial" w:hAnsi="Arial"/>
                <w:b/>
                <w:color w:val="1F4E79"/>
                <w:sz w:val="19"/>
              </w:rPr>
              <w:t>Rationale (2)</w:t>
            </w:r>
          </w:p>
        </w:tc>
        <w:tc>
          <w:tcPr>
            <w:tcW w:type="dxa" w:w="6624"/>
          </w:tcPr>
          <w:p>
            <w:r/>
            <w:r>
              <w:rPr>
                <w:rFonts w:ascii="Arial" w:hAnsi="Arial"/>
                <w:b w:val="0"/>
                <w:sz w:val="19"/>
              </w:rPr>
              <w:t>Multi-broker target upgrades into the close: Goldman Sachs lifted year-end 2026 target to 8,000 from 7,600 on 26 May; Morgan Stanley and Deutsche Bank at similar ~17% upside view.</w:t>
            </w:r>
          </w:p>
        </w:tc>
      </w:tr>
    </w:tbl>
    <w:p>
      <w:pPr>
        <w:pStyle w:val="Heading1"/>
      </w:pPr>
      <w:r>
        <w:t>4. Price Evidence Table</w:t>
      </w:r>
    </w:p>
    <w:p>
      <w:r>
        <w:rPr>
          <w:b w:val="0"/>
          <w:i/>
          <w:sz w:val="18"/>
        </w:rPr>
        <w:t>Six independent observations drawn from priority sources, normalised to cash-index basis. Yahoo Finance close and CNBC headline close form the corroborated pair (delta 0.00). Cross-validation against FRED, Bloomberg consensus, and futures basis.</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872"/>
            <w:shd w:val="clear" w:color="auto" w:fill="1F4E79"/>
          </w:tcPr>
          <w:p>
            <w:r/>
            <w:r>
              <w:rPr>
                <w:rFonts w:ascii="Arial" w:hAnsi="Arial"/>
                <w:b/>
                <w:color w:val="FFFFFF"/>
                <w:sz w:val="18"/>
              </w:rPr>
              <w:t>Source</w:t>
            </w:r>
          </w:p>
        </w:tc>
        <w:tc>
          <w:tcPr>
            <w:tcW w:type="dxa" w:w="1584"/>
            <w:shd w:val="clear" w:color="auto" w:fill="1F4E79"/>
          </w:tcPr>
          <w:p>
            <w:r/>
            <w:r>
              <w:rPr>
                <w:rFonts w:ascii="Arial" w:hAnsi="Arial"/>
                <w:b/>
                <w:color w:val="FFFFFF"/>
                <w:sz w:val="18"/>
              </w:rPr>
              <w:t>Date / Time</w:t>
            </w:r>
          </w:p>
        </w:tc>
        <w:tc>
          <w:tcPr>
            <w:tcW w:type="dxa" w:w="1296"/>
            <w:shd w:val="clear" w:color="auto" w:fill="1F4E79"/>
          </w:tcPr>
          <w:p>
            <w:r/>
            <w:r>
              <w:rPr>
                <w:rFonts w:ascii="Arial" w:hAnsi="Arial"/>
                <w:b/>
                <w:color w:val="FFFFFF"/>
                <w:sz w:val="18"/>
              </w:rPr>
              <w:t>Raw quote</w:t>
            </w:r>
          </w:p>
        </w:tc>
        <w:tc>
          <w:tcPr>
            <w:tcW w:type="dxa" w:w="1296"/>
            <w:shd w:val="clear" w:color="auto" w:fill="1F4E79"/>
          </w:tcPr>
          <w:p>
            <w:r/>
            <w:r>
              <w:rPr>
                <w:rFonts w:ascii="Arial" w:hAnsi="Arial"/>
                <w:b/>
                <w:color w:val="FFFFFF"/>
                <w:sz w:val="18"/>
              </w:rPr>
              <w:t>Normalized</w:t>
            </w:r>
          </w:p>
        </w:tc>
        <w:tc>
          <w:tcPr>
            <w:tcW w:type="dxa" w:w="1584"/>
            <w:shd w:val="clear" w:color="auto" w:fill="1F4E79"/>
          </w:tcPr>
          <w:p>
            <w:r/>
            <w:r>
              <w:rPr>
                <w:rFonts w:ascii="Arial" w:hAnsi="Arial"/>
                <w:b/>
                <w:color w:val="FFFFFF"/>
                <w:sz w:val="18"/>
              </w:rPr>
              <w:t>Basis / Location</w:t>
            </w:r>
          </w:p>
        </w:tc>
        <w:tc>
          <w:tcPr>
            <w:tcW w:type="dxa" w:w="1152"/>
            <w:shd w:val="clear" w:color="auto" w:fill="1F4E79"/>
          </w:tcPr>
          <w:p>
            <w:r/>
            <w:r>
              <w:rPr>
                <w:rFonts w:ascii="Arial" w:hAnsi="Arial"/>
                <w:b/>
                <w:color w:val="FFFFFF"/>
                <w:sz w:val="18"/>
              </w:rPr>
              <w:t>Classification</w:t>
            </w:r>
          </w:p>
        </w:tc>
        <w:tc>
          <w:tcPr>
            <w:tcW w:type="dxa" w:w="2160"/>
            <w:shd w:val="clear" w:color="auto" w:fill="1F4E79"/>
          </w:tcPr>
          <w:p>
            <w:r/>
            <w:r>
              <w:rPr>
                <w:rFonts w:ascii="Arial" w:hAnsi="Arial"/>
                <w:b/>
                <w:color w:val="FFFFFF"/>
                <w:sz w:val="18"/>
              </w:rPr>
              <w:t>Notes</w:t>
            </w:r>
          </w:p>
        </w:tc>
      </w:tr>
      <w:tr>
        <w:tc>
          <w:tcPr>
            <w:tcW w:type="dxa" w:w="1872"/>
          </w:tcPr>
          <w:p>
            <w:r/>
            <w:r>
              <w:rPr>
                <w:rFonts w:ascii="Arial" w:hAnsi="Arial"/>
                <w:b w:val="0"/>
                <w:sz w:val="17"/>
              </w:rPr>
              <w:t>S&amp;P Dow Jones / Reuters</w:t>
            </w:r>
          </w:p>
        </w:tc>
        <w:tc>
          <w:tcPr>
            <w:tcW w:type="dxa" w:w="1584"/>
          </w:tcPr>
          <w:p>
            <w:r/>
            <w:r>
              <w:rPr>
                <w:rFonts w:ascii="Arial" w:hAnsi="Arial"/>
                <w:b w:val="0"/>
                <w:sz w:val="17"/>
              </w:rPr>
              <w:t>26 May 16:00 ET</w:t>
            </w:r>
          </w:p>
        </w:tc>
        <w:tc>
          <w:tcPr>
            <w:tcW w:type="dxa" w:w="1296"/>
          </w:tcPr>
          <w:p>
            <w:r/>
            <w:r>
              <w:rPr>
                <w:rFonts w:ascii="Arial" w:hAnsi="Arial"/>
                <w:b w:val="0"/>
                <w:sz w:val="17"/>
              </w:rPr>
              <w:t>7,519.12</w:t>
            </w:r>
          </w:p>
        </w:tc>
        <w:tc>
          <w:tcPr>
            <w:tcW w:type="dxa" w:w="1296"/>
          </w:tcPr>
          <w:p>
            <w:r/>
            <w:r>
              <w:rPr>
                <w:rFonts w:ascii="Arial" w:hAnsi="Arial"/>
                <w:b w:val="0"/>
                <w:sz w:val="17"/>
              </w:rPr>
              <w:t>7,519.12</w:t>
            </w:r>
          </w:p>
        </w:tc>
        <w:tc>
          <w:tcPr>
            <w:tcW w:type="dxa" w:w="1584"/>
          </w:tcPr>
          <w:p>
            <w:r/>
            <w:r>
              <w:rPr>
                <w:rFonts w:ascii="Arial" w:hAnsi="Arial"/>
                <w:b w:val="0"/>
                <w:sz w:val="17"/>
              </w:rPr>
              <w:t>Cash, NY</w:t>
            </w:r>
          </w:p>
        </w:tc>
        <w:tc>
          <w:tcPr>
            <w:tcW w:type="dxa" w:w="1152"/>
          </w:tcPr>
          <w:p>
            <w:r/>
            <w:r>
              <w:rPr>
                <w:rFonts w:ascii="Arial" w:hAnsi="Arial"/>
                <w:b w:val="0"/>
                <w:sz w:val="17"/>
              </w:rPr>
              <w:t>Core</w:t>
            </w:r>
          </w:p>
        </w:tc>
        <w:tc>
          <w:tcPr>
            <w:tcW w:type="dxa" w:w="2160"/>
          </w:tcPr>
          <w:p>
            <w:r/>
            <w:r>
              <w:rPr>
                <w:rFonts w:ascii="Arial" w:hAnsi="Arial"/>
                <w:b w:val="0"/>
                <w:sz w:val="17"/>
              </w:rPr>
              <w:t>Index provider headline close</w:t>
            </w:r>
          </w:p>
        </w:tc>
      </w:tr>
      <w:tr>
        <w:tc>
          <w:tcPr>
            <w:tcW w:type="dxa" w:w="1872"/>
          </w:tcPr>
          <w:p>
            <w:r/>
            <w:r>
              <w:rPr>
                <w:rFonts w:ascii="Arial" w:hAnsi="Arial"/>
                <w:b w:val="0"/>
                <w:sz w:val="17"/>
              </w:rPr>
              <w:t>Yahoo Finance ^GSPC</w:t>
            </w:r>
          </w:p>
        </w:tc>
        <w:tc>
          <w:tcPr>
            <w:tcW w:type="dxa" w:w="1584"/>
          </w:tcPr>
          <w:p>
            <w:r/>
            <w:r>
              <w:rPr>
                <w:rFonts w:ascii="Arial" w:hAnsi="Arial"/>
                <w:b w:val="0"/>
                <w:sz w:val="17"/>
              </w:rPr>
              <w:t>26 May 16:43 ET</w:t>
            </w:r>
          </w:p>
        </w:tc>
        <w:tc>
          <w:tcPr>
            <w:tcW w:type="dxa" w:w="1296"/>
          </w:tcPr>
          <w:p>
            <w:r/>
            <w:r>
              <w:rPr>
                <w:rFonts w:ascii="Arial" w:hAnsi="Arial"/>
                <w:b w:val="0"/>
                <w:sz w:val="17"/>
              </w:rPr>
              <w:t>7,519.12</w:t>
            </w:r>
          </w:p>
        </w:tc>
        <w:tc>
          <w:tcPr>
            <w:tcW w:type="dxa" w:w="1296"/>
          </w:tcPr>
          <w:p>
            <w:r/>
            <w:r>
              <w:rPr>
                <w:rFonts w:ascii="Arial" w:hAnsi="Arial"/>
                <w:b w:val="0"/>
                <w:sz w:val="17"/>
              </w:rPr>
              <w:t>7,519.12</w:t>
            </w:r>
          </w:p>
        </w:tc>
        <w:tc>
          <w:tcPr>
            <w:tcW w:type="dxa" w:w="1584"/>
          </w:tcPr>
          <w:p>
            <w:r/>
            <w:r>
              <w:rPr>
                <w:rFonts w:ascii="Arial" w:hAnsi="Arial"/>
                <w:b w:val="0"/>
                <w:sz w:val="17"/>
              </w:rPr>
              <w:t>Cash, NY</w:t>
            </w:r>
          </w:p>
        </w:tc>
        <w:tc>
          <w:tcPr>
            <w:tcW w:type="dxa" w:w="1152"/>
          </w:tcPr>
          <w:p>
            <w:r/>
            <w:r>
              <w:rPr>
                <w:rFonts w:ascii="Arial" w:hAnsi="Arial"/>
                <w:b w:val="0"/>
                <w:sz w:val="17"/>
              </w:rPr>
              <w:t>Core</w:t>
            </w:r>
          </w:p>
        </w:tc>
        <w:tc>
          <w:tcPr>
            <w:tcW w:type="dxa" w:w="2160"/>
          </w:tcPr>
          <w:p>
            <w:r/>
            <w:r>
              <w:rPr>
                <w:rFonts w:ascii="Arial" w:hAnsi="Arial"/>
                <w:b w:val="0"/>
                <w:sz w:val="17"/>
              </w:rPr>
              <w:t>Two-source corroboration anchor</w:t>
            </w:r>
          </w:p>
        </w:tc>
      </w:tr>
      <w:tr>
        <w:tc>
          <w:tcPr>
            <w:tcW w:type="dxa" w:w="1872"/>
          </w:tcPr>
          <w:p>
            <w:r/>
            <w:r>
              <w:rPr>
                <w:rFonts w:ascii="Arial" w:hAnsi="Arial"/>
                <w:b w:val="0"/>
                <w:sz w:val="17"/>
              </w:rPr>
              <w:t>CNBC live report</w:t>
            </w:r>
          </w:p>
        </w:tc>
        <w:tc>
          <w:tcPr>
            <w:tcW w:type="dxa" w:w="1584"/>
          </w:tcPr>
          <w:p>
            <w:r/>
            <w:r>
              <w:rPr>
                <w:rFonts w:ascii="Arial" w:hAnsi="Arial"/>
                <w:b w:val="0"/>
                <w:sz w:val="17"/>
              </w:rPr>
              <w:t>26 May 16:00 ET</w:t>
            </w:r>
          </w:p>
        </w:tc>
        <w:tc>
          <w:tcPr>
            <w:tcW w:type="dxa" w:w="1296"/>
          </w:tcPr>
          <w:p>
            <w:r/>
            <w:r>
              <w:rPr>
                <w:rFonts w:ascii="Arial" w:hAnsi="Arial"/>
                <w:b w:val="0"/>
                <w:sz w:val="17"/>
              </w:rPr>
              <w:t>7,519.12</w:t>
            </w:r>
          </w:p>
        </w:tc>
        <w:tc>
          <w:tcPr>
            <w:tcW w:type="dxa" w:w="1296"/>
          </w:tcPr>
          <w:p>
            <w:r/>
            <w:r>
              <w:rPr>
                <w:rFonts w:ascii="Arial" w:hAnsi="Arial"/>
                <w:b w:val="0"/>
                <w:sz w:val="17"/>
              </w:rPr>
              <w:t>7,519.12</w:t>
            </w:r>
          </w:p>
        </w:tc>
        <w:tc>
          <w:tcPr>
            <w:tcW w:type="dxa" w:w="1584"/>
          </w:tcPr>
          <w:p>
            <w:r/>
            <w:r>
              <w:rPr>
                <w:rFonts w:ascii="Arial" w:hAnsi="Arial"/>
                <w:b w:val="0"/>
                <w:sz w:val="17"/>
              </w:rPr>
              <w:t>Cash, NY</w:t>
            </w:r>
          </w:p>
        </w:tc>
        <w:tc>
          <w:tcPr>
            <w:tcW w:type="dxa" w:w="1152"/>
          </w:tcPr>
          <w:p>
            <w:r/>
            <w:r>
              <w:rPr>
                <w:rFonts w:ascii="Arial" w:hAnsi="Arial"/>
                <w:b w:val="0"/>
                <w:sz w:val="17"/>
              </w:rPr>
              <w:t>Core</w:t>
            </w:r>
          </w:p>
        </w:tc>
        <w:tc>
          <w:tcPr>
            <w:tcW w:type="dxa" w:w="2160"/>
          </w:tcPr>
          <w:p>
            <w:r/>
            <w:r>
              <w:rPr>
                <w:rFonts w:ascii="Arial" w:hAnsi="Arial"/>
                <w:b w:val="0"/>
                <w:sz w:val="17"/>
              </w:rPr>
              <w:t>Identical to provider close</w:t>
            </w:r>
          </w:p>
        </w:tc>
      </w:tr>
      <w:tr>
        <w:tc>
          <w:tcPr>
            <w:tcW w:type="dxa" w:w="1872"/>
          </w:tcPr>
          <w:p>
            <w:r/>
            <w:r>
              <w:rPr>
                <w:rFonts w:ascii="Arial" w:hAnsi="Arial"/>
                <w:b w:val="0"/>
                <w:sz w:val="17"/>
              </w:rPr>
              <w:t>FRED SP500 series</w:t>
            </w:r>
          </w:p>
        </w:tc>
        <w:tc>
          <w:tcPr>
            <w:tcW w:type="dxa" w:w="1584"/>
          </w:tcPr>
          <w:p>
            <w:r/>
            <w:r>
              <w:rPr>
                <w:rFonts w:ascii="Arial" w:hAnsi="Arial"/>
                <w:b w:val="0"/>
                <w:sz w:val="17"/>
              </w:rPr>
              <w:t>22 May 16:00 ET</w:t>
            </w:r>
          </w:p>
        </w:tc>
        <w:tc>
          <w:tcPr>
            <w:tcW w:type="dxa" w:w="1296"/>
          </w:tcPr>
          <w:p>
            <w:r/>
            <w:r>
              <w:rPr>
                <w:rFonts w:ascii="Arial" w:hAnsi="Arial"/>
                <w:b w:val="0"/>
                <w:sz w:val="17"/>
              </w:rPr>
              <w:t>7,473.47</w:t>
            </w:r>
          </w:p>
        </w:tc>
        <w:tc>
          <w:tcPr>
            <w:tcW w:type="dxa" w:w="1296"/>
          </w:tcPr>
          <w:p>
            <w:r/>
            <w:r>
              <w:rPr>
                <w:rFonts w:ascii="Arial" w:hAnsi="Arial"/>
                <w:b w:val="0"/>
                <w:sz w:val="17"/>
              </w:rPr>
              <w:t>7,473.47</w:t>
            </w:r>
          </w:p>
        </w:tc>
        <w:tc>
          <w:tcPr>
            <w:tcW w:type="dxa" w:w="1584"/>
          </w:tcPr>
          <w:p>
            <w:r/>
            <w:r>
              <w:rPr>
                <w:rFonts w:ascii="Arial" w:hAnsi="Arial"/>
                <w:b w:val="0"/>
                <w:sz w:val="17"/>
              </w:rPr>
              <w:t>Cash, NY</w:t>
            </w:r>
          </w:p>
        </w:tc>
        <w:tc>
          <w:tcPr>
            <w:tcW w:type="dxa" w:w="1152"/>
          </w:tcPr>
          <w:p>
            <w:r/>
            <w:r>
              <w:rPr>
                <w:rFonts w:ascii="Arial" w:hAnsi="Arial"/>
                <w:b w:val="0"/>
                <w:sz w:val="17"/>
              </w:rPr>
              <w:t>Core</w:t>
            </w:r>
          </w:p>
        </w:tc>
        <w:tc>
          <w:tcPr>
            <w:tcW w:type="dxa" w:w="2160"/>
          </w:tcPr>
          <w:p>
            <w:r/>
            <w:r>
              <w:rPr>
                <w:rFonts w:ascii="Arial" w:hAnsi="Arial"/>
                <w:b w:val="0"/>
                <w:sz w:val="17"/>
              </w:rPr>
              <w:t>Prior trading day pre-holiday close</w:t>
            </w:r>
          </w:p>
        </w:tc>
      </w:tr>
      <w:tr>
        <w:tc>
          <w:tcPr>
            <w:tcW w:type="dxa" w:w="1872"/>
          </w:tcPr>
          <w:p>
            <w:r/>
            <w:r>
              <w:rPr>
                <w:rFonts w:ascii="Arial" w:hAnsi="Arial"/>
                <w:b w:val="0"/>
                <w:sz w:val="17"/>
              </w:rPr>
              <w:t>CME ES futures (front)</w:t>
            </w:r>
          </w:p>
        </w:tc>
        <w:tc>
          <w:tcPr>
            <w:tcW w:type="dxa" w:w="1584"/>
          </w:tcPr>
          <w:p>
            <w:r/>
            <w:r>
              <w:rPr>
                <w:rFonts w:ascii="Arial" w:hAnsi="Arial"/>
                <w:b w:val="0"/>
                <w:sz w:val="17"/>
              </w:rPr>
              <w:t>27 May 07:00 UK</w:t>
            </w:r>
          </w:p>
        </w:tc>
        <w:tc>
          <w:tcPr>
            <w:tcW w:type="dxa" w:w="1296"/>
          </w:tcPr>
          <w:p>
            <w:r/>
            <w:r>
              <w:rPr>
                <w:rFonts w:ascii="Arial" w:hAnsi="Arial"/>
                <w:b w:val="0"/>
                <w:sz w:val="17"/>
              </w:rPr>
              <w:t>7,548.75</w:t>
            </w:r>
          </w:p>
        </w:tc>
        <w:tc>
          <w:tcPr>
            <w:tcW w:type="dxa" w:w="1296"/>
          </w:tcPr>
          <w:p>
            <w:r/>
            <w:r>
              <w:rPr>
                <w:rFonts w:ascii="Arial" w:hAnsi="Arial"/>
                <w:b w:val="0"/>
                <w:sz w:val="17"/>
              </w:rPr>
              <w:t>≈ 7,549</w:t>
            </w:r>
          </w:p>
        </w:tc>
        <w:tc>
          <w:tcPr>
            <w:tcW w:type="dxa" w:w="1584"/>
          </w:tcPr>
          <w:p>
            <w:r/>
            <w:r>
              <w:rPr>
                <w:rFonts w:ascii="Arial" w:hAnsi="Arial"/>
                <w:b w:val="0"/>
                <w:sz w:val="17"/>
              </w:rPr>
              <w:t>ES front, Chicago</w:t>
            </w:r>
          </w:p>
        </w:tc>
        <w:tc>
          <w:tcPr>
            <w:tcW w:type="dxa" w:w="1152"/>
          </w:tcPr>
          <w:p>
            <w:r/>
            <w:r>
              <w:rPr>
                <w:rFonts w:ascii="Arial" w:hAnsi="Arial"/>
                <w:b w:val="0"/>
                <w:sz w:val="17"/>
              </w:rPr>
              <w:t>Directional</w:t>
            </w:r>
          </w:p>
        </w:tc>
        <w:tc>
          <w:tcPr>
            <w:tcW w:type="dxa" w:w="2160"/>
          </w:tcPr>
          <w:p>
            <w:r/>
            <w:r>
              <w:rPr>
                <w:rFonts w:ascii="Arial" w:hAnsi="Arial"/>
                <w:b w:val="0"/>
                <w:sz w:val="17"/>
              </w:rPr>
              <w:t>Futures basis ahead of NY cash open — +0.4% above prior cash close</w:t>
            </w:r>
          </w:p>
        </w:tc>
      </w:tr>
      <w:tr>
        <w:tc>
          <w:tcPr>
            <w:tcW w:type="dxa" w:w="1872"/>
          </w:tcPr>
          <w:p>
            <w:r/>
            <w:r>
              <w:rPr>
                <w:rFonts w:ascii="Arial" w:hAnsi="Arial"/>
                <w:b w:val="0"/>
                <w:sz w:val="17"/>
              </w:rPr>
              <w:t>Bloomberg consensus</w:t>
            </w:r>
          </w:p>
        </w:tc>
        <w:tc>
          <w:tcPr>
            <w:tcW w:type="dxa" w:w="1584"/>
          </w:tcPr>
          <w:p>
            <w:r/>
            <w:r>
              <w:rPr>
                <w:rFonts w:ascii="Arial" w:hAnsi="Arial"/>
                <w:b w:val="0"/>
                <w:sz w:val="17"/>
              </w:rPr>
              <w:t>22 May</w:t>
            </w:r>
          </w:p>
        </w:tc>
        <w:tc>
          <w:tcPr>
            <w:tcW w:type="dxa" w:w="1296"/>
          </w:tcPr>
          <w:p>
            <w:r/>
            <w:r>
              <w:rPr>
                <w:rFonts w:ascii="Arial" w:hAnsi="Arial"/>
                <w:b w:val="0"/>
                <w:sz w:val="17"/>
              </w:rPr>
              <w:t>7,473</w:t>
            </w:r>
          </w:p>
        </w:tc>
        <w:tc>
          <w:tcPr>
            <w:tcW w:type="dxa" w:w="1296"/>
          </w:tcPr>
          <w:p>
            <w:r/>
            <w:r>
              <w:rPr>
                <w:rFonts w:ascii="Arial" w:hAnsi="Arial"/>
                <w:b w:val="0"/>
                <w:sz w:val="17"/>
              </w:rPr>
              <w:t>7,473</w:t>
            </w:r>
          </w:p>
        </w:tc>
        <w:tc>
          <w:tcPr>
            <w:tcW w:type="dxa" w:w="1584"/>
          </w:tcPr>
          <w:p>
            <w:r/>
            <w:r>
              <w:rPr>
                <w:rFonts w:ascii="Arial" w:hAnsi="Arial"/>
                <w:b w:val="0"/>
                <w:sz w:val="17"/>
              </w:rPr>
              <w:t>Cash composite</w:t>
            </w:r>
          </w:p>
        </w:tc>
        <w:tc>
          <w:tcPr>
            <w:tcW w:type="dxa" w:w="1152"/>
          </w:tcPr>
          <w:p>
            <w:r/>
            <w:r>
              <w:rPr>
                <w:rFonts w:ascii="Arial" w:hAnsi="Arial"/>
                <w:b w:val="0"/>
                <w:sz w:val="17"/>
              </w:rPr>
              <w:t>Directional</w:t>
            </w:r>
          </w:p>
        </w:tc>
        <w:tc>
          <w:tcPr>
            <w:tcW w:type="dxa" w:w="2160"/>
          </w:tcPr>
          <w:p>
            <w:r/>
            <w:r>
              <w:rPr>
                <w:rFonts w:ascii="Arial" w:hAnsi="Arial"/>
                <w:b w:val="0"/>
                <w:sz w:val="17"/>
              </w:rPr>
              <w:t>Aggregator confirmation of late-Friday close</w:t>
            </w:r>
          </w:p>
        </w:tc>
      </w:tr>
    </w:tbl>
    <w:p>
      <w:pPr>
        <w:pStyle w:val="Heading1"/>
      </w:pPr>
      <w:r>
        <w:t>5. Consensus Build Explanation</w:t>
      </w:r>
    </w:p>
    <w:p>
      <w:r>
        <w:rPr>
          <w:b w:val="0"/>
          <w:i w:val="0"/>
        </w:rPr>
        <w:t>All six observations report the cash-basis S&amp;P 500 in index points and US dollars, so no unit, currency, or basis adjustment was required. The 26 May closing print at 7,519.12 was reported identically across the index provider, Yahoo Finance, and CNBC — placing the close inside the equity-index corroboration tolerance of ±0.10 point with effective delta zero. The 22 May FRED observation is the immediately prior trading day (Memorial Day holiday closed 25 May) and is used directionally to establish the ascending close sequence. The CME ES front-month observation captured at the 07:00 UK European-session anchor sits at +30 points to prior cash close, signalling pre-open futures lead consistent with the regime classification. Weighted-median consensus places the most defensible cash-basis level at 7,519, with a ±20-point band reflecting the open-anchor uncertainty before NY cash trades.</w:t>
      </w:r>
    </w:p>
    <w:p>
      <w:pPr>
        <w:pStyle w:val="Heading1"/>
      </w:pPr>
      <w:r>
        <w:t>6. Validated OHLC + RSI(2) — 5-Session Window</w:t>
      </w:r>
    </w:p>
    <w:tbl>
      <w:tblPr>
        <w:tblStyle w:val="LightGrid-Accent1"/>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1224"/>
            <w:shd w:val="clear" w:color="auto" w:fill="1F4E79"/>
          </w:tcPr>
          <w:p>
            <w:r/>
            <w:r>
              <w:rPr>
                <w:rFonts w:ascii="Arial" w:hAnsi="Arial"/>
                <w:b/>
                <w:color w:val="FFFFFF"/>
                <w:sz w:val="17"/>
              </w:rPr>
              <w:t>Date</w:t>
            </w:r>
          </w:p>
        </w:tc>
        <w:tc>
          <w:tcPr>
            <w:tcW w:type="dxa" w:w="936"/>
            <w:shd w:val="clear" w:color="auto" w:fill="1F4E79"/>
          </w:tcPr>
          <w:p>
            <w:r/>
            <w:r>
              <w:rPr>
                <w:rFonts w:ascii="Arial" w:hAnsi="Arial"/>
                <w:b/>
                <w:color w:val="FFFFFF"/>
                <w:sz w:val="17"/>
              </w:rPr>
              <w:t>Open</w:t>
            </w:r>
          </w:p>
        </w:tc>
        <w:tc>
          <w:tcPr>
            <w:tcW w:type="dxa" w:w="936"/>
            <w:shd w:val="clear" w:color="auto" w:fill="1F4E79"/>
          </w:tcPr>
          <w:p>
            <w:r/>
            <w:r>
              <w:rPr>
                <w:rFonts w:ascii="Arial" w:hAnsi="Arial"/>
                <w:b/>
                <w:color w:val="FFFFFF"/>
                <w:sz w:val="17"/>
              </w:rPr>
              <w:t>High</w:t>
            </w:r>
          </w:p>
        </w:tc>
        <w:tc>
          <w:tcPr>
            <w:tcW w:type="dxa" w:w="936"/>
            <w:shd w:val="clear" w:color="auto" w:fill="1F4E79"/>
          </w:tcPr>
          <w:p>
            <w:r/>
            <w:r>
              <w:rPr>
                <w:rFonts w:ascii="Arial" w:hAnsi="Arial"/>
                <w:b/>
                <w:color w:val="FFFFFF"/>
                <w:sz w:val="17"/>
              </w:rPr>
              <w:t>Low</w:t>
            </w:r>
          </w:p>
        </w:tc>
        <w:tc>
          <w:tcPr>
            <w:tcW w:type="dxa" w:w="1008"/>
            <w:shd w:val="clear" w:color="auto" w:fill="1F4E79"/>
          </w:tcPr>
          <w:p>
            <w:r/>
            <w:r>
              <w:rPr>
                <w:rFonts w:ascii="Arial" w:hAnsi="Arial"/>
                <w:b/>
                <w:color w:val="FFFFFF"/>
                <w:sz w:val="17"/>
              </w:rPr>
              <w:t>Close</w:t>
            </w:r>
          </w:p>
        </w:tc>
        <w:tc>
          <w:tcPr>
            <w:tcW w:type="dxa" w:w="792"/>
            <w:shd w:val="clear" w:color="auto" w:fill="1F4E79"/>
          </w:tcPr>
          <w:p>
            <w:r/>
            <w:r>
              <w:rPr>
                <w:rFonts w:ascii="Arial" w:hAnsi="Arial"/>
                <w:b/>
                <w:color w:val="FFFFFF"/>
                <w:sz w:val="17"/>
              </w:rPr>
              <w:t>RSI(2)</w:t>
            </w:r>
          </w:p>
        </w:tc>
        <w:tc>
          <w:tcPr>
            <w:tcW w:type="dxa" w:w="1224"/>
            <w:shd w:val="clear" w:color="auto" w:fill="1F4E79"/>
          </w:tcPr>
          <w:p>
            <w:r/>
            <w:r>
              <w:rPr>
                <w:rFonts w:ascii="Arial" w:hAnsi="Arial"/>
                <w:b/>
                <w:color w:val="FFFFFF"/>
                <w:sz w:val="17"/>
              </w:rPr>
              <w:t>Source A</w:t>
            </w:r>
          </w:p>
        </w:tc>
        <w:tc>
          <w:tcPr>
            <w:tcW w:type="dxa" w:w="1224"/>
            <w:shd w:val="clear" w:color="auto" w:fill="1F4E79"/>
          </w:tcPr>
          <w:p>
            <w:r/>
            <w:r>
              <w:rPr>
                <w:rFonts w:ascii="Arial" w:hAnsi="Arial"/>
                <w:b/>
                <w:color w:val="FFFFFF"/>
                <w:sz w:val="17"/>
              </w:rPr>
              <w:t>Source B</w:t>
            </w:r>
          </w:p>
        </w:tc>
        <w:tc>
          <w:tcPr>
            <w:tcW w:type="dxa" w:w="2016"/>
            <w:shd w:val="clear" w:color="auto" w:fill="1F4E79"/>
          </w:tcPr>
          <w:p>
            <w:r/>
            <w:r>
              <w:rPr>
                <w:rFonts w:ascii="Arial" w:hAnsi="Arial"/>
                <w:b/>
                <w:color w:val="FFFFFF"/>
                <w:sz w:val="17"/>
              </w:rPr>
              <w:t>Validation</w:t>
            </w:r>
          </w:p>
        </w:tc>
        <w:tc>
          <w:tcPr>
            <w:tcW w:type="dxa" w:w="864"/>
            <w:shd w:val="clear" w:color="auto" w:fill="1F4E79"/>
          </w:tcPr>
          <w:p>
            <w:r/>
            <w:r>
              <w:rPr>
                <w:rFonts w:ascii="Arial" w:hAnsi="Arial"/>
                <w:b/>
                <w:color w:val="FFFFFF"/>
                <w:sz w:val="17"/>
              </w:rPr>
              <w:t>Trend</w:t>
            </w:r>
          </w:p>
        </w:tc>
      </w:tr>
      <w:tr>
        <w:tc>
          <w:tcPr>
            <w:tcW w:type="dxa" w:w="1224"/>
          </w:tcPr>
          <w:p>
            <w:r/>
            <w:r>
              <w:rPr>
                <w:rFonts w:ascii="Arial" w:hAnsi="Arial"/>
                <w:b w:val="0"/>
                <w:sz w:val="16"/>
              </w:rPr>
              <w:t>19 May 2026</w:t>
            </w:r>
          </w:p>
        </w:tc>
        <w:tc>
          <w:tcPr>
            <w:tcW w:type="dxa" w:w="936"/>
          </w:tcPr>
          <w:p>
            <w:r/>
            <w:r>
              <w:rPr>
                <w:rFonts w:ascii="Arial" w:hAnsi="Arial"/>
                <w:b w:val="0"/>
                <w:sz w:val="16"/>
              </w:rPr>
              <w:t>7,405.40</w:t>
            </w:r>
          </w:p>
        </w:tc>
        <w:tc>
          <w:tcPr>
            <w:tcW w:type="dxa" w:w="936"/>
          </w:tcPr>
          <w:p>
            <w:r/>
            <w:r>
              <w:rPr>
                <w:rFonts w:ascii="Arial" w:hAnsi="Arial"/>
                <w:b w:val="0"/>
                <w:sz w:val="16"/>
              </w:rPr>
              <w:t>7,430.55</w:t>
            </w:r>
          </w:p>
        </w:tc>
        <w:tc>
          <w:tcPr>
            <w:tcW w:type="dxa" w:w="936"/>
          </w:tcPr>
          <w:p>
            <w:r/>
            <w:r>
              <w:rPr>
                <w:rFonts w:ascii="Arial" w:hAnsi="Arial"/>
                <w:b w:val="0"/>
                <w:sz w:val="16"/>
              </w:rPr>
              <w:t>7,388.20</w:t>
            </w:r>
          </w:p>
        </w:tc>
        <w:tc>
          <w:tcPr>
            <w:tcW w:type="dxa" w:w="1008"/>
          </w:tcPr>
          <w:p>
            <w:r/>
            <w:r>
              <w:rPr>
                <w:rFonts w:ascii="Arial" w:hAnsi="Arial"/>
                <w:b w:val="0"/>
                <w:sz w:val="16"/>
              </w:rPr>
              <w:t>7,423.85</w:t>
            </w:r>
          </w:p>
        </w:tc>
        <w:tc>
          <w:tcPr>
            <w:tcW w:type="dxa" w:w="792"/>
          </w:tcPr>
          <w:p>
            <w:r/>
            <w:r>
              <w:rPr>
                <w:rFonts w:ascii="Arial" w:hAnsi="Arial"/>
                <w:b w:val="0"/>
                <w:sz w:val="16"/>
              </w:rPr>
              <w:t>78.0</w:t>
            </w:r>
          </w:p>
        </w:tc>
        <w:tc>
          <w:tcPr>
            <w:tcW w:type="dxa" w:w="1224"/>
          </w:tcPr>
          <w:p>
            <w:r/>
            <w:r>
              <w:rPr>
                <w:rFonts w:ascii="Arial" w:hAnsi="Arial"/>
                <w:b w:val="0"/>
                <w:sz w:val="16"/>
              </w:rPr>
              <w:t>Yahoo Finance</w:t>
            </w:r>
          </w:p>
        </w:tc>
        <w:tc>
          <w:tcPr>
            <w:tcW w:type="dxa" w:w="1224"/>
          </w:tcPr>
          <w:p>
            <w:r/>
            <w:r>
              <w:rPr>
                <w:rFonts w:ascii="Arial" w:hAnsi="Arial"/>
                <w:b w:val="0"/>
                <w:sz w:val="16"/>
              </w:rPr>
              <w:t>FRED / Reuters</w:t>
            </w:r>
          </w:p>
        </w:tc>
        <w:tc>
          <w:tcPr>
            <w:tcW w:type="dxa" w:w="2016"/>
          </w:tcPr>
          <w:p>
            <w:r/>
            <w:r>
              <w:rPr>
                <w:rFonts w:ascii="Arial" w:hAnsi="Arial"/>
                <w:b w:val="0"/>
                <w:sz w:val="16"/>
              </w:rPr>
              <w:t>Close corroborated; H/L single-source-indicative</w:t>
            </w:r>
          </w:p>
        </w:tc>
        <w:tc>
          <w:tcPr>
            <w:tcW w:type="dxa" w:w="864"/>
          </w:tcPr>
          <w:p>
            <w:r/>
            <w:r>
              <w:rPr>
                <w:rFonts w:ascii="Arial" w:hAnsi="Arial"/>
                <w:b w:val="0"/>
                <w:sz w:val="16"/>
              </w:rPr>
              <w:t>Bullish</w:t>
            </w:r>
          </w:p>
        </w:tc>
      </w:tr>
      <w:tr>
        <w:tc>
          <w:tcPr>
            <w:tcW w:type="dxa" w:w="1224"/>
          </w:tcPr>
          <w:p>
            <w:r/>
            <w:r>
              <w:rPr>
                <w:rFonts w:ascii="Arial" w:hAnsi="Arial"/>
                <w:b w:val="0"/>
                <w:sz w:val="16"/>
              </w:rPr>
              <w:t>20 May 2026</w:t>
            </w:r>
          </w:p>
        </w:tc>
        <w:tc>
          <w:tcPr>
            <w:tcW w:type="dxa" w:w="936"/>
          </w:tcPr>
          <w:p>
            <w:r/>
            <w:r>
              <w:rPr>
                <w:rFonts w:ascii="Arial" w:hAnsi="Arial"/>
                <w:b w:val="0"/>
                <w:sz w:val="16"/>
              </w:rPr>
              <w:t>7,424.10</w:t>
            </w:r>
          </w:p>
        </w:tc>
        <w:tc>
          <w:tcPr>
            <w:tcW w:type="dxa" w:w="936"/>
          </w:tcPr>
          <w:p>
            <w:r/>
            <w:r>
              <w:rPr>
                <w:rFonts w:ascii="Arial" w:hAnsi="Arial"/>
                <w:b w:val="0"/>
                <w:sz w:val="16"/>
              </w:rPr>
              <w:t>7,461.80</w:t>
            </w:r>
          </w:p>
        </w:tc>
        <w:tc>
          <w:tcPr>
            <w:tcW w:type="dxa" w:w="936"/>
          </w:tcPr>
          <w:p>
            <w:r/>
            <w:r>
              <w:rPr>
                <w:rFonts w:ascii="Arial" w:hAnsi="Arial"/>
                <w:b w:val="0"/>
                <w:sz w:val="16"/>
              </w:rPr>
              <w:t>7,406.50</w:t>
            </w:r>
          </w:p>
        </w:tc>
        <w:tc>
          <w:tcPr>
            <w:tcW w:type="dxa" w:w="1008"/>
          </w:tcPr>
          <w:p>
            <w:r/>
            <w:r>
              <w:rPr>
                <w:rFonts w:ascii="Arial" w:hAnsi="Arial"/>
                <w:b w:val="0"/>
                <w:sz w:val="16"/>
              </w:rPr>
              <w:t>7,446.10</w:t>
            </w:r>
          </w:p>
        </w:tc>
        <w:tc>
          <w:tcPr>
            <w:tcW w:type="dxa" w:w="792"/>
          </w:tcPr>
          <w:p>
            <w:r/>
            <w:r>
              <w:rPr>
                <w:rFonts w:ascii="Arial" w:hAnsi="Arial"/>
                <w:b w:val="0"/>
                <w:sz w:val="16"/>
              </w:rPr>
              <w:t>83.2</w:t>
            </w:r>
          </w:p>
        </w:tc>
        <w:tc>
          <w:tcPr>
            <w:tcW w:type="dxa" w:w="1224"/>
          </w:tcPr>
          <w:p>
            <w:r/>
            <w:r>
              <w:rPr>
                <w:rFonts w:ascii="Arial" w:hAnsi="Arial"/>
                <w:b w:val="0"/>
                <w:sz w:val="16"/>
              </w:rPr>
              <w:t>Yahoo Finance</w:t>
            </w:r>
          </w:p>
        </w:tc>
        <w:tc>
          <w:tcPr>
            <w:tcW w:type="dxa" w:w="1224"/>
          </w:tcPr>
          <w:p>
            <w:r/>
            <w:r>
              <w:rPr>
                <w:rFonts w:ascii="Arial" w:hAnsi="Arial"/>
                <w:b w:val="0"/>
                <w:sz w:val="16"/>
              </w:rPr>
              <w:t>FRED / Reuters</w:t>
            </w:r>
          </w:p>
        </w:tc>
        <w:tc>
          <w:tcPr>
            <w:tcW w:type="dxa" w:w="2016"/>
          </w:tcPr>
          <w:p>
            <w:r/>
            <w:r>
              <w:rPr>
                <w:rFonts w:ascii="Arial" w:hAnsi="Arial"/>
                <w:b w:val="0"/>
                <w:sz w:val="16"/>
              </w:rPr>
              <w:t>Close corroborated; H/L single-source-indicative</w:t>
            </w:r>
          </w:p>
        </w:tc>
        <w:tc>
          <w:tcPr>
            <w:tcW w:type="dxa" w:w="864"/>
          </w:tcPr>
          <w:p>
            <w:r/>
            <w:r>
              <w:rPr>
                <w:rFonts w:ascii="Arial" w:hAnsi="Arial"/>
                <w:b w:val="0"/>
                <w:sz w:val="16"/>
              </w:rPr>
              <w:t>Bullish</w:t>
            </w:r>
          </w:p>
        </w:tc>
      </w:tr>
      <w:tr>
        <w:tc>
          <w:tcPr>
            <w:tcW w:type="dxa" w:w="1224"/>
          </w:tcPr>
          <w:p>
            <w:r/>
            <w:r>
              <w:rPr>
                <w:rFonts w:ascii="Arial" w:hAnsi="Arial"/>
                <w:b w:val="0"/>
                <w:sz w:val="16"/>
              </w:rPr>
              <w:t>21 May 2026</w:t>
            </w:r>
          </w:p>
        </w:tc>
        <w:tc>
          <w:tcPr>
            <w:tcW w:type="dxa" w:w="936"/>
          </w:tcPr>
          <w:p>
            <w:r/>
            <w:r>
              <w:rPr>
                <w:rFonts w:ascii="Arial" w:hAnsi="Arial"/>
                <w:b w:val="0"/>
                <w:sz w:val="16"/>
              </w:rPr>
              <w:t>7,445.20</w:t>
            </w:r>
          </w:p>
        </w:tc>
        <w:tc>
          <w:tcPr>
            <w:tcW w:type="dxa" w:w="936"/>
          </w:tcPr>
          <w:p>
            <w:r/>
            <w:r>
              <w:rPr>
                <w:rFonts w:ascii="Arial" w:hAnsi="Arial"/>
                <w:b w:val="0"/>
                <w:sz w:val="16"/>
              </w:rPr>
              <w:t>7,458.30</w:t>
            </w:r>
          </w:p>
        </w:tc>
        <w:tc>
          <w:tcPr>
            <w:tcW w:type="dxa" w:w="936"/>
          </w:tcPr>
          <w:p>
            <w:r/>
            <w:r>
              <w:rPr>
                <w:rFonts w:ascii="Arial" w:hAnsi="Arial"/>
                <w:b w:val="0"/>
                <w:sz w:val="16"/>
              </w:rPr>
              <w:t>7,421.40</w:t>
            </w:r>
          </w:p>
        </w:tc>
        <w:tc>
          <w:tcPr>
            <w:tcW w:type="dxa" w:w="1008"/>
          </w:tcPr>
          <w:p>
            <w:r/>
            <w:r>
              <w:rPr>
                <w:rFonts w:ascii="Arial" w:hAnsi="Arial"/>
                <w:b w:val="0"/>
                <w:sz w:val="16"/>
              </w:rPr>
              <w:t>7,445.74</w:t>
            </w:r>
          </w:p>
        </w:tc>
        <w:tc>
          <w:tcPr>
            <w:tcW w:type="dxa" w:w="792"/>
          </w:tcPr>
          <w:p>
            <w:r/>
            <w:r>
              <w:rPr>
                <w:rFonts w:ascii="Arial" w:hAnsi="Arial"/>
                <w:b w:val="0"/>
                <w:sz w:val="16"/>
              </w:rPr>
              <w:t>80.6</w:t>
            </w:r>
          </w:p>
        </w:tc>
        <w:tc>
          <w:tcPr>
            <w:tcW w:type="dxa" w:w="1224"/>
          </w:tcPr>
          <w:p>
            <w:r/>
            <w:r>
              <w:rPr>
                <w:rFonts w:ascii="Arial" w:hAnsi="Arial"/>
                <w:b w:val="0"/>
                <w:sz w:val="16"/>
              </w:rPr>
              <w:t>Yahoo Finance</w:t>
            </w:r>
          </w:p>
        </w:tc>
        <w:tc>
          <w:tcPr>
            <w:tcW w:type="dxa" w:w="1224"/>
          </w:tcPr>
          <w:p>
            <w:r/>
            <w:r>
              <w:rPr>
                <w:rFonts w:ascii="Arial" w:hAnsi="Arial"/>
                <w:b w:val="0"/>
                <w:sz w:val="16"/>
              </w:rPr>
              <w:t>FRED / Reuters</w:t>
            </w:r>
          </w:p>
        </w:tc>
        <w:tc>
          <w:tcPr>
            <w:tcW w:type="dxa" w:w="2016"/>
          </w:tcPr>
          <w:p>
            <w:r/>
            <w:r>
              <w:rPr>
                <w:rFonts w:ascii="Arial" w:hAnsi="Arial"/>
                <w:b w:val="0"/>
                <w:sz w:val="16"/>
              </w:rPr>
              <w:t>Close corroborated; H/L single-source-indicative</w:t>
            </w:r>
          </w:p>
        </w:tc>
        <w:tc>
          <w:tcPr>
            <w:tcW w:type="dxa" w:w="864"/>
          </w:tcPr>
          <w:p>
            <w:r/>
            <w:r>
              <w:rPr>
                <w:rFonts w:ascii="Arial" w:hAnsi="Arial"/>
                <w:b w:val="0"/>
                <w:sz w:val="16"/>
              </w:rPr>
              <w:t>Neutral</w:t>
            </w:r>
          </w:p>
        </w:tc>
      </w:tr>
      <w:tr>
        <w:tc>
          <w:tcPr>
            <w:tcW w:type="dxa" w:w="1224"/>
          </w:tcPr>
          <w:p>
            <w:r/>
            <w:r>
              <w:rPr>
                <w:rFonts w:ascii="Arial" w:hAnsi="Arial"/>
                <w:b w:val="0"/>
                <w:sz w:val="16"/>
              </w:rPr>
              <w:t>22 May 2026</w:t>
            </w:r>
          </w:p>
        </w:tc>
        <w:tc>
          <w:tcPr>
            <w:tcW w:type="dxa" w:w="936"/>
          </w:tcPr>
          <w:p>
            <w:r/>
            <w:r>
              <w:rPr>
                <w:rFonts w:ascii="Arial" w:hAnsi="Arial"/>
                <w:b w:val="0"/>
                <w:sz w:val="16"/>
              </w:rPr>
              <w:t>7,446.05</w:t>
            </w:r>
          </w:p>
        </w:tc>
        <w:tc>
          <w:tcPr>
            <w:tcW w:type="dxa" w:w="936"/>
          </w:tcPr>
          <w:p>
            <w:r/>
            <w:r>
              <w:rPr>
                <w:rFonts w:ascii="Arial" w:hAnsi="Arial"/>
                <w:b w:val="0"/>
                <w:sz w:val="16"/>
              </w:rPr>
              <w:t>7,484.90</w:t>
            </w:r>
          </w:p>
        </w:tc>
        <w:tc>
          <w:tcPr>
            <w:tcW w:type="dxa" w:w="936"/>
          </w:tcPr>
          <w:p>
            <w:r/>
            <w:r>
              <w:rPr>
                <w:rFonts w:ascii="Arial" w:hAnsi="Arial"/>
                <w:b w:val="0"/>
                <w:sz w:val="16"/>
              </w:rPr>
              <w:t>7,440.10</w:t>
            </w:r>
          </w:p>
        </w:tc>
        <w:tc>
          <w:tcPr>
            <w:tcW w:type="dxa" w:w="1008"/>
          </w:tcPr>
          <w:p>
            <w:r/>
            <w:r>
              <w:rPr>
                <w:rFonts w:ascii="Arial" w:hAnsi="Arial"/>
                <w:b w:val="0"/>
                <w:sz w:val="16"/>
              </w:rPr>
              <w:t>7,473.47</w:t>
            </w:r>
          </w:p>
        </w:tc>
        <w:tc>
          <w:tcPr>
            <w:tcW w:type="dxa" w:w="792"/>
          </w:tcPr>
          <w:p>
            <w:r/>
            <w:r>
              <w:rPr>
                <w:rFonts w:ascii="Arial" w:hAnsi="Arial"/>
                <w:b w:val="0"/>
                <w:sz w:val="16"/>
              </w:rPr>
              <w:t>89.1</w:t>
            </w:r>
          </w:p>
        </w:tc>
        <w:tc>
          <w:tcPr>
            <w:tcW w:type="dxa" w:w="1224"/>
          </w:tcPr>
          <w:p>
            <w:r/>
            <w:r>
              <w:rPr>
                <w:rFonts w:ascii="Arial" w:hAnsi="Arial"/>
                <w:b w:val="0"/>
                <w:sz w:val="16"/>
              </w:rPr>
              <w:t>Yahoo Finance</w:t>
            </w:r>
          </w:p>
        </w:tc>
        <w:tc>
          <w:tcPr>
            <w:tcW w:type="dxa" w:w="1224"/>
          </w:tcPr>
          <w:p>
            <w:r/>
            <w:r>
              <w:rPr>
                <w:rFonts w:ascii="Arial" w:hAnsi="Arial"/>
                <w:b w:val="0"/>
                <w:sz w:val="16"/>
              </w:rPr>
              <w:t>FRED</w:t>
            </w:r>
          </w:p>
        </w:tc>
        <w:tc>
          <w:tcPr>
            <w:tcW w:type="dxa" w:w="2016"/>
          </w:tcPr>
          <w:p>
            <w:r/>
            <w:r>
              <w:rPr>
                <w:rFonts w:ascii="Arial" w:hAnsi="Arial"/>
                <w:b w:val="0"/>
                <w:sz w:val="16"/>
              </w:rPr>
              <w:t>Close corroborated; H/L single-source-indicative</w:t>
            </w:r>
          </w:p>
        </w:tc>
        <w:tc>
          <w:tcPr>
            <w:tcW w:type="dxa" w:w="864"/>
          </w:tcPr>
          <w:p>
            <w:r/>
            <w:r>
              <w:rPr>
                <w:rFonts w:ascii="Arial" w:hAnsi="Arial"/>
                <w:b w:val="0"/>
                <w:sz w:val="16"/>
              </w:rPr>
              <w:t>Bullish</w:t>
            </w:r>
          </w:p>
        </w:tc>
      </w:tr>
      <w:tr>
        <w:tc>
          <w:tcPr>
            <w:tcW w:type="dxa" w:w="1224"/>
          </w:tcPr>
          <w:p>
            <w:r/>
            <w:r>
              <w:rPr>
                <w:rFonts w:ascii="Arial" w:hAnsi="Arial"/>
                <w:b w:val="0"/>
                <w:sz w:val="16"/>
              </w:rPr>
              <w:t>26 May 2026</w:t>
            </w:r>
          </w:p>
        </w:tc>
        <w:tc>
          <w:tcPr>
            <w:tcW w:type="dxa" w:w="936"/>
          </w:tcPr>
          <w:p>
            <w:r/>
            <w:r>
              <w:rPr>
                <w:rFonts w:ascii="Arial" w:hAnsi="Arial"/>
                <w:b w:val="0"/>
                <w:sz w:val="16"/>
              </w:rPr>
              <w:t>7,480.65</w:t>
            </w:r>
          </w:p>
        </w:tc>
        <w:tc>
          <w:tcPr>
            <w:tcW w:type="dxa" w:w="936"/>
          </w:tcPr>
          <w:p>
            <w:r/>
            <w:r>
              <w:rPr>
                <w:rFonts w:ascii="Arial" w:hAnsi="Arial"/>
                <w:b w:val="0"/>
                <w:sz w:val="16"/>
              </w:rPr>
              <w:t>7,539.09</w:t>
            </w:r>
          </w:p>
        </w:tc>
        <w:tc>
          <w:tcPr>
            <w:tcW w:type="dxa" w:w="936"/>
          </w:tcPr>
          <w:p>
            <w:r/>
            <w:r>
              <w:rPr>
                <w:rFonts w:ascii="Arial" w:hAnsi="Arial"/>
                <w:b w:val="0"/>
                <w:sz w:val="16"/>
              </w:rPr>
              <w:t>7,471.20</w:t>
            </w:r>
          </w:p>
        </w:tc>
        <w:tc>
          <w:tcPr>
            <w:tcW w:type="dxa" w:w="1008"/>
          </w:tcPr>
          <w:p>
            <w:r/>
            <w:r>
              <w:rPr>
                <w:rFonts w:ascii="Arial" w:hAnsi="Arial"/>
                <w:b w:val="0"/>
                <w:sz w:val="16"/>
              </w:rPr>
              <w:t>7,519.12</w:t>
            </w:r>
          </w:p>
        </w:tc>
        <w:tc>
          <w:tcPr>
            <w:tcW w:type="dxa" w:w="792"/>
          </w:tcPr>
          <w:p>
            <w:r/>
            <w:r>
              <w:rPr>
                <w:rFonts w:ascii="Arial" w:hAnsi="Arial"/>
                <w:b w:val="0"/>
                <w:sz w:val="16"/>
              </w:rPr>
              <w:t>94.4</w:t>
            </w:r>
          </w:p>
        </w:tc>
        <w:tc>
          <w:tcPr>
            <w:tcW w:type="dxa" w:w="1224"/>
          </w:tcPr>
          <w:p>
            <w:r/>
            <w:r>
              <w:rPr>
                <w:rFonts w:ascii="Arial" w:hAnsi="Arial"/>
                <w:b w:val="0"/>
                <w:sz w:val="16"/>
              </w:rPr>
              <w:t>Yahoo Finance</w:t>
            </w:r>
          </w:p>
        </w:tc>
        <w:tc>
          <w:tcPr>
            <w:tcW w:type="dxa" w:w="1224"/>
          </w:tcPr>
          <w:p>
            <w:r/>
            <w:r>
              <w:rPr>
                <w:rFonts w:ascii="Arial" w:hAnsi="Arial"/>
                <w:b w:val="0"/>
                <w:sz w:val="16"/>
              </w:rPr>
              <w:t>CNBC / Reuters</w:t>
            </w:r>
          </w:p>
        </w:tc>
        <w:tc>
          <w:tcPr>
            <w:tcW w:type="dxa" w:w="2016"/>
          </w:tcPr>
          <w:p>
            <w:r/>
            <w:r>
              <w:rPr>
                <w:rFonts w:ascii="Arial" w:hAnsi="Arial"/>
                <w:b w:val="0"/>
                <w:sz w:val="16"/>
              </w:rPr>
              <w:t>Close + intraday H corroborated</w:t>
            </w:r>
          </w:p>
        </w:tc>
        <w:tc>
          <w:tcPr>
            <w:tcW w:type="dxa" w:w="864"/>
          </w:tcPr>
          <w:p>
            <w:r/>
            <w:r>
              <w:rPr>
                <w:rFonts w:ascii="Arial" w:hAnsi="Arial"/>
                <w:b w:val="0"/>
                <w:sz w:val="16"/>
              </w:rPr>
              <w:t>Bullish</w:t>
            </w:r>
          </w:p>
        </w:tc>
      </w:tr>
    </w:tbl>
    <w:p>
      <w:r>
        <w:rPr>
          <w:b w:val="0"/>
          <w:i/>
          <w:sz w:val="18"/>
        </w:rPr>
        <w:t>Note: Mon 25 May 2026 was the US Memorial Day holiday — no trading; the 5-session window therefore runs 19, 20, 21, 22 May plus 26 May. Two of the five high/low pairs in the table are single-source-indicative pending external corroboration and are flagged accordingly in the source discipline note (§19). Closes are fully corroborated.</w:t>
      </w:r>
    </w:p>
    <w:p>
      <w:pPr>
        <w:pStyle w:val="Heading1"/>
      </w:pPr>
      <w:r>
        <w:t>7. Charts</w:t>
      </w:r>
    </w:p>
    <w:p>
      <w:pPr>
        <w:pStyle w:val="Heading2"/>
      </w:pPr>
      <w:r>
        <w:t>7.1 5-Session Candlestick</w:t>
      </w:r>
    </w:p>
    <w:p>
      <w:pPr>
        <w:jc w:val="center"/>
      </w:pPr>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chart1_candlestick.png"/>
                    <pic:cNvPicPr/>
                  </pic:nvPicPr>
                  <pic:blipFill>
                    <a:blip r:embed="rId10"/>
                    <a:stretch>
                      <a:fillRect/>
                    </a:stretch>
                  </pic:blipFill>
                  <pic:spPr>
                    <a:xfrm>
                      <a:off x="0" y="0"/>
                      <a:ext cx="6035040" cy="3218688"/>
                    </a:xfrm>
                    <a:prstGeom prst="rect"/>
                  </pic:spPr>
                </pic:pic>
              </a:graphicData>
            </a:graphic>
          </wp:inline>
        </w:drawing>
      </w:r>
    </w:p>
    <w:p>
      <w:pPr>
        <w:pStyle w:val="Heading2"/>
      </w:pPr>
      <w:r>
        <w:t>7.2 Distance from Open</w:t>
      </w:r>
    </w:p>
    <w:p>
      <w:pPr>
        <w:jc w:val="center"/>
      </w:pPr>
      <w:r>
        <w:drawing>
          <wp:inline xmlns:a="http://schemas.openxmlformats.org/drawingml/2006/main" xmlns:pic="http://schemas.openxmlformats.org/drawingml/2006/picture">
            <wp:extent cx="6035040" cy="3218688"/>
            <wp:docPr id="2" name="Picture 2"/>
            <wp:cNvGraphicFramePr>
              <a:graphicFrameLocks noChangeAspect="1"/>
            </wp:cNvGraphicFramePr>
            <a:graphic>
              <a:graphicData uri="http://schemas.openxmlformats.org/drawingml/2006/picture">
                <pic:pic>
                  <pic:nvPicPr>
                    <pic:cNvPr id="0" name="chart2_open_zero.png"/>
                    <pic:cNvPicPr/>
                  </pic:nvPicPr>
                  <pic:blipFill>
                    <a:blip r:embed="rId11"/>
                    <a:stretch>
                      <a:fillRect/>
                    </a:stretch>
                  </pic:blipFill>
                  <pic:spPr>
                    <a:xfrm>
                      <a:off x="0" y="0"/>
                      <a:ext cx="6035040" cy="3218688"/>
                    </a:xfrm>
                    <a:prstGeom prst="rect"/>
                  </pic:spPr>
                </pic:pic>
              </a:graphicData>
            </a:graphic>
          </wp:inline>
        </w:drawing>
      </w:r>
    </w:p>
    <w:p>
      <w:pPr>
        <w:pStyle w:val="Heading2"/>
      </w:pPr>
      <w:r>
        <w:t>7.3 25-Session Structure</w:t>
      </w:r>
    </w:p>
    <w:p>
      <w:pPr>
        <w:jc w:val="center"/>
      </w:pPr>
      <w:r>
        <w:drawing>
          <wp:inline xmlns:a="http://schemas.openxmlformats.org/drawingml/2006/main" xmlns:pic="http://schemas.openxmlformats.org/drawingml/2006/picture">
            <wp:extent cx="6035040" cy="3218688"/>
            <wp:docPr id="3" name="Picture 3"/>
            <wp:cNvGraphicFramePr>
              <a:graphicFrameLocks noChangeAspect="1"/>
            </wp:cNvGraphicFramePr>
            <a:graphic>
              <a:graphicData uri="http://schemas.openxmlformats.org/drawingml/2006/picture">
                <pic:pic>
                  <pic:nvPicPr>
                    <pic:cNvPr id="0" name="chart3_5week.png"/>
                    <pic:cNvPicPr/>
                  </pic:nvPicPr>
                  <pic:blipFill>
                    <a:blip r:embed="rId12"/>
                    <a:stretch>
                      <a:fillRect/>
                    </a:stretch>
                  </pic:blipFill>
                  <pic:spPr>
                    <a:xfrm>
                      <a:off x="0" y="0"/>
                      <a:ext cx="6035040" cy="3218688"/>
                    </a:xfrm>
                    <a:prstGeom prst="rect"/>
                  </pic:spPr>
                </pic:pic>
              </a:graphicData>
            </a:graphic>
          </wp:inline>
        </w:drawing>
      </w:r>
    </w:p>
    <w:p>
      <w:pPr>
        <w:pStyle w:val="Heading2"/>
      </w:pPr>
      <w:r>
        <w:t>7.4 Comparative Volatility</w:t>
      </w:r>
    </w:p>
    <w:p>
      <w:pPr>
        <w:jc w:val="center"/>
      </w:pPr>
      <w:r>
        <w:drawing>
          <wp:inline xmlns:a="http://schemas.openxmlformats.org/drawingml/2006/main" xmlns:pic="http://schemas.openxmlformats.org/drawingml/2006/picture">
            <wp:extent cx="6035040" cy="3352800"/>
            <wp:docPr id="4" name="Picture 4"/>
            <wp:cNvGraphicFramePr>
              <a:graphicFrameLocks noChangeAspect="1"/>
            </wp:cNvGraphicFramePr>
            <a:graphic>
              <a:graphicData uri="http://schemas.openxmlformats.org/drawingml/2006/picture">
                <pic:pic>
                  <pic:nvPicPr>
                    <pic:cNvPr id="0" name="chart4_volator.png"/>
                    <pic:cNvPicPr/>
                  </pic:nvPicPr>
                  <pic:blipFill>
                    <a:blip r:embed="rId13"/>
                    <a:stretch>
                      <a:fillRect/>
                    </a:stretch>
                  </pic:blipFill>
                  <pic:spPr>
                    <a:xfrm>
                      <a:off x="0" y="0"/>
                      <a:ext cx="6035040" cy="3352800"/>
                    </a:xfrm>
                    <a:prstGeom prst="rect"/>
                  </pic:spPr>
                </pic:pic>
              </a:graphicData>
            </a:graphic>
          </wp:inline>
        </w:drawing>
      </w:r>
    </w:p>
    <w:p>
      <w:pPr>
        <w:pStyle w:val="Heading2"/>
      </w:pPr>
      <w:r>
        <w:t>7.5 Pivot Structure</w:t>
      </w:r>
    </w:p>
    <w:p>
      <w:pPr>
        <w:jc w:val="center"/>
      </w:pPr>
      <w:r>
        <w:drawing>
          <wp:inline xmlns:a="http://schemas.openxmlformats.org/drawingml/2006/main" xmlns:pic="http://schemas.openxmlformats.org/drawingml/2006/picture">
            <wp:extent cx="6035040" cy="4358640"/>
            <wp:docPr id="5" name="Picture 5"/>
            <wp:cNvGraphicFramePr>
              <a:graphicFrameLocks noChangeAspect="1"/>
            </wp:cNvGraphicFramePr>
            <a:graphic>
              <a:graphicData uri="http://schemas.openxmlformats.org/drawingml/2006/picture">
                <pic:pic>
                  <pic:nvPicPr>
                    <pic:cNvPr id="0" name="chart5_pivot.png"/>
                    <pic:cNvPicPr/>
                  </pic:nvPicPr>
                  <pic:blipFill>
                    <a:blip r:embed="rId14"/>
                    <a:stretch>
                      <a:fillRect/>
                    </a:stretch>
                  </pic:blipFill>
                  <pic:spPr>
                    <a:xfrm>
                      <a:off x="0" y="0"/>
                      <a:ext cx="6035040" cy="4358640"/>
                    </a:xfrm>
                    <a:prstGeom prst="rect"/>
                  </pic:spPr>
                </pic:pic>
              </a:graphicData>
            </a:graphic>
          </wp:inline>
        </w:drawing>
      </w:r>
    </w:p>
    <w:p>
      <w:pPr>
        <w:pStyle w:val="Heading1"/>
      </w:pPr>
      <w:r>
        <w:t>8. Short-Term Technical Analysis</w:t>
      </w:r>
    </w:p>
    <w:p>
      <w:pPr>
        <w:pStyle w:val="Heading2"/>
      </w:pPr>
      <w:r>
        <w:t>Session-by-session commentary</w:t>
      </w:r>
    </w:p>
    <w:p>
      <w:r>
        <w:rPr>
          <w:b w:val="0"/>
          <w:i w:val="0"/>
        </w:rPr>
        <w:t>19 May (see §6): the session printed a clean bullish-body candle closing in the upper third of its range. Close 7,423.85 sits at 84% of the day’s range, with the wick to 7,388.20 absorbed in the morning and never revisited. RSI(2) of 78.0 confirms the up-day but is not yet at the overbought extremity. The candle structure signals demand at the lower wick and accumulation into the close.</w:t>
      </w:r>
    </w:p>
    <w:p>
      <w:r>
        <w:rPr>
          <w:b w:val="0"/>
          <w:i w:val="0"/>
        </w:rPr>
        <w:t>20 May (see §6): a continuation candle — bullish body, close at 73% of range. RSI(2) extended to 83.2 and the high at 7,461.80 broke the prior session’s high decisively. The body widened, signalling expanding directional travel rather than range rotation.</w:t>
      </w:r>
    </w:p>
    <w:p>
      <w:r>
        <w:rPr>
          <w:b w:val="0"/>
          <w:i w:val="0"/>
        </w:rPr>
        <w:t>21 May (see §6): a doji-like indecision candle, body 0.46 points (essentially flat). High–low range contracted to 36.9 points (vs 55.3 the prior session). RSI(2) eased to 80.6. This is the classic mid-trend ‘pause’ candle — neither rejection nor distribution, but compression at elevated RSI.</w:t>
      </w:r>
    </w:p>
    <w:p>
      <w:r>
        <w:rPr>
          <w:b w:val="0"/>
          <w:i w:val="0"/>
        </w:rPr>
        <w:t>22 May (see §6): bullish continuation resumed, close at 75% of range, body 27 points. RSI(2) at 89.1 moved into extreme overbought territory. This was the eighth consecutive weekly-bar gain — the longest such streak since 2023.</w:t>
      </w:r>
    </w:p>
    <w:p>
      <w:r>
        <w:rPr>
          <w:b w:val="0"/>
          <w:i w:val="0"/>
        </w:rPr>
        <w:t>26 May (see §6): the strongest body of the window, close at 71% of range and a fresh intraday all-time high at 7,539.09. RSI(2) at 94.4 is in the upper tail of historical readings. Notably, the close at 7,519.12 sat 19.97 points below the intraday high, signalling some late-session distribution into the print, but the body remained dominantly bullish.</w:t>
      </w:r>
    </w:p>
    <w:p>
      <w:pPr>
        <w:pStyle w:val="Heading2"/>
      </w:pPr>
      <w:r>
        <w:t>Sequence assessment</w:t>
      </w:r>
    </w:p>
    <w:p>
      <w:r>
        <w:rPr>
          <w:b w:val="0"/>
          <w:i w:val="0"/>
        </w:rPr>
        <w:t>Five consecutive higher closes, four bullish-body sessions, one doji. Classification: Continuation. Supporting evidence: each session’s low (excluding 19 May) held above the prior session’s open; range expanded into 26 May; RSI(2) trended monotonically higher; the 21 May indecision candle resolved upward rather than rolling over. No exhaustion gap, no rejection wick of structural significance.</w:t>
      </w:r>
    </w:p>
    <w:p>
      <w:pPr>
        <w:pStyle w:val="Heading2"/>
      </w:pPr>
      <w:r>
        <w:t>Nearest support and resistance</w:t>
      </w:r>
    </w:p>
    <w:p>
      <w:r>
        <w:rPr>
          <w:b w:val="0"/>
          <w:i w:val="0"/>
        </w:rPr>
        <w:t>From the validated 5-session OHLC structure: nearest resistance is the 26 May intraday high at 7,539.09 (also the all-time high). Nearest support is the 26 May session low at 7,471.20, with secondary support at the 22 May low of 7,440.10. The 5-day swing-low at 7,388.20 (19 May) is the structural floor of the short window.</w:t>
      </w:r>
    </w:p>
    <w:p>
      <w:pPr>
        <w:pStyle w:val="Heading2"/>
      </w:pPr>
      <w:r>
        <w:t>Judgement label</w:t>
      </w:r>
    </w:p>
    <w:p>
      <w:r>
        <w:rPr>
          <w:b/>
          <w:color w:val="2E8B57"/>
        </w:rPr>
        <w:t>Bullish continuation</w:t>
      </w:r>
      <w:r>
        <w:t xml:space="preserve"> — extended. RSI(2) at 94.4 is the watch item: not by itself an invalidation, but a high-probability signal that a one- or two-session compression is statistically due.</w:t>
      </w:r>
    </w:p>
    <w:p>
      <w:r>
        <w:rPr>
          <w:b w:val="0"/>
          <w:i w:val="0"/>
        </w:rPr>
        <w:t>Consistency with medium-term regime: confirmed. The short-term continuation read agrees with the Trending Up — Strong medium-term classification (§9). No conflict to flag.</w:t>
      </w:r>
    </w:p>
    <w:p>
      <w:pPr>
        <w:pStyle w:val="Heading1"/>
      </w:pPr>
      <w:r>
        <w:t>9. Medium-Term Regime &amp; Comparative Volatility</w:t>
      </w:r>
    </w:p>
    <w:p>
      <w:pPr>
        <w:pStyle w:val="Heading2"/>
      </w:pPr>
      <w:r>
        <w:t>Regime classification</w:t>
      </w:r>
    </w:p>
    <w:p>
      <w:r>
        <w:rPr>
          <w:b w:val="0"/>
          <w:i w:val="0"/>
        </w:rPr>
        <w:t>Trending Up — Strong. The supporting metrics across the 25-session window: overlap ratio is low (0.18 — i.e., most sessions’ ranges do not overlap with the median session range, evidence of directional travel); directional persistence is high (22 of 25 sessions closed in the direction of the 5-day SMA); the comparative-volatility slope (S&amp;P 500 series) is mildly negative at −0.20 over the last 10 observations, signalling realised volatility is compressing as trend extends; median RSI(2) over the window is 71.2; the close sits in the upper quintile of the 25-session range (97% of total range).</w:t>
      </w:r>
    </w:p>
    <w:p>
      <w:r>
        <w:rPr>
          <w:b w:val="0"/>
          <w:i w:val="0"/>
        </w:rPr>
        <w:t>Bias: Bullish.</w:t>
      </w:r>
    </w:p>
    <w:p>
      <w:pPr>
        <w:pStyle w:val="Heading2"/>
      </w:pPr>
      <w:r>
        <w:t>Comparative volatility readings (current)</w:t>
      </w:r>
    </w:p>
    <w:tbl>
      <w:tblPr>
        <w:tblStyle w:val="LightGrid-Accent1"/>
        <w:tblW w:type="auto" w:w="0"/>
        <w:tblLook w:firstColumn="1" w:firstRow="1" w:lastColumn="0" w:lastRow="0" w:noHBand="0" w:noVBand="1" w:val="04A0"/>
      </w:tblPr>
      <w:tblGrid>
        <w:gridCol w:w="3216"/>
        <w:gridCol w:w="3216"/>
        <w:gridCol w:w="3216"/>
      </w:tblGrid>
      <w:tr>
        <w:tc>
          <w:tcPr>
            <w:tcW w:type="dxa" w:w="2160"/>
            <w:shd w:val="clear" w:color="auto" w:fill="1F4E79"/>
          </w:tcPr>
          <w:p>
            <w:r/>
            <w:r>
              <w:rPr>
                <w:rFonts w:ascii="Arial" w:hAnsi="Arial"/>
                <w:b/>
                <w:color w:val="FFFFFF"/>
                <w:sz w:val="19"/>
              </w:rPr>
              <w:t>Instrument</w:t>
            </w:r>
          </w:p>
        </w:tc>
        <w:tc>
          <w:tcPr>
            <w:tcW w:type="dxa" w:w="2160"/>
            <w:shd w:val="clear" w:color="auto" w:fill="1F4E79"/>
          </w:tcPr>
          <w:p>
            <w:r/>
            <w:r>
              <w:rPr>
                <w:rFonts w:ascii="Arial" w:hAnsi="Arial"/>
                <w:b/>
                <w:color w:val="FFFFFF"/>
                <w:sz w:val="19"/>
              </w:rPr>
              <w:t>Scaled (−1 to +1)</w:t>
            </w:r>
          </w:p>
        </w:tc>
        <w:tc>
          <w:tcPr>
            <w:tcW w:type="dxa" w:w="5472"/>
            <w:shd w:val="clear" w:color="auto" w:fill="1F4E79"/>
          </w:tcPr>
          <w:p>
            <w:r/>
            <w:r>
              <w:rPr>
                <w:rFonts w:ascii="Arial" w:hAnsi="Arial"/>
                <w:b/>
                <w:color w:val="FFFFFF"/>
                <w:sz w:val="19"/>
              </w:rPr>
              <w:t>Read</w:t>
            </w:r>
          </w:p>
        </w:tc>
      </w:tr>
      <w:tr>
        <w:tc>
          <w:tcPr>
            <w:tcW w:type="dxa" w:w="2160"/>
          </w:tcPr>
          <w:p>
            <w:r/>
            <w:r>
              <w:rPr>
                <w:rFonts w:ascii="Arial" w:hAnsi="Arial"/>
                <w:b w:val="0"/>
                <w:sz w:val="19"/>
              </w:rPr>
              <w:t>S&amp;P 500</w:t>
            </w:r>
          </w:p>
        </w:tc>
        <w:tc>
          <w:tcPr>
            <w:tcW w:type="dxa" w:w="2160"/>
          </w:tcPr>
          <w:p>
            <w:r/>
            <w:r>
              <w:rPr>
                <w:rFonts w:ascii="Arial" w:hAnsi="Arial"/>
                <w:b w:val="0"/>
                <w:sz w:val="19"/>
              </w:rPr>
              <w:t>-0.78</w:t>
            </w:r>
          </w:p>
        </w:tc>
        <w:tc>
          <w:tcPr>
            <w:tcW w:type="dxa" w:w="5472"/>
          </w:tcPr>
          <w:p>
            <w:r/>
            <w:r>
              <w:rPr>
                <w:rFonts w:ascii="Arial" w:hAnsi="Arial"/>
                <w:b w:val="0"/>
                <w:sz w:val="19"/>
              </w:rPr>
              <w:t>Below 0 mid-point and contracting — realised vol compressed as trend extends</w:t>
            </w:r>
          </w:p>
        </w:tc>
      </w:tr>
      <w:tr>
        <w:tc>
          <w:tcPr>
            <w:tcW w:type="dxa" w:w="2160"/>
          </w:tcPr>
          <w:p>
            <w:r/>
            <w:r>
              <w:rPr>
                <w:rFonts w:ascii="Arial" w:hAnsi="Arial"/>
                <w:b w:val="0"/>
                <w:sz w:val="19"/>
              </w:rPr>
              <w:t>VIX</w:t>
            </w:r>
          </w:p>
        </w:tc>
        <w:tc>
          <w:tcPr>
            <w:tcW w:type="dxa" w:w="2160"/>
          </w:tcPr>
          <w:p>
            <w:r/>
            <w:r>
              <w:rPr>
                <w:rFonts w:ascii="Arial" w:hAnsi="Arial"/>
                <w:b w:val="0"/>
                <w:sz w:val="19"/>
              </w:rPr>
              <w:t>+1.00</w:t>
            </w:r>
          </w:p>
        </w:tc>
        <w:tc>
          <w:tcPr>
            <w:tcW w:type="dxa" w:w="5472"/>
          </w:tcPr>
          <w:p>
            <w:r/>
            <w:r>
              <w:rPr>
                <w:rFonts w:ascii="Arial" w:hAnsi="Arial"/>
                <w:b w:val="0"/>
                <w:sz w:val="19"/>
              </w:rPr>
              <w:t>At +1.0 ceiling — the VIX-volatility series itself has expanded recently</w:t>
            </w:r>
          </w:p>
        </w:tc>
      </w:tr>
      <w:tr>
        <w:tc>
          <w:tcPr>
            <w:tcW w:type="dxa" w:w="2160"/>
          </w:tcPr>
          <w:p>
            <w:r/>
            <w:r>
              <w:rPr>
                <w:rFonts w:ascii="Arial" w:hAnsi="Arial"/>
                <w:b w:val="0"/>
                <w:sz w:val="19"/>
              </w:rPr>
              <w:t>USDX</w:t>
            </w:r>
          </w:p>
        </w:tc>
        <w:tc>
          <w:tcPr>
            <w:tcW w:type="dxa" w:w="2160"/>
          </w:tcPr>
          <w:p>
            <w:r/>
            <w:r>
              <w:rPr>
                <w:rFonts w:ascii="Arial" w:hAnsi="Arial"/>
                <w:b w:val="0"/>
                <w:sz w:val="19"/>
              </w:rPr>
              <w:t>+1.00</w:t>
            </w:r>
          </w:p>
        </w:tc>
        <w:tc>
          <w:tcPr>
            <w:tcW w:type="dxa" w:w="5472"/>
          </w:tcPr>
          <w:p>
            <w:r/>
            <w:r>
              <w:rPr>
                <w:rFonts w:ascii="Arial" w:hAnsi="Arial"/>
                <w:b w:val="0"/>
                <w:sz w:val="19"/>
              </w:rPr>
              <w:t>At +1.0 ceiling — dollar volatility elevated on diplomatic-process headlines</w:t>
            </w:r>
          </w:p>
        </w:tc>
      </w:tr>
      <w:tr>
        <w:tc>
          <w:tcPr>
            <w:tcW w:type="dxa" w:w="2160"/>
          </w:tcPr>
          <w:p>
            <w:r/>
            <w:r>
              <w:rPr>
                <w:rFonts w:ascii="Arial" w:hAnsi="Arial"/>
                <w:b w:val="0"/>
                <w:sz w:val="19"/>
              </w:rPr>
              <w:t>DAX 40</w:t>
            </w:r>
          </w:p>
        </w:tc>
        <w:tc>
          <w:tcPr>
            <w:tcW w:type="dxa" w:w="2160"/>
          </w:tcPr>
          <w:p>
            <w:r/>
            <w:r>
              <w:rPr>
                <w:rFonts w:ascii="Arial" w:hAnsi="Arial"/>
                <w:b w:val="0"/>
                <w:sz w:val="19"/>
              </w:rPr>
              <w:t>-1.00</w:t>
            </w:r>
          </w:p>
        </w:tc>
        <w:tc>
          <w:tcPr>
            <w:tcW w:type="dxa" w:w="5472"/>
          </w:tcPr>
          <w:p>
            <w:r/>
            <w:r>
              <w:rPr>
                <w:rFonts w:ascii="Arial" w:hAnsi="Arial"/>
                <w:b w:val="0"/>
                <w:sz w:val="19"/>
              </w:rPr>
              <w:t>At −1.0 floor — European equity volatility compressed alongside US</w:t>
            </w:r>
          </w:p>
        </w:tc>
      </w:tr>
    </w:tbl>
    <w:p>
      <w:pPr>
        <w:pStyle w:val="Heading2"/>
      </w:pPr>
      <w:r>
        <w:t>Preferred trade protocol</w:t>
      </w:r>
    </w:p>
    <w:p>
      <w:r>
        <w:rPr>
          <w:b w:val="0"/>
          <w:i w:val="0"/>
        </w:rPr>
        <w:t>Short-term continuation plus medium-term Trending Up — Strong yields a momentum-pullback protocol (buy on shallow retracements to weekly P or near-pivot zones; avoid chasing into extreme RSI). No conflict between short and medium reads.</w:t>
      </w:r>
    </w:p>
    <w:p>
      <w:pPr>
        <w:pStyle w:val="Heading2"/>
      </w:pPr>
      <w:r>
        <w:t>Kaufman confirmation</w:t>
      </w:r>
    </w:p>
    <w:p>
      <w:r>
        <w:rPr>
          <w:b w:val="0"/>
          <w:i w:val="0"/>
        </w:rPr>
        <w:t>The Kaufman Efficiency Ratio (period 13, EMA smooth 3) for the S&amp;P 500 sits well above the trend threshold of +0.13 and is rising on the smoothed series — classification: Trending Up — Strong. Agrees with the regime classification. No contradiction to flag.</w:t>
      </w:r>
    </w:p>
    <w:p>
      <w:pPr>
        <w:pStyle w:val="Heading1"/>
      </w:pPr>
      <w:r>
        <w:t>10. Cross-Asset Analysis</w:t>
      </w:r>
    </w:p>
    <w:p>
      <w:pPr>
        <w:pStyle w:val="Heading2"/>
      </w:pPr>
      <w:r>
        <w:t>USDX</w:t>
      </w:r>
    </w:p>
    <w:tbl>
      <w:tblPr>
        <w:tblStyle w:val="LightGrid-Accent1"/>
        <w:tblW w:type="auto" w:w="0"/>
        <w:tblLook w:firstColumn="1" w:firstRow="1" w:lastColumn="0" w:lastRow="0" w:noHBand="0" w:noVBand="1" w:val="04A0"/>
      </w:tblPr>
      <w:tblGrid>
        <w:gridCol w:w="4824"/>
        <w:gridCol w:w="4824"/>
      </w:tblGrid>
      <w:tr>
        <w:tc>
          <w:tcPr>
            <w:tcW w:type="dxa" w:w="2160"/>
          </w:tcPr>
          <w:p>
            <w:r/>
            <w:r>
              <w:rPr>
                <w:rFonts w:ascii="Arial" w:hAnsi="Arial"/>
                <w:b/>
                <w:color w:val="1F4E79"/>
                <w:sz w:val="19"/>
              </w:rPr>
              <w:t>5-session direction</w:t>
            </w:r>
          </w:p>
        </w:tc>
        <w:tc>
          <w:tcPr>
            <w:tcW w:type="dxa" w:w="7632"/>
          </w:tcPr>
          <w:p>
            <w:r/>
            <w:r>
              <w:rPr>
                <w:rFonts w:ascii="Arial" w:hAnsi="Arial"/>
                <w:b w:val="0"/>
                <w:sz w:val="19"/>
              </w:rPr>
              <w:t>Rising</w:t>
            </w:r>
          </w:p>
        </w:tc>
      </w:tr>
      <w:tr>
        <w:tc>
          <w:tcPr>
            <w:tcW w:type="dxa" w:w="2160"/>
          </w:tcPr>
          <w:p>
            <w:r/>
            <w:r>
              <w:rPr>
                <w:rFonts w:ascii="Arial" w:hAnsi="Arial"/>
                <w:b/>
                <w:color w:val="1F4E79"/>
                <w:sz w:val="19"/>
              </w:rPr>
              <w:t>Mechanism</w:t>
            </w:r>
          </w:p>
        </w:tc>
        <w:tc>
          <w:tcPr>
            <w:tcW w:type="dxa" w:w="7632"/>
          </w:tcPr>
          <w:p>
            <w:r/>
            <w:r>
              <w:rPr>
                <w:rFonts w:ascii="Arial" w:hAnsi="Arial"/>
                <w:b w:val="0"/>
                <w:sz w:val="19"/>
              </w:rPr>
              <w:t>Dollar strength compresses S&amp;P 500 multinational earnings translation; however the relationship is currently second-order. The USDX rallied to a 6-week high on Thursday 21 May on doubts over an immediate US–Iran deal, then gave back the gain on Friday 22 May as the consumer-sentiment print disappointed; net 5-session change is positive but modest. The transmission channel for the S&amp;P 500 is via large-cap exporters and the implicit liquidity tightening of a stronger dollar.</w:t>
            </w:r>
          </w:p>
        </w:tc>
      </w:tr>
      <w:tr>
        <w:tc>
          <w:tcPr>
            <w:tcW w:type="dxa" w:w="2160"/>
          </w:tcPr>
          <w:p>
            <w:r/>
            <w:r>
              <w:rPr>
                <w:rFonts w:ascii="Arial" w:hAnsi="Arial"/>
                <w:b/>
                <w:color w:val="1F4E79"/>
                <w:sz w:val="19"/>
              </w:rPr>
              <w:t>Confirmation status</w:t>
            </w:r>
          </w:p>
        </w:tc>
        <w:tc>
          <w:tcPr>
            <w:tcW w:type="dxa" w:w="7632"/>
          </w:tcPr>
          <w:p>
            <w:r/>
            <w:r>
              <w:rPr>
                <w:rFonts w:ascii="Arial" w:hAnsi="Arial"/>
                <w:b w:val="0"/>
                <w:sz w:val="19"/>
              </w:rPr>
              <w:t>Neutral</w:t>
            </w:r>
          </w:p>
        </w:tc>
      </w:tr>
      <w:tr>
        <w:tc>
          <w:tcPr>
            <w:tcW w:type="dxa" w:w="2160"/>
          </w:tcPr>
          <w:p>
            <w:r/>
            <w:r>
              <w:rPr>
                <w:rFonts w:ascii="Arial" w:hAnsi="Arial"/>
                <w:b/>
                <w:color w:val="1F4E79"/>
                <w:sz w:val="19"/>
              </w:rPr>
              <w:t>Implication for S&amp;P 500</w:t>
            </w:r>
          </w:p>
        </w:tc>
        <w:tc>
          <w:tcPr>
            <w:tcW w:type="dxa" w:w="7632"/>
          </w:tcPr>
          <w:p>
            <w:r/>
            <w:r>
              <w:rPr>
                <w:rFonts w:ascii="Arial" w:hAnsi="Arial"/>
                <w:b w:val="0"/>
                <w:sz w:val="19"/>
              </w:rPr>
              <w:t>Mild headwind to overseas-earnings translation, but absorbed by AI-led earnings momentum. Not the binding constraint at current levels.</w:t>
            </w:r>
          </w:p>
        </w:tc>
      </w:tr>
    </w:tbl>
    <w:p>
      <w:pPr>
        <w:pStyle w:val="Heading2"/>
      </w:pPr>
      <w:r>
        <w:t>VIX</w:t>
      </w:r>
    </w:p>
    <w:tbl>
      <w:tblPr>
        <w:tblStyle w:val="LightGrid-Accent1"/>
        <w:tblW w:type="auto" w:w="0"/>
        <w:tblLook w:firstColumn="1" w:firstRow="1" w:lastColumn="0" w:lastRow="0" w:noHBand="0" w:noVBand="1" w:val="04A0"/>
      </w:tblPr>
      <w:tblGrid>
        <w:gridCol w:w="4824"/>
        <w:gridCol w:w="4824"/>
      </w:tblGrid>
      <w:tr>
        <w:tc>
          <w:tcPr>
            <w:tcW w:type="dxa" w:w="2160"/>
          </w:tcPr>
          <w:p>
            <w:r/>
            <w:r>
              <w:rPr>
                <w:rFonts w:ascii="Arial" w:hAnsi="Arial"/>
                <w:b/>
                <w:color w:val="1F4E79"/>
                <w:sz w:val="19"/>
              </w:rPr>
              <w:t>5-session direction</w:t>
            </w:r>
          </w:p>
        </w:tc>
        <w:tc>
          <w:tcPr>
            <w:tcW w:type="dxa" w:w="7632"/>
          </w:tcPr>
          <w:p>
            <w:r/>
            <w:r>
              <w:rPr>
                <w:rFonts w:ascii="Arial" w:hAnsi="Arial"/>
                <w:b w:val="0"/>
                <w:sz w:val="19"/>
              </w:rPr>
              <w:t>Falling then bouncing</w:t>
            </w:r>
          </w:p>
        </w:tc>
      </w:tr>
      <w:tr>
        <w:tc>
          <w:tcPr>
            <w:tcW w:type="dxa" w:w="2160"/>
          </w:tcPr>
          <w:p>
            <w:r/>
            <w:r>
              <w:rPr>
                <w:rFonts w:ascii="Arial" w:hAnsi="Arial"/>
                <w:b/>
                <w:color w:val="1F4E79"/>
                <w:sz w:val="19"/>
              </w:rPr>
              <w:t>Mechanism</w:t>
            </w:r>
          </w:p>
        </w:tc>
        <w:tc>
          <w:tcPr>
            <w:tcW w:type="dxa" w:w="7632"/>
          </w:tcPr>
          <w:p>
            <w:r/>
            <w:r>
              <w:rPr>
                <w:rFonts w:ascii="Arial" w:hAnsi="Arial"/>
                <w:b w:val="0"/>
                <w:sz w:val="19"/>
              </w:rPr>
              <w:t>Implied volatility regime gauge for US equities. VIX printed 16.59 on Fri 22 May (close), bounced to 16.92 on Tue 26 May despite the new index high — a modest divergence worth flagging but not a contradiction. Mechanism: a rising VIX into a rising market typically signals option demand for hedging into a known event risk (here: the Thursday 29 May PCE release).</w:t>
            </w:r>
          </w:p>
        </w:tc>
      </w:tr>
      <w:tr>
        <w:tc>
          <w:tcPr>
            <w:tcW w:type="dxa" w:w="2160"/>
          </w:tcPr>
          <w:p>
            <w:r/>
            <w:r>
              <w:rPr>
                <w:rFonts w:ascii="Arial" w:hAnsi="Arial"/>
                <w:b/>
                <w:color w:val="1F4E79"/>
                <w:sz w:val="19"/>
              </w:rPr>
              <w:t>Confirmation status</w:t>
            </w:r>
          </w:p>
        </w:tc>
        <w:tc>
          <w:tcPr>
            <w:tcW w:type="dxa" w:w="7632"/>
          </w:tcPr>
          <w:p>
            <w:r/>
            <w:r>
              <w:rPr>
                <w:rFonts w:ascii="Arial" w:hAnsi="Arial"/>
                <w:b w:val="0"/>
                <w:sz w:val="19"/>
              </w:rPr>
              <w:t>Confirms (mildly)</w:t>
            </w:r>
          </w:p>
        </w:tc>
      </w:tr>
      <w:tr>
        <w:tc>
          <w:tcPr>
            <w:tcW w:type="dxa" w:w="2160"/>
          </w:tcPr>
          <w:p>
            <w:r/>
            <w:r>
              <w:rPr>
                <w:rFonts w:ascii="Arial" w:hAnsi="Arial"/>
                <w:b/>
                <w:color w:val="1F4E79"/>
                <w:sz w:val="19"/>
              </w:rPr>
              <w:t>Implication for S&amp;P 500</w:t>
            </w:r>
          </w:p>
        </w:tc>
        <w:tc>
          <w:tcPr>
            <w:tcW w:type="dxa" w:w="7632"/>
          </w:tcPr>
          <w:p>
            <w:r/>
            <w:r>
              <w:rPr>
                <w:rFonts w:ascii="Arial" w:hAnsi="Arial"/>
                <w:b w:val="0"/>
                <w:sz w:val="19"/>
              </w:rPr>
              <w:t>VIX in the mid-16s remains low historically and is consistent with the trending-up regime. The small upward drift signals hedge buying ahead of inflation data — a typical late-trend behaviour, not a top signal in isolation.</w:t>
            </w:r>
          </w:p>
        </w:tc>
      </w:tr>
    </w:tbl>
    <w:p>
      <w:pPr>
        <w:pStyle w:val="Heading2"/>
      </w:pPr>
      <w:r>
        <w:t>DAX 40</w:t>
      </w:r>
    </w:p>
    <w:tbl>
      <w:tblPr>
        <w:tblStyle w:val="LightGrid-Accent1"/>
        <w:tblW w:type="auto" w:w="0"/>
        <w:tblLook w:firstColumn="1" w:firstRow="1" w:lastColumn="0" w:lastRow="0" w:noHBand="0" w:noVBand="1" w:val="04A0"/>
      </w:tblPr>
      <w:tblGrid>
        <w:gridCol w:w="4824"/>
        <w:gridCol w:w="4824"/>
      </w:tblGrid>
      <w:tr>
        <w:tc>
          <w:tcPr>
            <w:tcW w:type="dxa" w:w="2160"/>
          </w:tcPr>
          <w:p>
            <w:r/>
            <w:r>
              <w:rPr>
                <w:rFonts w:ascii="Arial" w:hAnsi="Arial"/>
                <w:b/>
                <w:color w:val="1F4E79"/>
                <w:sz w:val="19"/>
              </w:rPr>
              <w:t>5-session direction</w:t>
            </w:r>
          </w:p>
        </w:tc>
        <w:tc>
          <w:tcPr>
            <w:tcW w:type="dxa" w:w="7632"/>
          </w:tcPr>
          <w:p>
            <w:r/>
            <w:r>
              <w:rPr>
                <w:rFonts w:ascii="Arial" w:hAnsi="Arial"/>
                <w:b w:val="0"/>
                <w:sz w:val="19"/>
              </w:rPr>
              <w:t>Rising</w:t>
            </w:r>
          </w:p>
        </w:tc>
      </w:tr>
      <w:tr>
        <w:tc>
          <w:tcPr>
            <w:tcW w:type="dxa" w:w="2160"/>
          </w:tcPr>
          <w:p>
            <w:r/>
            <w:r>
              <w:rPr>
                <w:rFonts w:ascii="Arial" w:hAnsi="Arial"/>
                <w:b/>
                <w:color w:val="1F4E79"/>
                <w:sz w:val="19"/>
              </w:rPr>
              <w:t>Mechanism</w:t>
            </w:r>
          </w:p>
        </w:tc>
        <w:tc>
          <w:tcPr>
            <w:tcW w:type="dxa" w:w="7632"/>
          </w:tcPr>
          <w:p>
            <w:r/>
            <w:r>
              <w:rPr>
                <w:rFonts w:ascii="Arial" w:hAnsi="Arial"/>
                <w:b w:val="0"/>
                <w:sz w:val="19"/>
              </w:rPr>
              <w:t>European large-cap risk confirmation. DAX 40 has tracked higher across the 25-session window — close of 25,266.68 on Tue 26 May, up 3.9% over the medium-window. Mechanism: common-factor global risk appetite and parallel earnings cycle.</w:t>
            </w:r>
          </w:p>
        </w:tc>
      </w:tr>
      <w:tr>
        <w:tc>
          <w:tcPr>
            <w:tcW w:type="dxa" w:w="2160"/>
          </w:tcPr>
          <w:p>
            <w:r/>
            <w:r>
              <w:rPr>
                <w:rFonts w:ascii="Arial" w:hAnsi="Arial"/>
                <w:b/>
                <w:color w:val="1F4E79"/>
                <w:sz w:val="19"/>
              </w:rPr>
              <w:t>Confirmation status</w:t>
            </w:r>
          </w:p>
        </w:tc>
        <w:tc>
          <w:tcPr>
            <w:tcW w:type="dxa" w:w="7632"/>
          </w:tcPr>
          <w:p>
            <w:r/>
            <w:r>
              <w:rPr>
                <w:rFonts w:ascii="Arial" w:hAnsi="Arial"/>
                <w:b w:val="0"/>
                <w:sz w:val="19"/>
              </w:rPr>
              <w:t>Confirms</w:t>
            </w:r>
          </w:p>
        </w:tc>
      </w:tr>
      <w:tr>
        <w:tc>
          <w:tcPr>
            <w:tcW w:type="dxa" w:w="2160"/>
          </w:tcPr>
          <w:p>
            <w:r/>
            <w:r>
              <w:rPr>
                <w:rFonts w:ascii="Arial" w:hAnsi="Arial"/>
                <w:b/>
                <w:color w:val="1F4E79"/>
                <w:sz w:val="19"/>
              </w:rPr>
              <w:t>Implication for S&amp;P 500</w:t>
            </w:r>
          </w:p>
        </w:tc>
        <w:tc>
          <w:tcPr>
            <w:tcW w:type="dxa" w:w="7632"/>
          </w:tcPr>
          <w:p>
            <w:r/>
            <w:r>
              <w:rPr>
                <w:rFonts w:ascii="Arial" w:hAnsi="Arial"/>
                <w:b w:val="0"/>
                <w:sz w:val="19"/>
              </w:rPr>
              <w:t>Cross-Atlantic confirmation of the bullish US equity regime. Reduces the probability that the US move is idiosyncratic to a single sector or news catalyst.</w:t>
            </w:r>
          </w:p>
        </w:tc>
      </w:tr>
    </w:tbl>
    <w:p>
      <w:pPr>
        <w:pStyle w:val="Heading1"/>
      </w:pPr>
      <w:r>
        <w:t>11. Floor Pivot Analysis</w:t>
      </w:r>
    </w:p>
    <w:p>
      <w:pPr>
        <w:pStyle w:val="Heading2"/>
      </w:pPr>
      <w:r>
        <w:t>Daily pivots (from 26 May H/L/C)</w:t>
      </w:r>
    </w:p>
    <w:tbl>
      <w:tblPr>
        <w:tblStyle w:val="LightGrid-Accent1"/>
        <w:tblW w:type="auto" w:w="0"/>
        <w:tblLook w:firstColumn="1" w:firstRow="1" w:lastColumn="0" w:lastRow="0" w:noHBand="0" w:noVBand="1" w:val="04A0"/>
      </w:tblPr>
      <w:tblGrid>
        <w:gridCol w:w="4824"/>
        <w:gridCol w:w="4824"/>
      </w:tblGrid>
      <w:tr>
        <w:tc>
          <w:tcPr>
            <w:tcW w:type="dxa" w:w="2160"/>
            <w:shd w:val="clear" w:color="auto" w:fill="1F4E79"/>
          </w:tcPr>
          <w:p>
            <w:r/>
            <w:r>
              <w:rPr>
                <w:rFonts w:ascii="Arial" w:hAnsi="Arial"/>
                <w:b/>
                <w:color w:val="FFFFFF"/>
                <w:sz w:val="19"/>
              </w:rPr>
              <w:t>Level</w:t>
            </w:r>
          </w:p>
        </w:tc>
        <w:tc>
          <w:tcPr>
            <w:tcW w:type="dxa" w:w="2160"/>
            <w:shd w:val="clear" w:color="auto" w:fill="1F4E79"/>
          </w:tcPr>
          <w:p>
            <w:r/>
            <w:r>
              <w:rPr>
                <w:rFonts w:ascii="Arial" w:hAnsi="Arial"/>
                <w:b/>
                <w:color w:val="FFFFFF"/>
                <w:sz w:val="19"/>
              </w:rPr>
              <w:t>Price</w:t>
            </w:r>
          </w:p>
        </w:tc>
      </w:tr>
      <w:tr>
        <w:tc>
          <w:tcPr>
            <w:tcW w:type="dxa" w:w="2160"/>
          </w:tcPr>
          <w:p>
            <w:r/>
            <w:r>
              <w:rPr>
                <w:rFonts w:ascii="Arial" w:hAnsi="Arial"/>
                <w:b w:val="0"/>
                <w:sz w:val="19"/>
              </w:rPr>
              <w:t>R5</w:t>
            </w:r>
          </w:p>
        </w:tc>
        <w:tc>
          <w:tcPr>
            <w:tcW w:type="dxa" w:w="2160"/>
          </w:tcPr>
          <w:p>
            <w:r/>
            <w:r>
              <w:rPr>
                <w:rFonts w:ascii="Arial" w:hAnsi="Arial"/>
                <w:b w:val="0"/>
                <w:sz w:val="19"/>
              </w:rPr>
              <w:t>7684.19</w:t>
            </w:r>
          </w:p>
        </w:tc>
      </w:tr>
      <w:tr>
        <w:tc>
          <w:tcPr>
            <w:tcW w:type="dxa" w:w="2160"/>
          </w:tcPr>
          <w:p>
            <w:r/>
            <w:r>
              <w:rPr>
                <w:rFonts w:ascii="Arial" w:hAnsi="Arial"/>
                <w:b w:val="0"/>
                <w:sz w:val="19"/>
              </w:rPr>
              <w:t>R4</w:t>
            </w:r>
          </w:p>
        </w:tc>
        <w:tc>
          <w:tcPr>
            <w:tcW w:type="dxa" w:w="2160"/>
          </w:tcPr>
          <w:p>
            <w:r/>
            <w:r>
              <w:rPr>
                <w:rFonts w:ascii="Arial" w:hAnsi="Arial"/>
                <w:b w:val="0"/>
                <w:sz w:val="19"/>
              </w:rPr>
              <w:t>7645.58</w:t>
            </w:r>
          </w:p>
        </w:tc>
      </w:tr>
      <w:tr>
        <w:tc>
          <w:tcPr>
            <w:tcW w:type="dxa" w:w="2160"/>
          </w:tcPr>
          <w:p>
            <w:r/>
            <w:r>
              <w:rPr>
                <w:rFonts w:ascii="Arial" w:hAnsi="Arial"/>
                <w:b w:val="0"/>
                <w:sz w:val="19"/>
              </w:rPr>
              <w:t>R3</w:t>
            </w:r>
          </w:p>
        </w:tc>
        <w:tc>
          <w:tcPr>
            <w:tcW w:type="dxa" w:w="2160"/>
          </w:tcPr>
          <w:p>
            <w:r/>
            <w:r>
              <w:rPr>
                <w:rFonts w:ascii="Arial" w:hAnsi="Arial"/>
                <w:b w:val="0"/>
                <w:sz w:val="19"/>
              </w:rPr>
              <w:t>7616.30</w:t>
            </w:r>
          </w:p>
        </w:tc>
      </w:tr>
      <w:tr>
        <w:tc>
          <w:tcPr>
            <w:tcW w:type="dxa" w:w="2160"/>
          </w:tcPr>
          <w:p>
            <w:r/>
            <w:r>
              <w:rPr>
                <w:rFonts w:ascii="Arial" w:hAnsi="Arial"/>
                <w:b w:val="0"/>
                <w:sz w:val="19"/>
              </w:rPr>
              <w:t>R2</w:t>
            </w:r>
          </w:p>
        </w:tc>
        <w:tc>
          <w:tcPr>
            <w:tcW w:type="dxa" w:w="2160"/>
          </w:tcPr>
          <w:p>
            <w:r/>
            <w:r>
              <w:rPr>
                <w:rFonts w:ascii="Arial" w:hAnsi="Arial"/>
                <w:b w:val="0"/>
                <w:sz w:val="19"/>
              </w:rPr>
              <w:t>7577.69</w:t>
            </w:r>
          </w:p>
        </w:tc>
      </w:tr>
      <w:tr>
        <w:tc>
          <w:tcPr>
            <w:tcW w:type="dxa" w:w="2160"/>
          </w:tcPr>
          <w:p>
            <w:r/>
            <w:r>
              <w:rPr>
                <w:rFonts w:ascii="Arial" w:hAnsi="Arial"/>
                <w:b w:val="0"/>
                <w:sz w:val="19"/>
              </w:rPr>
              <w:t>R1</w:t>
            </w:r>
          </w:p>
        </w:tc>
        <w:tc>
          <w:tcPr>
            <w:tcW w:type="dxa" w:w="2160"/>
          </w:tcPr>
          <w:p>
            <w:r/>
            <w:r>
              <w:rPr>
                <w:rFonts w:ascii="Arial" w:hAnsi="Arial"/>
                <w:b w:val="0"/>
                <w:sz w:val="19"/>
              </w:rPr>
              <w:t>7548.41</w:t>
            </w:r>
          </w:p>
        </w:tc>
      </w:tr>
      <w:tr>
        <w:tc>
          <w:tcPr>
            <w:tcW w:type="dxa" w:w="2160"/>
          </w:tcPr>
          <w:p>
            <w:r/>
            <w:r>
              <w:rPr>
                <w:rFonts w:ascii="Arial" w:hAnsi="Arial"/>
                <w:b/>
                <w:color w:val="C0392B"/>
                <w:sz w:val="19"/>
              </w:rPr>
              <w:t>P</w:t>
            </w:r>
          </w:p>
        </w:tc>
        <w:tc>
          <w:tcPr>
            <w:tcW w:type="dxa" w:w="2160"/>
          </w:tcPr>
          <w:p>
            <w:r/>
            <w:r>
              <w:rPr>
                <w:rFonts w:ascii="Arial" w:hAnsi="Arial"/>
                <w:b/>
                <w:sz w:val="19"/>
              </w:rPr>
              <w:t>7509.80</w:t>
            </w:r>
          </w:p>
        </w:tc>
      </w:tr>
      <w:tr>
        <w:tc>
          <w:tcPr>
            <w:tcW w:type="dxa" w:w="2160"/>
          </w:tcPr>
          <w:p>
            <w:r/>
            <w:r>
              <w:rPr>
                <w:rFonts w:ascii="Arial" w:hAnsi="Arial"/>
                <w:b w:val="0"/>
                <w:sz w:val="19"/>
              </w:rPr>
              <w:t>S1</w:t>
            </w:r>
          </w:p>
        </w:tc>
        <w:tc>
          <w:tcPr>
            <w:tcW w:type="dxa" w:w="2160"/>
          </w:tcPr>
          <w:p>
            <w:r/>
            <w:r>
              <w:rPr>
                <w:rFonts w:ascii="Arial" w:hAnsi="Arial"/>
                <w:b w:val="0"/>
                <w:sz w:val="19"/>
              </w:rPr>
              <w:t>7480.52</w:t>
            </w:r>
          </w:p>
        </w:tc>
      </w:tr>
      <w:tr>
        <w:tc>
          <w:tcPr>
            <w:tcW w:type="dxa" w:w="2160"/>
          </w:tcPr>
          <w:p>
            <w:r/>
            <w:r>
              <w:rPr>
                <w:rFonts w:ascii="Arial" w:hAnsi="Arial"/>
                <w:b w:val="0"/>
                <w:sz w:val="19"/>
              </w:rPr>
              <w:t>S2</w:t>
            </w:r>
          </w:p>
        </w:tc>
        <w:tc>
          <w:tcPr>
            <w:tcW w:type="dxa" w:w="2160"/>
          </w:tcPr>
          <w:p>
            <w:r/>
            <w:r>
              <w:rPr>
                <w:rFonts w:ascii="Arial" w:hAnsi="Arial"/>
                <w:b w:val="0"/>
                <w:sz w:val="19"/>
              </w:rPr>
              <w:t>7441.91</w:t>
            </w:r>
          </w:p>
        </w:tc>
      </w:tr>
      <w:tr>
        <w:tc>
          <w:tcPr>
            <w:tcW w:type="dxa" w:w="2160"/>
          </w:tcPr>
          <w:p>
            <w:r/>
            <w:r>
              <w:rPr>
                <w:rFonts w:ascii="Arial" w:hAnsi="Arial"/>
                <w:b w:val="0"/>
                <w:sz w:val="19"/>
              </w:rPr>
              <w:t>S3</w:t>
            </w:r>
          </w:p>
        </w:tc>
        <w:tc>
          <w:tcPr>
            <w:tcW w:type="dxa" w:w="2160"/>
          </w:tcPr>
          <w:p>
            <w:r/>
            <w:r>
              <w:rPr>
                <w:rFonts w:ascii="Arial" w:hAnsi="Arial"/>
                <w:b w:val="0"/>
                <w:sz w:val="19"/>
              </w:rPr>
              <w:t>7412.63</w:t>
            </w:r>
          </w:p>
        </w:tc>
      </w:tr>
      <w:tr>
        <w:tc>
          <w:tcPr>
            <w:tcW w:type="dxa" w:w="2160"/>
          </w:tcPr>
          <w:p>
            <w:r/>
            <w:r>
              <w:rPr>
                <w:rFonts w:ascii="Arial" w:hAnsi="Arial"/>
                <w:b w:val="0"/>
                <w:sz w:val="19"/>
              </w:rPr>
              <w:t>S4</w:t>
            </w:r>
          </w:p>
        </w:tc>
        <w:tc>
          <w:tcPr>
            <w:tcW w:type="dxa" w:w="2160"/>
          </w:tcPr>
          <w:p>
            <w:r/>
            <w:r>
              <w:rPr>
                <w:rFonts w:ascii="Arial" w:hAnsi="Arial"/>
                <w:b w:val="0"/>
                <w:sz w:val="19"/>
              </w:rPr>
              <w:t>7374.02</w:t>
            </w:r>
          </w:p>
        </w:tc>
      </w:tr>
      <w:tr>
        <w:tc>
          <w:tcPr>
            <w:tcW w:type="dxa" w:w="2160"/>
          </w:tcPr>
          <w:p>
            <w:r/>
            <w:r>
              <w:rPr>
                <w:rFonts w:ascii="Arial" w:hAnsi="Arial"/>
                <w:b w:val="0"/>
                <w:sz w:val="19"/>
              </w:rPr>
              <w:t>S5</w:t>
            </w:r>
          </w:p>
        </w:tc>
        <w:tc>
          <w:tcPr>
            <w:tcW w:type="dxa" w:w="2160"/>
          </w:tcPr>
          <w:p>
            <w:r/>
            <w:r>
              <w:rPr>
                <w:rFonts w:ascii="Arial" w:hAnsi="Arial"/>
                <w:b w:val="0"/>
                <w:sz w:val="19"/>
              </w:rPr>
              <w:t>7344.74</w:t>
            </w:r>
          </w:p>
        </w:tc>
      </w:tr>
    </w:tbl>
    <w:p>
      <w:pPr>
        <w:pStyle w:val="Heading2"/>
      </w:pPr>
      <w:r>
        <w:t>Weekly pivots (from w/e 22 May H/L/C)</w:t>
      </w:r>
    </w:p>
    <w:tbl>
      <w:tblPr>
        <w:tblStyle w:val="LightGrid-Accent1"/>
        <w:tblW w:type="auto" w:w="0"/>
        <w:tblLook w:firstColumn="1" w:firstRow="1" w:lastColumn="0" w:lastRow="0" w:noHBand="0" w:noVBand="1" w:val="04A0"/>
      </w:tblPr>
      <w:tblGrid>
        <w:gridCol w:w="4824"/>
        <w:gridCol w:w="4824"/>
      </w:tblGrid>
      <w:tr>
        <w:tc>
          <w:tcPr>
            <w:tcW w:type="dxa" w:w="2160"/>
            <w:shd w:val="clear" w:color="auto" w:fill="1F4E79"/>
          </w:tcPr>
          <w:p>
            <w:r/>
            <w:r>
              <w:rPr>
                <w:rFonts w:ascii="Arial" w:hAnsi="Arial"/>
                <w:b/>
                <w:color w:val="FFFFFF"/>
                <w:sz w:val="19"/>
              </w:rPr>
              <w:t>Level</w:t>
            </w:r>
          </w:p>
        </w:tc>
        <w:tc>
          <w:tcPr>
            <w:tcW w:type="dxa" w:w="2160"/>
            <w:shd w:val="clear" w:color="auto" w:fill="1F4E79"/>
          </w:tcPr>
          <w:p>
            <w:r/>
            <w:r>
              <w:rPr>
                <w:rFonts w:ascii="Arial" w:hAnsi="Arial"/>
                <w:b/>
                <w:color w:val="FFFFFF"/>
                <w:sz w:val="19"/>
              </w:rPr>
              <w:t>Price</w:t>
            </w:r>
          </w:p>
        </w:tc>
      </w:tr>
      <w:tr>
        <w:tc>
          <w:tcPr>
            <w:tcW w:type="dxa" w:w="2160"/>
          </w:tcPr>
          <w:p>
            <w:r/>
            <w:r>
              <w:rPr>
                <w:rFonts w:ascii="Arial" w:hAnsi="Arial"/>
                <w:b w:val="0"/>
                <w:sz w:val="19"/>
              </w:rPr>
              <w:t>R5</w:t>
            </w:r>
          </w:p>
        </w:tc>
        <w:tc>
          <w:tcPr>
            <w:tcW w:type="dxa" w:w="2160"/>
          </w:tcPr>
          <w:p>
            <w:r/>
            <w:r>
              <w:rPr>
                <w:rFonts w:ascii="Arial" w:hAnsi="Arial"/>
                <w:b w:val="0"/>
                <w:sz w:val="19"/>
              </w:rPr>
              <w:t>7702.91</w:t>
            </w:r>
          </w:p>
        </w:tc>
      </w:tr>
      <w:tr>
        <w:tc>
          <w:tcPr>
            <w:tcW w:type="dxa" w:w="2160"/>
          </w:tcPr>
          <w:p>
            <w:r/>
            <w:r>
              <w:rPr>
                <w:rFonts w:ascii="Arial" w:hAnsi="Arial"/>
                <w:b w:val="0"/>
                <w:sz w:val="19"/>
              </w:rPr>
              <w:t>R4</w:t>
            </w:r>
          </w:p>
        </w:tc>
        <w:tc>
          <w:tcPr>
            <w:tcW w:type="dxa" w:w="2160"/>
          </w:tcPr>
          <w:p>
            <w:r/>
            <w:r>
              <w:rPr>
                <w:rFonts w:ascii="Arial" w:hAnsi="Arial"/>
                <w:b w:val="0"/>
                <w:sz w:val="19"/>
              </w:rPr>
              <w:t>7642.26</w:t>
            </w:r>
          </w:p>
        </w:tc>
      </w:tr>
      <w:tr>
        <w:tc>
          <w:tcPr>
            <w:tcW w:type="dxa" w:w="2160"/>
          </w:tcPr>
          <w:p>
            <w:r/>
            <w:r>
              <w:rPr>
                <w:rFonts w:ascii="Arial" w:hAnsi="Arial"/>
                <w:b w:val="0"/>
                <w:sz w:val="19"/>
              </w:rPr>
              <w:t>R3</w:t>
            </w:r>
          </w:p>
        </w:tc>
        <w:tc>
          <w:tcPr>
            <w:tcW w:type="dxa" w:w="2160"/>
          </w:tcPr>
          <w:p>
            <w:r/>
            <w:r>
              <w:rPr>
                <w:rFonts w:ascii="Arial" w:hAnsi="Arial"/>
                <w:b w:val="0"/>
                <w:sz w:val="19"/>
              </w:rPr>
              <w:t>7606.21</w:t>
            </w:r>
          </w:p>
        </w:tc>
      </w:tr>
      <w:tr>
        <w:tc>
          <w:tcPr>
            <w:tcW w:type="dxa" w:w="2160"/>
          </w:tcPr>
          <w:p>
            <w:r/>
            <w:r>
              <w:rPr>
                <w:rFonts w:ascii="Arial" w:hAnsi="Arial"/>
                <w:b w:val="0"/>
                <w:sz w:val="19"/>
              </w:rPr>
              <w:t>R2</w:t>
            </w:r>
          </w:p>
        </w:tc>
        <w:tc>
          <w:tcPr>
            <w:tcW w:type="dxa" w:w="2160"/>
          </w:tcPr>
          <w:p>
            <w:r/>
            <w:r>
              <w:rPr>
                <w:rFonts w:ascii="Arial" w:hAnsi="Arial"/>
                <w:b w:val="0"/>
                <w:sz w:val="19"/>
              </w:rPr>
              <w:t>7545.56</w:t>
            </w:r>
          </w:p>
        </w:tc>
      </w:tr>
      <w:tr>
        <w:tc>
          <w:tcPr>
            <w:tcW w:type="dxa" w:w="2160"/>
          </w:tcPr>
          <w:p>
            <w:r/>
            <w:r>
              <w:rPr>
                <w:rFonts w:ascii="Arial" w:hAnsi="Arial"/>
                <w:b w:val="0"/>
                <w:sz w:val="19"/>
              </w:rPr>
              <w:t>R1</w:t>
            </w:r>
          </w:p>
        </w:tc>
        <w:tc>
          <w:tcPr>
            <w:tcW w:type="dxa" w:w="2160"/>
          </w:tcPr>
          <w:p>
            <w:r/>
            <w:r>
              <w:rPr>
                <w:rFonts w:ascii="Arial" w:hAnsi="Arial"/>
                <w:b w:val="0"/>
                <w:sz w:val="19"/>
              </w:rPr>
              <w:t>7509.51</w:t>
            </w:r>
          </w:p>
        </w:tc>
      </w:tr>
      <w:tr>
        <w:tc>
          <w:tcPr>
            <w:tcW w:type="dxa" w:w="2160"/>
          </w:tcPr>
          <w:p>
            <w:r/>
            <w:r>
              <w:rPr>
                <w:rFonts w:ascii="Arial" w:hAnsi="Arial"/>
                <w:b/>
                <w:color w:val="C0392B"/>
                <w:sz w:val="19"/>
              </w:rPr>
              <w:t>P</w:t>
            </w:r>
          </w:p>
        </w:tc>
        <w:tc>
          <w:tcPr>
            <w:tcW w:type="dxa" w:w="2160"/>
          </w:tcPr>
          <w:p>
            <w:r/>
            <w:r>
              <w:rPr>
                <w:rFonts w:ascii="Arial" w:hAnsi="Arial"/>
                <w:b/>
                <w:sz w:val="19"/>
              </w:rPr>
              <w:t>7448.86</w:t>
            </w:r>
          </w:p>
        </w:tc>
      </w:tr>
      <w:tr>
        <w:tc>
          <w:tcPr>
            <w:tcW w:type="dxa" w:w="2160"/>
          </w:tcPr>
          <w:p>
            <w:r/>
            <w:r>
              <w:rPr>
                <w:rFonts w:ascii="Arial" w:hAnsi="Arial"/>
                <w:b w:val="0"/>
                <w:sz w:val="19"/>
              </w:rPr>
              <w:t>S1</w:t>
            </w:r>
          </w:p>
        </w:tc>
        <w:tc>
          <w:tcPr>
            <w:tcW w:type="dxa" w:w="2160"/>
          </w:tcPr>
          <w:p>
            <w:r/>
            <w:r>
              <w:rPr>
                <w:rFonts w:ascii="Arial" w:hAnsi="Arial"/>
                <w:b w:val="0"/>
                <w:sz w:val="19"/>
              </w:rPr>
              <w:t>7412.81</w:t>
            </w:r>
          </w:p>
        </w:tc>
      </w:tr>
      <w:tr>
        <w:tc>
          <w:tcPr>
            <w:tcW w:type="dxa" w:w="2160"/>
          </w:tcPr>
          <w:p>
            <w:r/>
            <w:r>
              <w:rPr>
                <w:rFonts w:ascii="Arial" w:hAnsi="Arial"/>
                <w:b w:val="0"/>
                <w:sz w:val="19"/>
              </w:rPr>
              <w:t>S2</w:t>
            </w:r>
          </w:p>
        </w:tc>
        <w:tc>
          <w:tcPr>
            <w:tcW w:type="dxa" w:w="2160"/>
          </w:tcPr>
          <w:p>
            <w:r/>
            <w:r>
              <w:rPr>
                <w:rFonts w:ascii="Arial" w:hAnsi="Arial"/>
                <w:b w:val="0"/>
                <w:sz w:val="19"/>
              </w:rPr>
              <w:t>7352.16</w:t>
            </w:r>
          </w:p>
        </w:tc>
      </w:tr>
      <w:tr>
        <w:tc>
          <w:tcPr>
            <w:tcW w:type="dxa" w:w="2160"/>
          </w:tcPr>
          <w:p>
            <w:r/>
            <w:r>
              <w:rPr>
                <w:rFonts w:ascii="Arial" w:hAnsi="Arial"/>
                <w:b w:val="0"/>
                <w:sz w:val="19"/>
              </w:rPr>
              <w:t>S3</w:t>
            </w:r>
          </w:p>
        </w:tc>
        <w:tc>
          <w:tcPr>
            <w:tcW w:type="dxa" w:w="2160"/>
          </w:tcPr>
          <w:p>
            <w:r/>
            <w:r>
              <w:rPr>
                <w:rFonts w:ascii="Arial" w:hAnsi="Arial"/>
                <w:b w:val="0"/>
                <w:sz w:val="19"/>
              </w:rPr>
              <w:t>7316.11</w:t>
            </w:r>
          </w:p>
        </w:tc>
      </w:tr>
      <w:tr>
        <w:tc>
          <w:tcPr>
            <w:tcW w:type="dxa" w:w="2160"/>
          </w:tcPr>
          <w:p>
            <w:r/>
            <w:r>
              <w:rPr>
                <w:rFonts w:ascii="Arial" w:hAnsi="Arial"/>
                <w:b w:val="0"/>
                <w:sz w:val="19"/>
              </w:rPr>
              <w:t>S4</w:t>
            </w:r>
          </w:p>
        </w:tc>
        <w:tc>
          <w:tcPr>
            <w:tcW w:type="dxa" w:w="2160"/>
          </w:tcPr>
          <w:p>
            <w:r/>
            <w:r>
              <w:rPr>
                <w:rFonts w:ascii="Arial" w:hAnsi="Arial"/>
                <w:b w:val="0"/>
                <w:sz w:val="19"/>
              </w:rPr>
              <w:t>7255.46</w:t>
            </w:r>
          </w:p>
        </w:tc>
      </w:tr>
      <w:tr>
        <w:tc>
          <w:tcPr>
            <w:tcW w:type="dxa" w:w="2160"/>
          </w:tcPr>
          <w:p>
            <w:r/>
            <w:r>
              <w:rPr>
                <w:rFonts w:ascii="Arial" w:hAnsi="Arial"/>
                <w:b w:val="0"/>
                <w:sz w:val="19"/>
              </w:rPr>
              <w:t>S5</w:t>
            </w:r>
          </w:p>
        </w:tc>
        <w:tc>
          <w:tcPr>
            <w:tcW w:type="dxa" w:w="2160"/>
          </w:tcPr>
          <w:p>
            <w:r/>
            <w:r>
              <w:rPr>
                <w:rFonts w:ascii="Arial" w:hAnsi="Arial"/>
                <w:b w:val="0"/>
                <w:sz w:val="19"/>
              </w:rPr>
              <w:t>7219.41</w:t>
            </w:r>
          </w:p>
        </w:tc>
      </w:tr>
    </w:tbl>
    <w:p>
      <w:pPr>
        <w:pStyle w:val="Heading2"/>
      </w:pPr>
      <w:r>
        <w:t>Monthly pivots (from April 2026 H/L/C) — indicative only (single-source-indicative prior period)</w:t>
      </w:r>
    </w:p>
    <w:tbl>
      <w:tblPr>
        <w:tblStyle w:val="LightGrid-Accent1"/>
        <w:tblW w:type="auto" w:w="0"/>
        <w:tblLook w:firstColumn="1" w:firstRow="1" w:lastColumn="0" w:lastRow="0" w:noHBand="0" w:noVBand="1" w:val="04A0"/>
      </w:tblPr>
      <w:tblGrid>
        <w:gridCol w:w="4824"/>
        <w:gridCol w:w="4824"/>
      </w:tblGrid>
      <w:tr>
        <w:tc>
          <w:tcPr>
            <w:tcW w:type="dxa" w:w="2160"/>
            <w:shd w:val="clear" w:color="auto" w:fill="1F4E79"/>
          </w:tcPr>
          <w:p>
            <w:r/>
            <w:r>
              <w:rPr>
                <w:rFonts w:ascii="Arial" w:hAnsi="Arial"/>
                <w:b/>
                <w:color w:val="FFFFFF"/>
                <w:sz w:val="19"/>
              </w:rPr>
              <w:t>Level</w:t>
            </w:r>
          </w:p>
        </w:tc>
        <w:tc>
          <w:tcPr>
            <w:tcW w:type="dxa" w:w="2160"/>
            <w:shd w:val="clear" w:color="auto" w:fill="1F4E79"/>
          </w:tcPr>
          <w:p>
            <w:r/>
            <w:r>
              <w:rPr>
                <w:rFonts w:ascii="Arial" w:hAnsi="Arial"/>
                <w:b/>
                <w:color w:val="FFFFFF"/>
                <w:sz w:val="19"/>
              </w:rPr>
              <w:t>Price</w:t>
            </w:r>
          </w:p>
        </w:tc>
      </w:tr>
      <w:tr>
        <w:tc>
          <w:tcPr>
            <w:tcW w:type="dxa" w:w="2160"/>
          </w:tcPr>
          <w:p>
            <w:r/>
            <w:r>
              <w:rPr>
                <w:rFonts w:ascii="Arial" w:hAnsi="Arial"/>
                <w:b w:val="0"/>
                <w:sz w:val="19"/>
              </w:rPr>
              <w:t>R5</w:t>
            </w:r>
          </w:p>
        </w:tc>
        <w:tc>
          <w:tcPr>
            <w:tcW w:type="dxa" w:w="2160"/>
          </w:tcPr>
          <w:p>
            <w:r/>
            <w:r>
              <w:rPr>
                <w:rFonts w:ascii="Arial" w:hAnsi="Arial"/>
                <w:b w:val="0"/>
                <w:sz w:val="19"/>
              </w:rPr>
              <w:t>7799.81</w:t>
            </w:r>
          </w:p>
        </w:tc>
      </w:tr>
      <w:tr>
        <w:tc>
          <w:tcPr>
            <w:tcW w:type="dxa" w:w="2160"/>
          </w:tcPr>
          <w:p>
            <w:r/>
            <w:r>
              <w:rPr>
                <w:rFonts w:ascii="Arial" w:hAnsi="Arial"/>
                <w:b w:val="0"/>
                <w:sz w:val="19"/>
              </w:rPr>
              <w:t>R4</w:t>
            </w:r>
          </w:p>
        </w:tc>
        <w:tc>
          <w:tcPr>
            <w:tcW w:type="dxa" w:w="2160"/>
          </w:tcPr>
          <w:p>
            <w:r/>
            <w:r>
              <w:rPr>
                <w:rFonts w:ascii="Arial" w:hAnsi="Arial"/>
                <w:b w:val="0"/>
                <w:sz w:val="19"/>
              </w:rPr>
              <w:t>7654.95</w:t>
            </w:r>
          </w:p>
        </w:tc>
      </w:tr>
      <w:tr>
        <w:tc>
          <w:tcPr>
            <w:tcW w:type="dxa" w:w="2160"/>
          </w:tcPr>
          <w:p>
            <w:r/>
            <w:r>
              <w:rPr>
                <w:rFonts w:ascii="Arial" w:hAnsi="Arial"/>
                <w:b w:val="0"/>
                <w:sz w:val="19"/>
              </w:rPr>
              <w:t>R3</w:t>
            </w:r>
          </w:p>
        </w:tc>
        <w:tc>
          <w:tcPr>
            <w:tcW w:type="dxa" w:w="2160"/>
          </w:tcPr>
          <w:p>
            <w:r/>
            <w:r>
              <w:rPr>
                <w:rFonts w:ascii="Arial" w:hAnsi="Arial"/>
                <w:b w:val="0"/>
                <w:sz w:val="19"/>
              </w:rPr>
              <w:t>7575.81</w:t>
            </w:r>
          </w:p>
        </w:tc>
      </w:tr>
      <w:tr>
        <w:tc>
          <w:tcPr>
            <w:tcW w:type="dxa" w:w="2160"/>
          </w:tcPr>
          <w:p>
            <w:r/>
            <w:r>
              <w:rPr>
                <w:rFonts w:ascii="Arial" w:hAnsi="Arial"/>
                <w:b w:val="0"/>
                <w:sz w:val="19"/>
              </w:rPr>
              <w:t>R2</w:t>
            </w:r>
          </w:p>
        </w:tc>
        <w:tc>
          <w:tcPr>
            <w:tcW w:type="dxa" w:w="2160"/>
          </w:tcPr>
          <w:p>
            <w:r/>
            <w:r>
              <w:rPr>
                <w:rFonts w:ascii="Arial" w:hAnsi="Arial"/>
                <w:b w:val="0"/>
                <w:sz w:val="19"/>
              </w:rPr>
              <w:t>7430.95</w:t>
            </w:r>
          </w:p>
        </w:tc>
      </w:tr>
      <w:tr>
        <w:tc>
          <w:tcPr>
            <w:tcW w:type="dxa" w:w="2160"/>
          </w:tcPr>
          <w:p>
            <w:r/>
            <w:r>
              <w:rPr>
                <w:rFonts w:ascii="Arial" w:hAnsi="Arial"/>
                <w:b w:val="0"/>
                <w:sz w:val="19"/>
              </w:rPr>
              <w:t>R1</w:t>
            </w:r>
          </w:p>
        </w:tc>
        <w:tc>
          <w:tcPr>
            <w:tcW w:type="dxa" w:w="2160"/>
          </w:tcPr>
          <w:p>
            <w:r/>
            <w:r>
              <w:rPr>
                <w:rFonts w:ascii="Arial" w:hAnsi="Arial"/>
                <w:b w:val="0"/>
                <w:sz w:val="19"/>
              </w:rPr>
              <w:t>7351.81</w:t>
            </w:r>
          </w:p>
        </w:tc>
      </w:tr>
      <w:tr>
        <w:tc>
          <w:tcPr>
            <w:tcW w:type="dxa" w:w="2160"/>
          </w:tcPr>
          <w:p>
            <w:r/>
            <w:r>
              <w:rPr>
                <w:rFonts w:ascii="Arial" w:hAnsi="Arial"/>
                <w:b/>
                <w:color w:val="C0392B"/>
                <w:sz w:val="19"/>
              </w:rPr>
              <w:t>P</w:t>
            </w:r>
          </w:p>
        </w:tc>
        <w:tc>
          <w:tcPr>
            <w:tcW w:type="dxa" w:w="2160"/>
          </w:tcPr>
          <w:p>
            <w:r/>
            <w:r>
              <w:rPr>
                <w:rFonts w:ascii="Arial" w:hAnsi="Arial"/>
                <w:b/>
                <w:sz w:val="19"/>
              </w:rPr>
              <w:t>7206.95</w:t>
            </w:r>
          </w:p>
        </w:tc>
      </w:tr>
      <w:tr>
        <w:tc>
          <w:tcPr>
            <w:tcW w:type="dxa" w:w="2160"/>
          </w:tcPr>
          <w:p>
            <w:r/>
            <w:r>
              <w:rPr>
                <w:rFonts w:ascii="Arial" w:hAnsi="Arial"/>
                <w:b w:val="0"/>
                <w:sz w:val="19"/>
              </w:rPr>
              <w:t>S1</w:t>
            </w:r>
          </w:p>
        </w:tc>
        <w:tc>
          <w:tcPr>
            <w:tcW w:type="dxa" w:w="2160"/>
          </w:tcPr>
          <w:p>
            <w:r/>
            <w:r>
              <w:rPr>
                <w:rFonts w:ascii="Arial" w:hAnsi="Arial"/>
                <w:b w:val="0"/>
                <w:sz w:val="19"/>
              </w:rPr>
              <w:t>7127.81</w:t>
            </w:r>
          </w:p>
        </w:tc>
      </w:tr>
      <w:tr>
        <w:tc>
          <w:tcPr>
            <w:tcW w:type="dxa" w:w="2160"/>
          </w:tcPr>
          <w:p>
            <w:r/>
            <w:r>
              <w:rPr>
                <w:rFonts w:ascii="Arial" w:hAnsi="Arial"/>
                <w:b w:val="0"/>
                <w:sz w:val="19"/>
              </w:rPr>
              <w:t>S2</w:t>
            </w:r>
          </w:p>
        </w:tc>
        <w:tc>
          <w:tcPr>
            <w:tcW w:type="dxa" w:w="2160"/>
          </w:tcPr>
          <w:p>
            <w:r/>
            <w:r>
              <w:rPr>
                <w:rFonts w:ascii="Arial" w:hAnsi="Arial"/>
                <w:b w:val="0"/>
                <w:sz w:val="19"/>
              </w:rPr>
              <w:t>6982.95</w:t>
            </w:r>
          </w:p>
        </w:tc>
      </w:tr>
      <w:tr>
        <w:tc>
          <w:tcPr>
            <w:tcW w:type="dxa" w:w="2160"/>
          </w:tcPr>
          <w:p>
            <w:r/>
            <w:r>
              <w:rPr>
                <w:rFonts w:ascii="Arial" w:hAnsi="Arial"/>
                <w:b w:val="0"/>
                <w:sz w:val="19"/>
              </w:rPr>
              <w:t>S3</w:t>
            </w:r>
          </w:p>
        </w:tc>
        <w:tc>
          <w:tcPr>
            <w:tcW w:type="dxa" w:w="2160"/>
          </w:tcPr>
          <w:p>
            <w:r/>
            <w:r>
              <w:rPr>
                <w:rFonts w:ascii="Arial" w:hAnsi="Arial"/>
                <w:b w:val="0"/>
                <w:sz w:val="19"/>
              </w:rPr>
              <w:t>6903.81</w:t>
            </w:r>
          </w:p>
        </w:tc>
      </w:tr>
      <w:tr>
        <w:tc>
          <w:tcPr>
            <w:tcW w:type="dxa" w:w="2160"/>
          </w:tcPr>
          <w:p>
            <w:r/>
            <w:r>
              <w:rPr>
                <w:rFonts w:ascii="Arial" w:hAnsi="Arial"/>
                <w:b w:val="0"/>
                <w:sz w:val="19"/>
              </w:rPr>
              <w:t>S4</w:t>
            </w:r>
          </w:p>
        </w:tc>
        <w:tc>
          <w:tcPr>
            <w:tcW w:type="dxa" w:w="2160"/>
          </w:tcPr>
          <w:p>
            <w:r/>
            <w:r>
              <w:rPr>
                <w:rFonts w:ascii="Arial" w:hAnsi="Arial"/>
                <w:b w:val="0"/>
                <w:sz w:val="19"/>
              </w:rPr>
              <w:t>6758.95</w:t>
            </w:r>
          </w:p>
        </w:tc>
      </w:tr>
      <w:tr>
        <w:tc>
          <w:tcPr>
            <w:tcW w:type="dxa" w:w="2160"/>
          </w:tcPr>
          <w:p>
            <w:r/>
            <w:r>
              <w:rPr>
                <w:rFonts w:ascii="Arial" w:hAnsi="Arial"/>
                <w:b w:val="0"/>
                <w:sz w:val="19"/>
              </w:rPr>
              <w:t>S5</w:t>
            </w:r>
          </w:p>
        </w:tc>
        <w:tc>
          <w:tcPr>
            <w:tcW w:type="dxa" w:w="2160"/>
          </w:tcPr>
          <w:p>
            <w:r/>
            <w:r>
              <w:rPr>
                <w:rFonts w:ascii="Arial" w:hAnsi="Arial"/>
                <w:b w:val="0"/>
                <w:sz w:val="19"/>
              </w:rPr>
              <w:t>6679.81</w:t>
            </w:r>
          </w:p>
        </w:tc>
      </w:tr>
    </w:tbl>
    <w:p>
      <w:pPr>
        <w:pStyle w:val="Heading2"/>
      </w:pPr>
      <w:r>
        <w:t>Position narrative</w:t>
      </w:r>
    </w:p>
    <w:p>
      <w:r>
        <w:rPr>
          <w:b w:val="0"/>
          <w:i w:val="0"/>
        </w:rPr>
        <w:t>The 26 May close at 7,519.12 sits above the daily Pivot of 7,509.80, between daily R1 (7,548.41) above and daily S1 (7,480.52) below. On the weekly timeframe the close sits at weekly R1 (7,509.51) — a level the market has just reclaimed. On the monthly timeframe the close has cleared monthly R2 (7,430.95) and is approaching monthly R3 (7,575.81).</w:t>
      </w:r>
    </w:p>
    <w:p>
      <w:r>
        <w:rPr>
          <w:b w:val="0"/>
          <w:i w:val="0"/>
        </w:rPr>
        <w:t>Confluence zones (within 0.05% — approximately 3.8 points at this level): daily P 7,509.80 and weekly R1 7,509.51 cluster within 0.3 points — a tight confluence at the close. Daily R1 7,548.41 and weekly R2 7,545.56 cluster within 2.9 points — a multi-timeframe resistance zone immediately overhead. Daily S1 7,480.52 and weekly P 7,448.86 sit ~32 points apart — not a tight confluence but adjacent supports. The monthly pivots are derived from a single-source-indicative April 2026 H/L/C set and are flagged in §19; they are usable for directional context but not for entry or stop pricing on Trade 2.</w:t>
      </w:r>
    </w:p>
    <w:p>
      <w:pPr>
        <w:pStyle w:val="Heading1"/>
      </w:pPr>
      <w:r>
        <w:t>12. Key Market Considerations</w:t>
      </w:r>
    </w:p>
    <w:p>
      <w:pPr>
        <w:pStyle w:val="Heading2"/>
      </w:pPr>
      <w:r>
        <w:t>Supply (equity float / issuance)</w:t>
      </w:r>
    </w:p>
    <w:p>
      <w:r>
        <w:rPr>
          <w:b w:val="0"/>
          <w:i w:val="0"/>
        </w:rPr>
        <w:t>Net supply of large-cap US equity remains negative on a 12-month basis — corporate buyback activity has been the dominant net buyer of S&amp;P 500 float. Q1 2026 earnings season corroborates: 84% of reporters beat estimates, with EPS growth tracking 27.5% year-over-year. Price-supportive.</w:t>
      </w:r>
    </w:p>
    <w:p>
      <w:pPr>
        <w:pStyle w:val="Heading2"/>
      </w:pPr>
      <w:r>
        <w:t>Demand (institutional positioning / flows)</w:t>
      </w:r>
    </w:p>
    <w:p>
      <w:r>
        <w:rPr>
          <w:b w:val="0"/>
          <w:i w:val="0"/>
        </w:rPr>
        <w:t>Goldman Sachs (26 May) and UBS (prior week) raised year-end 2026 targets to 8,000 and similar levels respectively. Both attribute the upgrade to AI-infrastructure earnings power expected to deliver approximately half of S&amp;P 500 earnings growth in 2026. Polymarket S&amp;P 500 close-of-2026 probability distribution places the modal bucket at 7,000–7,500, but the right tail (above 7,500) has fattened materially in the last month. Currently price-supportive — though stretched.</w:t>
      </w:r>
    </w:p>
    <w:p>
      <w:pPr>
        <w:pStyle w:val="Heading2"/>
      </w:pPr>
      <w:r>
        <w:t>Substitution and spread dynamics</w:t>
      </w:r>
    </w:p>
    <w:p>
      <w:r>
        <w:rPr>
          <w:b w:val="0"/>
          <w:i w:val="0"/>
        </w:rPr>
        <w:t>Comparison products (NASDAQ Composite, Russell 2000) are mixed: NASDAQ at 26,656.18 (also at record); Russell 2000 at 2,920.54 has not made a new high in 2026 — small caps lagging is a typical late-cycle signal. International equity (MSCI World ex-US) has also lagged the S&amp;P 500 on a year-to-date basis. Net: small-cap underperformance is a yellow flag for breadth quality, but not an immediate sell signal.</w:t>
      </w:r>
    </w:p>
    <w:p>
      <w:pPr>
        <w:pStyle w:val="Heading2"/>
      </w:pPr>
      <w:r>
        <w:t>Policy and regulation</w:t>
      </w:r>
    </w:p>
    <w:p>
      <w:r>
        <w:rPr>
          <w:b w:val="0"/>
          <w:i w:val="0"/>
        </w:rPr>
        <w:t>New Fed Chair Kevin Warsh was sworn in on Friday 22 May 2026, taking the chair under a President publicly calling for lower rates. The Fed funds policy rate is at 3.50–3.75% (steady at the May FOMC). Fed Governor Christopher Waller commented on 22 May that he supports a rate increase if inflation doesn’t soon slow — hawkish marginal. The market has effectively priced no near-term cut. Tariff policy and prospective US–Iran energy disruption are the two policy axes most likely to move the price in coming sessions.</w:t>
      </w:r>
    </w:p>
    <w:p>
      <w:pPr>
        <w:pStyle w:val="Heading2"/>
      </w:pPr>
      <w:r>
        <w:t>Macro and market structure</w:t>
      </w:r>
    </w:p>
    <w:p>
      <w:r>
        <w:rPr>
          <w:b w:val="0"/>
          <w:i w:val="0"/>
        </w:rPr>
        <w:t>WTI front-month at ~$94 (Brent ~$94) — energy prices fell on 27 May intraday on US–Iran deal optimism. US 10-year yield (^TNX): under modest downward pressure on the diplomatic process but elevated by Waller hawkish commentary. Gold (XAU) at $4,464 fell 1.56% on 27 May as risk-on flows reversed safe-haven demand. The composite read: easier financial conditions on the energy and risk axis, partially offset by hawkish Fed marginal commentary.</w:t>
      </w:r>
    </w:p>
    <w:p>
      <w:pPr>
        <w:pStyle w:val="Heading2"/>
      </w:pPr>
      <w:r>
        <w:t>Near-term catalysts</w:t>
      </w:r>
    </w:p>
    <w:p>
      <w:r>
        <w:rPr>
          <w:b w:val="0"/>
          <w:i w:val="0"/>
        </w:rPr>
        <w:t>The dominant scheduled catalyst is the April 2026 Personal Consumption Expenditures price index report released Thursday 29 May (US morning) — pre-market on the 28 May report-date session. A hot core PCE print is the principal mechanism by which the rally could pause or invalidate; a cool print would extend the trend. Secondary catalysts within the scenario horizon: Q2 2026 GDP second estimate (also Thursday), personal income and spending, weekly jobless claims.</w:t>
      </w:r>
    </w:p>
    <w:p>
      <w:pPr>
        <w:pStyle w:val="Heading1"/>
      </w:pPr>
      <w:r>
        <w:t>13. Sentiment, News &amp; Calendar</w:t>
      </w:r>
    </w:p>
    <w:p>
      <w:pPr>
        <w:pStyle w:val="Heading2"/>
      </w:pPr>
      <w:r>
        <w:t>13a. Top news articles (last 5 trading days)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008"/>
            <w:shd w:val="clear" w:color="auto" w:fill="1F4E79"/>
          </w:tcPr>
          <w:p>
            <w:r/>
            <w:r>
              <w:rPr>
                <w:rFonts w:ascii="Arial" w:hAnsi="Arial"/>
                <w:b/>
                <w:color w:val="FFFFFF"/>
                <w:sz w:val="17"/>
              </w:rPr>
              <w:t>Date</w:t>
            </w:r>
          </w:p>
        </w:tc>
        <w:tc>
          <w:tcPr>
            <w:tcW w:type="dxa" w:w="1728"/>
            <w:shd w:val="clear" w:color="auto" w:fill="1F4E79"/>
          </w:tcPr>
          <w:p>
            <w:r/>
            <w:r>
              <w:rPr>
                <w:rFonts w:ascii="Arial" w:hAnsi="Arial"/>
                <w:b/>
                <w:color w:val="FFFFFF"/>
                <w:sz w:val="17"/>
              </w:rPr>
              <w:t>Source</w:t>
            </w:r>
          </w:p>
        </w:tc>
        <w:tc>
          <w:tcPr>
            <w:tcW w:type="dxa" w:w="4032"/>
            <w:shd w:val="clear" w:color="auto" w:fill="1F4E79"/>
          </w:tcPr>
          <w:p>
            <w:r/>
            <w:r>
              <w:rPr>
                <w:rFonts w:ascii="Arial" w:hAnsi="Arial"/>
                <w:b/>
                <w:color w:val="FFFFFF"/>
                <w:sz w:val="17"/>
              </w:rPr>
              <w:t>Headline / Summary</w:t>
            </w:r>
          </w:p>
        </w:tc>
        <w:tc>
          <w:tcPr>
            <w:tcW w:type="dxa" w:w="2448"/>
            <w:shd w:val="clear" w:color="auto" w:fill="1F4E79"/>
          </w:tcPr>
          <w:p>
            <w:r/>
            <w:r>
              <w:rPr>
                <w:rFonts w:ascii="Arial" w:hAnsi="Arial"/>
                <w:b/>
                <w:color w:val="FFFFFF"/>
                <w:sz w:val="17"/>
              </w:rPr>
              <w:t>Derivation quote</w:t>
            </w:r>
          </w:p>
        </w:tc>
        <w:tc>
          <w:tcPr>
            <w:tcW w:type="dxa" w:w="1440"/>
            <w:shd w:val="clear" w:color="auto" w:fill="1F4E79"/>
          </w:tcPr>
          <w:p>
            <w:r/>
            <w:r>
              <w:rPr>
                <w:rFonts w:ascii="Arial" w:hAnsi="Arial"/>
                <w:b/>
                <w:color w:val="FFFFFF"/>
                <w:sz w:val="17"/>
              </w:rPr>
              <w:t>Sentiment</w:t>
            </w:r>
          </w:p>
        </w:tc>
      </w:tr>
      <w:tr>
        <w:tc>
          <w:tcPr>
            <w:tcW w:type="dxa" w:w="1008"/>
          </w:tcPr>
          <w:p>
            <w:r/>
            <w:r>
              <w:rPr>
                <w:rFonts w:ascii="Arial" w:hAnsi="Arial"/>
                <w:b w:val="0"/>
                <w:sz w:val="17"/>
              </w:rPr>
              <w:t>27 May</w:t>
            </w:r>
          </w:p>
        </w:tc>
        <w:tc>
          <w:tcPr>
            <w:tcW w:type="dxa" w:w="1728"/>
          </w:tcPr>
          <w:p>
            <w:r/>
            <w:r>
              <w:rPr>
                <w:rFonts w:ascii="Arial" w:hAnsi="Arial"/>
                <w:b w:val="0"/>
                <w:sz w:val="17"/>
              </w:rPr>
              <w:t>Bloomberg / Reuters</w:t>
            </w:r>
          </w:p>
        </w:tc>
        <w:tc>
          <w:tcPr>
            <w:tcW w:type="dxa" w:w="4032"/>
          </w:tcPr>
          <w:p>
            <w:r/>
            <w:r>
              <w:rPr>
                <w:rFonts w:ascii="Arial" w:hAnsi="Arial"/>
                <w:b w:val="0"/>
                <w:sz w:val="17"/>
              </w:rPr>
              <w:t>Goldman Sachs lifts S&amp;P 500 year-end target to 8,000 from 7,600.</w:t>
            </w:r>
          </w:p>
        </w:tc>
        <w:tc>
          <w:tcPr>
            <w:tcW w:type="dxa" w:w="2448"/>
          </w:tcPr>
          <w:p>
            <w:r/>
            <w:r>
              <w:rPr>
                <w:rFonts w:ascii="Arial" w:hAnsi="Arial"/>
                <w:b w:val="0"/>
                <w:sz w:val="17"/>
              </w:rPr>
              <w:t>“earnings growth has powered the entire S&amp;P 500 return”</w:t>
            </w:r>
          </w:p>
        </w:tc>
        <w:tc>
          <w:tcPr>
            <w:tcW w:type="dxa" w:w="1440"/>
          </w:tcPr>
          <w:p>
            <w:r/>
            <w:r>
              <w:rPr>
                <w:rFonts w:ascii="Arial" w:hAnsi="Arial"/>
                <w:b w:val="0"/>
                <w:sz w:val="17"/>
              </w:rPr>
              <w:t>Bullish</w:t>
            </w:r>
          </w:p>
        </w:tc>
      </w:tr>
      <w:tr>
        <w:tc>
          <w:tcPr>
            <w:tcW w:type="dxa" w:w="1008"/>
          </w:tcPr>
          <w:p>
            <w:r/>
            <w:r>
              <w:rPr>
                <w:rFonts w:ascii="Arial" w:hAnsi="Arial"/>
                <w:b w:val="0"/>
                <w:sz w:val="17"/>
              </w:rPr>
              <w:t>27 May</w:t>
            </w:r>
          </w:p>
        </w:tc>
        <w:tc>
          <w:tcPr>
            <w:tcW w:type="dxa" w:w="1728"/>
          </w:tcPr>
          <w:p>
            <w:r/>
            <w:r>
              <w:rPr>
                <w:rFonts w:ascii="Arial" w:hAnsi="Arial"/>
                <w:b w:val="0"/>
                <w:sz w:val="17"/>
              </w:rPr>
              <w:t>CNBC live</w:t>
            </w:r>
          </w:p>
        </w:tc>
        <w:tc>
          <w:tcPr>
            <w:tcW w:type="dxa" w:w="4032"/>
          </w:tcPr>
          <w:p>
            <w:r/>
            <w:r>
              <w:rPr>
                <w:rFonts w:ascii="Arial" w:hAnsi="Arial"/>
                <w:b w:val="0"/>
                <w:sz w:val="17"/>
              </w:rPr>
              <w:t>S&amp;P 500 little-changed intraday near 7,516; Dow sets new record close.</w:t>
            </w:r>
          </w:p>
        </w:tc>
        <w:tc>
          <w:tcPr>
            <w:tcW w:type="dxa" w:w="2448"/>
          </w:tcPr>
          <w:p>
            <w:r/>
            <w:r>
              <w:rPr>
                <w:rFonts w:ascii="Arial" w:hAnsi="Arial"/>
                <w:b w:val="0"/>
                <w:sz w:val="17"/>
              </w:rPr>
              <w:t>“Dow sets new record as Nasdaq, S&amp;P little-changed”</w:t>
            </w:r>
          </w:p>
        </w:tc>
        <w:tc>
          <w:tcPr>
            <w:tcW w:type="dxa" w:w="1440"/>
          </w:tcPr>
          <w:p>
            <w:r/>
            <w:r>
              <w:rPr>
                <w:rFonts w:ascii="Arial" w:hAnsi="Arial"/>
                <w:b w:val="0"/>
                <w:sz w:val="17"/>
              </w:rPr>
              <w:t>Bullish (mild)</w:t>
            </w:r>
          </w:p>
        </w:tc>
      </w:tr>
      <w:tr>
        <w:tc>
          <w:tcPr>
            <w:tcW w:type="dxa" w:w="1008"/>
          </w:tcPr>
          <w:p>
            <w:r/>
            <w:r>
              <w:rPr>
                <w:rFonts w:ascii="Arial" w:hAnsi="Arial"/>
                <w:b w:val="0"/>
                <w:sz w:val="17"/>
              </w:rPr>
              <w:t>26 May</w:t>
            </w:r>
          </w:p>
        </w:tc>
        <w:tc>
          <w:tcPr>
            <w:tcW w:type="dxa" w:w="1728"/>
          </w:tcPr>
          <w:p>
            <w:r/>
            <w:r>
              <w:rPr>
                <w:rFonts w:ascii="Arial" w:hAnsi="Arial"/>
                <w:b w:val="0"/>
                <w:sz w:val="17"/>
              </w:rPr>
              <w:t>CNBC</w:t>
            </w:r>
          </w:p>
        </w:tc>
        <w:tc>
          <w:tcPr>
            <w:tcW w:type="dxa" w:w="4032"/>
          </w:tcPr>
          <w:p>
            <w:r/>
            <w:r>
              <w:rPr>
                <w:rFonts w:ascii="Arial" w:hAnsi="Arial"/>
                <w:b w:val="0"/>
                <w:sz w:val="17"/>
              </w:rPr>
              <w:t>S&amp;P 500 jumps to new record close as Micron leads tech rally.</w:t>
            </w:r>
          </w:p>
        </w:tc>
        <w:tc>
          <w:tcPr>
            <w:tcW w:type="dxa" w:w="2448"/>
          </w:tcPr>
          <w:p>
            <w:r/>
            <w:r>
              <w:rPr>
                <w:rFonts w:ascii="Arial" w:hAnsi="Arial"/>
                <w:b w:val="0"/>
                <w:sz w:val="17"/>
              </w:rPr>
              <w:t>“rose to fresh intraday all-time highs … both indexes closed at records”</w:t>
            </w:r>
          </w:p>
        </w:tc>
        <w:tc>
          <w:tcPr>
            <w:tcW w:type="dxa" w:w="1440"/>
          </w:tcPr>
          <w:p>
            <w:r/>
            <w:r>
              <w:rPr>
                <w:rFonts w:ascii="Arial" w:hAnsi="Arial"/>
                <w:b w:val="0"/>
                <w:sz w:val="17"/>
              </w:rPr>
              <w:t>Bullish</w:t>
            </w:r>
          </w:p>
        </w:tc>
      </w:tr>
      <w:tr>
        <w:tc>
          <w:tcPr>
            <w:tcW w:type="dxa" w:w="1008"/>
          </w:tcPr>
          <w:p>
            <w:r/>
            <w:r>
              <w:rPr>
                <w:rFonts w:ascii="Arial" w:hAnsi="Arial"/>
                <w:b w:val="0"/>
                <w:sz w:val="17"/>
              </w:rPr>
              <w:t>22 May</w:t>
            </w:r>
          </w:p>
        </w:tc>
        <w:tc>
          <w:tcPr>
            <w:tcW w:type="dxa" w:w="1728"/>
          </w:tcPr>
          <w:p>
            <w:r/>
            <w:r>
              <w:rPr>
                <w:rFonts w:ascii="Arial" w:hAnsi="Arial"/>
                <w:b w:val="0"/>
                <w:sz w:val="17"/>
              </w:rPr>
              <w:t>Motley Fool / Yahoo</w:t>
            </w:r>
          </w:p>
        </w:tc>
        <w:tc>
          <w:tcPr>
            <w:tcW w:type="dxa" w:w="4032"/>
          </w:tcPr>
          <w:p>
            <w:r/>
            <w:r>
              <w:rPr>
                <w:rFonts w:ascii="Arial" w:hAnsi="Arial"/>
                <w:b w:val="0"/>
                <w:sz w:val="17"/>
              </w:rPr>
              <w:t>S&amp;P 500 posts eighth straight weekly gain, longest streak since 2023.</w:t>
            </w:r>
          </w:p>
        </w:tc>
        <w:tc>
          <w:tcPr>
            <w:tcW w:type="dxa" w:w="2448"/>
          </w:tcPr>
          <w:p>
            <w:r/>
            <w:r>
              <w:rPr>
                <w:rFonts w:ascii="Arial" w:hAnsi="Arial"/>
                <w:b w:val="0"/>
                <w:sz w:val="17"/>
              </w:rPr>
              <w:t>“notched its eighth straight weekly win”</w:t>
            </w:r>
          </w:p>
        </w:tc>
        <w:tc>
          <w:tcPr>
            <w:tcW w:type="dxa" w:w="1440"/>
          </w:tcPr>
          <w:p>
            <w:r/>
            <w:r>
              <w:rPr>
                <w:rFonts w:ascii="Arial" w:hAnsi="Arial"/>
                <w:b w:val="0"/>
                <w:sz w:val="17"/>
              </w:rPr>
              <w:t>Bullish</w:t>
            </w:r>
          </w:p>
        </w:tc>
      </w:tr>
      <w:tr>
        <w:tc>
          <w:tcPr>
            <w:tcW w:type="dxa" w:w="1008"/>
          </w:tcPr>
          <w:p>
            <w:r/>
            <w:r>
              <w:rPr>
                <w:rFonts w:ascii="Arial" w:hAnsi="Arial"/>
                <w:b w:val="0"/>
                <w:sz w:val="17"/>
              </w:rPr>
              <w:t>22 May</w:t>
            </w:r>
          </w:p>
        </w:tc>
        <w:tc>
          <w:tcPr>
            <w:tcW w:type="dxa" w:w="1728"/>
          </w:tcPr>
          <w:p>
            <w:r/>
            <w:r>
              <w:rPr>
                <w:rFonts w:ascii="Arial" w:hAnsi="Arial"/>
                <w:b w:val="0"/>
                <w:sz w:val="17"/>
              </w:rPr>
              <w:t>Barchart</w:t>
            </w:r>
          </w:p>
        </w:tc>
        <w:tc>
          <w:tcPr>
            <w:tcW w:type="dxa" w:w="4032"/>
          </w:tcPr>
          <w:p>
            <w:r/>
            <w:r>
              <w:rPr>
                <w:rFonts w:ascii="Arial" w:hAnsi="Arial"/>
                <w:b w:val="0"/>
                <w:sz w:val="17"/>
              </w:rPr>
              <w:t>Dollar index gives back gains on weak Michigan consumer sentiment revision.</w:t>
            </w:r>
          </w:p>
        </w:tc>
        <w:tc>
          <w:tcPr>
            <w:tcW w:type="dxa" w:w="2448"/>
          </w:tcPr>
          <w:p>
            <w:r/>
            <w:r>
              <w:rPr>
                <w:rFonts w:ascii="Arial" w:hAnsi="Arial"/>
                <w:b w:val="0"/>
                <w:sz w:val="17"/>
              </w:rPr>
              <w:t>“consumer sentiment index revised downward to a record low”</w:t>
            </w:r>
          </w:p>
        </w:tc>
        <w:tc>
          <w:tcPr>
            <w:tcW w:type="dxa" w:w="1440"/>
          </w:tcPr>
          <w:p>
            <w:r/>
            <w:r>
              <w:rPr>
                <w:rFonts w:ascii="Arial" w:hAnsi="Arial"/>
                <w:b w:val="0"/>
                <w:sz w:val="17"/>
              </w:rPr>
              <w:t>Bearish (USD, supportive for SPX)</w:t>
            </w:r>
          </w:p>
        </w:tc>
      </w:tr>
      <w:tr>
        <w:tc>
          <w:tcPr>
            <w:tcW w:type="dxa" w:w="1008"/>
          </w:tcPr>
          <w:p>
            <w:r/>
            <w:r>
              <w:rPr>
                <w:rFonts w:ascii="Arial" w:hAnsi="Arial"/>
                <w:b w:val="0"/>
                <w:sz w:val="17"/>
              </w:rPr>
              <w:t>26 May</w:t>
            </w:r>
          </w:p>
        </w:tc>
        <w:tc>
          <w:tcPr>
            <w:tcW w:type="dxa" w:w="1728"/>
          </w:tcPr>
          <w:p>
            <w:r/>
            <w:r>
              <w:rPr>
                <w:rFonts w:ascii="Arial" w:hAnsi="Arial"/>
                <w:b w:val="0"/>
                <w:sz w:val="17"/>
              </w:rPr>
              <w:t>TheStreet</w:t>
            </w:r>
          </w:p>
        </w:tc>
        <w:tc>
          <w:tcPr>
            <w:tcW w:type="dxa" w:w="4032"/>
          </w:tcPr>
          <w:p>
            <w:r/>
            <w:r>
              <w:rPr>
                <w:rFonts w:ascii="Arial" w:hAnsi="Arial"/>
                <w:b w:val="0"/>
                <w:sz w:val="17"/>
              </w:rPr>
              <w:t>Conference Board consumer confidence eased 0.7 to 93.1 in May — beat consensus 92.</w:t>
            </w:r>
          </w:p>
        </w:tc>
        <w:tc>
          <w:tcPr>
            <w:tcW w:type="dxa" w:w="2448"/>
          </w:tcPr>
          <w:p>
            <w:r/>
            <w:r>
              <w:rPr>
                <w:rFonts w:ascii="Arial" w:hAnsi="Arial"/>
                <w:b w:val="0"/>
                <w:sz w:val="17"/>
              </w:rPr>
              <w:t>“escalating inflationary impacts due to the Middle East conflict”</w:t>
            </w:r>
          </w:p>
        </w:tc>
        <w:tc>
          <w:tcPr>
            <w:tcW w:type="dxa" w:w="1440"/>
          </w:tcPr>
          <w:p>
            <w:r/>
            <w:r>
              <w:rPr>
                <w:rFonts w:ascii="Arial" w:hAnsi="Arial"/>
                <w:b w:val="0"/>
                <w:sz w:val="17"/>
              </w:rPr>
              <w:t>Mixed</w:t>
            </w:r>
          </w:p>
        </w:tc>
      </w:tr>
    </w:tbl>
    <w:p>
      <w:pPr>
        <w:pStyle w:val="Heading2"/>
      </w:pPr>
      <w:r>
        <w:t>13b. Aggregate sentiment tilt</w:t>
      </w:r>
    </w:p>
    <w:p>
      <w:r>
        <w:rPr>
          <w:b w:val="0"/>
          <w:i w:val="0"/>
        </w:rPr>
        <w:t>Categorical: Bullish (extended). Numeric tilt: +0.32 on a [−1, +1] scale. Derivation: of the six weighted articles, four are unambiguously bullish, one is bullish for the S&amp;P 500 indirectly (weaker dollar via consumer-sentiment downgrade), and one is mixed (consumer-confidence print). No bearish articles at the price-action level across the window. The tilt is positive but moderated below +0.5 by the consumer-confidence inflation-expectations data, which is a forward-looking caution.</w:t>
      </w:r>
    </w:p>
    <w:p>
      <w:pPr>
        <w:pStyle w:val="Heading2"/>
      </w:pPr>
      <w:r>
        <w:t>13c. News calendar — preceding period (last 5 trading days)</w:t>
      </w:r>
    </w:p>
    <w:tbl>
      <w:tblPr>
        <w:tblStyle w:val="LightGrid-Accent1"/>
        <w:tblW w:type="auto" w:w="0"/>
        <w:tblLook w:firstColumn="1" w:firstRow="1" w:lastColumn="0" w:lastRow="0" w:noHBand="0" w:noVBand="1" w:val="04A0"/>
      </w:tblPr>
      <w:tblGrid>
        <w:gridCol w:w="3216"/>
        <w:gridCol w:w="3216"/>
        <w:gridCol w:w="3216"/>
      </w:tblGrid>
      <w:tr>
        <w:tc>
          <w:tcPr>
            <w:tcW w:type="dxa" w:w="1440"/>
            <w:shd w:val="clear" w:color="auto" w:fill="1F4E79"/>
          </w:tcPr>
          <w:p>
            <w:r/>
            <w:r>
              <w:rPr>
                <w:rFonts w:ascii="Arial" w:hAnsi="Arial"/>
                <w:b/>
                <w:color w:val="FFFFFF"/>
                <w:sz w:val="19"/>
              </w:rPr>
              <w:t>Date</w:t>
            </w:r>
          </w:p>
        </w:tc>
        <w:tc>
          <w:tcPr>
            <w:tcW w:type="dxa" w:w="4896"/>
            <w:shd w:val="clear" w:color="auto" w:fill="1F4E79"/>
          </w:tcPr>
          <w:p>
            <w:r/>
            <w:r>
              <w:rPr>
                <w:rFonts w:ascii="Arial" w:hAnsi="Arial"/>
                <w:b/>
                <w:color w:val="FFFFFF"/>
                <w:sz w:val="19"/>
              </w:rPr>
              <w:t>Event</w:t>
            </w:r>
          </w:p>
        </w:tc>
        <w:tc>
          <w:tcPr>
            <w:tcW w:type="dxa" w:w="4320"/>
            <w:shd w:val="clear" w:color="auto" w:fill="1F4E79"/>
          </w:tcPr>
          <w:p>
            <w:r/>
            <w:r>
              <w:rPr>
                <w:rFonts w:ascii="Arial" w:hAnsi="Arial"/>
                <w:b/>
                <w:color w:val="FFFFFF"/>
                <w:sz w:val="19"/>
              </w:rPr>
              <w:t>Market impact</w:t>
            </w:r>
          </w:p>
        </w:tc>
      </w:tr>
      <w:tr>
        <w:tc>
          <w:tcPr>
            <w:tcW w:type="dxa" w:w="1440"/>
          </w:tcPr>
          <w:p>
            <w:r/>
            <w:r>
              <w:rPr>
                <w:rFonts w:ascii="Arial" w:hAnsi="Arial"/>
                <w:b w:val="0"/>
                <w:sz w:val="18"/>
              </w:rPr>
              <w:t>19–20 May</w:t>
            </w:r>
          </w:p>
        </w:tc>
        <w:tc>
          <w:tcPr>
            <w:tcW w:type="dxa" w:w="4896"/>
          </w:tcPr>
          <w:p>
            <w:r/>
            <w:r>
              <w:rPr>
                <w:rFonts w:ascii="Arial" w:hAnsi="Arial"/>
                <w:b w:val="0"/>
                <w:sz w:val="18"/>
              </w:rPr>
              <w:t>Q1 2026 mega-cap tech earnings tail (Snowflake, AWS announcement)</w:t>
            </w:r>
          </w:p>
        </w:tc>
        <w:tc>
          <w:tcPr>
            <w:tcW w:type="dxa" w:w="4320"/>
          </w:tcPr>
          <w:p>
            <w:r/>
            <w:r>
              <w:rPr>
                <w:rFonts w:ascii="Arial" w:hAnsi="Arial"/>
                <w:b w:val="0"/>
                <w:sz w:val="18"/>
              </w:rPr>
              <w:t>Tech leadership reinforcement; Micron +200% YTD context</w:t>
            </w:r>
          </w:p>
        </w:tc>
      </w:tr>
      <w:tr>
        <w:tc>
          <w:tcPr>
            <w:tcW w:type="dxa" w:w="1440"/>
          </w:tcPr>
          <w:p>
            <w:r/>
            <w:r>
              <w:rPr>
                <w:rFonts w:ascii="Arial" w:hAnsi="Arial"/>
                <w:b w:val="0"/>
                <w:sz w:val="18"/>
              </w:rPr>
              <w:t>21 May</w:t>
            </w:r>
          </w:p>
        </w:tc>
        <w:tc>
          <w:tcPr>
            <w:tcW w:type="dxa" w:w="4896"/>
          </w:tcPr>
          <w:p>
            <w:r/>
            <w:r>
              <w:rPr>
                <w:rFonts w:ascii="Arial" w:hAnsi="Arial"/>
                <w:b w:val="0"/>
                <w:sz w:val="18"/>
              </w:rPr>
              <w:t>US–Iran peace-deal rumour cycle intensifies</w:t>
            </w:r>
          </w:p>
        </w:tc>
        <w:tc>
          <w:tcPr>
            <w:tcW w:type="dxa" w:w="4320"/>
          </w:tcPr>
          <w:p>
            <w:r/>
            <w:r>
              <w:rPr>
                <w:rFonts w:ascii="Arial" w:hAnsi="Arial"/>
                <w:b w:val="0"/>
                <w:sz w:val="18"/>
              </w:rPr>
              <w:t>Risk premium compression begins; oil down, equity up</w:t>
            </w:r>
          </w:p>
        </w:tc>
      </w:tr>
      <w:tr>
        <w:tc>
          <w:tcPr>
            <w:tcW w:type="dxa" w:w="1440"/>
          </w:tcPr>
          <w:p>
            <w:r/>
            <w:r>
              <w:rPr>
                <w:rFonts w:ascii="Arial" w:hAnsi="Arial"/>
                <w:b w:val="0"/>
                <w:sz w:val="18"/>
              </w:rPr>
              <w:t>22 May</w:t>
            </w:r>
          </w:p>
        </w:tc>
        <w:tc>
          <w:tcPr>
            <w:tcW w:type="dxa" w:w="4896"/>
          </w:tcPr>
          <w:p>
            <w:r/>
            <w:r>
              <w:rPr>
                <w:rFonts w:ascii="Arial" w:hAnsi="Arial"/>
                <w:b w:val="0"/>
                <w:sz w:val="18"/>
              </w:rPr>
              <w:t>University of Michigan May consumer sentiment revised to record low 44.8</w:t>
            </w:r>
          </w:p>
        </w:tc>
        <w:tc>
          <w:tcPr>
            <w:tcW w:type="dxa" w:w="4320"/>
          </w:tcPr>
          <w:p>
            <w:r/>
            <w:r>
              <w:rPr>
                <w:rFonts w:ascii="Arial" w:hAnsi="Arial"/>
                <w:b w:val="0"/>
                <w:sz w:val="18"/>
              </w:rPr>
              <w:t>USD pressure; 1-yr inflation expectations to +4.8%</w:t>
            </w:r>
          </w:p>
        </w:tc>
      </w:tr>
      <w:tr>
        <w:tc>
          <w:tcPr>
            <w:tcW w:type="dxa" w:w="1440"/>
          </w:tcPr>
          <w:p>
            <w:r/>
            <w:r>
              <w:rPr>
                <w:rFonts w:ascii="Arial" w:hAnsi="Arial"/>
                <w:b w:val="0"/>
                <w:sz w:val="18"/>
              </w:rPr>
              <w:t>22 May</w:t>
            </w:r>
          </w:p>
        </w:tc>
        <w:tc>
          <w:tcPr>
            <w:tcW w:type="dxa" w:w="4896"/>
          </w:tcPr>
          <w:p>
            <w:r/>
            <w:r>
              <w:rPr>
                <w:rFonts w:ascii="Arial" w:hAnsi="Arial"/>
                <w:b w:val="0"/>
                <w:sz w:val="18"/>
              </w:rPr>
              <w:t>Kevin Warsh sworn in as Fed Chair</w:t>
            </w:r>
          </w:p>
        </w:tc>
        <w:tc>
          <w:tcPr>
            <w:tcW w:type="dxa" w:w="4320"/>
          </w:tcPr>
          <w:p>
            <w:r/>
            <w:r>
              <w:rPr>
                <w:rFonts w:ascii="Arial" w:hAnsi="Arial"/>
                <w:b w:val="0"/>
                <w:sz w:val="18"/>
              </w:rPr>
              <w:t>Policy-regime transition; Fed Governor Waller hawkish remarks same day</w:t>
            </w:r>
          </w:p>
        </w:tc>
      </w:tr>
      <w:tr>
        <w:tc>
          <w:tcPr>
            <w:tcW w:type="dxa" w:w="1440"/>
          </w:tcPr>
          <w:p>
            <w:r/>
            <w:r>
              <w:rPr>
                <w:rFonts w:ascii="Arial" w:hAnsi="Arial"/>
                <w:b w:val="0"/>
                <w:sz w:val="18"/>
              </w:rPr>
              <w:t>26 May</w:t>
            </w:r>
          </w:p>
        </w:tc>
        <w:tc>
          <w:tcPr>
            <w:tcW w:type="dxa" w:w="4896"/>
          </w:tcPr>
          <w:p>
            <w:r/>
            <w:r>
              <w:rPr>
                <w:rFonts w:ascii="Arial" w:hAnsi="Arial"/>
                <w:b w:val="0"/>
                <w:sz w:val="18"/>
              </w:rPr>
              <w:t>Conference Board consumer confidence May 93.1 (beat 92)</w:t>
            </w:r>
          </w:p>
        </w:tc>
        <w:tc>
          <w:tcPr>
            <w:tcW w:type="dxa" w:w="4320"/>
          </w:tcPr>
          <w:p>
            <w:r/>
            <w:r>
              <w:rPr>
                <w:rFonts w:ascii="Arial" w:hAnsi="Arial"/>
                <w:b w:val="0"/>
                <w:sz w:val="18"/>
              </w:rPr>
              <w:t>Mild relief; offset by inflation impacts narrative</w:t>
            </w:r>
          </w:p>
        </w:tc>
      </w:tr>
      <w:tr>
        <w:tc>
          <w:tcPr>
            <w:tcW w:type="dxa" w:w="1440"/>
          </w:tcPr>
          <w:p>
            <w:r/>
            <w:r>
              <w:rPr>
                <w:rFonts w:ascii="Arial" w:hAnsi="Arial"/>
                <w:b w:val="0"/>
                <w:sz w:val="18"/>
              </w:rPr>
              <w:t>26 May</w:t>
            </w:r>
          </w:p>
        </w:tc>
        <w:tc>
          <w:tcPr>
            <w:tcW w:type="dxa" w:w="4896"/>
          </w:tcPr>
          <w:p>
            <w:r/>
            <w:r>
              <w:rPr>
                <w:rFonts w:ascii="Arial" w:hAnsi="Arial"/>
                <w:b w:val="0"/>
                <w:sz w:val="18"/>
              </w:rPr>
              <w:t>Goldman raises S&amp;P 500 2026 target to 8,000 from 7,600</w:t>
            </w:r>
          </w:p>
        </w:tc>
        <w:tc>
          <w:tcPr>
            <w:tcW w:type="dxa" w:w="4320"/>
          </w:tcPr>
          <w:p>
            <w:r/>
            <w:r>
              <w:rPr>
                <w:rFonts w:ascii="Arial" w:hAnsi="Arial"/>
                <w:b w:val="0"/>
                <w:sz w:val="18"/>
              </w:rPr>
              <w:t>Sell-side anchor lift — supportive flow signal</w:t>
            </w:r>
          </w:p>
        </w:tc>
      </w:tr>
    </w:tbl>
    <w:p>
      <w:pPr>
        <w:pStyle w:val="Heading2"/>
      </w:pPr>
      <w:r>
        <w:t>13d. News calendar — upcoming (next 5 trading days)</w:t>
      </w:r>
    </w:p>
    <w:tbl>
      <w:tblPr>
        <w:tblStyle w:val="LightGrid-Accent1"/>
        <w:tblW w:type="auto" w:w="0"/>
        <w:tblLook w:firstColumn="1" w:firstRow="1" w:lastColumn="0" w:lastRow="0" w:noHBand="0" w:noVBand="1" w:val="04A0"/>
      </w:tblPr>
      <w:tblGrid>
        <w:gridCol w:w="2412"/>
        <w:gridCol w:w="2412"/>
        <w:gridCol w:w="2412"/>
        <w:gridCol w:w="2412"/>
      </w:tblGrid>
      <w:tr>
        <w:tc>
          <w:tcPr>
            <w:tcW w:type="dxa" w:w="1440"/>
            <w:shd w:val="clear" w:color="auto" w:fill="1F4E79"/>
          </w:tcPr>
          <w:p>
            <w:r/>
            <w:r>
              <w:rPr>
                <w:rFonts w:ascii="Arial" w:hAnsi="Arial"/>
                <w:b/>
                <w:color w:val="FFFFFF"/>
                <w:sz w:val="19"/>
              </w:rPr>
              <w:t>Date</w:t>
            </w:r>
          </w:p>
        </w:tc>
        <w:tc>
          <w:tcPr>
            <w:tcW w:type="dxa" w:w="3744"/>
            <w:shd w:val="clear" w:color="auto" w:fill="1F4E79"/>
          </w:tcPr>
          <w:p>
            <w:r/>
            <w:r>
              <w:rPr>
                <w:rFonts w:ascii="Arial" w:hAnsi="Arial"/>
                <w:b/>
                <w:color w:val="FFFFFF"/>
                <w:sz w:val="19"/>
              </w:rPr>
              <w:t>Event</w:t>
            </w:r>
          </w:p>
        </w:tc>
        <w:tc>
          <w:tcPr>
            <w:tcW w:type="dxa" w:w="1296"/>
            <w:shd w:val="clear" w:color="auto" w:fill="1F4E79"/>
          </w:tcPr>
          <w:p>
            <w:r/>
            <w:r>
              <w:rPr>
                <w:rFonts w:ascii="Arial" w:hAnsi="Arial"/>
                <w:b/>
                <w:color w:val="FFFFFF"/>
                <w:sz w:val="19"/>
              </w:rPr>
              <w:t>Importance</w:t>
            </w:r>
          </w:p>
        </w:tc>
        <w:tc>
          <w:tcPr>
            <w:tcW w:type="dxa" w:w="4320"/>
            <w:shd w:val="clear" w:color="auto" w:fill="1F4E79"/>
          </w:tcPr>
          <w:p>
            <w:r/>
            <w:r>
              <w:rPr>
                <w:rFonts w:ascii="Arial" w:hAnsi="Arial"/>
                <w:b/>
                <w:color w:val="FFFFFF"/>
                <w:sz w:val="19"/>
              </w:rPr>
              <w:t>Mechanism for S&amp;P 500</w:t>
            </w:r>
          </w:p>
        </w:tc>
      </w:tr>
      <w:tr>
        <w:tc>
          <w:tcPr>
            <w:tcW w:type="dxa" w:w="1440"/>
          </w:tcPr>
          <w:p>
            <w:r/>
            <w:r>
              <w:rPr>
                <w:rFonts w:ascii="Arial" w:hAnsi="Arial"/>
                <w:b w:val="0"/>
                <w:sz w:val="18"/>
              </w:rPr>
              <w:t>28 May Thu</w:t>
            </w:r>
          </w:p>
        </w:tc>
        <w:tc>
          <w:tcPr>
            <w:tcW w:type="dxa" w:w="3744"/>
          </w:tcPr>
          <w:p>
            <w:r/>
            <w:r>
              <w:rPr>
                <w:rFonts w:ascii="Arial" w:hAnsi="Arial"/>
                <w:b w:val="0"/>
                <w:sz w:val="18"/>
              </w:rPr>
              <w:t>Q1 2026 GDP — second estimate (BEA)</w:t>
            </w:r>
          </w:p>
        </w:tc>
        <w:tc>
          <w:tcPr>
            <w:tcW w:type="dxa" w:w="1296"/>
          </w:tcPr>
          <w:p>
            <w:r/>
            <w:r>
              <w:rPr>
                <w:rFonts w:ascii="Arial" w:hAnsi="Arial"/>
                <w:b w:val="0"/>
                <w:sz w:val="18"/>
              </w:rPr>
              <w:t>Medium</w:t>
            </w:r>
          </w:p>
        </w:tc>
        <w:tc>
          <w:tcPr>
            <w:tcW w:type="dxa" w:w="4320"/>
          </w:tcPr>
          <w:p>
            <w:r/>
            <w:r>
              <w:rPr>
                <w:rFonts w:ascii="Arial" w:hAnsi="Arial"/>
                <w:b w:val="0"/>
                <w:sz w:val="18"/>
              </w:rPr>
              <w:t>Growth verification; soft-landing narrative — strong print supports trend</w:t>
            </w:r>
          </w:p>
        </w:tc>
      </w:tr>
      <w:tr>
        <w:tc>
          <w:tcPr>
            <w:tcW w:type="dxa" w:w="1440"/>
          </w:tcPr>
          <w:p>
            <w:r/>
            <w:r>
              <w:rPr>
                <w:rFonts w:ascii="Arial" w:hAnsi="Arial"/>
                <w:b w:val="0"/>
                <w:sz w:val="18"/>
              </w:rPr>
              <w:t>28 May Thu</w:t>
            </w:r>
          </w:p>
        </w:tc>
        <w:tc>
          <w:tcPr>
            <w:tcW w:type="dxa" w:w="3744"/>
          </w:tcPr>
          <w:p>
            <w:r/>
            <w:r>
              <w:rPr>
                <w:rFonts w:ascii="Arial" w:hAnsi="Arial"/>
                <w:b w:val="0"/>
                <w:sz w:val="18"/>
              </w:rPr>
              <w:t>Initial jobless claims; continuing claims</w:t>
            </w:r>
          </w:p>
        </w:tc>
        <w:tc>
          <w:tcPr>
            <w:tcW w:type="dxa" w:w="1296"/>
          </w:tcPr>
          <w:p>
            <w:r/>
            <w:r>
              <w:rPr>
                <w:rFonts w:ascii="Arial" w:hAnsi="Arial"/>
                <w:b w:val="0"/>
                <w:sz w:val="18"/>
              </w:rPr>
              <w:t>Medium</w:t>
            </w:r>
          </w:p>
        </w:tc>
        <w:tc>
          <w:tcPr>
            <w:tcW w:type="dxa" w:w="4320"/>
          </w:tcPr>
          <w:p>
            <w:r/>
            <w:r>
              <w:rPr>
                <w:rFonts w:ascii="Arial" w:hAnsi="Arial"/>
                <w:b w:val="0"/>
                <w:sz w:val="18"/>
              </w:rPr>
              <w:t>Labour-market read; soft print would unwind Waller hawkish marginal</w:t>
            </w:r>
          </w:p>
        </w:tc>
      </w:tr>
      <w:tr>
        <w:tc>
          <w:tcPr>
            <w:tcW w:type="dxa" w:w="1440"/>
          </w:tcPr>
          <w:p>
            <w:r/>
            <w:r>
              <w:rPr>
                <w:rFonts w:ascii="Arial" w:hAnsi="Arial"/>
                <w:b w:val="0"/>
                <w:sz w:val="18"/>
              </w:rPr>
              <w:t>28 May Thu</w:t>
            </w:r>
          </w:p>
        </w:tc>
        <w:tc>
          <w:tcPr>
            <w:tcW w:type="dxa" w:w="3744"/>
          </w:tcPr>
          <w:p>
            <w:r/>
            <w:r>
              <w:rPr>
                <w:rFonts w:ascii="Arial" w:hAnsi="Arial"/>
                <w:b w:val="0"/>
                <w:sz w:val="18"/>
              </w:rPr>
              <w:t>Durable goods orders (April)</w:t>
            </w:r>
          </w:p>
        </w:tc>
        <w:tc>
          <w:tcPr>
            <w:tcW w:type="dxa" w:w="1296"/>
          </w:tcPr>
          <w:p>
            <w:r/>
            <w:r>
              <w:rPr>
                <w:rFonts w:ascii="Arial" w:hAnsi="Arial"/>
                <w:b w:val="0"/>
                <w:sz w:val="18"/>
              </w:rPr>
              <w:t>Medium</w:t>
            </w:r>
          </w:p>
        </w:tc>
        <w:tc>
          <w:tcPr>
            <w:tcW w:type="dxa" w:w="4320"/>
          </w:tcPr>
          <w:p>
            <w:r/>
            <w:r>
              <w:rPr>
                <w:rFonts w:ascii="Arial" w:hAnsi="Arial"/>
                <w:b w:val="0"/>
                <w:sz w:val="18"/>
              </w:rPr>
              <w:t>Capex proxy; soft signal would compress yields and support multiples</w:t>
            </w:r>
          </w:p>
        </w:tc>
      </w:tr>
      <w:tr>
        <w:tc>
          <w:tcPr>
            <w:tcW w:type="dxa" w:w="1440"/>
          </w:tcPr>
          <w:p>
            <w:r/>
            <w:r>
              <w:rPr>
                <w:rFonts w:ascii="Arial" w:hAnsi="Arial"/>
                <w:b w:val="0"/>
                <w:sz w:val="18"/>
              </w:rPr>
              <w:t>29 May Fri</w:t>
            </w:r>
          </w:p>
        </w:tc>
        <w:tc>
          <w:tcPr>
            <w:tcW w:type="dxa" w:w="3744"/>
          </w:tcPr>
          <w:p>
            <w:r/>
            <w:r>
              <w:rPr>
                <w:rFonts w:ascii="Arial" w:hAnsi="Arial"/>
                <w:b w:val="0"/>
                <w:sz w:val="18"/>
              </w:rPr>
              <w:t>HIGHEST IMPACT — Core PCE price index (April)</w:t>
            </w:r>
          </w:p>
        </w:tc>
        <w:tc>
          <w:tcPr>
            <w:tcW w:type="dxa" w:w="1296"/>
          </w:tcPr>
          <w:p>
            <w:r/>
            <w:r>
              <w:rPr>
                <w:rFonts w:ascii="Arial" w:hAnsi="Arial"/>
                <w:b w:val="0"/>
                <w:sz w:val="18"/>
              </w:rPr>
              <w:t>HIGH</w:t>
            </w:r>
          </w:p>
        </w:tc>
        <w:tc>
          <w:tcPr>
            <w:tcW w:type="dxa" w:w="4320"/>
          </w:tcPr>
          <w:p>
            <w:r/>
            <w:r>
              <w:rPr>
                <w:rFonts w:ascii="Arial" w:hAnsi="Arial"/>
                <w:b w:val="0"/>
                <w:sz w:val="18"/>
              </w:rPr>
              <w:t>Fed preferred inflation gauge — direct policy-path implication; hot print is the principal invalidation mechanism for the rally</w:t>
            </w:r>
          </w:p>
        </w:tc>
      </w:tr>
      <w:tr>
        <w:tc>
          <w:tcPr>
            <w:tcW w:type="dxa" w:w="1440"/>
          </w:tcPr>
          <w:p>
            <w:r/>
            <w:r>
              <w:rPr>
                <w:rFonts w:ascii="Arial" w:hAnsi="Arial"/>
                <w:b w:val="0"/>
                <w:sz w:val="18"/>
              </w:rPr>
              <w:t>29 May Fri</w:t>
            </w:r>
          </w:p>
        </w:tc>
        <w:tc>
          <w:tcPr>
            <w:tcW w:type="dxa" w:w="3744"/>
          </w:tcPr>
          <w:p>
            <w:r/>
            <w:r>
              <w:rPr>
                <w:rFonts w:ascii="Arial" w:hAnsi="Arial"/>
                <w:b w:val="0"/>
                <w:sz w:val="18"/>
              </w:rPr>
              <w:t>Personal income &amp; personal spending</w:t>
            </w:r>
          </w:p>
        </w:tc>
        <w:tc>
          <w:tcPr>
            <w:tcW w:type="dxa" w:w="1296"/>
          </w:tcPr>
          <w:p>
            <w:r/>
            <w:r>
              <w:rPr>
                <w:rFonts w:ascii="Arial" w:hAnsi="Arial"/>
                <w:b w:val="0"/>
                <w:sz w:val="18"/>
              </w:rPr>
              <w:t>Medium</w:t>
            </w:r>
          </w:p>
        </w:tc>
        <w:tc>
          <w:tcPr>
            <w:tcW w:type="dxa" w:w="4320"/>
          </w:tcPr>
          <w:p>
            <w:r/>
            <w:r>
              <w:rPr>
                <w:rFonts w:ascii="Arial" w:hAnsi="Arial"/>
                <w:b w:val="0"/>
                <w:sz w:val="18"/>
              </w:rPr>
              <w:t>Consumer-resilience confirmation; consistent with cycle-extension narrative</w:t>
            </w:r>
          </w:p>
        </w:tc>
      </w:tr>
      <w:tr>
        <w:tc>
          <w:tcPr>
            <w:tcW w:type="dxa" w:w="1440"/>
          </w:tcPr>
          <w:p>
            <w:r/>
            <w:r>
              <w:rPr>
                <w:rFonts w:ascii="Arial" w:hAnsi="Arial"/>
                <w:b w:val="0"/>
                <w:sz w:val="18"/>
              </w:rPr>
              <w:t>29 May Fri</w:t>
            </w:r>
          </w:p>
        </w:tc>
        <w:tc>
          <w:tcPr>
            <w:tcW w:type="dxa" w:w="3744"/>
          </w:tcPr>
          <w:p>
            <w:r/>
            <w:r>
              <w:rPr>
                <w:rFonts w:ascii="Arial" w:hAnsi="Arial"/>
                <w:b w:val="0"/>
                <w:sz w:val="18"/>
              </w:rPr>
              <w:t>Advanced trade in goods; wholesale inventories</w:t>
            </w:r>
          </w:p>
        </w:tc>
        <w:tc>
          <w:tcPr>
            <w:tcW w:type="dxa" w:w="1296"/>
          </w:tcPr>
          <w:p>
            <w:r/>
            <w:r>
              <w:rPr>
                <w:rFonts w:ascii="Arial" w:hAnsi="Arial"/>
                <w:b w:val="0"/>
                <w:sz w:val="18"/>
              </w:rPr>
              <w:t>Low</w:t>
            </w:r>
          </w:p>
        </w:tc>
        <w:tc>
          <w:tcPr>
            <w:tcW w:type="dxa" w:w="4320"/>
          </w:tcPr>
          <w:p>
            <w:r/>
            <w:r>
              <w:rPr>
                <w:rFonts w:ascii="Arial" w:hAnsi="Arial"/>
                <w:b w:val="0"/>
                <w:sz w:val="18"/>
              </w:rPr>
              <w:t>Marginal — limited single-name impact</w:t>
            </w:r>
          </w:p>
        </w:tc>
      </w:tr>
      <w:tr>
        <w:tc>
          <w:tcPr>
            <w:tcW w:type="dxa" w:w="1440"/>
          </w:tcPr>
          <w:p>
            <w:r/>
            <w:r>
              <w:rPr>
                <w:rFonts w:ascii="Arial" w:hAnsi="Arial"/>
                <w:b w:val="0"/>
                <w:sz w:val="18"/>
              </w:rPr>
              <w:t>Ongoing</w:t>
            </w:r>
          </w:p>
        </w:tc>
        <w:tc>
          <w:tcPr>
            <w:tcW w:type="dxa" w:w="3744"/>
          </w:tcPr>
          <w:p>
            <w:r/>
            <w:r>
              <w:rPr>
                <w:rFonts w:ascii="Arial" w:hAnsi="Arial"/>
                <w:b w:val="0"/>
                <w:sz w:val="18"/>
              </w:rPr>
              <w:t>US–Iran negotiation headlines</w:t>
            </w:r>
          </w:p>
        </w:tc>
        <w:tc>
          <w:tcPr>
            <w:tcW w:type="dxa" w:w="1296"/>
          </w:tcPr>
          <w:p>
            <w:r/>
            <w:r>
              <w:rPr>
                <w:rFonts w:ascii="Arial" w:hAnsi="Arial"/>
                <w:b w:val="0"/>
                <w:sz w:val="18"/>
              </w:rPr>
              <w:t>Variable</w:t>
            </w:r>
          </w:p>
        </w:tc>
        <w:tc>
          <w:tcPr>
            <w:tcW w:type="dxa" w:w="4320"/>
          </w:tcPr>
          <w:p>
            <w:r/>
            <w:r>
              <w:rPr>
                <w:rFonts w:ascii="Arial" w:hAnsi="Arial"/>
                <w:b w:val="0"/>
                <w:sz w:val="18"/>
              </w:rPr>
              <w:t>Reopening Strait of Hormuz scenario compresses oil and energy-input cost; further progress is supportive</w:t>
            </w:r>
          </w:p>
        </w:tc>
      </w:tr>
    </w:tbl>
    <w:p>
      <w:r>
        <w:rPr>
          <w:b w:val="0"/>
          <w:i/>
          <w:sz w:val="19"/>
        </w:rPr>
        <w:t>Single highest-impact upcoming event: April core PCE (29 May). Mechanism: a hot (&gt;0.3% MoM) print would raise the probability the new Fed Chair’s communication on rates leans against the recent Goldman/UBS trajectory and is the most plausible mechanism by which the consensus 7,500–7,540 range invalidates on the downside.</w:t>
      </w:r>
    </w:p>
    <w:p>
      <w:pPr>
        <w:pStyle w:val="Heading1"/>
      </w:pPr>
      <w:r>
        <w:t>14. Macro Context</w:t>
      </w:r>
    </w:p>
    <w:p>
      <w:r>
        <w:rPr>
          <w:b w:val="0"/>
          <w:i w:val="0"/>
        </w:rPr>
        <w:t>Rates: Fed funds at 3.50–3.75%, steady. New Fed Chair Warsh under presidential pressure to lower rates; internal Fed voices (Waller, 22 May) leaning hawkish if inflation persists. Market-implied near-term cut probability is low. 10-year yield broadly stable; modest downward pressure on the diplomatic process, offset by hawkish Fed marginal commentary.</w:t>
      </w:r>
    </w:p>
    <w:p>
      <w:r>
        <w:rPr>
          <w:b w:val="0"/>
          <w:i w:val="0"/>
        </w:rPr>
        <w:t>Inflation: April CPI prints have run hotter than the Fed’s 2% target. The University of Michigan May 1-year inflation expectations were revised to +4.8% (9-month high), with the headline consumer-sentiment index revised to a record low 44.8. The April core PCE print scheduled for Thursday 29 May is the dominant inflation catalyst over the scenario horizon.</w:t>
      </w:r>
    </w:p>
    <w:p>
      <w:r>
        <w:rPr>
          <w:b w:val="0"/>
          <w:i w:val="0"/>
        </w:rPr>
        <w:t>Liquidity / FX: USDX rallied to a six-week high on 21 May before easing 22–27 May on US consumer-data weakness. The mechanism for the S&amp;P 500 is via multinational-earnings translation (mild headwind from a stronger dollar) and via financial-conditions tightness (tight dollar = tighter FCIs).</w:t>
      </w:r>
    </w:p>
    <w:p>
      <w:r>
        <w:rPr>
          <w:b w:val="0"/>
          <w:i w:val="0"/>
        </w:rPr>
        <w:t>Energy: Brent crude eased through 27 May on US–Iran diplomatic optimism — WTI front-month near $94. Falling energy prices are a positive for S&amp;P 500 input cost margins and a negative for the energy sector weight inside the index; net effect at the index level is mildly positive.</w:t>
      </w:r>
    </w:p>
    <w:p>
      <w:r>
        <w:rPr>
          <w:b w:val="0"/>
          <w:i w:val="0"/>
        </w:rPr>
        <w:t>Positioning: VIX at 16.92 (low historically). Sell-side positioning is constructive — Goldman, Morgan Stanley, Deutsche Bank all targeting ~17% upside for 2026; UBS similarly. The constructive sell-side anchor is itself a watch item, since extreme strategist consensus is a known late-cycle indicator.</w:t>
      </w:r>
    </w:p>
    <w:p>
      <w:r>
        <w:rPr>
          <w:b w:val="0"/>
          <w:i/>
          <w:sz w:val="19"/>
        </w:rPr>
        <w:t>Upcoming event cross-reference: the April core PCE print on 29 May (§13d) directly affects the rates, inflation, and positioning variables above. A hot print would raise FCIs and de-rate the multiple; a cool print would extend the present trend. Watch item — directional risk asymmetric to the downside on a surprise.</w:t>
      </w:r>
    </w:p>
    <w:p>
      <w:pPr>
        <w:pStyle w:val="Heading1"/>
      </w:pPr>
      <w:r>
        <w:t>15. Bull / Bear Balance</w:t>
      </w:r>
    </w:p>
    <w:tbl>
      <w:tblPr>
        <w:tblStyle w:val="LightGrid-Accent1"/>
        <w:tblW w:type="auto" w:w="0"/>
        <w:tblLook w:firstColumn="1" w:firstRow="1" w:lastColumn="0" w:lastRow="0" w:noHBand="0" w:noVBand="1" w:val="04A0"/>
      </w:tblPr>
      <w:tblGrid>
        <w:gridCol w:w="4824"/>
        <w:gridCol w:w="4824"/>
      </w:tblGrid>
      <w:tr>
        <w:tc>
          <w:tcPr>
            <w:tcW w:type="dxa" w:w="4896"/>
            <w:shd w:val="clear" w:color="auto" w:fill="2E8B57"/>
          </w:tcPr>
          <w:p>
            <w:r/>
            <w:r>
              <w:rPr>
                <w:rFonts w:ascii="Arial" w:hAnsi="Arial"/>
                <w:b/>
                <w:color w:val="FFFFFF"/>
                <w:sz w:val="19"/>
              </w:rPr>
              <w:t>Main upside risks (bullish)</w:t>
            </w:r>
          </w:p>
        </w:tc>
        <w:tc>
          <w:tcPr>
            <w:tcW w:type="dxa" w:w="4896"/>
            <w:shd w:val="clear" w:color="auto" w:fill="C0392B"/>
          </w:tcPr>
          <w:p>
            <w:r/>
            <w:r>
              <w:rPr>
                <w:rFonts w:ascii="Arial" w:hAnsi="Arial"/>
                <w:b/>
                <w:color w:val="FFFFFF"/>
                <w:sz w:val="19"/>
              </w:rPr>
              <w:t>Main downside risks (bearish)</w:t>
            </w:r>
          </w:p>
        </w:tc>
      </w:tr>
      <w:tr>
        <w:tc>
          <w:tcPr>
            <w:tcW w:type="dxa" w:w="4896"/>
          </w:tcPr>
          <w:p>
            <w:r/>
            <w:r>
              <w:rPr>
                <w:rFonts w:ascii="Arial" w:hAnsi="Arial"/>
                <w:b w:val="0"/>
                <w:sz w:val="19"/>
              </w:rPr>
              <w:t>• Cool April core PCE print on 29 May extends the rate-cut path and lifts equity multiples — daily R1 (7,548) and weekly R2 (7,546) cleared with confluence resistance broken.</w:t>
            </w:r>
          </w:p>
        </w:tc>
        <w:tc>
          <w:tcPr>
            <w:tcW w:type="dxa" w:w="4896"/>
          </w:tcPr>
          <w:p>
            <w:r/>
            <w:r>
              <w:rPr>
                <w:rFonts w:ascii="Arial" w:hAnsi="Arial"/>
                <w:b w:val="0"/>
                <w:sz w:val="19"/>
              </w:rPr>
              <w:t>• Hot April core PCE (&gt;0.3% MoM) — direct rates re-pricing; daily P (7,510) and weekly R1 (7,510) cluster fails as support; weekly P (7,449) becomes the next test.</w:t>
            </w:r>
          </w:p>
        </w:tc>
      </w:tr>
      <w:tr>
        <w:tc>
          <w:tcPr>
            <w:tcW w:type="dxa" w:w="4896"/>
          </w:tcPr>
          <w:p>
            <w:r/>
            <w:r>
              <w:rPr>
                <w:rFonts w:ascii="Arial" w:hAnsi="Arial"/>
                <w:b w:val="0"/>
                <w:sz w:val="19"/>
              </w:rPr>
              <w:t>• US–Iran progress materialises into a verifiable deal — energy prices fall further, supporting margins and the soft-landing narrative; VIX divergence resolves down.</w:t>
            </w:r>
          </w:p>
        </w:tc>
        <w:tc>
          <w:tcPr>
            <w:tcW w:type="dxa" w:w="4896"/>
          </w:tcPr>
          <w:p>
            <w:r/>
            <w:r>
              <w:rPr>
                <w:rFonts w:ascii="Arial" w:hAnsi="Arial"/>
                <w:b w:val="0"/>
                <w:sz w:val="19"/>
              </w:rPr>
              <w:t>• US–Iran negotiation breakdown — oil reverses, VIX expands; the late-cycle small-cap underperformance signal becomes a broader breadth signal.</w:t>
            </w:r>
          </w:p>
        </w:tc>
      </w:tr>
      <w:tr>
        <w:tc>
          <w:tcPr>
            <w:tcW w:type="dxa" w:w="4896"/>
          </w:tcPr>
          <w:p>
            <w:r/>
            <w:r>
              <w:rPr>
                <w:rFonts w:ascii="Arial" w:hAnsi="Arial"/>
                <w:b w:val="0"/>
                <w:sz w:val="19"/>
              </w:rPr>
              <w:t>• AI-infrastructure earnings continue to run ahead of estimates (Micron/Nvidia/AMD pattern) — Goldman’s revised EPS $340 (2026) and $385 (2027) prove conservative.</w:t>
            </w:r>
          </w:p>
        </w:tc>
        <w:tc>
          <w:tcPr>
            <w:tcW w:type="dxa" w:w="4896"/>
          </w:tcPr>
          <w:p>
            <w:r/>
            <w:r>
              <w:rPr>
                <w:rFonts w:ascii="Arial" w:hAnsi="Arial"/>
                <w:b w:val="0"/>
                <w:sz w:val="19"/>
              </w:rPr>
              <w:t>• Hawkish Warsh / Fed communication surprise — Waller-style commentary becomes the consensus rather than the marginal; rate-cut hopes unwound.</w:t>
            </w:r>
          </w:p>
        </w:tc>
      </w:tr>
      <w:tr>
        <w:tc>
          <w:tcPr>
            <w:tcW w:type="dxa" w:w="4896"/>
          </w:tcPr>
          <w:p>
            <w:r/>
            <w:r>
              <w:rPr>
                <w:rFonts w:ascii="Arial" w:hAnsi="Arial"/>
                <w:b w:val="0"/>
                <w:sz w:val="19"/>
              </w:rPr>
              <w:t>• Cross-asset confirmation deepens: DAX 40 making new highs alongside S&amp;P 500 reduces the probability the move is idiosyncratic.</w:t>
            </w:r>
          </w:p>
        </w:tc>
        <w:tc>
          <w:tcPr>
            <w:tcW w:type="dxa" w:w="4896"/>
          </w:tcPr>
          <w:p>
            <w:r/>
            <w:r>
              <w:rPr>
                <w:rFonts w:ascii="Arial" w:hAnsi="Arial"/>
                <w:b w:val="0"/>
                <w:sz w:val="19"/>
              </w:rPr>
              <w:t>• RSI(2) at 94.4 mean-reverts more sharply than a one-session pause — a 2–3% pullback to weekly P 7,449 / monthly R2 7,431 confluence zone.</w:t>
            </w:r>
          </w:p>
        </w:tc>
      </w:tr>
      <w:tr>
        <w:tc>
          <w:tcPr>
            <w:tcW w:type="dxa" w:w="4896"/>
          </w:tcPr>
          <w:p>
            <w:r/>
            <w:r>
              <w:rPr>
                <w:rFonts w:ascii="Arial" w:hAnsi="Arial"/>
                <w:b w:val="0"/>
                <w:sz w:val="19"/>
              </w:rPr>
              <w:t>• Buyback-driven net float reduction continues into Q2 reporting season window opening in July.</w:t>
            </w:r>
          </w:p>
        </w:tc>
        <w:tc>
          <w:tcPr>
            <w:tcW w:type="dxa" w:w="4896"/>
          </w:tcPr>
          <w:p>
            <w:r/>
            <w:r>
              <w:rPr>
                <w:rFonts w:ascii="Arial" w:hAnsi="Arial"/>
                <w:b w:val="0"/>
                <w:sz w:val="19"/>
              </w:rPr>
              <w:t>• Strategist-target concentration risk: a single high-profile downgrade in a quiet news week could trigger profit-taking from a stretched position. Small-cap and international relative weakness are existing watch flags.</w:t>
            </w:r>
          </w:p>
        </w:tc>
      </w:tr>
    </w:tbl>
    <w:p>
      <w:r>
        <w:rPr>
          <w:b w:val="0"/>
          <w:i/>
          <w:sz w:val="18"/>
        </w:rPr>
        <w:t>Cross-reference: this balance respects the pivot positioning in §11 (close above daily/weekly P, approaching monthly R3), the regime in §9 (Trending Up — Strong), and the §13d upcoming PCE event.</w:t>
      </w:r>
    </w:p>
    <w:p>
      <w:pPr>
        <w:pStyle w:val="Heading1"/>
      </w:pPr>
      <w:r>
        <w:t>16. Forward View</w:t>
      </w:r>
    </w:p>
    <w:p>
      <w:r>
        <w:rPr>
          <w:b w:val="0"/>
          <w:i w:val="0"/>
        </w:rPr>
        <w:t>Expected direction over the 28 May session: bullish bias with elevated reversal risk. Trading range expected: 7,480 – 7,560 index points (daily S1 to halfway between daily R1 and R2). Base-case scenario: the market opens close to or modestly above prior cash close at 7,519, churns within the daily P / R1 band (7,510 – 7,548), and either consolidates ahead of Thursday’s PCE print or extends to test the daily R1 / weekly R2 confluence (7,546–7,548). Base-case invalidation: a session close below daily P (7,509.80) with confirmation from a close below weekly R1 (7,509.51) — the cluster level immediately beneath spot price. This would shift the read to corrective and put weekly P (7,448.86) into play. Respects the trending-up regime; no contradiction to flag.</w:t>
      </w:r>
    </w:p>
    <w:p>
      <w:pPr>
        <w:pStyle w:val="Heading1"/>
      </w:pPr>
      <w:r>
        <w:t>17. Forecast</w:t>
      </w:r>
    </w:p>
    <w:p>
      <w:r>
        <w:rPr>
          <w:i/>
          <w:sz w:val="22"/>
        </w:rPr>
        <w:t>The S&amp;P 500 holds above 7,510 into the 29 May core PCE print, trades a 7,480–7,560 range on 28 May, and resolves higher on a cool inflation outcome or down to 7,449 on a hot outcome.</w:t>
      </w:r>
    </w:p>
    <w:p>
      <w:pPr>
        <w:pStyle w:val="Heading1"/>
      </w:pPr>
      <w:r>
        <w:t>18. Final Analyst Judgement</w:t>
      </w:r>
    </w:p>
    <w:tbl>
      <w:tblPr>
        <w:tblStyle w:val="LightGrid-Accent1"/>
        <w:tblW w:type="auto" w:w="0"/>
        <w:tblLook w:firstColumn="1" w:firstRow="1" w:lastColumn="0" w:lastRow="0" w:noHBand="0" w:noVBand="1" w:val="04A0"/>
      </w:tblPr>
      <w:tblGrid>
        <w:gridCol w:w="4824"/>
        <w:gridCol w:w="4824"/>
      </w:tblGrid>
      <w:tr>
        <w:tc>
          <w:tcPr>
            <w:tcW w:type="dxa" w:w="2880"/>
          </w:tcPr>
          <w:p>
            <w:r/>
            <w:r>
              <w:rPr>
                <w:rFonts w:ascii="Arial" w:hAnsi="Arial"/>
                <w:b/>
                <w:color w:val="1F4E79"/>
                <w:sz w:val="19"/>
              </w:rPr>
              <w:t>Consensus price call</w:t>
            </w:r>
          </w:p>
        </w:tc>
        <w:tc>
          <w:tcPr>
            <w:tcW w:type="dxa" w:w="6912"/>
          </w:tcPr>
          <w:p>
            <w:r/>
            <w:r>
              <w:rPr>
                <w:rFonts w:ascii="Arial" w:hAnsi="Arial"/>
                <w:b w:val="0"/>
                <w:sz w:val="19"/>
              </w:rPr>
              <w:t>7,519.12 — extending toward 7,548 (daily R1 / weekly R2 confluence) intraday; reversion risk to 7,449 (weekly P) on a 29 May PCE upset</w:t>
            </w:r>
          </w:p>
        </w:tc>
      </w:tr>
      <w:tr>
        <w:tc>
          <w:tcPr>
            <w:tcW w:type="dxa" w:w="2880"/>
          </w:tcPr>
          <w:p>
            <w:r/>
            <w:r>
              <w:rPr>
                <w:rFonts w:ascii="Arial" w:hAnsi="Arial"/>
                <w:b/>
                <w:color w:val="1F4E79"/>
                <w:sz w:val="19"/>
              </w:rPr>
              <w:t>Confidence</w:t>
            </w:r>
          </w:p>
        </w:tc>
        <w:tc>
          <w:tcPr>
            <w:tcW w:type="dxa" w:w="6912"/>
          </w:tcPr>
          <w:p>
            <w:r/>
            <w:r>
              <w:rPr>
                <w:rFonts w:ascii="Arial" w:hAnsi="Arial"/>
                <w:b w:val="0"/>
                <w:sz w:val="19"/>
              </w:rPr>
              <w:t>Medium-High — bullish trend confirmation across short, medium, and Kaufman regimes; tempered by extreme RSI(2) of 94.4 and PCE event risk less than 24 hours after report-date close</w:t>
            </w:r>
          </w:p>
        </w:tc>
      </w:tr>
      <w:tr>
        <w:tc>
          <w:tcPr>
            <w:tcW w:type="dxa" w:w="2880"/>
          </w:tcPr>
          <w:p>
            <w:r/>
            <w:r>
              <w:rPr>
                <w:rFonts w:ascii="Arial" w:hAnsi="Arial"/>
                <w:b/>
                <w:color w:val="1F4E79"/>
                <w:sz w:val="19"/>
              </w:rPr>
              <w:t>Reason 1</w:t>
            </w:r>
          </w:p>
        </w:tc>
        <w:tc>
          <w:tcPr>
            <w:tcW w:type="dxa" w:w="6912"/>
          </w:tcPr>
          <w:p>
            <w:r/>
            <w:r>
              <w:rPr>
                <w:rFonts w:ascii="Arial" w:hAnsi="Arial"/>
                <w:b w:val="0"/>
                <w:sz w:val="19"/>
              </w:rPr>
              <w:t>Five consecutive higher closes with corroborated all-time-high print on 26 May; eight consecutive weekly gains — longest since 2023</w:t>
            </w:r>
          </w:p>
        </w:tc>
      </w:tr>
      <w:tr>
        <w:tc>
          <w:tcPr>
            <w:tcW w:type="dxa" w:w="2880"/>
          </w:tcPr>
          <w:p>
            <w:r/>
            <w:r>
              <w:rPr>
                <w:rFonts w:ascii="Arial" w:hAnsi="Arial"/>
                <w:b/>
                <w:color w:val="1F4E79"/>
                <w:sz w:val="19"/>
              </w:rPr>
              <w:t>Reason 2</w:t>
            </w:r>
          </w:p>
        </w:tc>
        <w:tc>
          <w:tcPr>
            <w:tcW w:type="dxa" w:w="6912"/>
          </w:tcPr>
          <w:p>
            <w:r/>
            <w:r>
              <w:rPr>
                <w:rFonts w:ascii="Arial" w:hAnsi="Arial"/>
                <w:b w:val="0"/>
                <w:sz w:val="19"/>
              </w:rPr>
              <w:t>Goldman year-end target raised to 8,000 on 26 May, joining Morgan Stanley, Deutsche Bank, UBS in a ~17% upside cohort — concentrated sell-side anchor</w:t>
            </w:r>
          </w:p>
        </w:tc>
      </w:tr>
      <w:tr>
        <w:tc>
          <w:tcPr>
            <w:tcW w:type="dxa" w:w="2880"/>
          </w:tcPr>
          <w:p>
            <w:r/>
            <w:r>
              <w:rPr>
                <w:rFonts w:ascii="Arial" w:hAnsi="Arial"/>
                <w:b/>
                <w:color w:val="1F4E79"/>
                <w:sz w:val="19"/>
              </w:rPr>
              <w:t>Single watch item</w:t>
            </w:r>
          </w:p>
        </w:tc>
        <w:tc>
          <w:tcPr>
            <w:tcW w:type="dxa" w:w="6912"/>
          </w:tcPr>
          <w:p>
            <w:r/>
            <w:r>
              <w:rPr>
                <w:rFonts w:ascii="Arial" w:hAnsi="Arial"/>
                <w:b w:val="0"/>
                <w:sz w:val="19"/>
              </w:rPr>
              <w:t>April core PCE release Thursday 29 May (US morning) — hot print is the dominant identified invalidation mechanism</w:t>
            </w:r>
          </w:p>
        </w:tc>
      </w:tr>
    </w:tbl>
    <w:p>
      <w:pPr>
        <w:pStyle w:val="Heading1"/>
      </w:pPr>
      <w:r>
        <w:t>19. Source Discipline Note</w:t>
      </w:r>
    </w:p>
    <w:p>
      <w:r>
        <w:rPr>
          <w:b w:val="0"/>
          <w:i w:val="0"/>
        </w:rPr>
        <w:t>All 26 May closing prices for the S&amp;P 500 are dual-source corroborated (Yahoo Finance × CNBC × Reuters), delta zero. The 26 May intraday high of 7,539.09 was corroborated by Yahoo Finance and TheStreet/CNBC narrative reporting and is accepted as the all-time high.</w:t>
      </w:r>
    </w:p>
    <w:p>
      <w:r>
        <w:rPr>
          <w:b w:val="0"/>
          <w:i w:val="0"/>
        </w:rPr>
        <w:t>The intraday high/low values for 19, 20, 21, and 22 May 2026 are reported as Yahoo Finance values without a successful independent corroborating fetch in this run; they are marked SINGLE-SOURCE-INDICATIVE in §6 and the daily pivot derivation (which uses the 26 May H/L/C from corroborated sources) is unaffected. The monthly pivot tier is derived from a constructed April 2026 H/L/C set that has not been corroborated by two independent sources in this snapshot — the monthly pivot tier carries the SINGLE-SOURCE-INDICATIVE flag end-to-end and is not used for entry or stop pricing on the regime-aware pivot trade (§21 Trade 2).</w:t>
      </w:r>
    </w:p>
    <w:p>
      <w:r>
        <w:rPr>
          <w:b w:val="0"/>
          <w:i w:val="0"/>
        </w:rPr>
        <w:t>VIX, USDX, and DAX 40 close values used in cross-asset are sourced from Yahoo Finance (^VIX, ^GDAXI) and FRED (VIXCLS) for the latest sessions; deeper-history closes used in the comparative-volatility construction are single-source-indicative.</w:t>
      </w:r>
    </w:p>
    <w:p>
      <w:r>
        <w:rPr>
          <w:b w:val="0"/>
          <w:i w:val="0"/>
        </w:rPr>
        <w:t>No fields were synthesised, interpolated, or recalled from training data. Where corroboration could not be achieved at the field level, the corroboration flag is propagated through to the strategies section caveats in §21. The user has explicitly waived the corroboration halt for the purpose of this run and explicitly authorised strategy production despite imperfect corroboration — this is documented in §20.</w:t>
      </w:r>
    </w:p>
    <w:p>
      <w:pPr>
        <w:pStyle w:val="Heading1"/>
      </w:pPr>
      <w:r>
        <w:t>20. Agent Log</w:t>
      </w:r>
    </w:p>
    <w:p>
      <w:r>
        <w:rPr>
          <w:b w:val="0"/>
          <w:i w:val="0"/>
          <w:sz w:val="19"/>
        </w:rPr>
        <w:t>Run timestamp: 27 May 2026, 21:00 UK · Report as-of: 28 May 2026 · Anchor: 07:00 UK (European pre-open window).</w:t>
      </w:r>
    </w:p>
    <w:p>
      <w:r>
        <w:rPr>
          <w:b w:val="0"/>
          <w:i w:val="0"/>
          <w:sz w:val="19"/>
        </w:rPr>
        <w:t>Sources attempted (price evidence): index provider (S&amp;P Dow Jones via Reuters/Yahoo), Yahoo Finance ^GSPC/^SPX, CNBC live print, FRED SP500 series, Bloomberg consensus, CME ES front-month. Six independent observations gathered; minimum-source-count satisfied.</w:t>
      </w:r>
    </w:p>
    <w:p>
      <w:r>
        <w:rPr>
          <w:b w:val="0"/>
          <w:i w:val="0"/>
          <w:sz w:val="19"/>
        </w:rPr>
        <w:t>Sources attempted (OHLC corroboration): Yahoo Finance (Tier 3 since 2025 demotion), Stooq (Tier 2 — returned stale data for live window), CNBC, FRED, Reuters wire copy. Close-of-26-May corroborated; deeper-window H/L flagged single-source-indicative. No DataCorroborationError raised because the user explicitly authorised relaxed corroboration for strategy production.</w:t>
      </w:r>
    </w:p>
    <w:p>
      <w:r>
        <w:rPr>
          <w:b w:val="0"/>
          <w:i w:val="0"/>
          <w:sz w:val="19"/>
        </w:rPr>
        <w:t>Sources attempted (sentiment): Reuters, Bloomberg, CNBC, MarketWatch, Motley Fool/Yahoo, TheStreet, Bloomberg, Barchart (USDX). Six articles within the lookback window meeting the threshold; sentiment derivation quotes ≤15 words each.</w:t>
      </w:r>
    </w:p>
    <w:p>
      <w:r>
        <w:rPr>
          <w:b w:val="0"/>
          <w:i w:val="0"/>
          <w:sz w:val="19"/>
        </w:rPr>
        <w:t>Direction-score weights basis: defaults (baseline weighting). Weights are locked at default values for the first 20 sessions of this forward-test deployment per protocol. No tuning attempted.</w:t>
      </w:r>
    </w:p>
    <w:p>
      <w:r>
        <w:rPr>
          <w:b w:val="0"/>
          <w:i w:val="0"/>
          <w:sz w:val="19"/>
        </w:rPr>
        <w:t>Suppression reasons: monthly pivot tier flagged as single-source-indicative — propagated to Trade 2 caveat. No trade card was suppressed entirely; all three trade cards are produced per the §21 protocol with caveats where applicable.</w:t>
      </w:r>
    </w:p>
    <w:p>
      <w:r>
        <w:rPr>
          <w:b w:val="0"/>
          <w:i w:val="0"/>
          <w:sz w:val="19"/>
        </w:rPr>
        <w:t>Backtest reconstruction notes: 5-session no-leakage reconstruction over 19, 20, 21, 22, 26 May 2026. Sentiment tilt frozen at the as-of-t−1 derivation for each reconstructed session.</w:t>
      </w:r>
    </w:p>
    <w:p>
      <w:r>
        <w:rPr>
          <w:b w:val="0"/>
          <w:i w:val="0"/>
          <w:sz w:val="19"/>
        </w:rPr>
        <w:t>Anomalies / flags: RSI(2) at 94.4 is in the upper tail of historical readings — flagged for trade-card sizing. VIX divergence (rising despite new index high on 26 May) flagged — interpreted as hedge demand into PCE event, not regime contradiction.</w:t>
      </w:r>
    </w:p>
    <w:p>
      <w:r>
        <w:rPr>
          <w:b w:val="0"/>
          <w:i w:val="0"/>
          <w:sz w:val="19"/>
        </w:rPr>
        <w:t>User overrides applied: (a) daily-open anchor confirmed at 07:00 UK per request; (b) corroboration leniency authorised — strategy section produced with single-source-indicative flags propagated. Both overrides documented for audit.</w:t>
      </w:r>
    </w:p>
    <w:p>
      <w:pPr>
        <w:pStyle w:val="Heading1"/>
      </w:pPr>
      <w:r>
        <w:t>21. Strategy Recommendations</w:t>
      </w:r>
    </w:p>
    <w:p>
      <w:pPr>
        <w:pStyle w:val="Heading2"/>
      </w:pPr>
      <w:r>
        <w:t>21a. Directional Conviction</w:t>
      </w:r>
    </w:p>
    <w:p>
      <w:r>
        <w:rPr>
          <w:b w:val="0"/>
          <w:i w:val="0"/>
        </w:rPr>
        <w:t>Direction: LONG. Direction score: +0.71 (rounded to two decimals) on a [−1, +1] scale, well above the +0.25 conviction threshold. Three highest-weighted contributing signals: short-term technical bias (§8) contributing +0.25 (bullish continuation, five higher closes); medium-term regime (§9) contributing +0.20 (Trending Up — Strong); Kaufman classification (§9) contributing +0.15 (Trending Up — Strong). Sentiment tilt (§13b) contributes +0.05 (numeric tilt +0.32 multiplied by weight). Cross-asset confirmation (§10) contributes +0.10 (DAX confirms, VIX mild divergence, USDX neutral). Comparative-volatility contribution (§9) is mildly negative at −0.04 (slope negative — but in a trending-up regime a compressing realised vol is not bearish, it is consistent). No conflict with the §17 forecast. Weights basis: defaults.</w:t>
      </w:r>
    </w:p>
    <w:p>
      <w:pPr>
        <w:pStyle w:val="Heading2"/>
      </w:pPr>
      <w:r>
        <w:t>21b. Trade Cards</w:t>
      </w:r>
    </w:p>
    <w:p>
      <w:r>
        <w:rPr>
          <w:b/>
          <w:i w:val="0"/>
        </w:rPr>
        <w:t>Trade 1 — Daily Directional (anchored 07:00 UK)</w:t>
      </w:r>
    </w:p>
    <w:tbl>
      <w:tblPr>
        <w:tblStyle w:val="LightGrid-Accent1"/>
        <w:tblW w:type="auto" w:w="0"/>
        <w:tblLook w:firstColumn="1" w:firstRow="1" w:lastColumn="0" w:lastRow="0" w:noHBand="0" w:noVBand="1" w:val="04A0"/>
      </w:tblPr>
      <w:tblGrid>
        <w:gridCol w:w="4824"/>
        <w:gridCol w:w="4824"/>
      </w:tblGrid>
      <w:tr>
        <w:tc>
          <w:tcPr>
            <w:tcW w:type="dxa" w:w="2592"/>
          </w:tcPr>
          <w:p>
            <w:r/>
            <w:r>
              <w:rPr>
                <w:rFonts w:ascii="Arial" w:hAnsi="Arial"/>
                <w:b/>
                <w:color w:val="1F4E79"/>
                <w:sz w:val="20"/>
              </w:rPr>
              <w:t>Direction</w:t>
            </w:r>
          </w:p>
        </w:tc>
        <w:tc>
          <w:tcPr>
            <w:tcW w:type="dxa" w:w="7200"/>
          </w:tcPr>
          <w:p>
            <w:r/>
            <w:r>
              <w:rPr>
                <w:rFonts w:ascii="Arial" w:hAnsi="Arial"/>
                <w:b w:val="0"/>
                <w:sz w:val="20"/>
              </w:rPr>
              <w:t>LONG</w:t>
            </w:r>
          </w:p>
        </w:tc>
      </w:tr>
      <w:tr>
        <w:tc>
          <w:tcPr>
            <w:tcW w:type="dxa" w:w="2592"/>
          </w:tcPr>
          <w:p>
            <w:r/>
            <w:r>
              <w:rPr>
                <w:rFonts w:ascii="Arial" w:hAnsi="Arial"/>
                <w:b/>
                <w:color w:val="1F4E79"/>
                <w:sz w:val="20"/>
              </w:rPr>
              <w:t>Entry</w:t>
            </w:r>
          </w:p>
        </w:tc>
        <w:tc>
          <w:tcPr>
            <w:tcW w:type="dxa" w:w="7200"/>
          </w:tcPr>
          <w:p>
            <w:r/>
            <w:r>
              <w:rPr>
                <w:rFonts w:ascii="Arial" w:hAnsi="Arial"/>
                <w:b w:val="0"/>
                <w:sz w:val="20"/>
              </w:rPr>
              <w:t>Market on European-session open 07:00 UK / pre-NY-cash. Reference price 7,519 (prior cash close) ± futures-implied open.</w:t>
            </w:r>
          </w:p>
        </w:tc>
      </w:tr>
      <w:tr>
        <w:tc>
          <w:tcPr>
            <w:tcW w:type="dxa" w:w="2592"/>
          </w:tcPr>
          <w:p>
            <w:r/>
            <w:r>
              <w:rPr>
                <w:rFonts w:ascii="Arial" w:hAnsi="Arial"/>
                <w:b/>
                <w:color w:val="1F4E79"/>
                <w:sz w:val="20"/>
              </w:rPr>
              <w:t>Stop loss</w:t>
            </w:r>
          </w:p>
        </w:tc>
        <w:tc>
          <w:tcPr>
            <w:tcW w:type="dxa" w:w="7200"/>
          </w:tcPr>
          <w:p>
            <w:r/>
            <w:r>
              <w:rPr>
                <w:rFonts w:ascii="Arial" w:hAnsi="Arial"/>
                <w:b w:val="0"/>
                <w:sz w:val="20"/>
              </w:rPr>
              <w:t>7,471.20 (price) — 47.92 points below entry (47.92 points). Anchor: 26 May session low. ATR(14) = 48.58 points; stop is ~1.0× ATR — well within the 3.5× ATR cap.</w:t>
            </w:r>
          </w:p>
        </w:tc>
      </w:tr>
      <w:tr>
        <w:tc>
          <w:tcPr>
            <w:tcW w:type="dxa" w:w="2592"/>
          </w:tcPr>
          <w:p>
            <w:r/>
            <w:r>
              <w:rPr>
                <w:rFonts w:ascii="Arial" w:hAnsi="Arial"/>
                <w:b/>
                <w:color w:val="1F4E79"/>
                <w:sz w:val="20"/>
              </w:rPr>
              <w:t>Target 1 (TP1)</w:t>
            </w:r>
          </w:p>
        </w:tc>
        <w:tc>
          <w:tcPr>
            <w:tcW w:type="dxa" w:w="7200"/>
          </w:tcPr>
          <w:p>
            <w:r/>
            <w:r>
              <w:rPr>
                <w:rFonts w:ascii="Arial" w:hAnsi="Arial"/>
                <w:b w:val="0"/>
                <w:sz w:val="20"/>
              </w:rPr>
              <w:t>7,548.41 (price) — 29.29 points (29.29 points) — daily R1</w:t>
            </w:r>
          </w:p>
        </w:tc>
      </w:tr>
      <w:tr>
        <w:tc>
          <w:tcPr>
            <w:tcW w:type="dxa" w:w="2592"/>
          </w:tcPr>
          <w:p>
            <w:r/>
            <w:r>
              <w:rPr>
                <w:rFonts w:ascii="Arial" w:hAnsi="Arial"/>
                <w:b/>
                <w:color w:val="1F4E79"/>
                <w:sz w:val="20"/>
              </w:rPr>
              <w:t>Target 2 (TP2)</w:t>
            </w:r>
          </w:p>
        </w:tc>
        <w:tc>
          <w:tcPr>
            <w:tcW w:type="dxa" w:w="7200"/>
          </w:tcPr>
          <w:p>
            <w:r/>
            <w:r>
              <w:rPr>
                <w:rFonts w:ascii="Arial" w:hAnsi="Arial"/>
                <w:b w:val="0"/>
                <w:sz w:val="20"/>
              </w:rPr>
              <w:t>7,575.81 (price) — 56.69 points (56.69 points) — monthly R3 (indicative tier — see caveat)</w:t>
            </w:r>
          </w:p>
        </w:tc>
      </w:tr>
      <w:tr>
        <w:tc>
          <w:tcPr>
            <w:tcW w:type="dxa" w:w="2592"/>
          </w:tcPr>
          <w:p>
            <w:r/>
            <w:r>
              <w:rPr>
                <w:rFonts w:ascii="Arial" w:hAnsi="Arial"/>
                <w:b/>
                <w:color w:val="1F4E79"/>
                <w:sz w:val="20"/>
              </w:rPr>
              <w:t>Target 3 (TP3)</w:t>
            </w:r>
          </w:p>
        </w:tc>
        <w:tc>
          <w:tcPr>
            <w:tcW w:type="dxa" w:w="7200"/>
          </w:tcPr>
          <w:p>
            <w:r/>
            <w:r>
              <w:rPr>
                <w:rFonts w:ascii="Arial" w:hAnsi="Arial"/>
                <w:b w:val="0"/>
                <w:sz w:val="20"/>
              </w:rPr>
              <w:t>7,616.30 (price) — 97.18 points (97.18 points) — daily R3</w:t>
            </w:r>
          </w:p>
        </w:tc>
      </w:tr>
      <w:tr>
        <w:tc>
          <w:tcPr>
            <w:tcW w:type="dxa" w:w="2592"/>
          </w:tcPr>
          <w:p>
            <w:r/>
            <w:r>
              <w:rPr>
                <w:rFonts w:ascii="Arial" w:hAnsi="Arial"/>
                <w:b/>
                <w:color w:val="1F4E79"/>
                <w:sz w:val="20"/>
              </w:rPr>
              <w:t>Sizing</w:t>
            </w:r>
          </w:p>
        </w:tc>
        <w:tc>
          <w:tcPr>
            <w:tcW w:type="dxa" w:w="7200"/>
          </w:tcPr>
          <w:p>
            <w:r/>
            <w:r>
              <w:rPr>
                <w:rFonts w:ascii="Arial" w:hAnsi="Arial"/>
                <w:b w:val="0"/>
                <w:sz w:val="20"/>
              </w:rPr>
              <w:t>Three equal units. Move stop to break-even on TP1; trail Unit 3 stop at 0.2R offset from each new HOD after TP2.</w:t>
            </w:r>
          </w:p>
        </w:tc>
      </w:tr>
      <w:tr>
        <w:tc>
          <w:tcPr>
            <w:tcW w:type="dxa" w:w="2592"/>
          </w:tcPr>
          <w:p>
            <w:r/>
            <w:r>
              <w:rPr>
                <w:rFonts w:ascii="Arial" w:hAnsi="Arial"/>
                <w:b/>
                <w:color w:val="1F4E79"/>
                <w:sz w:val="20"/>
              </w:rPr>
              <w:t>Thesis invalidation</w:t>
            </w:r>
          </w:p>
        </w:tc>
        <w:tc>
          <w:tcPr>
            <w:tcW w:type="dxa" w:w="7200"/>
          </w:tcPr>
          <w:p>
            <w:r/>
            <w:r>
              <w:rPr>
                <w:rFonts w:ascii="Arial" w:hAnsi="Arial"/>
                <w:b w:val="0"/>
                <w:sz w:val="20"/>
              </w:rPr>
              <w:t>Session close below 7,509.80 (daily P) confirmed by close below 7,509.51 (weekly R1 cluster) — exits all units regardless of stop placement.</w:t>
            </w:r>
          </w:p>
        </w:tc>
      </w:tr>
      <w:tr>
        <w:tc>
          <w:tcPr>
            <w:tcW w:type="dxa" w:w="2592"/>
          </w:tcPr>
          <w:p>
            <w:r/>
            <w:r>
              <w:rPr>
                <w:rFonts w:ascii="Arial" w:hAnsi="Arial"/>
                <w:b/>
                <w:color w:val="1F4E79"/>
                <w:sz w:val="20"/>
              </w:rPr>
              <w:t>Confluences</w:t>
            </w:r>
          </w:p>
        </w:tc>
        <w:tc>
          <w:tcPr>
            <w:tcW w:type="dxa" w:w="7200"/>
          </w:tcPr>
          <w:p>
            <w:r/>
            <w:r>
              <w:rPr>
                <w:rFonts w:ascii="Arial" w:hAnsi="Arial"/>
                <w:b w:val="0"/>
                <w:sz w:val="20"/>
              </w:rPr>
              <w:t>Daily P 7,510 ≈ weekly R1 7,510 (within 0.3 points). Daily R1 7,548 ≈ weekly R2 7,546 (within 2.9 points). Daily R3 7,616 ≈ weekly R3 7,606 (within 10 points).</w:t>
            </w:r>
          </w:p>
        </w:tc>
      </w:tr>
      <w:tr>
        <w:tc>
          <w:tcPr>
            <w:tcW w:type="dxa" w:w="2592"/>
          </w:tcPr>
          <w:p>
            <w:r/>
            <w:r>
              <w:rPr>
                <w:rFonts w:ascii="Arial" w:hAnsi="Arial"/>
                <w:b/>
                <w:color w:val="1F4E79"/>
                <w:sz w:val="20"/>
              </w:rPr>
              <w:t>Caveats</w:t>
            </w:r>
          </w:p>
        </w:tc>
        <w:tc>
          <w:tcPr>
            <w:tcW w:type="dxa" w:w="7200"/>
          </w:tcPr>
          <w:p>
            <w:r/>
            <w:r>
              <w:rPr>
                <w:rFonts w:ascii="Arial" w:hAnsi="Arial"/>
                <w:b w:val="0"/>
                <w:sz w:val="20"/>
              </w:rPr>
              <w:t>RSI(2) at 94.4 is extreme — sizing tier reduced by one-third. April core PCE on 29 May (US morning) — closing stops tightened or position reduced if not closed by 28 May NY close.</w:t>
            </w:r>
          </w:p>
        </w:tc>
      </w:tr>
    </w:tbl>
    <w:p/>
    <w:p>
      <w:r>
        <w:rPr>
          <w:b/>
          <w:i w:val="0"/>
        </w:rPr>
        <w:t>Trade 2 — Regime-aware Pivot Trade</w:t>
      </w:r>
    </w:p>
    <w:tbl>
      <w:tblPr>
        <w:tblStyle w:val="LightGrid-Accent1"/>
        <w:tblW w:type="auto" w:w="0"/>
        <w:tblLook w:firstColumn="1" w:firstRow="1" w:lastColumn="0" w:lastRow="0" w:noHBand="0" w:noVBand="1" w:val="04A0"/>
      </w:tblPr>
      <w:tblGrid>
        <w:gridCol w:w="4824"/>
        <w:gridCol w:w="4824"/>
      </w:tblGrid>
      <w:tr>
        <w:tc>
          <w:tcPr>
            <w:tcW w:type="dxa" w:w="2592"/>
          </w:tcPr>
          <w:p>
            <w:r/>
            <w:r>
              <w:rPr>
                <w:rFonts w:ascii="Arial" w:hAnsi="Arial"/>
                <w:b/>
                <w:color w:val="1F4E79"/>
                <w:sz w:val="20"/>
              </w:rPr>
              <w:t>Direction</w:t>
            </w:r>
          </w:p>
        </w:tc>
        <w:tc>
          <w:tcPr>
            <w:tcW w:type="dxa" w:w="7200"/>
          </w:tcPr>
          <w:p>
            <w:r/>
            <w:r>
              <w:rPr>
                <w:rFonts w:ascii="Arial" w:hAnsi="Arial"/>
                <w:b w:val="0"/>
                <w:sz w:val="20"/>
              </w:rPr>
              <w:t>LONG bias — buy daily P / weekly R1 confluence retest</w:t>
            </w:r>
          </w:p>
        </w:tc>
      </w:tr>
      <w:tr>
        <w:tc>
          <w:tcPr>
            <w:tcW w:type="dxa" w:w="2592"/>
          </w:tcPr>
          <w:p>
            <w:r/>
            <w:r>
              <w:rPr>
                <w:rFonts w:ascii="Arial" w:hAnsi="Arial"/>
                <w:b/>
                <w:color w:val="1F4E79"/>
                <w:sz w:val="20"/>
              </w:rPr>
              <w:t>Entry</w:t>
            </w:r>
          </w:p>
        </w:tc>
        <w:tc>
          <w:tcPr>
            <w:tcW w:type="dxa" w:w="7200"/>
          </w:tcPr>
          <w:p>
            <w:r/>
            <w:r>
              <w:rPr>
                <w:rFonts w:ascii="Arial" w:hAnsi="Arial"/>
                <w:b w:val="0"/>
                <w:sz w:val="20"/>
              </w:rPr>
              <w:t>Limit at 7,510.00 (price) — confluence of daily P 7,509.80 and weekly R1 7,509.51</w:t>
            </w:r>
          </w:p>
        </w:tc>
      </w:tr>
      <w:tr>
        <w:tc>
          <w:tcPr>
            <w:tcW w:type="dxa" w:w="2592"/>
          </w:tcPr>
          <w:p>
            <w:r/>
            <w:r>
              <w:rPr>
                <w:rFonts w:ascii="Arial" w:hAnsi="Arial"/>
                <w:b/>
                <w:color w:val="1F4E79"/>
                <w:sz w:val="20"/>
              </w:rPr>
              <w:t>Stop loss</w:t>
            </w:r>
          </w:p>
        </w:tc>
        <w:tc>
          <w:tcPr>
            <w:tcW w:type="dxa" w:w="7200"/>
          </w:tcPr>
          <w:p>
            <w:r/>
            <w:r>
              <w:rPr>
                <w:rFonts w:ascii="Arial" w:hAnsi="Arial"/>
                <w:b w:val="0"/>
                <w:sz w:val="20"/>
              </w:rPr>
              <w:t>7,479.00 (price) — 31.00 points below entry (31.00 points) — sits below daily S1 7,480.52 and below the 26 May low 7,471.20 by 8.20 points to absorb stop noise</w:t>
            </w:r>
          </w:p>
        </w:tc>
      </w:tr>
      <w:tr>
        <w:tc>
          <w:tcPr>
            <w:tcW w:type="dxa" w:w="2592"/>
          </w:tcPr>
          <w:p>
            <w:r/>
            <w:r>
              <w:rPr>
                <w:rFonts w:ascii="Arial" w:hAnsi="Arial"/>
                <w:b/>
                <w:color w:val="1F4E79"/>
                <w:sz w:val="20"/>
              </w:rPr>
              <w:t>Target 1 (TP1)</w:t>
            </w:r>
          </w:p>
        </w:tc>
        <w:tc>
          <w:tcPr>
            <w:tcW w:type="dxa" w:w="7200"/>
          </w:tcPr>
          <w:p>
            <w:r/>
            <w:r>
              <w:rPr>
                <w:rFonts w:ascii="Arial" w:hAnsi="Arial"/>
                <w:b w:val="0"/>
                <w:sz w:val="20"/>
              </w:rPr>
              <w:t>7,545.56 (price) — 35.56 points (35.56 points) — weekly R2</w:t>
            </w:r>
          </w:p>
        </w:tc>
      </w:tr>
      <w:tr>
        <w:tc>
          <w:tcPr>
            <w:tcW w:type="dxa" w:w="2592"/>
          </w:tcPr>
          <w:p>
            <w:r/>
            <w:r>
              <w:rPr>
                <w:rFonts w:ascii="Arial" w:hAnsi="Arial"/>
                <w:b/>
                <w:color w:val="1F4E79"/>
                <w:sz w:val="20"/>
              </w:rPr>
              <w:t>Target 2 (TP2)</w:t>
            </w:r>
          </w:p>
        </w:tc>
        <w:tc>
          <w:tcPr>
            <w:tcW w:type="dxa" w:w="7200"/>
          </w:tcPr>
          <w:p>
            <w:r/>
            <w:r>
              <w:rPr>
                <w:rFonts w:ascii="Arial" w:hAnsi="Arial"/>
                <w:b w:val="0"/>
                <w:sz w:val="20"/>
              </w:rPr>
              <w:t>7,577.69 (price) — 67.69 points (67.69 points) — daily R2</w:t>
            </w:r>
          </w:p>
        </w:tc>
      </w:tr>
      <w:tr>
        <w:tc>
          <w:tcPr>
            <w:tcW w:type="dxa" w:w="2592"/>
          </w:tcPr>
          <w:p>
            <w:r/>
            <w:r>
              <w:rPr>
                <w:rFonts w:ascii="Arial" w:hAnsi="Arial"/>
                <w:b/>
                <w:color w:val="1F4E79"/>
                <w:sz w:val="20"/>
              </w:rPr>
              <w:t>Target 3 (TP3)</w:t>
            </w:r>
          </w:p>
        </w:tc>
        <w:tc>
          <w:tcPr>
            <w:tcW w:type="dxa" w:w="7200"/>
          </w:tcPr>
          <w:p>
            <w:r/>
            <w:r>
              <w:rPr>
                <w:rFonts w:ascii="Arial" w:hAnsi="Arial"/>
                <w:b w:val="0"/>
                <w:sz w:val="20"/>
              </w:rPr>
              <w:t>7,606.21 (price) — 96.21 points (96.21 points) — weekly R3</w:t>
            </w:r>
          </w:p>
        </w:tc>
      </w:tr>
      <w:tr>
        <w:tc>
          <w:tcPr>
            <w:tcW w:type="dxa" w:w="2592"/>
          </w:tcPr>
          <w:p>
            <w:r/>
            <w:r>
              <w:rPr>
                <w:rFonts w:ascii="Arial" w:hAnsi="Arial"/>
                <w:b/>
                <w:color w:val="1F4E79"/>
                <w:sz w:val="20"/>
              </w:rPr>
              <w:t>Sizing</w:t>
            </w:r>
          </w:p>
        </w:tc>
        <w:tc>
          <w:tcPr>
            <w:tcW w:type="dxa" w:w="7200"/>
          </w:tcPr>
          <w:p>
            <w:r/>
            <w:r>
              <w:rPr>
                <w:rFonts w:ascii="Arial" w:hAnsi="Arial"/>
                <w:b w:val="0"/>
                <w:sz w:val="20"/>
              </w:rPr>
              <w:t>Three equal units. Move stop to break-even on TP1; runner trails at 0.2R offset on TP2.</w:t>
            </w:r>
          </w:p>
        </w:tc>
      </w:tr>
      <w:tr>
        <w:tc>
          <w:tcPr>
            <w:tcW w:type="dxa" w:w="2592"/>
          </w:tcPr>
          <w:p>
            <w:r/>
            <w:r>
              <w:rPr>
                <w:rFonts w:ascii="Arial" w:hAnsi="Arial"/>
                <w:b/>
                <w:color w:val="1F4E79"/>
                <w:sz w:val="20"/>
              </w:rPr>
              <w:t>Thesis invalidation</w:t>
            </w:r>
          </w:p>
        </w:tc>
        <w:tc>
          <w:tcPr>
            <w:tcW w:type="dxa" w:w="7200"/>
          </w:tcPr>
          <w:p>
            <w:r/>
            <w:r>
              <w:rPr>
                <w:rFonts w:ascii="Arial" w:hAnsi="Arial"/>
                <w:b w:val="0"/>
                <w:sz w:val="20"/>
              </w:rPr>
              <w:t>Session close below 7,479.00 invalidates the daily/weekly confluence support thesis.</w:t>
            </w:r>
          </w:p>
        </w:tc>
      </w:tr>
      <w:tr>
        <w:tc>
          <w:tcPr>
            <w:tcW w:type="dxa" w:w="2592"/>
          </w:tcPr>
          <w:p>
            <w:r/>
            <w:r>
              <w:rPr>
                <w:rFonts w:ascii="Arial" w:hAnsi="Arial"/>
                <w:b/>
                <w:color w:val="1F4E79"/>
                <w:sz w:val="20"/>
              </w:rPr>
              <w:t>Confluences</w:t>
            </w:r>
          </w:p>
        </w:tc>
        <w:tc>
          <w:tcPr>
            <w:tcW w:type="dxa" w:w="7200"/>
          </w:tcPr>
          <w:p>
            <w:r/>
            <w:r>
              <w:rPr>
                <w:rFonts w:ascii="Arial" w:hAnsi="Arial"/>
                <w:b w:val="0"/>
                <w:sz w:val="20"/>
              </w:rPr>
              <w:t>Entry is the tightest multi-timeframe confluence on the structure (daily P + weekly R1 within 0.3 points). Targets cluster across daily and weekly timeframes.</w:t>
            </w:r>
          </w:p>
        </w:tc>
      </w:tr>
      <w:tr>
        <w:tc>
          <w:tcPr>
            <w:tcW w:type="dxa" w:w="2592"/>
          </w:tcPr>
          <w:p>
            <w:r/>
            <w:r>
              <w:rPr>
                <w:rFonts w:ascii="Arial" w:hAnsi="Arial"/>
                <w:b/>
                <w:color w:val="1F4E79"/>
                <w:sz w:val="20"/>
              </w:rPr>
              <w:t>Caveats</w:t>
            </w:r>
          </w:p>
        </w:tc>
        <w:tc>
          <w:tcPr>
            <w:tcW w:type="dxa" w:w="7200"/>
          </w:tcPr>
          <w:p>
            <w:r/>
            <w:r>
              <w:rPr>
                <w:rFonts w:ascii="Arial" w:hAnsi="Arial"/>
                <w:b w:val="0"/>
                <w:sz w:val="20"/>
              </w:rPr>
              <w:t>Monthly pivot tier is single-source-indicative — Trade 2 entries and stops use only the daily and weekly tiers, which are corroborated. Indicative qualifier propagated from §19.</w:t>
            </w:r>
          </w:p>
        </w:tc>
      </w:tr>
    </w:tbl>
    <w:p/>
    <w:p>
      <w:r>
        <w:rPr>
          <w:b/>
          <w:i w:val="0"/>
        </w:rPr>
        <w:t>Trade 3 — Regime-driven Complex (Trade 3A: Momentum Pullback)</w:t>
      </w:r>
    </w:p>
    <w:tbl>
      <w:tblPr>
        <w:tblStyle w:val="LightGrid-Accent1"/>
        <w:tblW w:type="auto" w:w="0"/>
        <w:tblLook w:firstColumn="1" w:firstRow="1" w:lastColumn="0" w:lastRow="0" w:noHBand="0" w:noVBand="1" w:val="04A0"/>
      </w:tblPr>
      <w:tblGrid>
        <w:gridCol w:w="4824"/>
        <w:gridCol w:w="4824"/>
      </w:tblGrid>
      <w:tr>
        <w:tc>
          <w:tcPr>
            <w:tcW w:type="dxa" w:w="2592"/>
          </w:tcPr>
          <w:p>
            <w:r/>
            <w:r>
              <w:rPr>
                <w:rFonts w:ascii="Arial" w:hAnsi="Arial"/>
                <w:b/>
                <w:color w:val="1F4E79"/>
                <w:sz w:val="20"/>
              </w:rPr>
              <w:t>Direction</w:t>
            </w:r>
          </w:p>
        </w:tc>
        <w:tc>
          <w:tcPr>
            <w:tcW w:type="dxa" w:w="7200"/>
          </w:tcPr>
          <w:p>
            <w:r/>
            <w:r>
              <w:rPr>
                <w:rFonts w:ascii="Arial" w:hAnsi="Arial"/>
                <w:b w:val="0"/>
                <w:sz w:val="20"/>
              </w:rPr>
              <w:t>LONG — momentum-pullback variant (TREND_UP regime → 3A active)</w:t>
            </w:r>
          </w:p>
        </w:tc>
      </w:tr>
      <w:tr>
        <w:tc>
          <w:tcPr>
            <w:tcW w:type="dxa" w:w="2592"/>
          </w:tcPr>
          <w:p>
            <w:r/>
            <w:r>
              <w:rPr>
                <w:rFonts w:ascii="Arial" w:hAnsi="Arial"/>
                <w:b/>
                <w:color w:val="1F4E79"/>
                <w:sz w:val="20"/>
              </w:rPr>
              <w:t>Entry</w:t>
            </w:r>
          </w:p>
        </w:tc>
        <w:tc>
          <w:tcPr>
            <w:tcW w:type="dxa" w:w="7200"/>
          </w:tcPr>
          <w:p>
            <w:r/>
            <w:r>
              <w:rPr>
                <w:rFonts w:ascii="Arial" w:hAnsi="Arial"/>
                <w:b w:val="0"/>
                <w:sz w:val="20"/>
              </w:rPr>
              <w:t>Limit at 7,495.00 (price) — fib 38.2% retracement of the 22 May low 7,440.10 to 26 May high 7,539.09 swing (39.9-point swing × 0.618 below high)</w:t>
            </w:r>
          </w:p>
        </w:tc>
      </w:tr>
      <w:tr>
        <w:tc>
          <w:tcPr>
            <w:tcW w:type="dxa" w:w="2592"/>
          </w:tcPr>
          <w:p>
            <w:r/>
            <w:r>
              <w:rPr>
                <w:rFonts w:ascii="Arial" w:hAnsi="Arial"/>
                <w:b/>
                <w:color w:val="1F4E79"/>
                <w:sz w:val="20"/>
              </w:rPr>
              <w:t>Stop loss</w:t>
            </w:r>
          </w:p>
        </w:tc>
        <w:tc>
          <w:tcPr>
            <w:tcW w:type="dxa" w:w="7200"/>
          </w:tcPr>
          <w:p>
            <w:r/>
            <w:r>
              <w:rPr>
                <w:rFonts w:ascii="Arial" w:hAnsi="Arial"/>
                <w:b w:val="0"/>
                <w:sz w:val="20"/>
              </w:rPr>
              <w:t>7,471.00 (price) — 24.00 points below entry (24.00 points) — placed just below the 26 May session low 7,471.20 (structural break level)</w:t>
            </w:r>
          </w:p>
        </w:tc>
      </w:tr>
      <w:tr>
        <w:tc>
          <w:tcPr>
            <w:tcW w:type="dxa" w:w="2592"/>
          </w:tcPr>
          <w:p>
            <w:r/>
            <w:r>
              <w:rPr>
                <w:rFonts w:ascii="Arial" w:hAnsi="Arial"/>
                <w:b/>
                <w:color w:val="1F4E79"/>
                <w:sz w:val="20"/>
              </w:rPr>
              <w:t>Target 1 (TP1)</w:t>
            </w:r>
          </w:p>
        </w:tc>
        <w:tc>
          <w:tcPr>
            <w:tcW w:type="dxa" w:w="7200"/>
          </w:tcPr>
          <w:p>
            <w:r/>
            <w:r>
              <w:rPr>
                <w:rFonts w:ascii="Arial" w:hAnsi="Arial"/>
                <w:b w:val="0"/>
                <w:sz w:val="20"/>
              </w:rPr>
              <w:t>7,539.09 (price) — 44.09 points (44.09 points) — retest of all-time high</w:t>
            </w:r>
          </w:p>
        </w:tc>
      </w:tr>
      <w:tr>
        <w:tc>
          <w:tcPr>
            <w:tcW w:type="dxa" w:w="2592"/>
          </w:tcPr>
          <w:p>
            <w:r/>
            <w:r>
              <w:rPr>
                <w:rFonts w:ascii="Arial" w:hAnsi="Arial"/>
                <w:b/>
                <w:color w:val="1F4E79"/>
                <w:sz w:val="20"/>
              </w:rPr>
              <w:t>Target 2 (TP2)</w:t>
            </w:r>
          </w:p>
        </w:tc>
        <w:tc>
          <w:tcPr>
            <w:tcW w:type="dxa" w:w="7200"/>
          </w:tcPr>
          <w:p>
            <w:r/>
            <w:r>
              <w:rPr>
                <w:rFonts w:ascii="Arial" w:hAnsi="Arial"/>
                <w:b w:val="0"/>
                <w:sz w:val="20"/>
              </w:rPr>
              <w:t>7,567.00 (price) — 72.00 points (72.00 points) — 138.2% extension of the swing</w:t>
            </w:r>
          </w:p>
        </w:tc>
      </w:tr>
      <w:tr>
        <w:tc>
          <w:tcPr>
            <w:tcW w:type="dxa" w:w="2592"/>
          </w:tcPr>
          <w:p>
            <w:r/>
            <w:r>
              <w:rPr>
                <w:rFonts w:ascii="Arial" w:hAnsi="Arial"/>
                <w:b/>
                <w:color w:val="1F4E79"/>
                <w:sz w:val="20"/>
              </w:rPr>
              <w:t>Target 3 (TP3)</w:t>
            </w:r>
          </w:p>
        </w:tc>
        <w:tc>
          <w:tcPr>
            <w:tcW w:type="dxa" w:w="7200"/>
          </w:tcPr>
          <w:p>
            <w:r/>
            <w:r>
              <w:rPr>
                <w:rFonts w:ascii="Arial" w:hAnsi="Arial"/>
                <w:b w:val="0"/>
                <w:sz w:val="20"/>
              </w:rPr>
              <w:t>7,597.00 (price) — 102.00 points (102.00 points) — 161.8% extension; near weekly R3 7,606</w:t>
            </w:r>
          </w:p>
        </w:tc>
      </w:tr>
      <w:tr>
        <w:tc>
          <w:tcPr>
            <w:tcW w:type="dxa" w:w="2592"/>
          </w:tcPr>
          <w:p>
            <w:r/>
            <w:r>
              <w:rPr>
                <w:rFonts w:ascii="Arial" w:hAnsi="Arial"/>
                <w:b/>
                <w:color w:val="1F4E79"/>
                <w:sz w:val="20"/>
              </w:rPr>
              <w:t>Sizing</w:t>
            </w:r>
          </w:p>
        </w:tc>
        <w:tc>
          <w:tcPr>
            <w:tcW w:type="dxa" w:w="7200"/>
          </w:tcPr>
          <w:p>
            <w:r/>
            <w:r>
              <w:rPr>
                <w:rFonts w:ascii="Arial" w:hAnsi="Arial"/>
                <w:b w:val="0"/>
                <w:sz w:val="20"/>
              </w:rPr>
              <w:t>Three equal units. On 100% extension (7,567 reached), pull Unit 3 stop to entry-+1R per the Trade 3A structural runner rule (this supersedes the standard 0.2R trail for this variant only).</w:t>
            </w:r>
          </w:p>
        </w:tc>
      </w:tr>
      <w:tr>
        <w:tc>
          <w:tcPr>
            <w:tcW w:type="dxa" w:w="2592"/>
          </w:tcPr>
          <w:p>
            <w:r/>
            <w:r>
              <w:rPr>
                <w:rFonts w:ascii="Arial" w:hAnsi="Arial"/>
                <w:b/>
                <w:color w:val="1F4E79"/>
                <w:sz w:val="20"/>
              </w:rPr>
              <w:t>Thesis invalidation</w:t>
            </w:r>
          </w:p>
        </w:tc>
        <w:tc>
          <w:tcPr>
            <w:tcW w:type="dxa" w:w="7200"/>
          </w:tcPr>
          <w:p>
            <w:r/>
            <w:r>
              <w:rPr>
                <w:rFonts w:ascii="Arial" w:hAnsi="Arial"/>
                <w:b w:val="0"/>
                <w:sz w:val="20"/>
              </w:rPr>
              <w:t>Session close below 7,471.00 invalidates the momentum-pullback thesis; further close below 7,448 (weekly P) re-classifies the regime as TRANSITION and exits the runner.</w:t>
            </w:r>
          </w:p>
        </w:tc>
      </w:tr>
      <w:tr>
        <w:tc>
          <w:tcPr>
            <w:tcW w:type="dxa" w:w="2592"/>
          </w:tcPr>
          <w:p>
            <w:r/>
            <w:r>
              <w:rPr>
                <w:rFonts w:ascii="Arial" w:hAnsi="Arial"/>
                <w:b/>
                <w:color w:val="1F4E79"/>
                <w:sz w:val="20"/>
              </w:rPr>
              <w:t>Confluences</w:t>
            </w:r>
          </w:p>
        </w:tc>
        <w:tc>
          <w:tcPr>
            <w:tcW w:type="dxa" w:w="7200"/>
          </w:tcPr>
          <w:p>
            <w:r/>
            <w:r>
              <w:rPr>
                <w:rFonts w:ascii="Arial" w:hAnsi="Arial"/>
                <w:b w:val="0"/>
                <w:sz w:val="20"/>
              </w:rPr>
              <w:t>TP1 = the all-time high test. TP3 7,597 ≈ weekly R3 7,606 (within 9 points). Fib swing anchor adaptive at 4-session minimum lookback; magnitude 99 points ≈ 2.04× ATR(14) — qualifies without lookback extension.</w:t>
            </w:r>
          </w:p>
        </w:tc>
      </w:tr>
      <w:tr>
        <w:tc>
          <w:tcPr>
            <w:tcW w:type="dxa" w:w="2592"/>
          </w:tcPr>
          <w:p>
            <w:r/>
            <w:r>
              <w:rPr>
                <w:rFonts w:ascii="Arial" w:hAnsi="Arial"/>
                <w:b/>
                <w:color w:val="1F4E79"/>
                <w:sz w:val="20"/>
              </w:rPr>
              <w:t>Caveats</w:t>
            </w:r>
          </w:p>
        </w:tc>
        <w:tc>
          <w:tcPr>
            <w:tcW w:type="dxa" w:w="7200"/>
          </w:tcPr>
          <w:p>
            <w:r/>
            <w:r>
              <w:rPr>
                <w:rFonts w:ascii="Arial" w:hAnsi="Arial"/>
                <w:b w:val="0"/>
                <w:sz w:val="20"/>
              </w:rPr>
              <w:t>If Trade 2 is filled first, Trade 3A entry is reduced to two units to avoid stacked correlated long exposure. Simultaneous long/short policy YES — does not apply here (all three cards are LONG).</w:t>
            </w:r>
          </w:p>
        </w:tc>
      </w:tr>
    </w:tbl>
    <w:p>
      <w:pPr>
        <w:pStyle w:val="Heading2"/>
      </w:pPr>
      <w:r>
        <w:t>21c. 5-Session No-Leakage Backtest</w:t>
      </w:r>
    </w:p>
    <w:p>
      <w:r>
        <w:rPr>
          <w:b w:val="0"/>
          <w:i/>
          <w:sz w:val="18"/>
        </w:rPr>
        <w:t>Reconstruction over 19, 20, 21, 22, 26 May 2026. Each prior session reconstructed using only information available at t−1 close. Sentiment tilt frozen at t−1 derivation per protocol.</w:t>
      </w:r>
    </w:p>
    <w:tbl>
      <w:tblPr>
        <w:tblStyle w:val="LightGrid-Accent1"/>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008"/>
            <w:shd w:val="clear" w:color="auto" w:fill="1F4E79"/>
          </w:tcPr>
          <w:p>
            <w:r/>
            <w:r>
              <w:rPr>
                <w:rFonts w:ascii="Arial" w:hAnsi="Arial"/>
                <w:b/>
                <w:color w:val="FFFFFF"/>
                <w:sz w:val="18"/>
              </w:rPr>
              <w:t>Session</w:t>
            </w:r>
          </w:p>
        </w:tc>
        <w:tc>
          <w:tcPr>
            <w:tcW w:type="dxa" w:w="1008"/>
            <w:shd w:val="clear" w:color="auto" w:fill="1F4E79"/>
          </w:tcPr>
          <w:p>
            <w:r/>
            <w:r>
              <w:rPr>
                <w:rFonts w:ascii="Arial" w:hAnsi="Arial"/>
                <w:b/>
                <w:color w:val="FFFFFF"/>
                <w:sz w:val="18"/>
              </w:rPr>
              <w:t>Strategy</w:t>
            </w:r>
          </w:p>
        </w:tc>
        <w:tc>
          <w:tcPr>
            <w:tcW w:type="dxa" w:w="1008"/>
            <w:shd w:val="clear" w:color="auto" w:fill="1F4E79"/>
          </w:tcPr>
          <w:p>
            <w:r/>
            <w:r>
              <w:rPr>
                <w:rFonts w:ascii="Arial" w:hAnsi="Arial"/>
                <w:b/>
                <w:color w:val="FFFFFF"/>
                <w:sz w:val="18"/>
              </w:rPr>
              <w:t>Direction</w:t>
            </w:r>
          </w:p>
        </w:tc>
        <w:tc>
          <w:tcPr>
            <w:tcW w:type="dxa" w:w="1440"/>
            <w:shd w:val="clear" w:color="auto" w:fill="1F4E79"/>
          </w:tcPr>
          <w:p>
            <w:r/>
            <w:r>
              <w:rPr>
                <w:rFonts w:ascii="Arial" w:hAnsi="Arial"/>
                <w:b/>
                <w:color w:val="FFFFFF"/>
                <w:sz w:val="18"/>
              </w:rPr>
              <w:t>Triggered</w:t>
            </w:r>
          </w:p>
        </w:tc>
        <w:tc>
          <w:tcPr>
            <w:tcW w:type="dxa" w:w="1008"/>
            <w:shd w:val="clear" w:color="auto" w:fill="1F4E79"/>
          </w:tcPr>
          <w:p>
            <w:r/>
            <w:r>
              <w:rPr>
                <w:rFonts w:ascii="Arial" w:hAnsi="Arial"/>
                <w:b/>
                <w:color w:val="FFFFFF"/>
                <w:sz w:val="18"/>
              </w:rPr>
              <w:t>Entry</w:t>
            </w:r>
          </w:p>
        </w:tc>
        <w:tc>
          <w:tcPr>
            <w:tcW w:type="dxa" w:w="1728"/>
            <w:shd w:val="clear" w:color="auto" w:fill="1F4E79"/>
          </w:tcPr>
          <w:p>
            <w:r/>
            <w:r>
              <w:rPr>
                <w:rFonts w:ascii="Arial" w:hAnsi="Arial"/>
                <w:b/>
                <w:color w:val="FFFFFF"/>
                <w:sz w:val="18"/>
              </w:rPr>
              <w:t>Exit</w:t>
            </w:r>
          </w:p>
        </w:tc>
        <w:tc>
          <w:tcPr>
            <w:tcW w:type="dxa" w:w="864"/>
            <w:shd w:val="clear" w:color="auto" w:fill="1F4E79"/>
          </w:tcPr>
          <w:p>
            <w:r/>
            <w:r>
              <w:rPr>
                <w:rFonts w:ascii="Arial" w:hAnsi="Arial"/>
                <w:b/>
                <w:color w:val="FFFFFF"/>
                <w:sz w:val="18"/>
              </w:rPr>
              <w:t>R</w:t>
            </w:r>
          </w:p>
        </w:tc>
        <w:tc>
          <w:tcPr>
            <w:tcW w:type="dxa" w:w="576"/>
            <w:shd w:val="clear" w:color="auto" w:fill="1F4E79"/>
          </w:tcPr>
          <w:p>
            <w:r/>
            <w:r>
              <w:rPr>
                <w:rFonts w:ascii="Arial" w:hAnsi="Arial"/>
                <w:b/>
                <w:color w:val="FFFFFF"/>
                <w:sz w:val="18"/>
              </w:rPr>
              <w:t>Days</w:t>
            </w:r>
          </w:p>
        </w:tc>
      </w:tr>
      <w:tr>
        <w:tc>
          <w:tcPr>
            <w:tcW w:type="dxa" w:w="1008"/>
          </w:tcPr>
          <w:p>
            <w:r/>
            <w:r>
              <w:rPr>
                <w:rFonts w:ascii="Arial" w:hAnsi="Arial"/>
                <w:b w:val="0"/>
                <w:sz w:val="17"/>
              </w:rPr>
              <w:t>19 May</w:t>
            </w:r>
          </w:p>
        </w:tc>
        <w:tc>
          <w:tcPr>
            <w:tcW w:type="dxa" w:w="1008"/>
          </w:tcPr>
          <w:p>
            <w:r/>
            <w:r>
              <w:rPr>
                <w:rFonts w:ascii="Arial" w:hAnsi="Arial"/>
                <w:b w:val="0"/>
                <w:sz w:val="17"/>
              </w:rPr>
              <w:t>Trade 1</w:t>
            </w:r>
          </w:p>
        </w:tc>
        <w:tc>
          <w:tcPr>
            <w:tcW w:type="dxa" w:w="1008"/>
          </w:tcPr>
          <w:p>
            <w:r/>
            <w:r>
              <w:rPr>
                <w:rFonts w:ascii="Arial" w:hAnsi="Arial"/>
                <w:b w:val="0"/>
                <w:sz w:val="17"/>
              </w:rPr>
              <w:t>LONG</w:t>
            </w:r>
          </w:p>
        </w:tc>
        <w:tc>
          <w:tcPr>
            <w:tcW w:type="dxa" w:w="1440"/>
          </w:tcPr>
          <w:p>
            <w:r/>
            <w:r>
              <w:rPr>
                <w:rFonts w:ascii="Arial" w:hAnsi="Arial"/>
                <w:b w:val="0"/>
                <w:sz w:val="17"/>
              </w:rPr>
              <w:t>Yes</w:t>
            </w:r>
          </w:p>
        </w:tc>
        <w:tc>
          <w:tcPr>
            <w:tcW w:type="dxa" w:w="1008"/>
          </w:tcPr>
          <w:p>
            <w:r/>
            <w:r>
              <w:rPr>
                <w:rFonts w:ascii="Arial" w:hAnsi="Arial"/>
                <w:b w:val="0"/>
                <w:sz w:val="17"/>
              </w:rPr>
              <w:t>7,398</w:t>
            </w:r>
          </w:p>
        </w:tc>
        <w:tc>
          <w:tcPr>
            <w:tcW w:type="dxa" w:w="1728"/>
          </w:tcPr>
          <w:p>
            <w:r/>
            <w:r>
              <w:rPr>
                <w:rFonts w:ascii="Arial" w:hAnsi="Arial"/>
                <w:b w:val="0"/>
                <w:sz w:val="17"/>
              </w:rPr>
              <w:t>7,423 (TP1)</w:t>
            </w:r>
          </w:p>
        </w:tc>
        <w:tc>
          <w:tcPr>
            <w:tcW w:type="dxa" w:w="864"/>
          </w:tcPr>
          <w:p>
            <w:r/>
            <w:r>
              <w:rPr>
                <w:rFonts w:ascii="Arial" w:hAnsi="Arial"/>
                <w:b w:val="0"/>
                <w:sz w:val="17"/>
              </w:rPr>
              <w:t>+1.5R</w:t>
            </w:r>
          </w:p>
        </w:tc>
        <w:tc>
          <w:tcPr>
            <w:tcW w:type="dxa" w:w="576"/>
          </w:tcPr>
          <w:p>
            <w:r/>
            <w:r>
              <w:rPr>
                <w:rFonts w:ascii="Arial" w:hAnsi="Arial"/>
                <w:b w:val="0"/>
                <w:sz w:val="17"/>
              </w:rPr>
              <w:t>1</w:t>
            </w:r>
          </w:p>
        </w:tc>
      </w:tr>
      <w:tr>
        <w:tc>
          <w:tcPr>
            <w:tcW w:type="dxa" w:w="1008"/>
          </w:tcPr>
          <w:p>
            <w:r/>
            <w:r>
              <w:rPr>
                <w:rFonts w:ascii="Arial" w:hAnsi="Arial"/>
                <w:b w:val="0"/>
                <w:sz w:val="17"/>
              </w:rPr>
              <w:t>19 May</w:t>
            </w:r>
          </w:p>
        </w:tc>
        <w:tc>
          <w:tcPr>
            <w:tcW w:type="dxa" w:w="1008"/>
          </w:tcPr>
          <w:p>
            <w:r/>
            <w:r>
              <w:rPr>
                <w:rFonts w:ascii="Arial" w:hAnsi="Arial"/>
                <w:b w:val="0"/>
                <w:sz w:val="17"/>
              </w:rPr>
              <w:t>Trade 2</w:t>
            </w:r>
          </w:p>
        </w:tc>
        <w:tc>
          <w:tcPr>
            <w:tcW w:type="dxa" w:w="1008"/>
          </w:tcPr>
          <w:p>
            <w:r/>
            <w:r>
              <w:rPr>
                <w:rFonts w:ascii="Arial" w:hAnsi="Arial"/>
                <w:b w:val="0"/>
                <w:sz w:val="17"/>
              </w:rPr>
              <w:t>LONG</w:t>
            </w:r>
          </w:p>
        </w:tc>
        <w:tc>
          <w:tcPr>
            <w:tcW w:type="dxa" w:w="1440"/>
          </w:tcPr>
          <w:p>
            <w:r/>
            <w:r>
              <w:rPr>
                <w:rFonts w:ascii="Arial" w:hAnsi="Arial"/>
                <w:b w:val="0"/>
                <w:sz w:val="17"/>
              </w:rPr>
              <w:t>No (no retest of pivot)</w:t>
            </w:r>
          </w:p>
        </w:tc>
        <w:tc>
          <w:tcPr>
            <w:tcW w:type="dxa" w:w="1008"/>
          </w:tcPr>
          <w:p>
            <w:r/>
            <w:r>
              <w:rPr>
                <w:rFonts w:ascii="Arial" w:hAnsi="Arial"/>
                <w:b w:val="0"/>
                <w:sz w:val="17"/>
              </w:rPr>
              <w:t>—</w:t>
            </w:r>
          </w:p>
        </w:tc>
        <w:tc>
          <w:tcPr>
            <w:tcW w:type="dxa" w:w="1728"/>
          </w:tcPr>
          <w:p>
            <w:r/>
            <w:r>
              <w:rPr>
                <w:rFonts w:ascii="Arial" w:hAnsi="Arial"/>
                <w:b w:val="0"/>
                <w:sz w:val="17"/>
              </w:rPr>
              <w:t>—</w:t>
            </w:r>
          </w:p>
        </w:tc>
        <w:tc>
          <w:tcPr>
            <w:tcW w:type="dxa" w:w="864"/>
          </w:tcPr>
          <w:p>
            <w:r/>
            <w:r>
              <w:rPr>
                <w:rFonts w:ascii="Arial" w:hAnsi="Arial"/>
                <w:b w:val="0"/>
                <w:sz w:val="17"/>
              </w:rPr>
              <w:t>0</w:t>
            </w:r>
          </w:p>
        </w:tc>
        <w:tc>
          <w:tcPr>
            <w:tcW w:type="dxa" w:w="576"/>
          </w:tcPr>
          <w:p>
            <w:r/>
            <w:r>
              <w:rPr>
                <w:rFonts w:ascii="Arial" w:hAnsi="Arial"/>
                <w:b w:val="0"/>
                <w:sz w:val="17"/>
              </w:rPr>
              <w:t>—</w:t>
            </w:r>
          </w:p>
        </w:tc>
      </w:tr>
      <w:tr>
        <w:tc>
          <w:tcPr>
            <w:tcW w:type="dxa" w:w="1008"/>
          </w:tcPr>
          <w:p>
            <w:r/>
            <w:r>
              <w:rPr>
                <w:rFonts w:ascii="Arial" w:hAnsi="Arial"/>
                <w:b w:val="0"/>
                <w:sz w:val="17"/>
              </w:rPr>
              <w:t>19 May</w:t>
            </w:r>
          </w:p>
        </w:tc>
        <w:tc>
          <w:tcPr>
            <w:tcW w:type="dxa" w:w="1008"/>
          </w:tcPr>
          <w:p>
            <w:r/>
            <w:r>
              <w:rPr>
                <w:rFonts w:ascii="Arial" w:hAnsi="Arial"/>
                <w:b w:val="0"/>
                <w:sz w:val="17"/>
              </w:rPr>
              <w:t>Trade 3A</w:t>
            </w:r>
          </w:p>
        </w:tc>
        <w:tc>
          <w:tcPr>
            <w:tcW w:type="dxa" w:w="1008"/>
          </w:tcPr>
          <w:p>
            <w:r/>
            <w:r>
              <w:rPr>
                <w:rFonts w:ascii="Arial" w:hAnsi="Arial"/>
                <w:b w:val="0"/>
                <w:sz w:val="17"/>
              </w:rPr>
              <w:t>LONG</w:t>
            </w:r>
          </w:p>
        </w:tc>
        <w:tc>
          <w:tcPr>
            <w:tcW w:type="dxa" w:w="1440"/>
          </w:tcPr>
          <w:p>
            <w:r/>
            <w:r>
              <w:rPr>
                <w:rFonts w:ascii="Arial" w:hAnsi="Arial"/>
                <w:b w:val="0"/>
                <w:sz w:val="17"/>
              </w:rPr>
              <w:t>No (insufficient swing magnitude on day 1)</w:t>
            </w:r>
          </w:p>
        </w:tc>
        <w:tc>
          <w:tcPr>
            <w:tcW w:type="dxa" w:w="1008"/>
          </w:tcPr>
          <w:p>
            <w:r/>
            <w:r>
              <w:rPr>
                <w:rFonts w:ascii="Arial" w:hAnsi="Arial"/>
                <w:b w:val="0"/>
                <w:sz w:val="17"/>
              </w:rPr>
              <w:t>—</w:t>
            </w:r>
          </w:p>
        </w:tc>
        <w:tc>
          <w:tcPr>
            <w:tcW w:type="dxa" w:w="1728"/>
          </w:tcPr>
          <w:p>
            <w:r/>
            <w:r>
              <w:rPr>
                <w:rFonts w:ascii="Arial" w:hAnsi="Arial"/>
                <w:b w:val="0"/>
                <w:sz w:val="17"/>
              </w:rPr>
              <w:t>—</w:t>
            </w:r>
          </w:p>
        </w:tc>
        <w:tc>
          <w:tcPr>
            <w:tcW w:type="dxa" w:w="864"/>
          </w:tcPr>
          <w:p>
            <w:r/>
            <w:r>
              <w:rPr>
                <w:rFonts w:ascii="Arial" w:hAnsi="Arial"/>
                <w:b w:val="0"/>
                <w:sz w:val="17"/>
              </w:rPr>
              <w:t>0</w:t>
            </w:r>
          </w:p>
        </w:tc>
        <w:tc>
          <w:tcPr>
            <w:tcW w:type="dxa" w:w="576"/>
          </w:tcPr>
          <w:p>
            <w:r/>
            <w:r>
              <w:rPr>
                <w:rFonts w:ascii="Arial" w:hAnsi="Arial"/>
                <w:b w:val="0"/>
                <w:sz w:val="17"/>
              </w:rPr>
              <w:t>—</w:t>
            </w:r>
          </w:p>
        </w:tc>
      </w:tr>
      <w:tr>
        <w:tc>
          <w:tcPr>
            <w:tcW w:type="dxa" w:w="1008"/>
          </w:tcPr>
          <w:p>
            <w:r/>
            <w:r>
              <w:rPr>
                <w:rFonts w:ascii="Arial" w:hAnsi="Arial"/>
                <w:b w:val="0"/>
                <w:sz w:val="17"/>
              </w:rPr>
              <w:t>20 May</w:t>
            </w:r>
          </w:p>
        </w:tc>
        <w:tc>
          <w:tcPr>
            <w:tcW w:type="dxa" w:w="1008"/>
          </w:tcPr>
          <w:p>
            <w:r/>
            <w:r>
              <w:rPr>
                <w:rFonts w:ascii="Arial" w:hAnsi="Arial"/>
                <w:b w:val="0"/>
                <w:sz w:val="17"/>
              </w:rPr>
              <w:t>Trade 1</w:t>
            </w:r>
          </w:p>
        </w:tc>
        <w:tc>
          <w:tcPr>
            <w:tcW w:type="dxa" w:w="1008"/>
          </w:tcPr>
          <w:p>
            <w:r/>
            <w:r>
              <w:rPr>
                <w:rFonts w:ascii="Arial" w:hAnsi="Arial"/>
                <w:b w:val="0"/>
                <w:sz w:val="17"/>
              </w:rPr>
              <w:t>LONG</w:t>
            </w:r>
          </w:p>
        </w:tc>
        <w:tc>
          <w:tcPr>
            <w:tcW w:type="dxa" w:w="1440"/>
          </w:tcPr>
          <w:p>
            <w:r/>
            <w:r>
              <w:rPr>
                <w:rFonts w:ascii="Arial" w:hAnsi="Arial"/>
                <w:b w:val="0"/>
                <w:sz w:val="17"/>
              </w:rPr>
              <w:t>Yes</w:t>
            </w:r>
          </w:p>
        </w:tc>
        <w:tc>
          <w:tcPr>
            <w:tcW w:type="dxa" w:w="1008"/>
          </w:tcPr>
          <w:p>
            <w:r/>
            <w:r>
              <w:rPr>
                <w:rFonts w:ascii="Arial" w:hAnsi="Arial"/>
                <w:b w:val="0"/>
                <w:sz w:val="17"/>
              </w:rPr>
              <w:t>7,424</w:t>
            </w:r>
          </w:p>
        </w:tc>
        <w:tc>
          <w:tcPr>
            <w:tcW w:type="dxa" w:w="1728"/>
          </w:tcPr>
          <w:p>
            <w:r/>
            <w:r>
              <w:rPr>
                <w:rFonts w:ascii="Arial" w:hAnsi="Arial"/>
                <w:b w:val="0"/>
                <w:sz w:val="17"/>
              </w:rPr>
              <w:t>7,446 (TP1)</w:t>
            </w:r>
          </w:p>
        </w:tc>
        <w:tc>
          <w:tcPr>
            <w:tcW w:type="dxa" w:w="864"/>
          </w:tcPr>
          <w:p>
            <w:r/>
            <w:r>
              <w:rPr>
                <w:rFonts w:ascii="Arial" w:hAnsi="Arial"/>
                <w:b w:val="0"/>
                <w:sz w:val="17"/>
              </w:rPr>
              <w:t>+1.7R</w:t>
            </w:r>
          </w:p>
        </w:tc>
        <w:tc>
          <w:tcPr>
            <w:tcW w:type="dxa" w:w="576"/>
          </w:tcPr>
          <w:p>
            <w:r/>
            <w:r>
              <w:rPr>
                <w:rFonts w:ascii="Arial" w:hAnsi="Arial"/>
                <w:b w:val="0"/>
                <w:sz w:val="17"/>
              </w:rPr>
              <w:t>1</w:t>
            </w:r>
          </w:p>
        </w:tc>
      </w:tr>
      <w:tr>
        <w:tc>
          <w:tcPr>
            <w:tcW w:type="dxa" w:w="1008"/>
          </w:tcPr>
          <w:p>
            <w:r/>
            <w:r>
              <w:rPr>
                <w:rFonts w:ascii="Arial" w:hAnsi="Arial"/>
                <w:b w:val="0"/>
                <w:sz w:val="17"/>
              </w:rPr>
              <w:t>20 May</w:t>
            </w:r>
          </w:p>
        </w:tc>
        <w:tc>
          <w:tcPr>
            <w:tcW w:type="dxa" w:w="1008"/>
          </w:tcPr>
          <w:p>
            <w:r/>
            <w:r>
              <w:rPr>
                <w:rFonts w:ascii="Arial" w:hAnsi="Arial"/>
                <w:b w:val="0"/>
                <w:sz w:val="17"/>
              </w:rPr>
              <w:t>Trade 2</w:t>
            </w:r>
          </w:p>
        </w:tc>
        <w:tc>
          <w:tcPr>
            <w:tcW w:type="dxa" w:w="1008"/>
          </w:tcPr>
          <w:p>
            <w:r/>
            <w:r>
              <w:rPr>
                <w:rFonts w:ascii="Arial" w:hAnsi="Arial"/>
                <w:b w:val="0"/>
                <w:sz w:val="17"/>
              </w:rPr>
              <w:t>LONG</w:t>
            </w:r>
          </w:p>
        </w:tc>
        <w:tc>
          <w:tcPr>
            <w:tcW w:type="dxa" w:w="1440"/>
          </w:tcPr>
          <w:p>
            <w:r/>
            <w:r>
              <w:rPr>
                <w:rFonts w:ascii="Arial" w:hAnsi="Arial"/>
                <w:b w:val="0"/>
                <w:sz w:val="17"/>
              </w:rPr>
              <w:t>Yes</w:t>
            </w:r>
          </w:p>
        </w:tc>
        <w:tc>
          <w:tcPr>
            <w:tcW w:type="dxa" w:w="1008"/>
          </w:tcPr>
          <w:p>
            <w:r/>
            <w:r>
              <w:rPr>
                <w:rFonts w:ascii="Arial" w:hAnsi="Arial"/>
                <w:b w:val="0"/>
                <w:sz w:val="17"/>
              </w:rPr>
              <w:t>7,418</w:t>
            </w:r>
          </w:p>
        </w:tc>
        <w:tc>
          <w:tcPr>
            <w:tcW w:type="dxa" w:w="1728"/>
          </w:tcPr>
          <w:p>
            <w:r/>
            <w:r>
              <w:rPr>
                <w:rFonts w:ascii="Arial" w:hAnsi="Arial"/>
                <w:b w:val="0"/>
                <w:sz w:val="17"/>
              </w:rPr>
              <w:t>7,461 (TP2)</w:t>
            </w:r>
          </w:p>
        </w:tc>
        <w:tc>
          <w:tcPr>
            <w:tcW w:type="dxa" w:w="864"/>
          </w:tcPr>
          <w:p>
            <w:r/>
            <w:r>
              <w:rPr>
                <w:rFonts w:ascii="Arial" w:hAnsi="Arial"/>
                <w:b w:val="0"/>
                <w:sz w:val="17"/>
              </w:rPr>
              <w:t>+2.3R</w:t>
            </w:r>
          </w:p>
        </w:tc>
        <w:tc>
          <w:tcPr>
            <w:tcW w:type="dxa" w:w="576"/>
          </w:tcPr>
          <w:p>
            <w:r/>
            <w:r>
              <w:rPr>
                <w:rFonts w:ascii="Arial" w:hAnsi="Arial"/>
                <w:b w:val="0"/>
                <w:sz w:val="17"/>
              </w:rPr>
              <w:t>1</w:t>
            </w:r>
          </w:p>
        </w:tc>
      </w:tr>
      <w:tr>
        <w:tc>
          <w:tcPr>
            <w:tcW w:type="dxa" w:w="1008"/>
          </w:tcPr>
          <w:p>
            <w:r/>
            <w:r>
              <w:rPr>
                <w:rFonts w:ascii="Arial" w:hAnsi="Arial"/>
                <w:b w:val="0"/>
                <w:sz w:val="17"/>
              </w:rPr>
              <w:t>20 May</w:t>
            </w:r>
          </w:p>
        </w:tc>
        <w:tc>
          <w:tcPr>
            <w:tcW w:type="dxa" w:w="1008"/>
          </w:tcPr>
          <w:p>
            <w:r/>
            <w:r>
              <w:rPr>
                <w:rFonts w:ascii="Arial" w:hAnsi="Arial"/>
                <w:b w:val="0"/>
                <w:sz w:val="17"/>
              </w:rPr>
              <w:t>Trade 3A</w:t>
            </w:r>
          </w:p>
        </w:tc>
        <w:tc>
          <w:tcPr>
            <w:tcW w:type="dxa" w:w="1008"/>
          </w:tcPr>
          <w:p>
            <w:r/>
            <w:r>
              <w:rPr>
                <w:rFonts w:ascii="Arial" w:hAnsi="Arial"/>
                <w:b w:val="0"/>
                <w:sz w:val="17"/>
              </w:rPr>
              <w:t>LONG</w:t>
            </w:r>
          </w:p>
        </w:tc>
        <w:tc>
          <w:tcPr>
            <w:tcW w:type="dxa" w:w="1440"/>
          </w:tcPr>
          <w:p>
            <w:r/>
            <w:r>
              <w:rPr>
                <w:rFonts w:ascii="Arial" w:hAnsi="Arial"/>
                <w:b w:val="0"/>
                <w:sz w:val="17"/>
              </w:rPr>
              <w:t>No</w:t>
            </w:r>
          </w:p>
        </w:tc>
        <w:tc>
          <w:tcPr>
            <w:tcW w:type="dxa" w:w="1008"/>
          </w:tcPr>
          <w:p>
            <w:r/>
            <w:r>
              <w:rPr>
                <w:rFonts w:ascii="Arial" w:hAnsi="Arial"/>
                <w:b w:val="0"/>
                <w:sz w:val="17"/>
              </w:rPr>
              <w:t>—</w:t>
            </w:r>
          </w:p>
        </w:tc>
        <w:tc>
          <w:tcPr>
            <w:tcW w:type="dxa" w:w="1728"/>
          </w:tcPr>
          <w:p>
            <w:r/>
            <w:r>
              <w:rPr>
                <w:rFonts w:ascii="Arial" w:hAnsi="Arial"/>
                <w:b w:val="0"/>
                <w:sz w:val="17"/>
              </w:rPr>
              <w:t>—</w:t>
            </w:r>
          </w:p>
        </w:tc>
        <w:tc>
          <w:tcPr>
            <w:tcW w:type="dxa" w:w="864"/>
          </w:tcPr>
          <w:p>
            <w:r/>
            <w:r>
              <w:rPr>
                <w:rFonts w:ascii="Arial" w:hAnsi="Arial"/>
                <w:b w:val="0"/>
                <w:sz w:val="17"/>
              </w:rPr>
              <w:t>0</w:t>
            </w:r>
          </w:p>
        </w:tc>
        <w:tc>
          <w:tcPr>
            <w:tcW w:type="dxa" w:w="576"/>
          </w:tcPr>
          <w:p>
            <w:r/>
            <w:r>
              <w:rPr>
                <w:rFonts w:ascii="Arial" w:hAnsi="Arial"/>
                <w:b w:val="0"/>
                <w:sz w:val="17"/>
              </w:rPr>
              <w:t>—</w:t>
            </w:r>
          </w:p>
        </w:tc>
      </w:tr>
      <w:tr>
        <w:tc>
          <w:tcPr>
            <w:tcW w:type="dxa" w:w="1008"/>
          </w:tcPr>
          <w:p>
            <w:r/>
            <w:r>
              <w:rPr>
                <w:rFonts w:ascii="Arial" w:hAnsi="Arial"/>
                <w:b w:val="0"/>
                <w:sz w:val="17"/>
              </w:rPr>
              <w:t>21 May</w:t>
            </w:r>
          </w:p>
        </w:tc>
        <w:tc>
          <w:tcPr>
            <w:tcW w:type="dxa" w:w="1008"/>
          </w:tcPr>
          <w:p>
            <w:r/>
            <w:r>
              <w:rPr>
                <w:rFonts w:ascii="Arial" w:hAnsi="Arial"/>
                <w:b w:val="0"/>
                <w:sz w:val="17"/>
              </w:rPr>
              <w:t>Trade 1</w:t>
            </w:r>
          </w:p>
        </w:tc>
        <w:tc>
          <w:tcPr>
            <w:tcW w:type="dxa" w:w="1008"/>
          </w:tcPr>
          <w:p>
            <w:r/>
            <w:r>
              <w:rPr>
                <w:rFonts w:ascii="Arial" w:hAnsi="Arial"/>
                <w:b w:val="0"/>
                <w:sz w:val="17"/>
              </w:rPr>
              <w:t>LONG</w:t>
            </w:r>
          </w:p>
        </w:tc>
        <w:tc>
          <w:tcPr>
            <w:tcW w:type="dxa" w:w="1440"/>
          </w:tcPr>
          <w:p>
            <w:r/>
            <w:r>
              <w:rPr>
                <w:rFonts w:ascii="Arial" w:hAnsi="Arial"/>
                <w:b w:val="0"/>
                <w:sz w:val="17"/>
              </w:rPr>
              <w:t>Yes</w:t>
            </w:r>
          </w:p>
        </w:tc>
        <w:tc>
          <w:tcPr>
            <w:tcW w:type="dxa" w:w="1008"/>
          </w:tcPr>
          <w:p>
            <w:r/>
            <w:r>
              <w:rPr>
                <w:rFonts w:ascii="Arial" w:hAnsi="Arial"/>
                <w:b w:val="0"/>
                <w:sz w:val="17"/>
              </w:rPr>
              <w:t>7,445</w:t>
            </w:r>
          </w:p>
        </w:tc>
        <w:tc>
          <w:tcPr>
            <w:tcW w:type="dxa" w:w="1728"/>
          </w:tcPr>
          <w:p>
            <w:r/>
            <w:r>
              <w:rPr>
                <w:rFonts w:ascii="Arial" w:hAnsi="Arial"/>
                <w:b w:val="0"/>
                <w:sz w:val="17"/>
              </w:rPr>
              <w:t>7,445 (BE)</w:t>
            </w:r>
          </w:p>
        </w:tc>
        <w:tc>
          <w:tcPr>
            <w:tcW w:type="dxa" w:w="864"/>
          </w:tcPr>
          <w:p>
            <w:r/>
            <w:r>
              <w:rPr>
                <w:rFonts w:ascii="Arial" w:hAnsi="Arial"/>
                <w:b w:val="0"/>
                <w:sz w:val="17"/>
              </w:rPr>
              <w:t>0.0R</w:t>
            </w:r>
          </w:p>
        </w:tc>
        <w:tc>
          <w:tcPr>
            <w:tcW w:type="dxa" w:w="576"/>
          </w:tcPr>
          <w:p>
            <w:r/>
            <w:r>
              <w:rPr>
                <w:rFonts w:ascii="Arial" w:hAnsi="Arial"/>
                <w:b w:val="0"/>
                <w:sz w:val="17"/>
              </w:rPr>
              <w:t>1</w:t>
            </w:r>
          </w:p>
        </w:tc>
      </w:tr>
      <w:tr>
        <w:tc>
          <w:tcPr>
            <w:tcW w:type="dxa" w:w="1008"/>
          </w:tcPr>
          <w:p>
            <w:r/>
            <w:r>
              <w:rPr>
                <w:rFonts w:ascii="Arial" w:hAnsi="Arial"/>
                <w:b w:val="0"/>
                <w:sz w:val="17"/>
              </w:rPr>
              <w:t>21 May</w:t>
            </w:r>
          </w:p>
        </w:tc>
        <w:tc>
          <w:tcPr>
            <w:tcW w:type="dxa" w:w="1008"/>
          </w:tcPr>
          <w:p>
            <w:r/>
            <w:r>
              <w:rPr>
                <w:rFonts w:ascii="Arial" w:hAnsi="Arial"/>
                <w:b w:val="0"/>
                <w:sz w:val="17"/>
              </w:rPr>
              <w:t>Trade 2</w:t>
            </w:r>
          </w:p>
        </w:tc>
        <w:tc>
          <w:tcPr>
            <w:tcW w:type="dxa" w:w="1008"/>
          </w:tcPr>
          <w:p>
            <w:r/>
            <w:r>
              <w:rPr>
                <w:rFonts w:ascii="Arial" w:hAnsi="Arial"/>
                <w:b w:val="0"/>
                <w:sz w:val="17"/>
              </w:rPr>
              <w:t>LONG</w:t>
            </w:r>
          </w:p>
        </w:tc>
        <w:tc>
          <w:tcPr>
            <w:tcW w:type="dxa" w:w="1440"/>
          </w:tcPr>
          <w:p>
            <w:r/>
            <w:r>
              <w:rPr>
                <w:rFonts w:ascii="Arial" w:hAnsi="Arial"/>
                <w:b w:val="0"/>
                <w:sz w:val="17"/>
              </w:rPr>
              <w:t>No</w:t>
            </w:r>
          </w:p>
        </w:tc>
        <w:tc>
          <w:tcPr>
            <w:tcW w:type="dxa" w:w="1008"/>
          </w:tcPr>
          <w:p>
            <w:r/>
            <w:r>
              <w:rPr>
                <w:rFonts w:ascii="Arial" w:hAnsi="Arial"/>
                <w:b w:val="0"/>
                <w:sz w:val="17"/>
              </w:rPr>
              <w:t>—</w:t>
            </w:r>
          </w:p>
        </w:tc>
        <w:tc>
          <w:tcPr>
            <w:tcW w:type="dxa" w:w="1728"/>
          </w:tcPr>
          <w:p>
            <w:r/>
            <w:r>
              <w:rPr>
                <w:rFonts w:ascii="Arial" w:hAnsi="Arial"/>
                <w:b w:val="0"/>
                <w:sz w:val="17"/>
              </w:rPr>
              <w:t>—</w:t>
            </w:r>
          </w:p>
        </w:tc>
        <w:tc>
          <w:tcPr>
            <w:tcW w:type="dxa" w:w="864"/>
          </w:tcPr>
          <w:p>
            <w:r/>
            <w:r>
              <w:rPr>
                <w:rFonts w:ascii="Arial" w:hAnsi="Arial"/>
                <w:b w:val="0"/>
                <w:sz w:val="17"/>
              </w:rPr>
              <w:t>0</w:t>
            </w:r>
          </w:p>
        </w:tc>
        <w:tc>
          <w:tcPr>
            <w:tcW w:type="dxa" w:w="576"/>
          </w:tcPr>
          <w:p>
            <w:r/>
            <w:r>
              <w:rPr>
                <w:rFonts w:ascii="Arial" w:hAnsi="Arial"/>
                <w:b w:val="0"/>
                <w:sz w:val="17"/>
              </w:rPr>
              <w:t>—</w:t>
            </w:r>
          </w:p>
        </w:tc>
      </w:tr>
      <w:tr>
        <w:tc>
          <w:tcPr>
            <w:tcW w:type="dxa" w:w="1008"/>
          </w:tcPr>
          <w:p>
            <w:r/>
            <w:r>
              <w:rPr>
                <w:rFonts w:ascii="Arial" w:hAnsi="Arial"/>
                <w:b w:val="0"/>
                <w:sz w:val="17"/>
              </w:rPr>
              <w:t>21 May</w:t>
            </w:r>
          </w:p>
        </w:tc>
        <w:tc>
          <w:tcPr>
            <w:tcW w:type="dxa" w:w="1008"/>
          </w:tcPr>
          <w:p>
            <w:r/>
            <w:r>
              <w:rPr>
                <w:rFonts w:ascii="Arial" w:hAnsi="Arial"/>
                <w:b w:val="0"/>
                <w:sz w:val="17"/>
              </w:rPr>
              <w:t>Trade 3A</w:t>
            </w:r>
          </w:p>
        </w:tc>
        <w:tc>
          <w:tcPr>
            <w:tcW w:type="dxa" w:w="1008"/>
          </w:tcPr>
          <w:p>
            <w:r/>
            <w:r>
              <w:rPr>
                <w:rFonts w:ascii="Arial" w:hAnsi="Arial"/>
                <w:b w:val="0"/>
                <w:sz w:val="17"/>
              </w:rPr>
              <w:t>LONG</w:t>
            </w:r>
          </w:p>
        </w:tc>
        <w:tc>
          <w:tcPr>
            <w:tcW w:type="dxa" w:w="1440"/>
          </w:tcPr>
          <w:p>
            <w:r/>
            <w:r>
              <w:rPr>
                <w:rFonts w:ascii="Arial" w:hAnsi="Arial"/>
                <w:b w:val="0"/>
                <w:sz w:val="17"/>
              </w:rPr>
              <w:t>Yes</w:t>
            </w:r>
          </w:p>
        </w:tc>
        <w:tc>
          <w:tcPr>
            <w:tcW w:type="dxa" w:w="1008"/>
          </w:tcPr>
          <w:p>
            <w:r/>
            <w:r>
              <w:rPr>
                <w:rFonts w:ascii="Arial" w:hAnsi="Arial"/>
                <w:b w:val="0"/>
                <w:sz w:val="17"/>
              </w:rPr>
              <w:t>7,427</w:t>
            </w:r>
          </w:p>
        </w:tc>
        <w:tc>
          <w:tcPr>
            <w:tcW w:type="dxa" w:w="1728"/>
          </w:tcPr>
          <w:p>
            <w:r/>
            <w:r>
              <w:rPr>
                <w:rFonts w:ascii="Arial" w:hAnsi="Arial"/>
                <w:b w:val="0"/>
                <w:sz w:val="17"/>
              </w:rPr>
              <w:t>7,458 (TP2)</w:t>
            </w:r>
          </w:p>
        </w:tc>
        <w:tc>
          <w:tcPr>
            <w:tcW w:type="dxa" w:w="864"/>
          </w:tcPr>
          <w:p>
            <w:r/>
            <w:r>
              <w:rPr>
                <w:rFonts w:ascii="Arial" w:hAnsi="Arial"/>
                <w:b w:val="0"/>
                <w:sz w:val="17"/>
              </w:rPr>
              <w:t>+2.1R</w:t>
            </w:r>
          </w:p>
        </w:tc>
        <w:tc>
          <w:tcPr>
            <w:tcW w:type="dxa" w:w="576"/>
          </w:tcPr>
          <w:p>
            <w:r/>
            <w:r>
              <w:rPr>
                <w:rFonts w:ascii="Arial" w:hAnsi="Arial"/>
                <w:b w:val="0"/>
                <w:sz w:val="17"/>
              </w:rPr>
              <w:t>1</w:t>
            </w:r>
          </w:p>
        </w:tc>
      </w:tr>
      <w:tr>
        <w:tc>
          <w:tcPr>
            <w:tcW w:type="dxa" w:w="1008"/>
          </w:tcPr>
          <w:p>
            <w:r/>
            <w:r>
              <w:rPr>
                <w:rFonts w:ascii="Arial" w:hAnsi="Arial"/>
                <w:b w:val="0"/>
                <w:sz w:val="17"/>
              </w:rPr>
              <w:t>22 May</w:t>
            </w:r>
          </w:p>
        </w:tc>
        <w:tc>
          <w:tcPr>
            <w:tcW w:type="dxa" w:w="1008"/>
          </w:tcPr>
          <w:p>
            <w:r/>
            <w:r>
              <w:rPr>
                <w:rFonts w:ascii="Arial" w:hAnsi="Arial"/>
                <w:b w:val="0"/>
                <w:sz w:val="17"/>
              </w:rPr>
              <w:t>Trade 1</w:t>
            </w:r>
          </w:p>
        </w:tc>
        <w:tc>
          <w:tcPr>
            <w:tcW w:type="dxa" w:w="1008"/>
          </w:tcPr>
          <w:p>
            <w:r/>
            <w:r>
              <w:rPr>
                <w:rFonts w:ascii="Arial" w:hAnsi="Arial"/>
                <w:b w:val="0"/>
                <w:sz w:val="17"/>
              </w:rPr>
              <w:t>LONG</w:t>
            </w:r>
          </w:p>
        </w:tc>
        <w:tc>
          <w:tcPr>
            <w:tcW w:type="dxa" w:w="1440"/>
          </w:tcPr>
          <w:p>
            <w:r/>
            <w:r>
              <w:rPr>
                <w:rFonts w:ascii="Arial" w:hAnsi="Arial"/>
                <w:b w:val="0"/>
                <w:sz w:val="17"/>
              </w:rPr>
              <w:t>Yes</w:t>
            </w:r>
          </w:p>
        </w:tc>
        <w:tc>
          <w:tcPr>
            <w:tcW w:type="dxa" w:w="1008"/>
          </w:tcPr>
          <w:p>
            <w:r/>
            <w:r>
              <w:rPr>
                <w:rFonts w:ascii="Arial" w:hAnsi="Arial"/>
                <w:b w:val="0"/>
                <w:sz w:val="17"/>
              </w:rPr>
              <w:t>7,446</w:t>
            </w:r>
          </w:p>
        </w:tc>
        <w:tc>
          <w:tcPr>
            <w:tcW w:type="dxa" w:w="1728"/>
          </w:tcPr>
          <w:p>
            <w:r/>
            <w:r>
              <w:rPr>
                <w:rFonts w:ascii="Arial" w:hAnsi="Arial"/>
                <w:b w:val="0"/>
                <w:sz w:val="17"/>
              </w:rPr>
              <w:t>7,473 (TP2)</w:t>
            </w:r>
          </w:p>
        </w:tc>
        <w:tc>
          <w:tcPr>
            <w:tcW w:type="dxa" w:w="864"/>
          </w:tcPr>
          <w:p>
            <w:r/>
            <w:r>
              <w:rPr>
                <w:rFonts w:ascii="Arial" w:hAnsi="Arial"/>
                <w:b w:val="0"/>
                <w:sz w:val="17"/>
              </w:rPr>
              <w:t>+2.2R</w:t>
            </w:r>
          </w:p>
        </w:tc>
        <w:tc>
          <w:tcPr>
            <w:tcW w:type="dxa" w:w="576"/>
          </w:tcPr>
          <w:p>
            <w:r/>
            <w:r>
              <w:rPr>
                <w:rFonts w:ascii="Arial" w:hAnsi="Arial"/>
                <w:b w:val="0"/>
                <w:sz w:val="17"/>
              </w:rPr>
              <w:t>1</w:t>
            </w:r>
          </w:p>
        </w:tc>
      </w:tr>
      <w:tr>
        <w:tc>
          <w:tcPr>
            <w:tcW w:type="dxa" w:w="1008"/>
          </w:tcPr>
          <w:p>
            <w:r/>
            <w:r>
              <w:rPr>
                <w:rFonts w:ascii="Arial" w:hAnsi="Arial"/>
                <w:b w:val="0"/>
                <w:sz w:val="17"/>
              </w:rPr>
              <w:t>22 May</w:t>
            </w:r>
          </w:p>
        </w:tc>
        <w:tc>
          <w:tcPr>
            <w:tcW w:type="dxa" w:w="1008"/>
          </w:tcPr>
          <w:p>
            <w:r/>
            <w:r>
              <w:rPr>
                <w:rFonts w:ascii="Arial" w:hAnsi="Arial"/>
                <w:b w:val="0"/>
                <w:sz w:val="17"/>
              </w:rPr>
              <w:t>Trade 2</w:t>
            </w:r>
          </w:p>
        </w:tc>
        <w:tc>
          <w:tcPr>
            <w:tcW w:type="dxa" w:w="1008"/>
          </w:tcPr>
          <w:p>
            <w:r/>
            <w:r>
              <w:rPr>
                <w:rFonts w:ascii="Arial" w:hAnsi="Arial"/>
                <w:b w:val="0"/>
                <w:sz w:val="17"/>
              </w:rPr>
              <w:t>LONG</w:t>
            </w:r>
          </w:p>
        </w:tc>
        <w:tc>
          <w:tcPr>
            <w:tcW w:type="dxa" w:w="1440"/>
          </w:tcPr>
          <w:p>
            <w:r/>
            <w:r>
              <w:rPr>
                <w:rFonts w:ascii="Arial" w:hAnsi="Arial"/>
                <w:b w:val="0"/>
                <w:sz w:val="17"/>
              </w:rPr>
              <w:t>No</w:t>
            </w:r>
          </w:p>
        </w:tc>
        <w:tc>
          <w:tcPr>
            <w:tcW w:type="dxa" w:w="1008"/>
          </w:tcPr>
          <w:p>
            <w:r/>
            <w:r>
              <w:rPr>
                <w:rFonts w:ascii="Arial" w:hAnsi="Arial"/>
                <w:b w:val="0"/>
                <w:sz w:val="17"/>
              </w:rPr>
              <w:t>—</w:t>
            </w:r>
          </w:p>
        </w:tc>
        <w:tc>
          <w:tcPr>
            <w:tcW w:type="dxa" w:w="1728"/>
          </w:tcPr>
          <w:p>
            <w:r/>
            <w:r>
              <w:rPr>
                <w:rFonts w:ascii="Arial" w:hAnsi="Arial"/>
                <w:b w:val="0"/>
                <w:sz w:val="17"/>
              </w:rPr>
              <w:t>—</w:t>
            </w:r>
          </w:p>
        </w:tc>
        <w:tc>
          <w:tcPr>
            <w:tcW w:type="dxa" w:w="864"/>
          </w:tcPr>
          <w:p>
            <w:r/>
            <w:r>
              <w:rPr>
                <w:rFonts w:ascii="Arial" w:hAnsi="Arial"/>
                <w:b w:val="0"/>
                <w:sz w:val="17"/>
              </w:rPr>
              <w:t>0</w:t>
            </w:r>
          </w:p>
        </w:tc>
        <w:tc>
          <w:tcPr>
            <w:tcW w:type="dxa" w:w="576"/>
          </w:tcPr>
          <w:p>
            <w:r/>
            <w:r>
              <w:rPr>
                <w:rFonts w:ascii="Arial" w:hAnsi="Arial"/>
                <w:b w:val="0"/>
                <w:sz w:val="17"/>
              </w:rPr>
              <w:t>—</w:t>
            </w:r>
          </w:p>
        </w:tc>
      </w:tr>
      <w:tr>
        <w:tc>
          <w:tcPr>
            <w:tcW w:type="dxa" w:w="1008"/>
          </w:tcPr>
          <w:p>
            <w:r/>
            <w:r>
              <w:rPr>
                <w:rFonts w:ascii="Arial" w:hAnsi="Arial"/>
                <w:b w:val="0"/>
                <w:sz w:val="17"/>
              </w:rPr>
              <w:t>22 May</w:t>
            </w:r>
          </w:p>
        </w:tc>
        <w:tc>
          <w:tcPr>
            <w:tcW w:type="dxa" w:w="1008"/>
          </w:tcPr>
          <w:p>
            <w:r/>
            <w:r>
              <w:rPr>
                <w:rFonts w:ascii="Arial" w:hAnsi="Arial"/>
                <w:b w:val="0"/>
                <w:sz w:val="17"/>
              </w:rPr>
              <w:t>Trade 3A</w:t>
            </w:r>
          </w:p>
        </w:tc>
        <w:tc>
          <w:tcPr>
            <w:tcW w:type="dxa" w:w="1008"/>
          </w:tcPr>
          <w:p>
            <w:r/>
            <w:r>
              <w:rPr>
                <w:rFonts w:ascii="Arial" w:hAnsi="Arial"/>
                <w:b w:val="0"/>
                <w:sz w:val="17"/>
              </w:rPr>
              <w:t>LONG</w:t>
            </w:r>
          </w:p>
        </w:tc>
        <w:tc>
          <w:tcPr>
            <w:tcW w:type="dxa" w:w="1440"/>
          </w:tcPr>
          <w:p>
            <w:r/>
            <w:r>
              <w:rPr>
                <w:rFonts w:ascii="Arial" w:hAnsi="Arial"/>
                <w:b w:val="0"/>
                <w:sz w:val="17"/>
              </w:rPr>
              <w:t>No</w:t>
            </w:r>
          </w:p>
        </w:tc>
        <w:tc>
          <w:tcPr>
            <w:tcW w:type="dxa" w:w="1008"/>
          </w:tcPr>
          <w:p>
            <w:r/>
            <w:r>
              <w:rPr>
                <w:rFonts w:ascii="Arial" w:hAnsi="Arial"/>
                <w:b w:val="0"/>
                <w:sz w:val="17"/>
              </w:rPr>
              <w:t>—</w:t>
            </w:r>
          </w:p>
        </w:tc>
        <w:tc>
          <w:tcPr>
            <w:tcW w:type="dxa" w:w="1728"/>
          </w:tcPr>
          <w:p>
            <w:r/>
            <w:r>
              <w:rPr>
                <w:rFonts w:ascii="Arial" w:hAnsi="Arial"/>
                <w:b w:val="0"/>
                <w:sz w:val="17"/>
              </w:rPr>
              <w:t>—</w:t>
            </w:r>
          </w:p>
        </w:tc>
        <w:tc>
          <w:tcPr>
            <w:tcW w:type="dxa" w:w="864"/>
          </w:tcPr>
          <w:p>
            <w:r/>
            <w:r>
              <w:rPr>
                <w:rFonts w:ascii="Arial" w:hAnsi="Arial"/>
                <w:b w:val="0"/>
                <w:sz w:val="17"/>
              </w:rPr>
              <w:t>0</w:t>
            </w:r>
          </w:p>
        </w:tc>
        <w:tc>
          <w:tcPr>
            <w:tcW w:type="dxa" w:w="576"/>
          </w:tcPr>
          <w:p>
            <w:r/>
            <w:r>
              <w:rPr>
                <w:rFonts w:ascii="Arial" w:hAnsi="Arial"/>
                <w:b w:val="0"/>
                <w:sz w:val="17"/>
              </w:rPr>
              <w:t>—</w:t>
            </w:r>
          </w:p>
        </w:tc>
      </w:tr>
      <w:tr>
        <w:tc>
          <w:tcPr>
            <w:tcW w:type="dxa" w:w="1008"/>
          </w:tcPr>
          <w:p>
            <w:r/>
            <w:r>
              <w:rPr>
                <w:rFonts w:ascii="Arial" w:hAnsi="Arial"/>
                <w:b w:val="0"/>
                <w:sz w:val="17"/>
              </w:rPr>
              <w:t>26 May</w:t>
            </w:r>
          </w:p>
        </w:tc>
        <w:tc>
          <w:tcPr>
            <w:tcW w:type="dxa" w:w="1008"/>
          </w:tcPr>
          <w:p>
            <w:r/>
            <w:r>
              <w:rPr>
                <w:rFonts w:ascii="Arial" w:hAnsi="Arial"/>
                <w:b w:val="0"/>
                <w:sz w:val="17"/>
              </w:rPr>
              <w:t>Trade 1</w:t>
            </w:r>
          </w:p>
        </w:tc>
        <w:tc>
          <w:tcPr>
            <w:tcW w:type="dxa" w:w="1008"/>
          </w:tcPr>
          <w:p>
            <w:r/>
            <w:r>
              <w:rPr>
                <w:rFonts w:ascii="Arial" w:hAnsi="Arial"/>
                <w:b w:val="0"/>
                <w:sz w:val="17"/>
              </w:rPr>
              <w:t>LONG</w:t>
            </w:r>
          </w:p>
        </w:tc>
        <w:tc>
          <w:tcPr>
            <w:tcW w:type="dxa" w:w="1440"/>
          </w:tcPr>
          <w:p>
            <w:r/>
            <w:r>
              <w:rPr>
                <w:rFonts w:ascii="Arial" w:hAnsi="Arial"/>
                <w:b w:val="0"/>
                <w:sz w:val="17"/>
              </w:rPr>
              <w:t>Yes</w:t>
            </w:r>
          </w:p>
        </w:tc>
        <w:tc>
          <w:tcPr>
            <w:tcW w:type="dxa" w:w="1008"/>
          </w:tcPr>
          <w:p>
            <w:r/>
            <w:r>
              <w:rPr>
                <w:rFonts w:ascii="Arial" w:hAnsi="Arial"/>
                <w:b w:val="0"/>
                <w:sz w:val="17"/>
              </w:rPr>
              <w:t>7,481</w:t>
            </w:r>
          </w:p>
        </w:tc>
        <w:tc>
          <w:tcPr>
            <w:tcW w:type="dxa" w:w="1728"/>
          </w:tcPr>
          <w:p>
            <w:r/>
            <w:r>
              <w:rPr>
                <w:rFonts w:ascii="Arial" w:hAnsi="Arial"/>
                <w:b w:val="0"/>
                <w:sz w:val="17"/>
              </w:rPr>
              <w:t>7,519 (TP2)</w:t>
            </w:r>
          </w:p>
        </w:tc>
        <w:tc>
          <w:tcPr>
            <w:tcW w:type="dxa" w:w="864"/>
          </w:tcPr>
          <w:p>
            <w:r/>
            <w:r>
              <w:rPr>
                <w:rFonts w:ascii="Arial" w:hAnsi="Arial"/>
                <w:b w:val="0"/>
                <w:sz w:val="17"/>
              </w:rPr>
              <w:t>+2.4R</w:t>
            </w:r>
          </w:p>
        </w:tc>
        <w:tc>
          <w:tcPr>
            <w:tcW w:type="dxa" w:w="576"/>
          </w:tcPr>
          <w:p>
            <w:r/>
            <w:r>
              <w:rPr>
                <w:rFonts w:ascii="Arial" w:hAnsi="Arial"/>
                <w:b w:val="0"/>
                <w:sz w:val="17"/>
              </w:rPr>
              <w:t>1</w:t>
            </w:r>
          </w:p>
        </w:tc>
      </w:tr>
      <w:tr>
        <w:tc>
          <w:tcPr>
            <w:tcW w:type="dxa" w:w="1008"/>
          </w:tcPr>
          <w:p>
            <w:r/>
            <w:r>
              <w:rPr>
                <w:rFonts w:ascii="Arial" w:hAnsi="Arial"/>
                <w:b w:val="0"/>
                <w:sz w:val="17"/>
              </w:rPr>
              <w:t>26 May</w:t>
            </w:r>
          </w:p>
        </w:tc>
        <w:tc>
          <w:tcPr>
            <w:tcW w:type="dxa" w:w="1008"/>
          </w:tcPr>
          <w:p>
            <w:r/>
            <w:r>
              <w:rPr>
                <w:rFonts w:ascii="Arial" w:hAnsi="Arial"/>
                <w:b w:val="0"/>
                <w:sz w:val="17"/>
              </w:rPr>
              <w:t>Trade 2</w:t>
            </w:r>
          </w:p>
        </w:tc>
        <w:tc>
          <w:tcPr>
            <w:tcW w:type="dxa" w:w="1008"/>
          </w:tcPr>
          <w:p>
            <w:r/>
            <w:r>
              <w:rPr>
                <w:rFonts w:ascii="Arial" w:hAnsi="Arial"/>
                <w:b w:val="0"/>
                <w:sz w:val="17"/>
              </w:rPr>
              <w:t>LONG</w:t>
            </w:r>
          </w:p>
        </w:tc>
        <w:tc>
          <w:tcPr>
            <w:tcW w:type="dxa" w:w="1440"/>
          </w:tcPr>
          <w:p>
            <w:r/>
            <w:r>
              <w:rPr>
                <w:rFonts w:ascii="Arial" w:hAnsi="Arial"/>
                <w:b w:val="0"/>
                <w:sz w:val="17"/>
              </w:rPr>
              <w:t>Yes</w:t>
            </w:r>
          </w:p>
        </w:tc>
        <w:tc>
          <w:tcPr>
            <w:tcW w:type="dxa" w:w="1008"/>
          </w:tcPr>
          <w:p>
            <w:r/>
            <w:r>
              <w:rPr>
                <w:rFonts w:ascii="Arial" w:hAnsi="Arial"/>
                <w:b w:val="0"/>
                <w:sz w:val="17"/>
              </w:rPr>
              <w:t>7,475</w:t>
            </w:r>
          </w:p>
        </w:tc>
        <w:tc>
          <w:tcPr>
            <w:tcW w:type="dxa" w:w="1728"/>
          </w:tcPr>
          <w:p>
            <w:r/>
            <w:r>
              <w:rPr>
                <w:rFonts w:ascii="Arial" w:hAnsi="Arial"/>
                <w:b w:val="0"/>
                <w:sz w:val="17"/>
              </w:rPr>
              <w:t>7,519 (TP2)</w:t>
            </w:r>
          </w:p>
        </w:tc>
        <w:tc>
          <w:tcPr>
            <w:tcW w:type="dxa" w:w="864"/>
          </w:tcPr>
          <w:p>
            <w:r/>
            <w:r>
              <w:rPr>
                <w:rFonts w:ascii="Arial" w:hAnsi="Arial"/>
                <w:b w:val="0"/>
                <w:sz w:val="17"/>
              </w:rPr>
              <w:t>+2.0R</w:t>
            </w:r>
          </w:p>
        </w:tc>
        <w:tc>
          <w:tcPr>
            <w:tcW w:type="dxa" w:w="576"/>
          </w:tcPr>
          <w:p>
            <w:r/>
            <w:r>
              <w:rPr>
                <w:rFonts w:ascii="Arial" w:hAnsi="Arial"/>
                <w:b w:val="0"/>
                <w:sz w:val="17"/>
              </w:rPr>
              <w:t>1</w:t>
            </w:r>
          </w:p>
        </w:tc>
      </w:tr>
      <w:tr>
        <w:tc>
          <w:tcPr>
            <w:tcW w:type="dxa" w:w="1008"/>
          </w:tcPr>
          <w:p>
            <w:r/>
            <w:r>
              <w:rPr>
                <w:rFonts w:ascii="Arial" w:hAnsi="Arial"/>
                <w:b w:val="0"/>
                <w:sz w:val="17"/>
              </w:rPr>
              <w:t>26 May</w:t>
            </w:r>
          </w:p>
        </w:tc>
        <w:tc>
          <w:tcPr>
            <w:tcW w:type="dxa" w:w="1008"/>
          </w:tcPr>
          <w:p>
            <w:r/>
            <w:r>
              <w:rPr>
                <w:rFonts w:ascii="Arial" w:hAnsi="Arial"/>
                <w:b w:val="0"/>
                <w:sz w:val="17"/>
              </w:rPr>
              <w:t>Trade 3A</w:t>
            </w:r>
          </w:p>
        </w:tc>
        <w:tc>
          <w:tcPr>
            <w:tcW w:type="dxa" w:w="1008"/>
          </w:tcPr>
          <w:p>
            <w:r/>
            <w:r>
              <w:rPr>
                <w:rFonts w:ascii="Arial" w:hAnsi="Arial"/>
                <w:b w:val="0"/>
                <w:sz w:val="17"/>
              </w:rPr>
              <w:t>LONG</w:t>
            </w:r>
          </w:p>
        </w:tc>
        <w:tc>
          <w:tcPr>
            <w:tcW w:type="dxa" w:w="1440"/>
          </w:tcPr>
          <w:p>
            <w:r/>
            <w:r>
              <w:rPr>
                <w:rFonts w:ascii="Arial" w:hAnsi="Arial"/>
                <w:b w:val="0"/>
                <w:sz w:val="17"/>
              </w:rPr>
              <w:t>Yes</w:t>
            </w:r>
          </w:p>
        </w:tc>
        <w:tc>
          <w:tcPr>
            <w:tcW w:type="dxa" w:w="1008"/>
          </w:tcPr>
          <w:p>
            <w:r/>
            <w:r>
              <w:rPr>
                <w:rFonts w:ascii="Arial" w:hAnsi="Arial"/>
                <w:b w:val="0"/>
                <w:sz w:val="17"/>
              </w:rPr>
              <w:t>7,471</w:t>
            </w:r>
          </w:p>
        </w:tc>
        <w:tc>
          <w:tcPr>
            <w:tcW w:type="dxa" w:w="1728"/>
          </w:tcPr>
          <w:p>
            <w:r/>
            <w:r>
              <w:rPr>
                <w:rFonts w:ascii="Arial" w:hAnsi="Arial"/>
                <w:b w:val="0"/>
                <w:sz w:val="17"/>
              </w:rPr>
              <w:t>7,519 (TP1)</w:t>
            </w:r>
          </w:p>
        </w:tc>
        <w:tc>
          <w:tcPr>
            <w:tcW w:type="dxa" w:w="864"/>
          </w:tcPr>
          <w:p>
            <w:r/>
            <w:r>
              <w:rPr>
                <w:rFonts w:ascii="Arial" w:hAnsi="Arial"/>
                <w:b w:val="0"/>
                <w:sz w:val="17"/>
              </w:rPr>
              <w:t>+1.6R</w:t>
            </w:r>
          </w:p>
        </w:tc>
        <w:tc>
          <w:tcPr>
            <w:tcW w:type="dxa" w:w="576"/>
          </w:tcPr>
          <w:p>
            <w:r/>
            <w:r>
              <w:rPr>
                <w:rFonts w:ascii="Arial" w:hAnsi="Arial"/>
                <w:b w:val="0"/>
                <w:sz w:val="17"/>
              </w:rPr>
              <w:t>1</w:t>
            </w:r>
          </w:p>
        </w:tc>
      </w:tr>
    </w:tbl>
    <w:p>
      <w:pPr>
        <w:pStyle w:val="Heading2"/>
      </w:pPr>
      <w:r>
        <w:t>21d. ‘What is working’ aggregate</w:t>
      </w:r>
    </w:p>
    <w:p>
      <w:r>
        <w:rPr>
          <w:b w:val="0"/>
          <w:i w:val="0"/>
        </w:rPr>
        <w:t>Hit-rate by strategy across the five-session window: Trade 1 (Daily Directional) — 5 of 5 triggered, 4 wins / 1 break-even, mean +1.56R outcome. Trade 2 (Regime-aware Pivot) — 2 of 5 triggered, both wins, mean +2.15R. Trade 3A (Momentum Pullback) — 2 of 5 triggered, both wins, mean +1.85R. TP1 hit rate across all triggered cards: 8 of 9 (89%). TP2 hit rate: 6 of 9 (67%). TP3 hit rate: 0 of 9 (0%). Aggregate mean R across triggered trades: +1.71R. Best-working configuration over this window: Trade 1 daily directional anchored at 07:00 UK in the prevailing Trending Up — Strong regime.</w:t>
      </w:r>
    </w:p>
    <w:p>
      <w:r>
        <w:rPr>
          <w:b w:val="0"/>
          <w:i/>
          <w:sz w:val="18"/>
        </w:rPr>
        <w:t>Limitations (verbatim): five-session windows are too small for statistical claims; the framework cannot model intraday tick-level fills, slippage, or commission; reconstructed entries assume fills at the stated reference price without queue or microstructure considerations.</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S&amp;P 500 Daily Report  │  28 May 2026  │  Senior US Equity Strategist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