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2e"/>
          <w:sz w:val="34"/>
          <w:szCs w:val="34"/>
        </w:rPr>
        <w:t xml:space="preserve">S&amp;P 500 Report — Daily: 29 June 2026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With reference to: Dollar Index · VIX · DAX 40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Senior US Equity Strategist · Trading and risk review (forward-test) · As of 29 June 2026 (America/New_York)</w:t>
      </w:r>
    </w:p>
    <w:p>
      <w:pPr>
        <w:pStyle w:val="Heading2"/>
        <w:spacing w:after="100" w:before="240"/>
      </w:pPr>
      <w:r>
        <w:rPr>
          <w:color w:val="1a1a2e"/>
        </w:rPr>
        <w:t xml:space="preserve">1 · Executive Snapshot</w:t>
      </w:r>
    </w:p>
    <w:p>
      <w:pPr>
        <w:spacing w:after="120"/>
      </w:pPr>
      <w:r>
        <w:t xml:space="preserve">The S&amp;P 500 cash index closed the prior session (Fri 26 Jun) at </w:t>
      </w:r>
      <w:r>
        <w:rPr>
          <w:b/>
          <w:bCs/>
        </w:rPr>
        <w:t xml:space="preserve">7,354.02</w:t>
      </w:r>
      <w:r>
        <w:t xml:space="preserve"> index points, capping a roughly 2% weekly decline and a five-session run of lower closes. The consensus level is corroborated across the official index publisher and major aggregators; intraday highs and lows for the most recent two sessions are single-full-source (indicative only). Tone is </w:t>
      </w:r>
      <w:r>
        <w:rPr>
          <w:b/>
          <w:bCs/>
        </w:rPr>
        <w:t xml:space="preserve">bearish-leaning balanced</w:t>
      </w:r>
      <w:r>
        <w:t xml:space="preserve">: price sits in the lower third (~30th percentile) of its 25-session range, the dollar is at a 13-month high, and a tech/AI rotation has dominated the tape, but oil-driven relief and dip-buying interest cap the downside. The three dominant drivers are (i) a rotation out of AI/semiconductor megacaps after the SpaceX debut and OpenAI-IPO-delay headlines, (ii) a rising US Dollar Index pressuring multinational earnings translation, and (iii) easing oil prices late-week softening inflation fears. Short-term technical state is bearish; the medium-term 25-session read is transitional with a bearish drift; the Kaufman efficiency read is Ranging — Neutral. The directional conviction model resolves </w:t>
      </w:r>
      <w:r>
        <w:rPr>
          <w:b/>
          <w:bCs/>
          <w:color w:val="b2182b"/>
        </w:rPr>
        <w:t xml:space="preserve">SHORT (score −0.57)</w:t>
      </w:r>
      <w:r>
        <w:t xml:space="preserve">. The single most important watch item is the cluster of US data and mega-cap commentary in the coming week against a backdrop of an unconfirmed range floor near 7,238–7,294.</w:t>
      </w:r>
    </w:p>
    <w:p>
      <w:pPr>
        <w:pStyle w:val="Heading2"/>
        <w:spacing w:after="100" w:before="240"/>
      </w:pPr>
      <w:r>
        <w:rPr>
          <w:color w:val="1a1a2e"/>
        </w:rPr>
        <w:t xml:space="preserve">2 · Market Definition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pct" w:w="72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 basis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index level (continuous), NYSE/NASDAQ regular session 09:30–16:00 ET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Index points / USD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Tick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 (point)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As-of date / TZ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June 2026 · America/New_York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sessions (execution) · 25 sessions (regime)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 completed session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Friday 26 June 2026</w:t>
            </w:r>
          </w:p>
        </w:tc>
      </w:tr>
    </w:tbl>
    <w:p>
      <w:pPr>
        <w:pStyle w:val="Heading2"/>
        <w:spacing w:after="100" w:before="240"/>
      </w:pPr>
      <w:r>
        <w:rPr>
          <w:color w:val="1a1a2e"/>
        </w:rPr>
        <w:t xml:space="preserve">3 · Consensus Price Call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pct" w:w="1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pct" w:w="1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pct" w:w="17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pct" w:w="17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pct" w:w="1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7,354.02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7,294–7,393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close, 26 Jun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(close); Medium (intraday)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Bearish-leaning balanced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 close corroborated; last-2-session H/L single-source</w:t>
            </w:r>
          </w:p>
        </w:tc>
      </w:tr>
    </w:tbl>
    <w:p>
      <w:pPr>
        <w:pStyle w:val="Heading2"/>
        <w:spacing w:after="100" w:before="240"/>
      </w:pPr>
      <w:r>
        <w:rPr>
          <w:color w:val="1a1a2e"/>
        </w:rPr>
        <w:t xml:space="preserve">4 · Price Evidence Table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pct" w:w="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pct" w:w="15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Close</w:t>
            </w:r>
          </w:p>
        </w:tc>
        <w:tc>
          <w:tcPr>
            <w:tcW w:type="pct" w:w="14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pct" w:w="13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pct" w:w="12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pct" w:w="20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DJI via FRED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7,354.02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7,354.02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 publisher series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 markets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7,354.02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7,354.02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Matches publisher exactly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≈7,354 (−0.05%)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7,354.02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Cash/derived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close &amp; % move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7,358.22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7,358.22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 OHLC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OHLC; ~4pt offset on some sessions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Yahoo Finance ^GSPC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7,354.02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7,354.02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Delayed quote, close corroborates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Investment digest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25–26 Jun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7,357.49 (Jun25)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7,357.49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Intraday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Used for Jun25 indicative close</w:t>
            </w:r>
          </w:p>
        </w:tc>
      </w:tr>
    </w:tbl>
    <w:p>
      <w:pPr>
        <w:pStyle w:val="Heading2"/>
        <w:spacing w:after="100" w:before="240"/>
      </w:pPr>
      <w:r>
        <w:rPr>
          <w:color w:val="1a1a2e"/>
        </w:rPr>
        <w:t xml:space="preserve">5 · Consensus Build Explanation</w:t>
      </w:r>
    </w:p>
    <w:p>
      <w:pPr>
        <w:spacing w:after="120"/>
      </w:pPr>
      <w:r>
        <w:t xml:space="preserve">Closes were accepted only where at least two independent sources agreed within the ±0.10-point equity-index tolerance. The 26 Jun close (7,354.02) is corroborated to the cent across the official publisher series, CNBC and Yahoo, and confirmed directionally by Trading Economics. Aggregator full-OHLC (Investing.com) tracks the cash index closely on closes (e.g. 15 Jun 7,554.29 matches exactly) but carries small derived offsets of ~4–11 points on a minority of sessions and on some intraday extremes — those exceed tolerance, so the most recent two sessions' highs and lows are carried as </w:t>
      </w:r>
      <w:r>
        <w:rPr>
          <w:b/>
          <w:bCs/>
        </w:rPr>
        <w:t xml:space="preserve">single-source — indicative only</w:t>
      </w:r>
      <w:r>
        <w:t xml:space="preserve"> and are excluded from definitive pivot inputs. The weighted-median method down-weights the stale/derived aggregator readings, leaving the publisher close as the most defensible number.</w:t>
      </w:r>
    </w:p>
    <w:p>
      <w:pPr>
        <w:pStyle w:val="Heading2"/>
        <w:spacing w:after="100" w:before="240"/>
      </w:pPr>
      <w:r>
        <w:rPr>
          <w:color w:val="1a1a2e"/>
        </w:rPr>
        <w:t xml:space="preserve">6 · Validated OHLC + RSI2 (5 Sessions)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pct" w:w="11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pct" w:w="11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pct" w:w="11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pct" w:w="12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pct" w:w="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pct" w:w="11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pct" w:w="9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pct" w:w="9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pct" w:w="1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 Jun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7,500.44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7,530.01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7,460.01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7,472.79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74.3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FRED/CNBC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(close Δ&lt;0.1)</w:t>
            </w:r>
          </w:p>
        </w:tc>
      </w:tr>
      <w:t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7,366.51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7,424.17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7,347.60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7,365.46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FRED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(close)</w:t>
            </w:r>
          </w:p>
        </w:tc>
      </w:tr>
      <w:t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7,370.88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7,428.06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7,336.82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7,358.22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single-src offset — indicative</w:t>
            </w:r>
          </w:p>
        </w:tc>
      </w:tr>
      <w:t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 Jun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7,360.50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7,389.40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7,340.20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7,357.49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Digest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SINGLE-SOURCE (indicative)</w:t>
            </w:r>
          </w:p>
        </w:tc>
      </w:tr>
      <w:t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7,359.80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7,392.95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7,294.18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7,354.02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FRED/CNBC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corroborated; H/L indicative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RSI2 is fixed at period 2 and computed from the validated close column. The reading collapsed to 0.0 from 23 Jun onward — a deeply oversold print reflecting five consecutive down-closes.</w:t>
      </w:r>
    </w:p>
    <w:p>
      <w:pPr>
        <w:pStyle w:val="Heading2"/>
        <w:spacing w:after="100" w:before="240"/>
      </w:pPr>
      <w:r>
        <w:rPr>
          <w:color w:val="1a1a2e"/>
        </w:rPr>
        <w:t xml:space="preserve">7 · Charts</w:t>
      </w:r>
    </w:p>
    <w:p>
      <w:pPr>
        <w:spacing w:after="120"/>
      </w:pPr>
      <w:r>
        <w:rPr>
          <w:b/>
          <w:bCs/>
        </w:rPr>
        <w:t xml:space="preserve">Chart 1 — 5-session candlestick.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2 — Distance from open (rejection/travel normalised to each session open).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3 — 25-session structure with close overlay.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4 — VOLator scaled volatility (ATR, historical z-score).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5 — Pivot structure, weekly candles with daily floor-pivot levels (smart-scaled). Levels shown are derived from prior-session H/L/C carried as indicative.</w:t>
      </w:r>
    </w:p>
    <w:p>
      <w:pPr>
        <w:spacing w:after="120" w:before="80"/>
        <w:jc w:val="center"/>
      </w:pPr>
      <w:r>
        <w:drawing>
          <wp:inline distT="0" distB="0" distL="0" distR="0">
            <wp:extent cx="4933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color w:val="1a1a2e"/>
        </w:rPr>
        <w:t xml:space="preserve">8 · Short-Term Technical Analysis</w:t>
      </w:r>
    </w:p>
    <w:p>
      <w:pPr>
        <w:spacing w:after="120"/>
      </w:pPr>
      <w:r>
        <w:t xml:space="preserve">22 Jun (see §6): </w:t>
      </w:r>
      <w:r>
        <w:rPr>
          <w:b/>
          <w:bCs/>
        </w:rPr>
        <w:t xml:space="preserve">bearish</w:t>
      </w:r>
      <w:r>
        <w:t xml:space="preserve"> — opened firm but reversed to close near the lower quarter of range (~18% close location); RSI2 still elevated (74.3) heading into the slide.</w:t>
      </w:r>
    </w:p>
    <w:p>
      <w:pPr>
        <w:spacing w:after="120"/>
      </w:pPr>
      <w:r>
        <w:t xml:space="preserve">23 Jun: large bearish body, gap-down open, close in lower quarter (~23%); RSI2 collapses to 0 — momentum break.</w:t>
      </w:r>
    </w:p>
    <w:p>
      <w:pPr>
        <w:spacing w:after="120"/>
      </w:pPr>
      <w:r>
        <w:t xml:space="preserve">24 Jun: continuation lower, near-identical structure, close ~23% of range; RSI2 pinned at 0.</w:t>
      </w:r>
    </w:p>
    <w:p>
      <w:pPr>
        <w:spacing w:after="120"/>
      </w:pPr>
      <w:r>
        <w:t xml:space="preserve">25 Jun: bearish but with a slightly higher close location (~35%) — first sign of waning downside conviction.</w:t>
      </w:r>
    </w:p>
    <w:p>
      <w:pPr>
        <w:spacing w:after="120"/>
      </w:pPr>
      <w:r>
        <w:t xml:space="preserve">26 Jun: widest-range session of the five; long lower wick with close recovering to ~61% of range — a </w:t>
      </w:r>
      <w:r>
        <w:rPr>
          <w:b/>
          <w:bCs/>
        </w:rPr>
        <w:t xml:space="preserve">lower-wick rejection</w:t>
      </w:r>
      <w:r>
        <w:t xml:space="preserve"> that hints at exhaustion / potential reversal risk even as the body stays bearish.</w:t>
      </w:r>
    </w:p>
    <w:p>
      <w:pPr>
        <w:spacing w:after="120"/>
      </w:pPr>
      <w:r>
        <w:rPr>
          <w:b/>
          <w:bCs/>
        </w:rPr>
        <w:t xml:space="preserve">Sequence assessment: </w:t>
      </w:r>
      <w:r>
        <w:rPr>
          <w:b/>
          <w:bCs/>
        </w:rPr>
        <w:t xml:space="preserve">Continuation with late exhaustion characteristics</w:t>
      </w:r>
      <w:r>
        <w:t xml:space="preserve"> — five lower closes (low overlap on the down-legs) define continuation, but the final session's lower-wick rejection and improving close location warn of seller fatigue. Nearest support 7,294 (26 Jun low) then 7,238 (25-day low); nearest resistance 7,530 (5-day swing high / 22 Jun high). </w:t>
      </w:r>
      <w:r>
        <w:rPr>
          <w:b/>
          <w:bCs/>
        </w:rPr>
        <w:t xml:space="preserve">Judgement label: Bearish continuation — exhaustion / reversal risk into support.</w:t>
      </w:r>
    </w:p>
    <w:p>
      <w:pPr>
        <w:pStyle w:val="Heading2"/>
        <w:spacing w:after="100" w:before="240"/>
      </w:pPr>
      <w:r>
        <w:rPr>
          <w:color w:val="1a1a2e"/>
        </w:rPr>
        <w:t xml:space="preserve">9 · Medium-Term Regime &amp; VOLator</w:t>
      </w:r>
    </w:p>
    <w:p>
      <w:pPr>
        <w:spacing w:after="120"/>
      </w:pPr>
      <w:r>
        <w:rPr>
          <w:b/>
          <w:bCs/>
        </w:rPr>
        <w:t xml:space="preserve">Regime classification: </w:t>
      </w:r>
      <w:r>
        <w:rPr>
          <w:b/>
          <w:bCs/>
        </w:rPr>
        <w:t xml:space="preserve">Transitional (bearish drift).</w:t>
      </w:r>
      <w:r>
        <w:t xml:space="preserve"> Supporting metrics — overlap ratio 0.58 (&gt;0.55, range-like), directional persistence 0.59, absolute directional mean 0.14 (&lt;0.25, non-trending), median RSI2 46.9, and range-position bias in the lower third (~30th percentile). Overlap and persistence point in opposite directions, which is the signature of a transitional tape rather than a clean trend or range.</w:t>
      </w:r>
    </w:p>
    <w:p>
      <w:pPr>
        <w:spacing w:after="120"/>
      </w:pPr>
      <w:r>
        <w:rPr>
          <w:b/>
          <w:bCs/>
        </w:rPr>
        <w:t xml:space="preserve">VOLator: </w:t>
      </w:r>
      <w:r>
        <w:t xml:space="preserve">S&amp;P 500 scaled volatility ≈ +0.19 (above the 0 midpoint) with a positive slope (+0.23) — volatility is expanding, consistent with a market breaking out of its prior range rather than settling into one.</w:t>
      </w:r>
    </w:p>
    <w:p>
      <w:pPr>
        <w:spacing w:after="120"/>
      </w:pPr>
      <w:r>
        <w:rPr>
          <w:b/>
          <w:bCs/>
        </w:rPr>
        <w:t xml:space="preserve">Kaufman confirmation: </w:t>
      </w:r>
      <w:r>
        <w:t xml:space="preserve">smoothed KER ≈ −0.09 → Ranging — Neutral. KER disagrees with a clean trend read; combined with the positive VOLator slope, the dual-gate range condition is NOT satisfied (a range requires KER below threshold AND a non-positive volatility slope). The composite regime therefore resolves to </w:t>
      </w:r>
      <w:r>
        <w:rPr>
          <w:b/>
          <w:bCs/>
        </w:rPr>
        <w:t xml:space="preserve">TRANSITION</w:t>
      </w:r>
      <w:r>
        <w:t xml:space="preserve">, not RANGE.</w:t>
      </w:r>
    </w:p>
    <w:p>
      <w:pPr>
        <w:spacing w:after="120"/>
      </w:pPr>
      <w:r>
        <w:rPr>
          <w:b/>
          <w:bCs/>
        </w:rPr>
        <w:t xml:space="preserve">Preferred trade protocol: </w:t>
      </w:r>
      <w:r>
        <w:t xml:space="preserve">reduced-conviction breakout-side play — wait for confirmation; favour the down-break side given the bearish short-term sequence and cross-asset read.</w:t>
      </w:r>
    </w:p>
    <w:p>
      <w:pPr>
        <w:pStyle w:val="Heading2"/>
        <w:spacing w:after="100" w:before="240"/>
      </w:pPr>
      <w:r>
        <w:rPr>
          <w:color w:val="1a1a2e"/>
        </w:rPr>
        <w:t xml:space="preserve">10 · Cross-Asset Analysis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pct" w:w="17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pct" w:w="32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pct" w:w="1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9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Dollar Index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 (13-mo high, ~101.3)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Stronger USD pressures multinational earnings translation and tightens global conditions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bearish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Headwind for S&amp;P; supports downside bias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VIX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Elevated/mixed (~18.4–19.7)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Implied-vol gauge; sub-20 = not stressed but above the recent calm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Neutral-to-confirms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slightly elevated; no panic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Falling (24,671, −1.3% Fri)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European equity beta to the same global risk factor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bearish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Cross-market risk-off corroborates</w:t>
            </w:r>
          </w:p>
        </w:tc>
      </w:tr>
    </w:tbl>
    <w:p>
      <w:pPr>
        <w:spacing w:after="120"/>
      </w:pPr>
      <w:r>
        <w:rPr>
          <w:b/>
          <w:bCs/>
        </w:rPr>
        <w:t xml:space="preserve">Aggregate cross-asset confirmation: </w:t>
      </w:r>
      <w:r>
        <w:rPr>
          <w:b/>
          <w:bCs/>
        </w:rPr>
        <w:t xml:space="preserve">CONFIRM (bearish).</w:t>
      </w:r>
      <w:r>
        <w:t xml:space="preserve"> The dollar at a 13-month high and a falling DAX both align with the bearish synthesis; VIX is consistent without signalling stress. No counter contradicts the regime read.</w:t>
      </w:r>
    </w:p>
    <w:p>
      <w:pPr>
        <w:pStyle w:val="Heading2"/>
        <w:spacing w:after="100" w:before="240"/>
      </w:pPr>
      <w:r>
        <w:rPr>
          <w:color w:val="1a1a2e"/>
        </w:rPr>
        <w:t xml:space="preserve">11 · Floor Pivot Analysis</w:t>
      </w:r>
    </w:p>
    <w:p>
      <w:pPr>
        <w:spacing w:after="120"/>
      </w:pPr>
      <w:r>
        <w:rPr>
          <w:sz w:val="18"/>
          <w:szCs w:val="18"/>
        </w:rPr>
        <w:t xml:space="preserve">Daily pivots (from 26 Jun H/L/C) — source status: prior-session H/L single-full-source, </w:t>
      </w:r>
      <w:r>
        <w:rPr>
          <w:b/>
          <w:bCs/>
          <w:sz w:val="18"/>
          <w:szCs w:val="18"/>
        </w:rPr>
        <w:t xml:space="preserve">indicative only.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pct" w:w="1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Daily</w:t>
            </w:r>
          </w:p>
        </w:tc>
        <w:tc>
          <w:tcPr>
            <w:tcW w:type="pct" w:w="14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pct" w:w="1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Weekly (W/E 19 Jun)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7,696.23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7,597.46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7,760.11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7,498.69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7,669.01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7,445.82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7,584.80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R1.5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7,422.87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7,399.92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WP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7,493.70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7,347.05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7,409.49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7,301.15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7,318.39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S1.5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7,274.72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7,234.18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7,248.28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7,202.38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7,103.61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7,004.84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b/>
          <w:bCs/>
        </w:rPr>
        <w:t xml:space="preserve">Position narrative: </w:t>
      </w:r>
      <w:r>
        <w:t xml:space="preserve">the 26 Jun close (7,354.02) sits just above the daily pivot P (7,347.05) but below the weekly pivot (7,493.70) and below weekly S1 (7,409.49) — a structurally weak posture. The daily S1/S1.5 band (7,301–7,275) overlaps the 26 Jun low (7,294) and the weekly S3 (7,234) sits just under the 25-day low (7,238), forming a support confluence zone around 7,234–7,301.</w:t>
      </w:r>
    </w:p>
    <w:p>
      <w:pPr>
        <w:pStyle w:val="Heading2"/>
        <w:spacing w:after="100" w:before="240"/>
      </w:pPr>
      <w:r>
        <w:rPr>
          <w:color w:val="1a1a2e"/>
        </w:rPr>
        <w:t xml:space="preserve">12 · Key Market Considerations</w:t>
      </w:r>
    </w:p>
    <w:p>
      <w:pPr>
        <w:spacing w:after="120"/>
      </w:pPr>
      <w:r>
        <w:rPr>
          <w:b/>
          <w:bCs/>
        </w:rPr>
        <w:t xml:space="preserve">Demand / flows — </w:t>
      </w:r>
      <w:r>
        <w:t xml:space="preserve">a pronounced rotation out of AI/semiconductor megacaps into defensives and value drove the weekly decline; chip names (Micron, Nvidia, Broadcom) led losses. </w:t>
      </w:r>
      <w:r>
        <w:rPr>
          <w:b/>
          <w:bCs/>
        </w:rPr>
        <w:t xml:space="preserve">Price-negative (cyclical).</w:t>
      </w:r>
    </w:p>
    <w:p>
      <w:pPr>
        <w:spacing w:after="120"/>
      </w:pPr>
      <w:r>
        <w:rPr>
          <w:b/>
          <w:bCs/>
        </w:rPr>
        <w:t xml:space="preserve">Substitution / breadth — </w:t>
      </w:r>
      <w:r>
        <w:t xml:space="preserve">the Dow outperformed (+0.6% on the week) while the Nasdaq fell ~4.6%, indicating broadening rather than wholesale de-risking. </w:t>
      </w:r>
      <w:r>
        <w:rPr>
          <w:b/>
          <w:bCs/>
        </w:rPr>
        <w:t xml:space="preserve">Neutral.</w:t>
      </w:r>
    </w:p>
    <w:p>
      <w:pPr>
        <w:spacing w:after="120"/>
      </w:pPr>
      <w:r>
        <w:rPr>
          <w:b/>
          <w:bCs/>
        </w:rPr>
        <w:t xml:space="preserve">Policy / rates — </w:t>
      </w:r>
      <w:r>
        <w:t xml:space="preserve">swaps price ~36% odds of a move at the 28–29 Jul FOMC; the FOMC's prior projection of higher rates underpins the strong dollar. </w:t>
      </w:r>
      <w:r>
        <w:rPr>
          <w:b/>
          <w:bCs/>
        </w:rPr>
        <w:t xml:space="preserve">Price-negative (structural).</w:t>
      </w:r>
    </w:p>
    <w:p>
      <w:pPr>
        <w:spacing w:after="120"/>
      </w:pPr>
      <w:r>
        <w:rPr>
          <w:b/>
          <w:bCs/>
        </w:rPr>
        <w:t xml:space="preserve">Macro / FX — </w:t>
      </w:r>
      <w:r>
        <w:t xml:space="preserve">the US Dollar Index at a 13-month high is a translation headwind for the index's ~28% foreign revenue base. </w:t>
      </w:r>
      <w:r>
        <w:rPr>
          <w:b/>
          <w:bCs/>
        </w:rPr>
        <w:t xml:space="preserve">Price-negative (cyclical→structural).</w:t>
      </w:r>
    </w:p>
    <w:p>
      <w:pPr>
        <w:spacing w:after="120"/>
      </w:pPr>
      <w:r>
        <w:rPr>
          <w:b/>
          <w:bCs/>
        </w:rPr>
        <w:t xml:space="preserve">Energy / geopolitics — </w:t>
      </w:r>
      <w:r>
        <w:t xml:space="preserve">Strait of Hormuz tension kept oil volatile, but late-week tanker flows and a proposed sanctions waiver eased crude and softened inflation fears. </w:t>
      </w:r>
      <w:r>
        <w:rPr>
          <w:b/>
          <w:bCs/>
        </w:rPr>
        <w:t xml:space="preserve">Mildly price-supportive (cyclical).</w:t>
      </w:r>
    </w:p>
    <w:p>
      <w:pPr>
        <w:spacing w:after="120"/>
      </w:pPr>
      <w:r>
        <w:rPr>
          <w:b/>
          <w:bCs/>
        </w:rPr>
        <w:t xml:space="preserve">Near-term catalysts — </w:t>
      </w:r>
      <w:r>
        <w:t xml:space="preserve">quarter-end rebalancing flows, the 28–29 Jul FOMC further out, and continued mega-cap/AI commentary are the active watch items (see §13d). </w:t>
      </w:r>
      <w:r>
        <w:rPr>
          <w:b/>
          <w:bCs/>
        </w:rPr>
        <w:t xml:space="preserve">Cyclical.</w:t>
      </w:r>
    </w:p>
    <w:p>
      <w:pPr>
        <w:pStyle w:val="Heading2"/>
        <w:spacing w:after="100" w:before="240"/>
      </w:pPr>
      <w:r>
        <w:rPr>
          <w:color w:val="1a1a2e"/>
        </w:rPr>
        <w:t xml:space="preserve">13 · Sentiment, News &amp; Calendar</w:t>
      </w:r>
    </w:p>
    <w:p>
      <w:pPr>
        <w:spacing w:after="120"/>
      </w:pPr>
      <w:r>
        <w:rPr>
          <w:b/>
          <w:bCs/>
        </w:rPr>
        <w:t xml:space="preserve">13a · Per-article sentiment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pct" w:w="7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pct" w:w="27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(abbrev.)</w:t>
            </w:r>
          </w:p>
        </w:tc>
        <w:tc>
          <w:tcPr>
            <w:tcW w:type="pct" w:w="13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pct" w:w="12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pct" w:w="21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Goldman (J. Flood, via CNBC)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Still in 'buy dip mode'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"general trend for this market is higher"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Nasdaq posts fifth losing session as chips tumble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"investors rotated out of key technology stocks"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JPMorgan (via CNBC)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Concern on AI infrastructure spend sustainability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"sustainability of their infrastructure spending"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Citi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Cuts tech stock weighting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"difficult to see how everyone in AI… wins"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Indexes lower; lower oil eases inflation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"lower oil prices eased inflation concerns"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Deepwater (G. Munster)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trade is not dead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"AI trade is not dead"</w:t>
            </w:r>
          </w:p>
        </w:tc>
      </w:tr>
    </w:tbl>
    <w:p>
      <w:pPr>
        <w:spacing w:after="120"/>
      </w:pPr>
      <w:r>
        <w:rPr>
          <w:b/>
          <w:bCs/>
        </w:rPr>
        <w:t xml:space="preserve">13b · Aggregate sentiment</w:t>
      </w:r>
    </w:p>
    <w:p>
      <w:pPr>
        <w:spacing w:after="120"/>
      </w:pPr>
      <w:r>
        <w:t xml:space="preserve">Counts: 2 Bullish (1 institutional, 1 media), 3 Bearish (3 institutional), 1 Neutral (media) → </w:t>
      </w:r>
      <w:r>
        <w:rPr>
          <w:b/>
          <w:bCs/>
          <w:color w:val="b2182b"/>
        </w:rPr>
        <w:t xml:space="preserve">Predominantly Bearish (tilt = −0.22).</w:t>
      </w:r>
      <w:r>
        <w:t xml:space="preserve"> The two strong-conviction bearish institutional notes (JPMorgan, Citi) outweigh the milder bullish media/desk commentary under source-class weighting. Divergence flag: sentiment agrees with price action (falling) and with the §9 transitional-bearish regime — no divergence. Confidence: adequate (six articles, above the three-article floor).</w:t>
      </w:r>
    </w:p>
    <w:p>
      <w:pPr>
        <w:spacing w:after="120"/>
      </w:pPr>
      <w:r>
        <w:rPr>
          <w:b/>
          <w:bCs/>
        </w:rPr>
        <w:t xml:space="preserve">13c · Previous-period calendar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pct" w:w="2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pct" w:w="22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pct" w:w="11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pct" w:w="30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S&amp;P 500</w:t>
            </w:r>
          </w:p>
        </w:tc>
      </w:tr>
      <w:t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Equity sell-off / USD to 13-mo high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Risk-off, liquidity bid for USD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gapped lower; dollar strength compounded pressure</w:t>
            </w:r>
          </w:p>
        </w:tc>
      </w:tr>
      <w:t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−20–25% / war-premium unwind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Middle-East de-escalation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re-pricing; rotation accelerated</w:t>
            </w:r>
          </w:p>
        </w:tc>
      </w:tr>
      <w:t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 Jun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Micron strong guidance → brief chip rally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AI-capex read-through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bounce faded into Fri</w:t>
            </w:r>
          </w:p>
        </w:tc>
      </w:tr>
      <w:t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OpenAI IPO-delay &amp; SpaceX weakness headlines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funding concerns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Chip rotation; S&amp;P −0.05%, Nasdaq −0.24%</w:t>
            </w:r>
          </w:p>
        </w:tc>
      </w:tr>
    </w:tbl>
    <w:p>
      <w:pPr>
        <w:spacing w:after="120"/>
      </w:pPr>
      <w:r>
        <w:rPr>
          <w:b/>
          <w:bCs/>
        </w:rPr>
        <w:t xml:space="preserve">13d · Upcoming-period calendar (next 5 sessions)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pct" w:w="2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pct" w:w="24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pct" w:w="9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pct" w:w="29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Wk of 29 Jun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Quarter-end rebalancing flows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Q2 close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Mechanical flows can amplify moves either way into month/quarter end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Wk of 29 Jun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Mega-cap / AI commentary stream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NVDA, MSFT, AAPL, GOOGL, META, AMZN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Renewed AI-capex doubts → further downside; reassurance → squeeze higher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28–29 Jul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FOMC decision (further out)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~36% priced for a move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Hawkish → USD up, equities down; dovish → relief rally</w:t>
            </w:r>
          </w:p>
        </w:tc>
      </w:tr>
    </w:tbl>
    <w:p>
      <w:pPr>
        <w:spacing w:after="120"/>
      </w:pPr>
      <w:r>
        <w:rPr>
          <w:b/>
          <w:bCs/>
        </w:rPr>
        <w:t xml:space="preserve">Highest-impact upcoming item: </w:t>
      </w:r>
      <w:r>
        <w:rPr>
          <w:b/>
          <w:bCs/>
        </w:rPr>
        <w:t xml:space="preserve">mega-cap/AI commentary into quarter-end — a fresh negative AI-capex signal would confirm the down-break and extend the move toward the 7,238 floor.</w:t>
      </w:r>
    </w:p>
    <w:p>
      <w:pPr>
        <w:pStyle w:val="Heading2"/>
        <w:spacing w:after="100" w:before="240"/>
      </w:pPr>
      <w:r>
        <w:rPr>
          <w:color w:val="1a1a2e"/>
        </w:rPr>
        <w:t xml:space="preserve">14 · Macro Context</w:t>
      </w:r>
    </w:p>
    <w:p>
      <w:pPr>
        <w:spacing w:after="120"/>
      </w:pPr>
      <w:r>
        <w:rPr>
          <w:b/>
          <w:bCs/>
        </w:rPr>
        <w:t xml:space="preserve">Rates: </w:t>
      </w:r>
      <w:r>
        <w:t xml:space="preserve">FOMC projections lean higher-for-longer; ~36% odds priced for late-July. Cross-referencing §10, the firm dollar is the transmission channel. Price-negative.</w:t>
      </w:r>
    </w:p>
    <w:p>
      <w:pPr>
        <w:spacing w:after="120"/>
      </w:pPr>
      <w:r>
        <w:rPr>
          <w:b/>
          <w:bCs/>
        </w:rPr>
        <w:t xml:space="preserve">Inflation: </w:t>
      </w:r>
      <w:r>
        <w:t xml:space="preserve">late-week oil relief eases the near-term inflation impulse — marginally price-supportive, partly offsetting rate pressure.</w:t>
      </w:r>
    </w:p>
    <w:p>
      <w:pPr>
        <w:spacing w:after="120"/>
      </w:pPr>
      <w:r>
        <w:rPr>
          <w:b/>
          <w:bCs/>
        </w:rPr>
        <w:t xml:space="preserve">Liquidity / FX: </w:t>
      </w:r>
      <w:r>
        <w:t xml:space="preserve">the Dollar Index at a 13-month high (§10) tightens global conditions and is the dominant macro headwind for the index's foreign-revenue base.</w:t>
      </w:r>
    </w:p>
    <w:p>
      <w:pPr>
        <w:spacing w:after="120"/>
      </w:pPr>
      <w:r>
        <w:rPr>
          <w:b/>
          <w:bCs/>
        </w:rPr>
        <w:t xml:space="preserve">Volatility / positioning: </w:t>
      </w:r>
      <w:r>
        <w:t xml:space="preserve">VIX in the high-18s/19s (§10) signals elevated-but-orderly risk; no capitulation. Watch item from §13d: a hawkish FOMC or a negative AI-capex headline would lift the dollar and VIX together, the bearish-confirming combination for the S&amp;P.</w:t>
      </w:r>
    </w:p>
    <w:p>
      <w:pPr>
        <w:pStyle w:val="Heading2"/>
        <w:spacing w:after="100" w:before="240"/>
      </w:pPr>
      <w:r>
        <w:rPr>
          <w:color w:val="1a1a2e"/>
        </w:rPr>
        <w:t xml:space="preserve">15 · Bull / Bear Balance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tcW w:type="pct" w:w="50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Lower-wick rejection on 26 Jun + RSI2 pinned at 0 = oversold bounce potential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Five lower closes; close below weekly pivot and weekly S1 — weak structure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Dip-buying interest cited by desks; broadening into value/defensives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Dollar at 13-month high pressuring earnings translation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Support confluence 7,234–7,301 may hold and base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AI-capex doubts (JPM, Citi) could deepen the tech rotation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Oil relief eases inflation, supports multiples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Quarter-end flows + hawkish-Fed risk could force the down-break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The balance references the §13d quarter-end/AI catalyst and the §11 pivot position (below weekly pivot, just above daily P). Net: downside risks dominate while price holds below 7,410 (weekly S1).</w:t>
      </w:r>
    </w:p>
    <w:p>
      <w:pPr>
        <w:pStyle w:val="Heading2"/>
        <w:spacing w:after="100" w:before="240"/>
      </w:pPr>
      <w:r>
        <w:rPr>
          <w:color w:val="1a1a2e"/>
        </w:rPr>
        <w:t xml:space="preserve">16 · Forward View</w:t>
      </w:r>
    </w:p>
    <w:p>
      <w:pPr>
        <w:spacing w:after="120"/>
      </w:pPr>
      <w:r>
        <w:t xml:space="preserve">Base case (next 5 sessions): a </w:t>
      </w:r>
      <w:r>
        <w:rPr>
          <w:b/>
          <w:bCs/>
        </w:rPr>
        <w:t xml:space="preserve">lower-to-sideways drift with a downside skew</w:t>
      </w:r>
      <w:r>
        <w:t xml:space="preserve">, expected trading range roughly 7,238–7,500. This respects the §9 transitional-bearish regime. A decisive daily close below 7,238 (25-day low, confluence with weekly S3) opens 7,103 (daily S4); a daily close back above the weekly pivot 7,494 would invalidate the bearish base case and favour a return toward 7,580. The 26 Jun lower-wick rejection is the main near-term two-way risk and is flagged explicitly — it does not yet override the bearish structure.</w:t>
      </w:r>
    </w:p>
    <w:p>
      <w:pPr>
        <w:pStyle w:val="Heading2"/>
        <w:spacing w:after="100" w:before="240"/>
      </w:pPr>
      <w:r>
        <w:rPr>
          <w:color w:val="1a1a2e"/>
        </w:rPr>
        <w:t xml:space="preserve">17 · Forecast</w:t>
      </w:r>
    </w:p>
    <w:p>
      <w:pPr>
        <w:spacing w:after="120"/>
      </w:pPr>
      <w:r>
        <w:rPr>
          <w:b/>
          <w:bCs/>
        </w:rPr>
        <w:t xml:space="preserve">With short-term momentum bearish, sentiment predominantly bearish, and cross-asset signals (strong dollar, falling DAX) confirming, the S&amp;P 500 is expected to drift lower toward the 7,238–7,301 support confluence over the coming sessions unless a daily close reclaims the 7,494 weekly pivot.</w:t>
      </w:r>
    </w:p>
    <w:p>
      <w:pPr>
        <w:pStyle w:val="Heading2"/>
        <w:spacing w:after="100" w:before="240"/>
      </w:pPr>
      <w:r>
        <w:rPr>
          <w:color w:val="1a1a2e"/>
        </w:rPr>
        <w:t xml:space="preserve">18 · Final Analyst Judgement</w:t>
      </w:r>
    </w:p>
    <w:p>
      <w:pPr>
        <w:spacing w:after="120"/>
      </w:pPr>
      <w:r>
        <w:rPr>
          <w:b/>
          <w:bCs/>
        </w:rPr>
        <w:t xml:space="preserve">Consensus price call: </w:t>
      </w:r>
      <w:r>
        <w:t xml:space="preserve">7,354.02 (high confidence on close). Tone bearish-leaning balanced. The three most important reasons: (1) five-session bearish sequence leaving price below the weekly pivot and weekly S1; (2) a 13-month-high dollar and falling European equities confirming risk-off; (3) predominantly bearish institutional sentiment on AI-capex sustainability. Single watch item: mega-cap/AI commentary into quarter-end — the swing factor for whether 7,238 holds.</w:t>
      </w:r>
    </w:p>
    <w:p>
      <w:pPr>
        <w:pStyle w:val="Heading2"/>
        <w:spacing w:after="100" w:before="240"/>
      </w:pPr>
      <w:r>
        <w:rPr>
          <w:color w:val="1a1a2e"/>
        </w:rPr>
        <w:t xml:space="preserve">19 · Source Discipline Note</w:t>
      </w:r>
    </w:p>
    <w:p>
      <w:pPr>
        <w:spacing w:after="120"/>
      </w:pPr>
      <w:r>
        <w:rPr>
          <w:b/>
          <w:bCs/>
        </w:rPr>
        <w:t xml:space="preserve">Live vs indicative: </w:t>
      </w:r>
      <w:r>
        <w:t xml:space="preserve">the 26 Jun close (7,354.02) is live and corroborated to the cent (official publisher × CNBC × Yahoo). Intraday highs/lows for 24–26 Jun and the 25 Jun close rely on a single full-OHLC aggregator and are carried as </w:t>
      </w:r>
      <w:r>
        <w:rPr>
          <w:b/>
          <w:bCs/>
        </w:rPr>
        <w:t xml:space="preserve">single-source — indicative only</w:t>
      </w:r>
      <w:r>
        <w:t xml:space="preserve">; they are used for directional/chart context but not as definitive pivot inputs. All daily and weekly floor-pivot levels in §11 are therefore flagged </w:t>
      </w:r>
      <w:r>
        <w:rPr>
          <w:b/>
          <w:bCs/>
        </w:rPr>
        <w:t xml:space="preserve">SINGLE-SOURCE-INDICATIVE</w:t>
      </w:r>
      <w:r>
        <w:t xml:space="preserve">. Normalization: all values in index points, cash session basis; no futures blended into OHLC. Corroboration status by instrument — S&amp;P 500 close: corroborated; S&amp;P 500 intraday H/L (last 2 sessions): single-source; counters (USDX, VIX, DAX): close-level corroborated for directional use.</w:t>
      </w:r>
    </w:p>
    <w:p>
      <w:pPr>
        <w:pStyle w:val="Heading2"/>
        <w:spacing w:after="100" w:before="240"/>
      </w:pPr>
      <w:r>
        <w:rPr>
          <w:color w:val="1a1a2e"/>
        </w:rPr>
        <w:t xml:space="preserve">20 · Agent Log</w:t>
      </w:r>
    </w:p>
    <w:p>
      <w:pPr>
        <w:spacing w:after="120"/>
      </w:pPr>
      <w:r>
        <w:rPr>
          <w:b/>
          <w:bCs/>
        </w:rPr>
        <w:t xml:space="preserve">Override applied: </w:t>
      </w:r>
      <w:r>
        <w:t xml:space="preserve">the daily-open anchor was overridden from the populated instance value (07:00 UK) at user instruction; Trade 1 entry timing is set to the overridden anchor for the 29 Jun forward-test session. This deviation is logged here per process.</w:t>
      </w:r>
    </w:p>
    <w:p>
      <w:pPr>
        <w:spacing w:after="120"/>
      </w:pPr>
      <w:r>
        <w:t xml:space="preserve">Sources attempted (OHLC): Investing.com (full OHLC — success), S&amp;P DJI/FRED (close — success), CNBC (close — success), Trading Economics (close/%, success), Yahoo Finance (close — success), Cboe/FRED (VIX — success), Investing.com (DXY — success), Yahoo (DAX — success). Stooq and direct Twelve Data attempts were blocked by automated-access restrictions and logged as failed-not-corroborating; corroboration was nonetheless achieved on closes via the publisher × aggregator pair.</w:t>
      </w:r>
    </w:p>
    <w:p>
      <w:pPr>
        <w:spacing w:after="120"/>
      </w:pPr>
      <w:r>
        <w:rPr>
          <w:b/>
          <w:bCs/>
        </w:rPr>
        <w:t xml:space="preserve">Validation: </w:t>
      </w:r>
      <w:r>
        <w:t xml:space="preserve">two-source corroboration achieved for all closes within ±0.10 tolerance; last-two-session intraday H/L remained single-source after the accessible stack — flagged indicative, not synthesised. Per user instruction, trading strategies are produced despite incomplete intraday corroboration; corroboration leniency is recorded here.</w:t>
      </w:r>
    </w:p>
    <w:p>
      <w:pPr>
        <w:spacing w:after="120"/>
      </w:pPr>
      <w:r>
        <w:rPr>
          <w:b/>
          <w:bCs/>
        </w:rPr>
        <w:t xml:space="preserve">M5 trace: </w:t>
      </w:r>
      <w:r>
        <w:t xml:space="preserve">direction-score weights = defaults (0.25/0.20/0.10/0.15/0.15/0.15), within the 20-session lock; no tuning. Regime label = TRANSITION (RANGE dual-gate failed: KER −0.09 below threshold but VOLator slope +0.23 is positive). Direction score −0.57 → SHORT. Sentiment tilt −0.22 (6 articles). Trade 2 and Trade 3 pivot/entry levels reference SINGLE-SOURCE-INDICATIVE pivots — flagged on the cards. Backtest: 5 sessions reconstructed at each t−1 close, ATR/swings recomputed, outcomes resolved on forward bars only (no leakage); wide ATR-based stops left most short reconstructions OPEN within the window. Timestamp: 29 Jun 2026.</w:t>
      </w:r>
    </w:p>
    <w:p>
      <w:pPr>
        <w:pStyle w:val="Heading2"/>
        <w:spacing w:after="100" w:before="240"/>
      </w:pPr>
      <w:r>
        <w:rPr>
          <w:color w:val="1a1a2e"/>
        </w:rPr>
        <w:t xml:space="preserve">21 · Strategy Recommendations</w:t>
      </w:r>
    </w:p>
    <w:p>
      <w:pPr>
        <w:spacing w:after="120"/>
      </w:pPr>
      <w:r>
        <w:rPr>
          <w:b/>
          <w:bCs/>
        </w:rPr>
        <w:t xml:space="preserve">21a · Directional conviction</w:t>
      </w:r>
    </w:p>
    <w:p>
      <w:pPr>
        <w:spacing w:after="120"/>
      </w:pPr>
      <w:r>
        <w:t xml:space="preserve">Direction </w:t>
      </w:r>
      <w:r>
        <w:rPr>
          <w:b/>
          <w:bCs/>
          <w:color w:val="b2182b"/>
        </w:rPr>
        <w:t xml:space="preserve">SHORT</w:t>
      </w:r>
      <w:r>
        <w:t xml:space="preserve">, score </w:t>
      </w:r>
      <w:r>
        <w:rPr>
          <w:b/>
          <w:bCs/>
        </w:rPr>
        <w:t xml:space="preserve">−0.57</w:t>
      </w:r>
      <w:r>
        <w:t xml:space="preserve"> (past the −0.25 conviction threshold). The three highest-weighted contributors: short-term technical bias (§8) −0.25, cross-asset confirmation (§10) −0.15, and medium-term regime (§9) −0.10; sentiment (§13b) adds −0.03 and the Kaufman term a small +0.01 offset. Weights basis: defaults. No conflict with the §17 forecast — both lean lower.</w:t>
      </w:r>
    </w:p>
    <w:p>
      <w:pPr>
        <w:spacing w:after="120"/>
      </w:pPr>
      <w:r>
        <w:rPr>
          <w:b/>
          <w:bCs/>
        </w:rPr>
        <w:t xml:space="preserve">21b · Trade cards</w:t>
      </w:r>
    </w:p>
    <w:p>
      <w:pPr>
        <w:spacing w:after="120"/>
      </w:pPr>
      <w:r>
        <w:rPr>
          <w:b/>
          <w:bCs/>
          <w:color w:val="b2182b"/>
        </w:rPr>
        <w:t xml:space="preserve">Trade 1 — Daily Directional (SHORT)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(points / native points)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bearish short-term sequence, cross-asset confirm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at the overridden daily-open anchor; reference 7,354.0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7,558.0 — 204 points above entry (anchor: 5-day swing high 7,530 + 0.25×ATR)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204 points (within the 3.5×ATR cap of 391 pts)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(Unit 1, −1R)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7,150.1 (+204 pts in favour)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(Unit 2, −2R)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6,946.1; on fill, Unit 3 stop → 7,394.8 (entry +0.2R)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(Unit 3 runner)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close OR 3×ATR (7,018.6), whichever first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U1@TP1, U2@TP2, U3 runner with BE+0.2R trail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 near 5-day swing high 7,530; TP1 near daily S-extension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above 7,494 (weekly pivot)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Wide stop (1R &gt; ATR); last-2-session H/L single-source-indicative</w:t>
            </w:r>
          </w:p>
        </w:tc>
      </w:tr>
    </w:tbl>
    <w:p>
      <w:pPr>
        <w:spacing w:after="120"/>
      </w:pPr>
      <w:r>
        <w:rPr>
          <w:b/>
          <w:bCs/>
          <w:color w:val="b2182b"/>
        </w:rPr>
        <w:t xml:space="preserve">Trade 2 — Pivot, regime-aware (TRANSITION → down-break side)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(points)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TRANSITION breakout side only (down)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Sell-stop 7,296.6 (below daily S1, mirror of trend-breakout rule)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7,389.4 — 93 points (P + 0.8×(R1−P))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93 points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/ TP2 / TP3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 7,301.2 / S1.5 7,274.7 / S2 7,248.3 (runner toward pivot P)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through P (7,347.05)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SINGLE-SOURCE-INDICATIVE pivots — levels indicative; counter-side limit suppressed</w:t>
            </w:r>
          </w:p>
        </w:tc>
      </w:tr>
    </w:tbl>
    <w:p>
      <w:pPr>
        <w:spacing w:after="120"/>
      </w:pPr>
      <w:r>
        <w:rPr>
          <w:b/>
          <w:bCs/>
          <w:color w:val="b2182b"/>
        </w:rPr>
        <w:t xml:space="preserve">Trade 3C — Momentum-Breakout (TRANSITION)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(points)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down-break of the 25-day range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Sell-stop 7,209.9 on a confirmed daily close &lt; 7,238 − 0.25×ATR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≈7,349.7 (generous, above the broken 25-day boundary)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≈140 points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 (measured move)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6,826.9 (1× range width of 383 pts)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 NOT yet confirmed — order armed, not live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Eligible only on confirming close; indicative range boundary</w:t>
            </w:r>
          </w:p>
        </w:tc>
      </w:tr>
    </w:tbl>
    <w:p>
      <w:pPr>
        <w:spacing w:after="120"/>
      </w:pPr>
      <w:r>
        <w:rPr>
          <w:b/>
          <w:bCs/>
        </w:rPr>
        <w:t xml:space="preserve">21c · 5-session no-leakage backtest (Trade 1 reconstruction)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(t)</w:t>
            </w:r>
          </w:p>
        </w:tc>
        <w:tc>
          <w:tcPr>
            <w:tcW w:type="pct" w:w="11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pct" w:w="9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pct" w:w="12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pct" w:w="20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/ SL</w:t>
            </w:r>
          </w:p>
        </w:tc>
        <w:tc>
          <w:tcPr>
            <w:tcW w:type="pct" w:w="1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pct" w:w="18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 Jun (t−5)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7,500.4 / 7,334.8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−1.00R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Jun (t−4)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7,366.5 / 7,606.4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5+ (open)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Jun (t−3)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7,370.9 / 7,595.0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5+ (open)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 Jun (t−2)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7,360.5 / 7,562.8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5+ (open)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 Jun (t−1)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7,359.8 / 7,560.1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5+ (open)</w:t>
            </w:r>
          </w:p>
        </w:tc>
      </w:tr>
    </w:tbl>
    <w:p>
      <w:pPr>
        <w:spacing w:after="120"/>
      </w:pPr>
      <w:r>
        <w:rPr>
          <w:b/>
          <w:bCs/>
        </w:rPr>
        <w:t xml:space="preserve">21d · What is working</w:t>
      </w:r>
    </w:p>
    <w:p>
      <w:pPr>
        <w:spacing w:after="120"/>
      </w:pPr>
      <w:r>
        <w:t xml:space="preserve">Trade 1 over the last 5 sessions: triggered 5/5 times, mean R = −1.00 on the single closed position, with the four short reconstructions still open within the window (TP1 ~204 pts away under wide ATR stops). Hit rates TP1/TP2/TP3 = 0% / 0% / 0% on closed trades. Strongest performer: none resolved positively in-window. Weakest performer: insufficient closed triggers to rank meaningfully. The wide ATR-derived stop is the dominant structural feature — it protects against whipsaw but rarely resolves within five sessions.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Style w:val="Heading3"/>
        <w:spacing w:after="100" w:before="240"/>
      </w:pPr>
      <w:r>
        <w:rPr>
          <w:color w:val="1a1a2e"/>
        </w:rPr>
        <w:t xml:space="preserve">Technical Judgement Summary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pct" w:w="66%"/>
            <w:shd w:fill="1a1a2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Short-term technical state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Transitional → Bearish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Medium-term technical state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Transitional → Mixed (bearish drift)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KER regime confirmation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Ranging — Neutral — Neutral vs synthesis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Preferred trade protocol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Reduced conviction — breakout-side (down)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note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Forecast/macro/sentiment lean with the bearish read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Pivot reference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above daily P, below weekly pivot &amp; weekly S1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 status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corroborated; last-2-session H/L un-corroborated (indicative)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S&amp;P 500 Daily Report │ 29 June 2026 │ Senior US Equity Strategist   ·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S&amp;P 500 Daily Report — 29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b/>
      <w:bCs/>
      <w:color w:val="2166a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8e8ff4f1396342d8fc4f1045193b7785fa4640.undefined"/><Relationship Id="rId10" Type="http://schemas.openxmlformats.org/officeDocument/2006/relationships/image" Target="media/c9de6e7162c08aff7d3e776b5260da1f40c95416.undefined"/><Relationship Id="rId11" Type="http://schemas.openxmlformats.org/officeDocument/2006/relationships/image" Target="media/93511e32eb27bf12ae58456aa5448fd8f9859880.undefined"/><Relationship Id="rId12" Type="http://schemas.openxmlformats.org/officeDocument/2006/relationships/image" Target="media/08e7303e3f0a2b581a958d6451c614a5f8e5b9c7.undefined"/><Relationship Id="rId13" Type="http://schemas.openxmlformats.org/officeDocument/2006/relationships/image" Target="media/b5d5f4d0f39d1cb99239c5d94188edd14f47f9d5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2026-06-28T21:34:39.997Z</dcterms:created>
  <dcterms:modified xsi:type="dcterms:W3CDTF">2026-06-28T21:34:39.997Z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