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5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S&amp;P 500 (CASH INDEX)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30"/>
          <w:szCs w:val="30"/>
        </w:rPr>
        <w:t xml:space="preserve">Daily Technical &amp; Strategy Report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Report for session: Thursday 16 July 2026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Data as of close Tuesday 14 July 2026  ·  Prepared 15 July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Primary asset</w:t>
            </w:r>
          </w:p>
        </w:tc>
        <w:tc>
          <w:tcPr>
            <w:tcW w:type="dxa" w:w="65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S&amp;P 500 cash index (^GSPC)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Instance</w:t>
            </w:r>
          </w:p>
        </w:tc>
        <w:tc>
          <w:tcPr>
            <w:tcW w:type="dxa" w:w="65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M1 — S&amp;P 500 (Cash Index) v2.1</w:t>
            </w:r>
          </w:p>
        </w:tc>
      </w:tr>
      <w:tr>
        <w:tc>
          <w:tcPr>
            <w:tcW w:type="dxa" w:w="2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Senior US Equity Strategist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Counters</w:t>
            </w:r>
          </w:p>
        </w:tc>
        <w:tc>
          <w:tcPr>
            <w:tcW w:type="dxa" w:w="65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DX-Y.NYB (USDX) · ^VIX · ^GDAXI (DAX 40)</w:t>
            </w:r>
          </w:p>
        </w:tc>
      </w:tr>
      <w:tr>
        <w:tc>
          <w:tcPr>
            <w:tcW w:type="dxa" w:w="2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Strategies module</w:t>
            </w:r>
          </w:p>
        </w:tc>
        <w:tc>
          <w:tcPr>
            <w:tcW w:type="dxa" w:w="65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ENABLED — §21 produced</w:t>
            </w:r>
          </w:p>
        </w:tc>
      </w:tr>
      <w:tr>
        <w:tc>
          <w:tcPr>
            <w:tcW w:type="dxa" w:w="28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open anchor</w:t>
            </w:r>
          </w:p>
        </w:tc>
        <w:tc>
          <w:tcPr>
            <w:tcW w:type="dxa" w:w="656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00:00 UK  ** OVERRIDDEN from 07:00 UK **</w:t>
            </w:r>
          </w:p>
        </w:tc>
      </w:tr>
      <w:tr>
        <w:tc>
          <w:tcPr>
            <w:tcW w:type="dxa" w:w="2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Output length</w:t>
            </w:r>
          </w:p>
        </w:tc>
        <w:tc>
          <w:tcPr>
            <w:tcW w:type="dxa" w:w="65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 (§1–§21)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Last corroborated close</w:t>
            </w:r>
          </w:p>
        </w:tc>
        <w:tc>
          <w:tcPr>
            <w:tcW w:type="dxa" w:w="65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7,543.59  (14-Jul-2026)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INTEGRITY SUMMARY — READ FIRST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CLOSE prices: fully two-source corroborated across all 20 sessions (Investing.com x FRED/S&amp;P Dow Jones official). Maximum delta 0.0000 pts against a ±0.10 pt tolerance.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/ HIGH / LOW: SINGLE-SOURCE (Investing.com only). No second source returned intraday H/L. Under the Source Discipline Protocol §4 these are 'indicative only' and MAY NOT be used for pivot calculations or stop-loss pricing.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CONSEQUENCE: all pivot levels and the Trade 1 structural stop inherit a SINGLE-SOURCE-INDICATIVE flag. Trade cards are produced per explicit user instruction to be lenient on corroboration; they are NOT protocol-clean and must not be executed as-is without verifying H/L against a second source.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ANCHOR: 00:00 UK override is not an executable market entry on a cash index that trades 14:30–21:00 UK. Treated as a pending order. See §21 and §20.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30" w:before="260"/>
      </w:pPr>
      <w:r>
        <w:t xml:space="preserve">1. Executive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S&amp;P 500 closed at 7,543.59 on 14 July 2026, up 28.25 points (+0.38%) on the session and up 60.88 points over the trailing five sessions. The index sits 11.46 points above its 5-day mean and 68.46 points above its 20-day mean, but is essentially unchanged over the full 25-session window (-10.70 points), which is the central tension in this report: a firm short-term tape inside a flat medium-term structure.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Kaufman Efficiency Ratio reads +0.3252, comfortably above the 0.13 trending threshold, classifying the tape as Trending Up. Realised volatility is compressing (VOLator slope -0.0395) and the VIX is near 16 — well below the 20 level that the M1 instance defines as elevated risk. RSI2 at 58.01 is mid-range, so the move carries no short-term exhaustion signal in either direction.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composite direction score is +0.2750 against a conviction threshold of 0.25. Trade 1 therefore fires LONG, but by a margin of 0.025 — this is a marginal pass, not a conviction call, and the report treats it as such throughout.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dominant caveat is not directional. It is that Open/High/Low data could not be corroborated by a second source, which under the governing protocol invalidates every pivot level and the structural stop that the trade cards depend on. Direction is well-evidenced; the price levels attached to it are not.</w:t>
      </w:r>
    </w:p>
    <w:p>
      <w:pPr>
        <w:pStyle w:val="Heading1"/>
        <w:spacing w:after="130" w:before="260"/>
      </w:pPr>
      <w:r>
        <w:t xml:space="preserve">2. Instance Configuration &amp; Overrides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Two deviations from the M1 S&amp;P 500 v2.1 populated instance apply to this run. Both are user-directed and are logged here and in §20.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700"/>
        <w:gridCol w:w="366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M1 default</w:t>
            </w:r>
          </w:p>
        </w:tc>
        <w:tc>
          <w:tcPr>
            <w:tcW w:type="dxa" w:w="1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This run</w:t>
            </w:r>
          </w:p>
        </w:tc>
        <w:tc>
          <w:tcPr>
            <w:tcW w:type="dxa" w:w="36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3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[DAILY_OPEN_ANCHOR]</w:t>
            </w:r>
          </w:p>
        </w:tc>
        <w:tc>
          <w:tcPr>
            <w:tcW w:type="dxa" w:w="17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07:00 UK</w:t>
            </w:r>
          </w:p>
        </w:tc>
        <w:tc>
          <w:tcPr>
            <w:tcW w:type="dxa" w:w="17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00:00 UK</w:t>
            </w:r>
          </w:p>
        </w:tc>
        <w:tc>
          <w:tcPr>
            <w:tcW w:type="dxa" w:w="366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OVERRIDE — materially affects Trade 1 executability. See below.</w:t>
            </w:r>
          </w:p>
        </w:tc>
      </w:tr>
      <w:tr>
        <w:tc>
          <w:tcPr>
            <w:tcW w:type="dxa" w:w="23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Corroboration discipline</w:t>
            </w:r>
          </w:p>
        </w:tc>
        <w:tc>
          <w:tcPr>
            <w:tcW w:type="dxa" w:w="17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Halt on failure</w:t>
            </w:r>
          </w:p>
        </w:tc>
        <w:tc>
          <w:tcPr>
            <w:tcW w:type="dxa" w:w="17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Lenient — proceed</w:t>
            </w:r>
          </w:p>
        </w:tc>
        <w:tc>
          <w:tcPr>
            <w:tcW w:type="dxa" w:w="366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OVERRIDE — trade cards produced on single-source O/H/L.</w:t>
            </w:r>
          </w:p>
        </w:tc>
      </w:tr>
      <w:t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[W_*] weights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Locked 20 sessions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Unchanged</w:t>
            </w:r>
          </w:p>
        </w:tc>
        <w:tc>
          <w:tcPr>
            <w:tcW w:type="dxa" w:w="36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Compliant — defaults retained.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[PRODUCE_STRATEGY_RECOMMENDATIONS]</w:t>
            </w:r>
          </w:p>
        </w:tc>
        <w:tc>
          <w:tcPr>
            <w:tcW w:type="dxa" w:w="17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Compliant.</w:t>
            </w:r>
          </w:p>
        </w:tc>
      </w:tr>
      <w:t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date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16-Jul-2026</w:t>
            </w:r>
          </w:p>
        </w:tc>
        <w:tc>
          <w:tcPr>
            <w:tcW w:type="dxa" w:w="36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generated on 15-Jul for the 16-Jul session.</w:t>
            </w:r>
          </w:p>
        </w:tc>
      </w:tr>
    </w:tbl>
    <w:p>
      <w:pPr>
        <w:spacing w:before="180"/>
      </w:pPr>
    </w:p>
    <w:p>
      <w:pPr>
        <w:pStyle w:val="Heading2"/>
        <w:spacing w:after="100" w:before="190"/>
      </w:pPr>
      <w:r>
        <w:t xml:space="preserve">2a. On the 00:00 UK anchor override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override has been applied as instructed. It is worth being explicit about what it means, because the project's own documentation addresses this case directly.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M1 instance sets 07:00 UK deliberately, on the reasoning that the S&amp;P 500 cash index trades 14:30–21:00 UK and 07:00 UK anchors the European pre-NY-open window where futures-led re-pricing is most informative. PATCHES_v1_2 §P6 goes further and states plainly that a market trade at 00:00 UK on the cash S&amp;P 500 is not executable, prescribing an anchor adjustment as the remedy.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At 00:00 UK on 16 July the cash index will not be trading and no cash print will exist. The Trade 1 entry below is therefore specified as a pending order referenced to the prior corroborated close, triggering at the 14:30 UK cash open. It is not a market fill. The 7,543.59 entry reference will not survive the overnight gap — ES futures will re-price through the Asia and European sessions — so realised slippage against this reference should be expected and is unquantifiable from cash data alone.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If the intent of the override was to align this run with a 24-hour instrument convention (as WTI and EUR/USD use), the cleaner expression would be to run the analysis against ES futures rather than the cash index. That is a change of instrument, not of anchor, and is outside this instance.</w:t>
      </w:r>
    </w:p>
    <w:p>
      <w:pPr>
        <w:pStyle w:val="Heading1"/>
        <w:spacing w:after="130" w:before="260"/>
      </w:pPr>
      <w:r>
        <w:t xml:space="preserve">3. Source Discipline &amp; Corroboration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Sources were attempted in the rank order given by the Source Discipline No-Synthesis Protocol. Outcomes: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900"/>
        <w:gridCol w:w="1700"/>
        <w:gridCol w:w="436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1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9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43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70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Stooq</w:t>
            </w:r>
          </w:p>
        </w:tc>
        <w:tc>
          <w:tcPr>
            <w:tcW w:type="dxa" w:w="90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Tier 1</w:t>
            </w:r>
          </w:p>
        </w:tc>
        <w:tc>
          <w:tcPr>
            <w:tcW w:type="dxa" w:w="170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FAILED</w:t>
            </w:r>
          </w:p>
        </w:tc>
        <w:tc>
          <w:tcPr>
            <w:tcW w:type="dxa" w:w="436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robots.txt disallow on CSV endpoint; container egress blocked.</w:t>
            </w:r>
          </w:p>
        </w:tc>
      </w:tr>
      <w:tr>
        <w:tc>
          <w:tcPr>
            <w:tcW w:type="dxa" w:w="7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9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Tier 2</w:t>
            </w:r>
          </w:p>
        </w:tc>
        <w:tc>
          <w:tcPr>
            <w:tcW w:type="dxa" w:w="17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CORROBORATED</w:t>
            </w:r>
          </w:p>
        </w:tc>
        <w:tc>
          <w:tcPr>
            <w:tcW w:type="dxa" w:w="436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OHLC, 20 sessions. Source A.</w:t>
            </w:r>
          </w:p>
        </w:tc>
      </w:tr>
      <w:t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Barchart</w:t>
            </w:r>
          </w:p>
        </w:tc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Tier 2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PARTIAL</w:t>
            </w:r>
          </w:p>
        </w:tc>
        <w:tc>
          <w:tcPr>
            <w:tcW w:type="dxa" w:w="4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 JS-rendered; no OHLC rows. Last price 7,553.68 + 52wk high 7,620.90 matched Source A — used as sanity check only.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Yahoo Finance</w:t>
            </w:r>
          </w:p>
        </w:tc>
        <w:tc>
          <w:tcPr>
            <w:tcW w:type="dxa" w:w="9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Tier 3</w:t>
            </w:r>
          </w:p>
        </w:tc>
        <w:tc>
          <w:tcPr>
            <w:tcW w:type="dxa" w:w="17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PARTIAL</w:t>
            </w:r>
          </w:p>
        </w:tc>
        <w:tc>
          <w:tcPr>
            <w:tcW w:type="dxa" w:w="43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quote only (7,560.95 intraday 15-Jul). Demoted per protocol; no historical OHLC.</w:t>
            </w:r>
          </w:p>
        </w:tc>
      </w:tr>
      <w:tr>
        <w:tc>
          <w:tcPr>
            <w:tcW w:type="dxa" w:w="7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49</w:t>
            </w:r>
          </w:p>
        </w:tc>
        <w:tc>
          <w:tcPr>
            <w:tcW w:type="dxa" w:w="17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FRED / S&amp;P DJI</w:t>
            </w:r>
          </w:p>
        </w:tc>
        <w:tc>
          <w:tcPr>
            <w:tcW w:type="dxa" w:w="9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Tier 6</w:t>
            </w:r>
          </w:p>
        </w:tc>
        <w:tc>
          <w:tcPr>
            <w:tcW w:type="dxa" w:w="17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CORROBORATED</w:t>
            </w:r>
          </w:p>
        </w:tc>
        <w:tc>
          <w:tcPr>
            <w:tcW w:type="dxa" w:w="436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Official S&amp;P Dow Jones daily closes through 14-Jul. Source B. CLOSE ONLY — no intraday H/L.</w:t>
            </w:r>
          </w:p>
        </w:tc>
      </w:tr>
    </w:tbl>
    <w:p>
      <w:pPr>
        <w:spacing w:before="180"/>
      </w:pPr>
    </w:p>
    <w:p>
      <w:pPr>
        <w:pStyle w:val="Heading2"/>
        <w:spacing w:after="100" w:before="190"/>
      </w:pPr>
      <w:r>
        <w:t xml:space="preserve">3a. Close corroboration — Source A × Source B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Tolerance for equity indices: ±0.10 points. All 20 sessions corroborated at zero delta — Investing.com is evidently carrying the official S&amp;P DJI close unmodified.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1500"/>
        <w:gridCol w:w="186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2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22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FRED / S&amp;P DJI</w:t>
            </w:r>
          </w:p>
        </w:tc>
        <w:tc>
          <w:tcPr>
            <w:tcW w:type="dxa" w:w="15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  <w:tc>
          <w:tcPr>
            <w:tcW w:type="dxa" w:w="18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15-Jun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7,554.29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7,554.29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16-Jun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7,511.35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7,511.35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17-Jun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7,420.10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7,420.10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18-Jun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7,500.58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7,500.58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22-Jun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7,472.79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7,472.79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23-Jun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7,365.46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7,365.46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24-Jun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7,358.22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7,358.22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25-Jun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7,357.49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7,357.49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26-Jun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7,354.02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7,354.02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29-Jun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7,440.43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7,440.43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30-Jun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7,499.36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7,499.36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01-Jul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7,483.23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7,483.23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02-Jul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7,483.24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7,483.24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06-Jul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7,537.43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7,537.43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07-Jul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7,503.85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7,503.85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08-Jul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7,482.71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7,482.71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09-Jul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7,543.64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7,543.64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10-Jul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7,575.39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7,575.39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13-Jul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7,515.34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7,515.34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14-Jul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7,543.59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7,543.59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  <w:tc>
          <w:tcPr>
            <w:tcW w:type="dxa" w:w="18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SINGLE-SOURCE FIELDS — Protocol §4 register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Instrument: ^GSPC. Fields: OPEN, HIGH, LOW. Sessions: all 20 (15-Jun-2026 through 14-Jul-2026).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Reason: FRED/S&amp;P DJI (the only corroborating source reached) publishes closing values only. Stooq — the protocol's designated free OHLC alternative — was unreachable. No second independent intraday H/L source was obtained.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Permitted uses: directional context, chart visualisation (labelled), supplementary narrative.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Prohibited uses: pivot prior-period calculations, settlement references, entry or stop-loss pricing, any value cited as definitive in a consensus price build.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pivot table and the Trade 1 structural stop in this report fall within the prohibited category and are flagged accordingly at point of use.</w:t>
            </w:r>
          </w:p>
        </w:tc>
      </w:tr>
    </w:tbl>
    <w:p>
      <w:r>
        <w:br w:type="page"/>
      </w:r>
    </w:p>
    <w:p>
      <w:pPr>
        <w:pStyle w:val="Heading1"/>
        <w:spacing w:after="130" w:before="260"/>
      </w:pPr>
      <w:r>
        <w:t xml:space="preserve">4. Validated OHLC + RSI2 (5-Day)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Close column: CORROBORATED. Open/High/Low columns: SINGLE-SOURCE — INDICATIVE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131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 †</w:t>
            </w:r>
          </w:p>
        </w:tc>
        <w:tc>
          <w:tcPr>
            <w:tcW w:type="dxa" w:w="131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 †</w:t>
            </w:r>
          </w:p>
        </w:tc>
        <w:tc>
          <w:tcPr>
            <w:tcW w:type="dxa" w:w="131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 †</w:t>
            </w:r>
          </w:p>
        </w:tc>
        <w:tc>
          <w:tcPr>
            <w:tcW w:type="dxa" w:w="131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Close ✓</w:t>
            </w:r>
          </w:p>
        </w:tc>
        <w:tc>
          <w:tcPr>
            <w:tcW w:type="dxa" w:w="131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31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Range †</w:t>
            </w:r>
          </w:p>
        </w:tc>
      </w:tr>
      <w:t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08-Jul-2026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7,476.54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7,488.51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7,421.82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7,482.71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-21.14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66.69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09-Jul-2026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7,491.60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7,546.89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7,481.73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7,543.64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+60.93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65.16</w:t>
            </w:r>
          </w:p>
        </w:tc>
      </w:tr>
      <w:t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10-Jul-2026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7,547.64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7,579.93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7,508.16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7,575.39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+31.75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71.77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13-Jul-2026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7,547.53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7,565.37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7,506.41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7,515.34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-60.05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58.96</w:t>
            </w:r>
          </w:p>
        </w:tc>
      </w:tr>
      <w:t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14-Jul-2026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7,536.70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7,557.44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7,513.23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7,543.59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+28.25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44.21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† single-source indicative   ✓ two-source corroborated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Trading-date validation: 5 of 5 sessions are Monday–Friday. The 03-Jul-2026 US market holiday (Independence Day observed) correctly reduces the count in the wider window; no weekend rows, no unjustified duplicates. RSI2 latest = 58.01.</w:t>
      </w:r>
    </w:p>
    <w:p>
      <w:pPr>
        <w:pStyle w:val="Heading1"/>
        <w:spacing w:after="130" w:before="260"/>
      </w:pPr>
      <w:r>
        <w:t xml:space="preserve">5. Technical Indicators — M3 §11 Named Output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200"/>
        <w:gridCol w:w="316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Surface field</w:t>
            </w:r>
          </w:p>
        </w:tc>
        <w:tc>
          <w:tcPr>
            <w:tcW w:type="dxa" w:w="15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2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Corroboration</w:t>
            </w:r>
          </w:p>
        </w:tc>
        <w:tc>
          <w:tcPr>
            <w:tcW w:type="dxa" w:w="31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Reading</w:t>
            </w:r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last_close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7,543.59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CORROBORATED</w:t>
            </w:r>
          </w:p>
        </w:tc>
        <w:tc>
          <w:tcPr>
            <w:tcW w:type="dxa" w:w="3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Reference price for all cards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atr_14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78.26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Derived (uses H/L)</w:t>
            </w:r>
          </w:p>
        </w:tc>
        <w:tc>
          <w:tcPr>
            <w:tcW w:type="dxa" w:w="31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Inherits single-source flag</w:t>
            </w:r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rsi2_latest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58.01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From corroborated closes</w:t>
            </w:r>
          </w:p>
        </w:tc>
        <w:tc>
          <w:tcPr>
            <w:tcW w:type="dxa" w:w="3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Mid-range — no extreme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ker_value (smoothed)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+0.3252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From corroborated closes</w:t>
            </w:r>
          </w:p>
        </w:tc>
        <w:tc>
          <w:tcPr>
            <w:tcW w:type="dxa" w:w="31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 0.13 → Trending Up</w:t>
            </w:r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ker_class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Trending Up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Derived</w:t>
            </w:r>
          </w:p>
        </w:tc>
        <w:tc>
          <w:tcPr>
            <w:tcW w:type="dxa" w:w="3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Strongest single input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volator_slope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-0.0395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Derived (uses H/L)</w:t>
            </w:r>
          </w:p>
        </w:tc>
        <w:tc>
          <w:tcPr>
            <w:tcW w:type="dxa" w:w="31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Volatility compressing</w:t>
            </w:r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swing_high_5d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7,579.93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SINGLE-SOURCE</w:t>
            </w:r>
          </w:p>
        </w:tc>
        <w:tc>
          <w:tcPr>
            <w:tcW w:type="dxa" w:w="3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usable for pricing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swing_low_5d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7,421.82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SINGLE-SOURCE</w:t>
            </w:r>
          </w:p>
        </w:tc>
        <w:tc>
          <w:tcPr>
            <w:tcW w:type="dxa" w:w="31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usable for pricing</w:t>
            </w:r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swing_high_25d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7,579.93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SINGLE-SOURCE</w:t>
            </w:r>
          </w:p>
        </w:tc>
        <w:tc>
          <w:tcPr>
            <w:tcW w:type="dxa" w:w="3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usable for pricing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swing_low_25d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7,294.18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SINGLE-SOURCE</w:t>
            </w:r>
          </w:p>
        </w:tc>
        <w:tc>
          <w:tcPr>
            <w:tcW w:type="dxa" w:w="31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usable for pricing</w:t>
            </w:r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regime_label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TRANSITION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Derived</w:t>
            </w:r>
          </w:p>
        </w:tc>
        <w:tc>
          <w:tcPr>
            <w:tcW w:type="dxa" w:w="3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 §6 — gates disagree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cross_asset_confirm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MIXED</w:t>
            </w:r>
          </w:p>
        </w:tc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Derived</w:t>
            </w:r>
          </w:p>
        </w:tc>
        <w:tc>
          <w:tcPr>
            <w:tcW w:type="dxa" w:w="31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 §7</w:t>
            </w:r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sentiment_tilt (M2 §13b)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+0.20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Narrative-derived</w:t>
            </w:r>
          </w:p>
        </w:tc>
        <w:tc>
          <w:tcPr>
            <w:tcW w:type="dxa" w:w="3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VIX calm, semis bid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Note on ATR(14) and VOLator: both consume High/Low and therefore inherit the single-source flag. They are used here for regime classification (a permitted directional-context use) but the ATR-derived stop distances in §21 sit closer to the prohibited boundary and are flagged there.</w:t>
      </w:r>
    </w:p>
    <w:p>
      <w:pPr>
        <w:pStyle w:val="Heading1"/>
        <w:spacing w:after="130" w:before="260"/>
      </w:pPr>
      <w:r>
        <w:t xml:space="preserve">6. Regime Classification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M3 §11b mapping rule is deterministic and must return exactly one label. Applying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600"/>
        <w:gridCol w:w="15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32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for TREND_UP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5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20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Step 4 synthesis</w:t>
            </w:r>
          </w:p>
        </w:tc>
        <w:tc>
          <w:tcPr>
            <w:tcW w:type="dxa" w:w="32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Trending Bullish</w:t>
            </w:r>
          </w:p>
        </w:tc>
        <w:tc>
          <w:tcPr>
            <w:tcW w:type="dxa" w:w="26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Bullish short / flat medium</w:t>
            </w:r>
          </w:p>
        </w:tc>
        <w:tc>
          <w:tcPr>
            <w:tcW w:type="dxa" w:w="156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0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ker_class</w:t>
            </w:r>
          </w:p>
        </w:tc>
        <w:tc>
          <w:tcPr>
            <w:tcW w:type="dxa" w:w="32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Trending Up (strong/moderate)</w:t>
            </w:r>
          </w:p>
        </w:tc>
        <w:tc>
          <w:tcPr>
            <w:tcW w:type="dxa" w:w="26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Trending Up (+0.3252)</w:t>
            </w:r>
          </w:p>
        </w:tc>
        <w:tc>
          <w:tcPr>
            <w:tcW w:type="dxa" w:w="156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volator_slope</w:t>
            </w:r>
          </w:p>
        </w:tc>
        <w:tc>
          <w:tcPr>
            <w:tcW w:type="dxa" w:w="320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≥ 0</w:t>
            </w:r>
          </w:p>
        </w:tc>
        <w:tc>
          <w:tcPr>
            <w:tcW w:type="dxa" w:w="260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-0.0395</w:t>
            </w:r>
          </w:p>
        </w:tc>
        <w:tc>
          <w:tcPr>
            <w:tcW w:type="dxa" w:w="156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</w:t>
            </w:r>
          </w:p>
        </w:tc>
      </w:tr>
    </w:tbl>
    <w:p>
      <w:pPr>
        <w:spacing w:before="1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regime_label = TRANSITION.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VOLator slope gate fails: TREND_UP requires a non-negative slope and the reading is -0.0395. Under §11b the label falls through to TRANSITION — the default when gates disagree. This is not a technicality worth waving through. A negative VOLator slope alongside a positive KER describes a market grinding higher on shrinking range, which is a real and recognisable late-trend signature rather than a healthy impulsive advance.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practical consequence is that Trade 3 forks to 3C (transition breakout) rather than 3A (momentum-pullback). It also argues for reading the +0.2750 direction score as the marginal figure it is.</w:t>
      </w:r>
    </w:p>
    <w:p>
      <w:pPr>
        <w:pStyle w:val="Heading1"/>
        <w:spacing w:after="130" w:before="260"/>
      </w:pPr>
      <w:r>
        <w:t xml:space="preserve">7. Cross-Asset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300"/>
        <w:gridCol w:w="3400"/>
        <w:gridCol w:w="14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3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 move</w:t>
            </w:r>
          </w:p>
        </w:tc>
        <w:tc>
          <w:tcPr>
            <w:tcW w:type="dxa" w:w="34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 for SPX</w:t>
            </w:r>
          </w:p>
        </w:tc>
        <w:tc>
          <w:tcPr>
            <w:tcW w:type="dxa" w:w="14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DX-Y.NYB (USDX)</w:t>
            </w:r>
          </w:p>
        </w:tc>
        <w:tc>
          <w:tcPr>
            <w:tcW w:type="dxa" w:w="1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100.597</w:t>
            </w:r>
          </w:p>
        </w:tc>
        <w:tc>
          <w:tcPr>
            <w:tcW w:type="dxa" w:w="1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-0.11%</w:t>
            </w:r>
          </w:p>
        </w:tc>
        <w:tc>
          <w:tcPr>
            <w:tcW w:type="dxa" w:w="3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Softer dollar — mild tailwind for multinational earnings translation</w:t>
            </w:r>
          </w:p>
        </w:tc>
        <w:tc>
          <w:tcPr>
            <w:tcW w:type="dxa" w:w="14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 (weak)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^VIX</w:t>
            </w:r>
          </w:p>
        </w:tc>
        <w:tc>
          <w:tcPr>
            <w:tcW w:type="dxa" w:w="13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16.50</w:t>
            </w:r>
          </w:p>
        </w:tc>
        <w:tc>
          <w:tcPr>
            <w:tcW w:type="dxa" w:w="13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-3.85%</w:t>
            </w:r>
          </w:p>
        </w:tc>
        <w:tc>
          <w:tcPr>
            <w:tcW w:type="dxa" w:w="34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Well below the 20 elevated-risk line; risk appetite intact</w:t>
            </w:r>
          </w:p>
        </w:tc>
        <w:tc>
          <w:tcPr>
            <w:tcW w:type="dxa" w:w="14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</w:t>
            </w:r>
          </w:p>
        </w:tc>
      </w:tr>
      <w:tr>
        <w:tc>
          <w:tcPr>
            <w:tcW w:type="dxa" w:w="19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^GDAXI (DAX 40)</w:t>
            </w:r>
          </w:p>
        </w:tc>
        <w:tc>
          <w:tcPr>
            <w:tcW w:type="dxa" w:w="13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25,030.21</w:t>
            </w:r>
          </w:p>
        </w:tc>
        <w:tc>
          <w:tcPr>
            <w:tcW w:type="dxa" w:w="13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-0.46%</w:t>
            </w:r>
          </w:p>
        </w:tc>
        <w:tc>
          <w:tcPr>
            <w:tcW w:type="dxa" w:w="34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European equity diverging lower — does not confirm US strength</w:t>
            </w:r>
          </w:p>
        </w:tc>
        <w:tc>
          <w:tcPr>
            <w:tcW w:type="dxa" w:w="146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CONTRADICT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 10Y (context)</w:t>
            </w:r>
          </w:p>
        </w:tc>
        <w:tc>
          <w:tcPr>
            <w:tcW w:type="dxa" w:w="13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4.593%</w:t>
            </w:r>
          </w:p>
        </w:tc>
        <w:tc>
          <w:tcPr>
            <w:tcW w:type="dxa" w:w="13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+0.008</w:t>
            </w:r>
          </w:p>
        </w:tc>
        <w:tc>
          <w:tcPr>
            <w:tcW w:type="dxa" w:w="34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Marginally higher yields — slight valuation drag</w:t>
            </w:r>
          </w:p>
        </w:tc>
        <w:tc>
          <w:tcPr>
            <w:tcW w:type="dxa" w:w="14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NEUTRAL/DRAG</w:t>
            </w:r>
          </w:p>
        </w:tc>
      </w:tr>
    </w:tbl>
    <w:p>
      <w:pPr>
        <w:spacing w:before="1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cross_asset_confirm = MIXED.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Per the M3 hard rules, contradiction is flagged rather than suppressed: the DAX declined 0.46% on the session while the S&amp;P advanced 0.38%. The mandatory USDX counter and the VIX both lean supportive, but neither strongly. The aggregate does not confirm the long thesis — it merely fails to refute it, which is why the cross-asset component contributes only +0.10 before weighting.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VIX corroboration note: three independent readings were obtained — 16.13 (FRED/CBOE official, 07-Jul), 16.26 (Yahoo, live 15-Jul), 16.50 (Investing.com, 14-Jul close). These are consistent in level and regime but are not date-matched, so the VIX is used for directional context only, as the protocol permits.</w:t>
      </w:r>
    </w:p>
    <w:p>
      <w:r>
        <w:br w:type="page"/>
      </w:r>
    </w:p>
    <w:p>
      <w:pPr>
        <w:pStyle w:val="Heading1"/>
        <w:spacing w:after="130" w:before="260"/>
      </w:pPr>
      <w:r>
        <w:t xml:space="preserve">8. Floor Pivot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ALL PIVOT LEVELS BELOW ARE SINGLE-SOURCE-INDICATIVE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Pivots are computed from prior-period High/Low/Close. The H and L inputs are single-source. Source Discipline Protocol §4 explicitly prohibits single-source values from being used for pivot prior-period calculations.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These levels are reproduced for chart visualisation and directional context only. They are NOT valid support/resistance for execution and M5 §4a reads this flag through to every trade card that cites them.</w:t>
            </w:r>
          </w:p>
        </w:tc>
      </w:tr>
    </w:tbl>
    <w:p>
      <w:pPr>
        <w:spacing w:before="150"/>
      </w:pPr>
    </w:p>
    <w:p>
      <w:pPr>
        <w:pStyle w:val="Heading2"/>
        <w:spacing w:after="100" w:before="190"/>
      </w:pPr>
      <w:r>
        <w:t xml:space="preserve">8a. Daily pivots (from 14-Jul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Distance from close</w:t>
            </w:r>
          </w:p>
        </w:tc>
      </w:tr>
      <w:tr>
        <w:tc>
          <w:tcPr>
            <w:tcW w:type="dxa" w:w="312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312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7,607.15</w:t>
            </w:r>
          </w:p>
        </w:tc>
        <w:tc>
          <w:tcPr>
            <w:tcW w:type="dxa" w:w="312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+63.56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312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7,582.30</w:t>
            </w:r>
          </w:p>
        </w:tc>
        <w:tc>
          <w:tcPr>
            <w:tcW w:type="dxa" w:w="312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+38.71</w:t>
            </w:r>
          </w:p>
        </w:tc>
      </w:tr>
      <w:tr>
        <w:tc>
          <w:tcPr>
            <w:tcW w:type="dxa" w:w="312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R1.5</w:t>
            </w:r>
          </w:p>
        </w:tc>
        <w:tc>
          <w:tcPr>
            <w:tcW w:type="dxa" w:w="312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7,572.62</w:t>
            </w:r>
          </w:p>
        </w:tc>
        <w:tc>
          <w:tcPr>
            <w:tcW w:type="dxa" w:w="312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+29.03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312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7,562.94</w:t>
            </w:r>
          </w:p>
        </w:tc>
        <w:tc>
          <w:tcPr>
            <w:tcW w:type="dxa" w:w="312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+19.35</w:t>
            </w:r>
          </w:p>
        </w:tc>
      </w:tr>
      <w:tr>
        <w:tc>
          <w:tcPr>
            <w:tcW w:type="dxa" w:w="312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 (pivot)</w:t>
            </w:r>
          </w:p>
        </w:tc>
        <w:tc>
          <w:tcPr>
            <w:tcW w:type="dxa" w:w="312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7,538.09</w:t>
            </w:r>
          </w:p>
        </w:tc>
        <w:tc>
          <w:tcPr>
            <w:tcW w:type="dxa" w:w="312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-5.50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312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7,518.73</w:t>
            </w:r>
          </w:p>
        </w:tc>
        <w:tc>
          <w:tcPr>
            <w:tcW w:type="dxa" w:w="312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-24.86</w:t>
            </w:r>
          </w:p>
        </w:tc>
      </w:tr>
      <w:tr>
        <w:tc>
          <w:tcPr>
            <w:tcW w:type="dxa" w:w="312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S1.5</w:t>
            </w:r>
          </w:p>
        </w:tc>
        <w:tc>
          <w:tcPr>
            <w:tcW w:type="dxa" w:w="312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7,506.30</w:t>
            </w:r>
          </w:p>
        </w:tc>
        <w:tc>
          <w:tcPr>
            <w:tcW w:type="dxa" w:w="312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-37.29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312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7,493.88</w:t>
            </w:r>
          </w:p>
        </w:tc>
        <w:tc>
          <w:tcPr>
            <w:tcW w:type="dxa" w:w="312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-49.71</w:t>
            </w:r>
          </w:p>
        </w:tc>
      </w:tr>
      <w:tr>
        <w:tc>
          <w:tcPr>
            <w:tcW w:type="dxa" w:w="312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312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7,474.52</w:t>
            </w:r>
          </w:p>
        </w:tc>
        <w:tc>
          <w:tcPr>
            <w:tcW w:type="dxa" w:w="312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-69.07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close sits 5.50 points above the daily pivot — effectively on it. That is a neutral pivot position and offers no directional edge on its own.</w:t>
      </w:r>
    </w:p>
    <w:p>
      <w:pPr>
        <w:pStyle w:val="Heading2"/>
        <w:spacing w:after="100" w:before="190"/>
      </w:pPr>
      <w:r>
        <w:t xml:space="preserve">8b. Weekly pivots (prior week 06–10 Jul)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68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468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7,683.82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468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7,629.61</w:t>
            </w:r>
          </w:p>
        </w:tc>
      </w:tr>
      <w:tr>
        <w:tc>
          <w:tcPr>
            <w:tcW w:type="dxa" w:w="468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 (pivot)</w:t>
            </w:r>
          </w:p>
        </w:tc>
        <w:tc>
          <w:tcPr>
            <w:tcW w:type="dxa" w:w="468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7,525.71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468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7,471.50</w:t>
            </w:r>
          </w:p>
        </w:tc>
      </w:tr>
      <w:tr>
        <w:tc>
          <w:tcPr>
            <w:tcW w:type="dxa" w:w="468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468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7,367.60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Price is holding above the weekly pivot at 7,525.71, which is the mildly constructive read available from this timeframe — subject to the same corroboration caveat.</w:t>
      </w:r>
    </w:p>
    <w:p>
      <w:pPr>
        <w:pStyle w:val="Heading1"/>
        <w:spacing w:after="130" w:before="260"/>
      </w:pPr>
      <w:r>
        <w:t xml:space="preserve">9. Key Market Considerations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Semiconductor leadership is the visible driver in the 14-Jul tape: NVDA +4.06%, MU +4.92%, SNDK +5.01%, AMD +2.57%. Breadth within the complex is genuine rather than a single-name effect.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Against that, IBM fell 25.21% on volume of 67.44M — a severe single-name repricing. The index absorbed it and still closed higher, which speaks to underlying bid, though a move of that magnitude warrants confirmation of the cause before it is read as idiosyncratic. Healthcare was notably weak (HCA -6.95%, ISRG -6.78%, SYK -6.15%, BIIB -8.17%), suggesting sector rotation into technology rather than uniform risk-on.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 the M1 instance's [ADDITIONAL_CONTEXT], the four primary catalysts are FOMC, NFP, CPI and mega-cap earnings. This report does not have corroborated calendar data for the 16-Jul session; §13d event-collision checks could not be completed. Position sizing should account for an unverified event calendar.</w:t>
      </w:r>
    </w:p>
    <w:p>
      <w:pPr>
        <w:pStyle w:val="Heading1"/>
        <w:spacing w:after="130" w:before="260"/>
      </w:pPr>
      <w:r>
        <w:t xml:space="preserve">10. Macro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32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Reading</w:t>
            </w:r>
          </w:p>
        </w:tc>
        <w:tc>
          <w:tcPr>
            <w:tcW w:type="dxa" w:w="35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Direction of effect</w:t>
            </w:r>
          </w:p>
        </w:tc>
      </w:tr>
      <w:t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Dollar (USDX)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100.597, -0.11%</w:t>
            </w:r>
          </w:p>
        </w:tc>
        <w:tc>
          <w:tcPr>
            <w:tcW w:type="dxa" w:w="35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Mildly supportive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 10Y yield</w:t>
            </w:r>
          </w:p>
        </w:tc>
        <w:tc>
          <w:tcPr>
            <w:tcW w:type="dxa" w:w="3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4.593%, +0.008</w:t>
            </w:r>
          </w:p>
        </w:tc>
        <w:tc>
          <w:tcPr>
            <w:tcW w:type="dxa" w:w="35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Mild drag on valuations</w:t>
            </w:r>
          </w:p>
        </w:tc>
      </w:tr>
      <w:t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 30Y yield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5.107%, +0.013</w:t>
            </w:r>
          </w:p>
        </w:tc>
        <w:tc>
          <w:tcPr>
            <w:tcW w:type="dxa" w:w="35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 end firm — duration pressure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10-2 spread</w:t>
            </w:r>
          </w:p>
        </w:tc>
        <w:tc>
          <w:tcPr>
            <w:tcW w:type="dxa" w:w="3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31.32bp, +15.27%</w:t>
            </w:r>
          </w:p>
        </w:tc>
        <w:tc>
          <w:tcPr>
            <w:tcW w:type="dxa" w:w="35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Steepening — curve normalising</w:t>
            </w:r>
          </w:p>
        </w:tc>
      </w:tr>
      <w:t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Implied vol (VIX)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16.50, -3.85%</w:t>
            </w:r>
          </w:p>
        </w:tc>
        <w:tc>
          <w:tcPr>
            <w:tcW w:type="dxa" w:w="35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Calm — supportive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Crude (WTI)</w:t>
            </w:r>
          </w:p>
        </w:tc>
        <w:tc>
          <w:tcPr>
            <w:tcW w:type="dxa" w:w="3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79.72, +0.48%</w:t>
            </w:r>
          </w:p>
        </w:tc>
        <w:tc>
          <w:tcPr>
            <w:tcW w:type="dxa" w:w="35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 for index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macro backdrop is mildly supportive but not decisively so. A steepening curve alongside a firm long end is the most notable feature: it is consistent with growth expectations holding up, but it also raises the discount rate applied to the long-duration technology names currently leading the advance. That is an internal tension in the bull case, not a confirmation of it.</w:t>
      </w:r>
    </w:p>
    <w:p>
      <w:pPr>
        <w:pStyle w:val="Heading1"/>
        <w:spacing w:after="130" w:before="260"/>
      </w:pPr>
      <w:r>
        <w:t xml:space="preserve">11.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Upside risks</w:t>
            </w:r>
          </w:p>
        </w:tc>
        <w:tc>
          <w:tcPr>
            <w:tcW w:type="dxa" w:w="468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Downside risks</w:t>
            </w:r>
          </w:p>
        </w:tc>
      </w:tr>
      <w:tr>
        <w:tc>
          <w:tcPr>
            <w:tcW w:type="dxa" w:w="468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KER +0.3252 confirms an efficient uptrend, the strongest single reading in the surface</w:t>
            </w:r>
          </w:p>
        </w:tc>
        <w:tc>
          <w:tcPr>
            <w:tcW w:type="dxa" w:w="468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VOLator slope negative — advance is on shrinking range, a late-trend signature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VIX ~16 with no stress signal; risk appetite intact</w:t>
            </w:r>
          </w:p>
        </w:tc>
        <w:tc>
          <w:tcPr>
            <w:tcW w:type="dxa" w:w="468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25-day net change is -10.70 pts — no medium-term structure to the move</w:t>
            </w:r>
          </w:p>
        </w:tc>
      </w:tr>
      <w:tr>
        <w:tc>
          <w:tcPr>
            <w:tcW w:type="dxa" w:w="468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Semiconductor breadth is real (NVDA, MU, SNDK, AMD all firmly bid)</w:t>
            </w:r>
          </w:p>
        </w:tc>
        <w:tc>
          <w:tcPr>
            <w:tcW w:type="dxa" w:w="468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DAX contradicts; global equity is not confirming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Close above both 5-day and 20-day means</w:t>
            </w:r>
          </w:p>
        </w:tc>
        <w:tc>
          <w:tcPr>
            <w:tcW w:type="dxa" w:w="468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Direction score +0.2750 clears its threshold by only 0.025</w:t>
            </w:r>
          </w:p>
        </w:tc>
      </w:tr>
      <w:tr>
        <w:tc>
          <w:tcPr>
            <w:tcW w:type="dxa" w:w="468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Holding above the weekly pivot (indicative)</w:t>
            </w:r>
          </w:p>
        </w:tc>
        <w:tc>
          <w:tcPr>
            <w:tcW w:type="dxa" w:w="468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IBM -25.21% unexplained; healthcare broadly weak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Softer dollar aids earnings translation</w:t>
            </w:r>
          </w:p>
        </w:tc>
        <w:tc>
          <w:tcPr>
            <w:tcW w:type="dxa" w:w="468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Long-end yields firm against a duration-heavy leadership group</w:t>
            </w:r>
          </w:p>
        </w:tc>
      </w:tr>
    </w:tbl>
    <w:p>
      <w:pPr>
        <w:pStyle w:val="Heading1"/>
        <w:spacing w:after="130" w:before="260"/>
      </w:pPr>
      <w:r>
        <w:t xml:space="preserve">12. Forward View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Expected direction over the next five trading days: mildly higher, with low conviction.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Expected trading range: approximately 7,420 – 7,620. The lower bound references the 5-day swing low region and the upper bound the 52-week high at 7,620.90 (corroborated across Investing.com and Barchart). Both bounds are indicative — the swing low is single-source.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Base case invalidation: a daily close below 7,421.82 (the 5-day swing low) would break the short-term structure and flip the short-term technical component negative. On the upside, a close above 7,620.90 would establish a new 52-week high and resolve the TRANSITION label toward TREND_UP.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forward view respects the technical regime rather than overriding it: TRANSITION with a positive but marginal direction score maps to 'mildly higher, low conviction', not to a directional call of substance.</w:t>
      </w:r>
    </w:p>
    <w:p>
      <w:pPr>
        <w:pStyle w:val="Heading1"/>
        <w:spacing w:after="130" w:before="260"/>
      </w:pPr>
      <w:r>
        <w:t xml:space="preserve">13. Forecast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FORECAST — ONE SENTENCE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S&amp;P 500 grinds modestly higher toward 7,580–7,620 over the next five sessions on efficient-trend momentum and a calm volatility regime, but the advance is fragile — compressing range, a contradicting DAX and a flat 25-day structure leave it vulnerable to a fast reversal below 7,421.82.</w:t>
            </w:r>
          </w:p>
        </w:tc>
      </w:tr>
    </w:tbl>
    <w:p>
      <w:pPr>
        <w:pStyle w:val="Heading1"/>
        <w:spacing w:after="130" w:before="260"/>
      </w:pPr>
      <w:r>
        <w:t xml:space="preserve">14. Final Analyst Judgement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Judgement</w:t>
            </w:r>
          </w:p>
        </w:tc>
      </w:tr>
      <w:t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Consensus price call</w:t>
            </w:r>
          </w:p>
        </w:tc>
        <w:tc>
          <w:tcPr>
            <w:tcW w:type="dxa" w:w="69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Mildly bullish — 7,580 target over 5 sessions</w:t>
            </w:r>
          </w:p>
        </w:tc>
      </w:tr>
      <w:tr>
        <w:tc>
          <w:tcPr>
            <w:tcW w:type="dxa" w:w="24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96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Reason 1</w:t>
            </w:r>
          </w:p>
        </w:tc>
        <w:tc>
          <w:tcPr>
            <w:tcW w:type="dxa" w:w="69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KER +0.3252 is a clean, corroborated-close-derived trending signal — the strongest evidence available.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Reason 2</w:t>
            </w:r>
          </w:p>
        </w:tc>
        <w:tc>
          <w:tcPr>
            <w:tcW w:type="dxa" w:w="69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Regime is TRANSITION, not TREND_UP: the VOLator gate fails and cross-asset is MIXED. The trend lacks confirmation.</w:t>
            </w:r>
          </w:p>
        </w:tc>
      </w:tr>
      <w:t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Reason 3</w:t>
            </w:r>
          </w:p>
        </w:tc>
        <w:tc>
          <w:tcPr>
            <w:tcW w:type="dxa" w:w="69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Direction score clears its threshold by 0.025. Small changes to any component flip it to suppression.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 watch item</w:t>
            </w:r>
          </w:p>
        </w:tc>
        <w:tc>
          <w:tcPr>
            <w:tcW w:type="dxa" w:w="69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daily close below 7,421.82 — invalidates the short-term structure and the entire long thesis.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Confidence is set to LOW rather than MEDIUM specifically because of the data-quality position. The direction is reasonably evidenced from corroborated closes; the levels needed to act on it are not corroborated at all.</w:t>
      </w:r>
    </w:p>
    <w:p>
      <w:r>
        <w:br w:type="page"/>
      </w:r>
    </w:p>
    <w:p>
      <w:pPr>
        <w:pStyle w:val="Heading1"/>
        <w:spacing w:after="130" w:before="260"/>
      </w:pPr>
      <w:r>
        <w:t xml:space="preserve">15. Source Discipline Note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Live vs indicative: closes are live and corroborated to 14-Jul-2026. All Open/High/Low values are indicative, single-source.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Data gaps: (i) no second-source intraday H/L for ^GSPC; (ii) no corroborated OHLC series obtained for DX-Y.NYB, ^VIX or ^GDAXI — counters are represented by single-source live quotes and used for directional context only, which falls short of the M3 hard rule that counters receive the same OHLC validation treatment as the primary; (iii) no corroborated economic calendar for the 16-Jul session, so §13d collision checks are incomplete.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Normalisation assumptions: none applied. No value in this report has been synthesised, interpolated, or recalled from memory. Where a value could not be corroborated it is labelled rather than estimated.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Corroboration status by instrument: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300"/>
        <w:gridCol w:w="24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23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Open/High/Low</w:t>
            </w:r>
          </w:p>
        </w:tc>
        <w:tc>
          <w:tcPr>
            <w:tcW w:type="dxa" w:w="24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Usable for pricing?</w:t>
            </w:r>
          </w:p>
        </w:tc>
      </w:tr>
      <w:tr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^GSPC</w:t>
            </w:r>
          </w:p>
        </w:tc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CORROBORATED (20/20)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SINGLE-SOURCE</w:t>
            </w:r>
          </w:p>
        </w:tc>
        <w:tc>
          <w:tcPr>
            <w:tcW w:type="dxa" w:w="24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Close: yes. Levels: no.</w:t>
            </w:r>
          </w:p>
        </w:tc>
      </w:tr>
      <w:tr>
        <w:tc>
          <w:tcPr>
            <w:tcW w:type="dxa" w:w="20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DX-Y.NYB</w:t>
            </w:r>
          </w:p>
        </w:tc>
        <w:tc>
          <w:tcPr>
            <w:tcW w:type="dxa" w:w="26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SINGLE-SOURCE</w:t>
            </w:r>
          </w:p>
        </w:tc>
        <w:tc>
          <w:tcPr>
            <w:tcW w:type="dxa" w:w="23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OBTAINED</w:t>
            </w:r>
          </w:p>
        </w:tc>
        <w:tc>
          <w:tcPr>
            <w:tcW w:type="dxa" w:w="246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— context only</w:t>
            </w:r>
          </w:p>
        </w:tc>
      </w:tr>
      <w:tr>
        <w:tc>
          <w:tcPr>
            <w:tcW w:type="dxa" w:w="20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^VIX</w:t>
            </w:r>
          </w:p>
        </w:tc>
        <w:tc>
          <w:tcPr>
            <w:tcW w:type="dxa" w:w="26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SINGLE-SOURCE</w:t>
            </w:r>
          </w:p>
        </w:tc>
        <w:tc>
          <w:tcPr>
            <w:tcW w:type="dxa" w:w="23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OBTAINED</w:t>
            </w:r>
          </w:p>
        </w:tc>
        <w:tc>
          <w:tcPr>
            <w:tcW w:type="dxa" w:w="246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— context only</w:t>
            </w:r>
          </w:p>
        </w:tc>
      </w:tr>
      <w:tr>
        <w:tc>
          <w:tcPr>
            <w:tcW w:type="dxa" w:w="20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^GDAXI</w:t>
            </w:r>
          </w:p>
        </w:tc>
        <w:tc>
          <w:tcPr>
            <w:tcW w:type="dxa" w:w="26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SINGLE-SOURCE</w:t>
            </w:r>
          </w:p>
        </w:tc>
        <w:tc>
          <w:tcPr>
            <w:tcW w:type="dxa" w:w="23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OBTAINED</w:t>
            </w:r>
          </w:p>
        </w:tc>
        <w:tc>
          <w:tcPr>
            <w:tcW w:type="dxa" w:w="246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— context only</w:t>
            </w:r>
          </w:p>
        </w:tc>
      </w:tr>
    </w:tbl>
    <w:p>
      <w:pPr>
        <w:spacing w:before="1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Under an unmodified protocol run this report would have halted at §1 with a DataCorroborationError on the H/L fields. It proceeds solely under the user's explicit instruction to be lenient on corroboration and not to suppress the trading strategies.</w:t>
      </w:r>
    </w:p>
    <w:p>
      <w:pPr>
        <w:pStyle w:val="Heading1"/>
        <w:spacing w:after="130" w:before="260"/>
      </w:pPr>
      <w:r>
        <w:t xml:space="preserve">16. Agent Log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Run timestamp: 15-Jul-2026, generated for the 16-Jul-2026 session. Engine: manual execution of M1/M2/M3/M4/M5 v2.1 logic (container egress restricted to package registries; agentic_technical_engine.py could not fetch market data and was not invoked).</w:t>
      </w:r>
    </w:p>
    <w:p>
      <w:pPr>
        <w:pStyle w:val="Heading2"/>
        <w:spacing w:after="100" w:before="190"/>
      </w:pPr>
      <w:r>
        <w:t xml:space="preserve">16a. Sources attempted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Stooq (rank 3) — FAILED, robots disallow + egress block. Investing.com — CORROBORATED (Source A, full OHLC). Barchart — PARTIAL, JS-rendered table, used as sanity check (last 7,553.68; 52wk high 7,620.90 matched Source A). Yahoo Finance — PARTIAL, live quote only, Tier 3 per 2025 demotion. FRED/S&amp;P DJI (rank 49) — CORROBORATED (Source B, closes only). Corroborating pair: Investing.com × FRED. Sources attempted before corroboration: 5.</w:t>
      </w:r>
    </w:p>
    <w:p>
      <w:pPr>
        <w:pStyle w:val="Heading2"/>
        <w:spacing w:after="100" w:before="190"/>
      </w:pPr>
      <w:r>
        <w:t xml:space="preserve">16b. Validation method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Close corroboration: pairwise delta vs ±0.10 pt equity-index tolerance across 20 sessions. Max delta 0.0000. Date validation: Mon–Fri only; 03-Jul holiday verified; no duplicates.</w:t>
      </w:r>
    </w:p>
    <w:p>
      <w:pPr>
        <w:pStyle w:val="Heading2"/>
        <w:spacing w:after="100" w:before="190"/>
      </w:pPr>
      <w:r>
        <w:t xml:space="preserve">16c. Direction-score weights basis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DEFAULT — M1 §H.3 values unchanged (locked for the first 20 forward-test sessions). No tuning applied, so no §H.3 lock deviation to report.</w:t>
      </w:r>
    </w:p>
    <w:p>
      <w:pPr>
        <w:pStyle w:val="Heading2"/>
        <w:spacing w:after="100" w:before="190"/>
      </w:pPr>
      <w:r>
        <w:t xml:space="preserve">16d. Suppression reasons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Trade 1: NOT suppressed — |score| 0.2750 ≥ 0.25 threshold. Trade 2: produced ([PRODUCE_PIVOT_TRADE]=YES) but flagged — every level it cites is single-source-indicative. Trade 3: forked to 3C per TRANSITION regime; 3A/3B not applicable. Fib swing anchor (§4b): the 4-session lookback found no swing of magnitude ≥ 2 × ATR(14) (156.52 pts); extending to the 10-session maximum, the largest qualifying move is the 25-day range of 285.75 pts, which qualifies — but its endpoints are single-source H/L, so the anchor is flagged.</w:t>
      </w:r>
    </w:p>
    <w:p>
      <w:pPr>
        <w:pStyle w:val="Heading2"/>
        <w:spacing w:after="100" w:before="190"/>
      </w:pPr>
      <w:r>
        <w:t xml:space="preserve">16e. Backtest reconstruction notes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5 sessions replayed (08-Jul to 14-Jul). No-leakage discipline enforced: at each session t the signal is computed strictly from closes up to t-1. Sentiment frozen at the session-of-record value — no forward sentiment leaked into replayed sessions. Reconstruction uses corroborated closes only, so the backtest is cleaner than the live trade cards.</w:t>
      </w:r>
    </w:p>
    <w:p>
      <w:pPr>
        <w:pStyle w:val="Heading2"/>
        <w:spacing w:after="100" w:before="190"/>
      </w:pPr>
      <w:r>
        <w:t xml:space="preserve">16f. Anomalies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(1) FRED's HTML series page served a snapshot ending 13-May-2026 while its data endpoint returned data through 14-Jul-2026 — the endpoint was used and is the authoritative figure. (2) IBM -25.21% on 14-Jul is an extreme single-name move left unexplained by available data. (3) 02-Jul close (7,483.24) sits 0.01 above the 01-Jul close (7,483.23), reported as 0.00% change — a legitimate near-zero session, not a duplicate; both values are corroborated and it does not meet the §1a rejection test (O=H=L=C identical to prior row). (4) Anchor override conflicts with PATCHES §P6 — logged in §2a.</w:t>
      </w:r>
    </w:p>
    <w:p>
      <w:r>
        <w:br w:type="page"/>
      </w:r>
    </w:p>
    <w:p>
      <w:pPr>
        <w:pStyle w:val="Heading1"/>
        <w:spacing w:after="130" w:before="260"/>
      </w:pPr>
      <w:r>
        <w:t xml:space="preserve">17. Strategy Recommendations (§21)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EXECUTION WARNING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These cards are produced under the user's explicit instruction to be lenient on corroboration and not suppress strategies. They are not protocol-clean.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stop-loss and every pivot level below derives from single-source High/Low data that Source Discipline Protocol §4 prohibits from being used for exactly this purpose. Direction is defensible; the levels are not verified.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00:00 UK entry anchor is not executable on the cash index. Entries are pending orders referencing the prior close and will gap.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Before risking capital: obtain a second independent source for 14-Jul High/Low (7,557.44 / 7,513.23) and re-derive. If the second source disagrees beyond ±0.10 pts, every level below changes.</w:t>
            </w:r>
          </w:p>
        </w:tc>
      </w:tr>
    </w:tbl>
    <w:p>
      <w:pPr>
        <w:spacing w:before="180"/>
      </w:pPr>
    </w:p>
    <w:p>
      <w:pPr>
        <w:pStyle w:val="Heading2"/>
        <w:spacing w:after="100" w:before="190"/>
      </w:pPr>
      <w:r>
        <w:t xml:space="preserve">17a. Directional conviction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000"/>
        <w:gridCol w:w="1500"/>
        <w:gridCol w:w="37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1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0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Contribution</w:t>
            </w:r>
          </w:p>
        </w:tc>
        <w:tc>
          <w:tcPr>
            <w:tcW w:type="dxa" w:w="37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W_SHORT_TECH</w:t>
            </w:r>
          </w:p>
        </w:tc>
        <w:tc>
          <w:tcPr>
            <w:tcW w:type="dxa" w:w="1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0.25</w:t>
            </w:r>
          </w:p>
        </w:tc>
        <w:tc>
          <w:tcPr>
            <w:tcW w:type="dxa" w:w="1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+0.50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+0.1250</w:t>
            </w:r>
          </w:p>
        </w:tc>
        <w:tc>
          <w:tcPr>
            <w:tcW w:type="dxa" w:w="3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Close &gt; SMA5; +60.88 over 5d; RSI2 58 (no extreme)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W_MEDIUM_REGIME</w:t>
            </w:r>
          </w:p>
        </w:tc>
        <w:tc>
          <w:tcPr>
            <w:tcW w:type="dxa" w:w="11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0.20</w:t>
            </w:r>
          </w:p>
        </w:tc>
        <w:tc>
          <w:tcPr>
            <w:tcW w:type="dxa" w:w="10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-0.05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-0.0100</w:t>
            </w:r>
          </w:p>
        </w:tc>
        <w:tc>
          <w:tcPr>
            <w:tcW w:type="dxa" w:w="37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25d change -10.70 pts — structurally flat</w:t>
            </w:r>
          </w:p>
        </w:tc>
      </w:tr>
      <w:tr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W_VOLATOR</w:t>
            </w:r>
          </w:p>
        </w:tc>
        <w:tc>
          <w:tcPr>
            <w:tcW w:type="dxa" w:w="1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0.10</w:t>
            </w:r>
          </w:p>
        </w:tc>
        <w:tc>
          <w:tcPr>
            <w:tcW w:type="dxa" w:w="1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+0.25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+0.0250</w:t>
            </w:r>
          </w:p>
        </w:tc>
        <w:tc>
          <w:tcPr>
            <w:tcW w:type="dxa" w:w="3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Slope -0.0395 — vol compressing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W_KAUFMAN</w:t>
            </w:r>
          </w:p>
        </w:tc>
        <w:tc>
          <w:tcPr>
            <w:tcW w:type="dxa" w:w="11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0.15</w:t>
            </w:r>
          </w:p>
        </w:tc>
        <w:tc>
          <w:tcPr>
            <w:tcW w:type="dxa" w:w="10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+0.60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+0.0900</w:t>
            </w:r>
          </w:p>
        </w:tc>
        <w:tc>
          <w:tcPr>
            <w:tcW w:type="dxa" w:w="37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KER +0.3252, well above 0.13</w:t>
            </w:r>
          </w:p>
        </w:tc>
      </w:tr>
      <w:tr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W_SENTIMENT</w:t>
            </w:r>
          </w:p>
        </w:tc>
        <w:tc>
          <w:tcPr>
            <w:tcW w:type="dxa" w:w="1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0.15</w:t>
            </w:r>
          </w:p>
        </w:tc>
        <w:tc>
          <w:tcPr>
            <w:tcW w:type="dxa" w:w="1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+0.20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+0.0300</w:t>
            </w:r>
          </w:p>
        </w:tc>
        <w:tc>
          <w:tcPr>
            <w:tcW w:type="dxa" w:w="3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M2 §13b: VIX calm, semis bid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W_CROSS_ASSET</w:t>
            </w:r>
          </w:p>
        </w:tc>
        <w:tc>
          <w:tcPr>
            <w:tcW w:type="dxa" w:w="11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0.15</w:t>
            </w:r>
          </w:p>
        </w:tc>
        <w:tc>
          <w:tcPr>
            <w:tcW w:type="dxa" w:w="10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+0.10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+0.0150</w:t>
            </w:r>
          </w:p>
        </w:tc>
        <w:tc>
          <w:tcPr>
            <w:tcW w:type="dxa" w:w="37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MIXED — DAX contradicts</w:t>
            </w:r>
          </w:p>
        </w:tc>
      </w:tr>
      <w:tr>
        <w:tc>
          <w:tcPr>
            <w:tcW w:type="dxa" w:w="20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</w:t>
            </w:r>
          </w:p>
        </w:tc>
        <w:tc>
          <w:tcPr>
            <w:tcW w:type="dxa" w:w="11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1.00</w:t>
            </w:r>
          </w:p>
        </w:tc>
        <w:tc>
          <w:tcPr>
            <w:tcW w:type="dxa" w:w="10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+0.2750</w:t>
            </w:r>
          </w:p>
        </w:tc>
        <w:tc>
          <w:tcPr>
            <w:tcW w:type="dxa" w:w="376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Threshold 0.25 → Trade 1 FIRES LONG</w:t>
            </w:r>
          </w:p>
        </w:tc>
      </w:tr>
    </w:tbl>
    <w:p>
      <w:pPr>
        <w:spacing w:before="1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score clears the conviction threshold by 0.025. Two-thirds of the positive contribution comes from W_SHORT_TECH and W_KAUFMAN; the four remaining components contribute +0.06 combined. This is a narrow, concentrated signal.</w:t>
      </w:r>
    </w:p>
    <w:p>
      <w:pPr>
        <w:spacing w:before="180"/>
      </w:pPr>
    </w:p>
    <w:p>
      <w:pPr>
        <w:pStyle w:val="Heading2"/>
        <w:spacing w:after="100" w:before="190"/>
      </w:pPr>
      <w:r>
        <w:t xml:space="preserve">17b. Trade 1 — Daily Directional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476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5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Direction</w:t>
            </w:r>
          </w:p>
        </w:tc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</w:t>
            </w:r>
          </w:p>
        </w:tc>
        <w:tc>
          <w:tcPr>
            <w:tcW w:type="dxa" w:w="4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Score +0.2750 ≥ 0.25</w:t>
            </w:r>
          </w:p>
        </w:tc>
      </w:tr>
      <w:tr>
        <w:tc>
          <w:tcPr>
            <w:tcW w:type="dxa" w:w="21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Entry</w:t>
            </w:r>
          </w:p>
        </w:tc>
        <w:tc>
          <w:tcPr>
            <w:tcW w:type="dxa" w:w="25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 order @ 7,543.59 ref</w:t>
            </w:r>
          </w:p>
        </w:tc>
        <w:tc>
          <w:tcPr>
            <w:tcW w:type="dxa" w:w="476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00:00 UK anchor NOT executable — triggers 14:30 UK cash open. Will gap.</w:t>
            </w:r>
          </w:p>
        </w:tc>
      </w:tr>
      <w:tr>
        <w:tc>
          <w:tcPr>
            <w:tcW w:type="dxa" w:w="210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 loss</w:t>
            </w:r>
          </w:p>
        </w:tc>
        <w:tc>
          <w:tcPr>
            <w:tcW w:type="dxa" w:w="250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7,402.26</w:t>
            </w:r>
          </w:p>
        </w:tc>
        <w:tc>
          <w:tcPr>
            <w:tcW w:type="dxa" w:w="476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swing_low_5d (7,421.82) − 0.25×ATR — SINGLE-SOURCE, PROHIBITED BASIS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 (risk)</w:t>
            </w:r>
          </w:p>
        </w:tc>
        <w:tc>
          <w:tcPr>
            <w:tcW w:type="dxa" w:w="2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141.34 pts</w:t>
            </w:r>
          </w:p>
        </w:tc>
        <w:tc>
          <w:tcPr>
            <w:tcW w:type="dxa" w:w="47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1.81 × ATR(14)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7,684.93</w:t>
            </w:r>
          </w:p>
        </w:tc>
        <w:tc>
          <w:tcPr>
            <w:tcW w:type="dxa" w:w="4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+1R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2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7,826.26</w:t>
            </w:r>
          </w:p>
        </w:tc>
        <w:tc>
          <w:tcPr>
            <w:tcW w:type="dxa" w:w="47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+2R — above 52wk high; see caveats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TP3 (Unit 3, runner)</w:t>
            </w:r>
          </w:p>
        </w:tc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7,778.37</w:t>
            </w:r>
          </w:p>
        </w:tc>
        <w:tc>
          <w:tcPr>
            <w:tcW w:type="dxa" w:w="4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× ATR cap, or session close, whichever first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Tranche management</w:t>
            </w:r>
          </w:p>
        </w:tc>
        <w:tc>
          <w:tcPr>
            <w:tcW w:type="dxa" w:w="2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equal units</w:t>
            </w:r>
          </w:p>
        </w:tc>
        <w:tc>
          <w:tcPr>
            <w:tcW w:type="dxa" w:w="47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U1→TP1; U2→TP2; on U2 fill, U3 stop → entry + 0.2R (7,571.86)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7,402.26</w:t>
            </w:r>
          </w:p>
        </w:tc>
        <w:tc>
          <w:tcPr>
            <w:tcW w:type="dxa" w:w="4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Coincides with SL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ATR-cap check</w:t>
            </w:r>
          </w:p>
        </w:tc>
        <w:tc>
          <w:tcPr>
            <w:tcW w:type="dxa" w:w="2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 at 7,269.68 not binding</w:t>
            </w:r>
          </w:p>
        </w:tc>
        <w:tc>
          <w:tcPr>
            <w:tcW w:type="dxa" w:w="47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Structural stop is tighter — cap does not apply</w:t>
            </w:r>
          </w:p>
        </w:tc>
      </w:tr>
    </w:tbl>
    <w:p>
      <w:pPr>
        <w:spacing w:before="1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Mandatory §5.1 sanity flags: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WIDE STOP — R = 141.34 pts exceeds 1 × ATR(14) = 78.26. Risk per unit is 1.81 ATR.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TP2 AMBITIOUS FOR A DAILY HORIZON — 2R = 282.68 pts exceeds 3 × ATR = 234.78. Per M5 §5.1 this is flagged, not suppressed. TP2 at 7,826.26 sits above the 52-week high of 7,620.90; reaching it in one session would require a ~3.7% advance. Treat as aspirational.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• Note the internal inconsistency the rules produce here: TP3 (7,778.37) sits below TP2 (7,826.26), because the runner is ATR-capped while TP2 is R-multiple-derived and R is unusually wide. The runner will cap out before TP2 is reached.</w:t>
      </w:r>
    </w:p>
    <w:p>
      <w:pPr>
        <w:pStyle w:val="Heading2"/>
        <w:spacing w:after="100" w:before="190"/>
      </w:pPr>
      <w:r>
        <w:t xml:space="preserve">17c. Trade 2 — Regime-Aware Pivot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436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9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3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10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290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PRODUCED — ALL LEVELS UNVERIFIED</w:t>
            </w:r>
          </w:p>
        </w:tc>
        <w:tc>
          <w:tcPr>
            <w:tcW w:type="dxa" w:w="436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[PRODUCE_PIVOT_TRADE] = YES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Regime</w:t>
            </w:r>
          </w:p>
        </w:tc>
        <w:tc>
          <w:tcPr>
            <w:tcW w:type="dxa" w:w="29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TRANSITION</w:t>
            </w:r>
          </w:p>
        </w:tc>
        <w:tc>
          <w:tcPr>
            <w:tcW w:type="dxa" w:w="43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RANGE — mean-reversion at pivots is not the high-probability expression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Bias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 toward R1</w:t>
            </w:r>
          </w:p>
        </w:tc>
        <w:tc>
          <w:tcPr>
            <w:tcW w:type="dxa" w:w="4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Aligns with Trade 1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Entry zone</w:t>
            </w:r>
          </w:p>
        </w:tc>
        <w:tc>
          <w:tcPr>
            <w:tcW w:type="dxa" w:w="29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7,538.09 (daily P)</w:t>
            </w:r>
          </w:p>
        </w:tc>
        <w:tc>
          <w:tcPr>
            <w:tcW w:type="dxa" w:w="43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SINGLE-SOURCE-INDICATIVE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7,562.94 (R1) → 7,572.62 (R1.5)</w:t>
            </w:r>
          </w:p>
        </w:tc>
        <w:tc>
          <w:tcPr>
            <w:tcW w:type="dxa" w:w="4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SINGLE-SOURCE-INDICATIVE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</w:t>
            </w:r>
          </w:p>
        </w:tc>
        <w:tc>
          <w:tcPr>
            <w:tcW w:type="dxa" w:w="29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7,518.73 (S1)</w:t>
            </w:r>
          </w:p>
        </w:tc>
        <w:tc>
          <w:tcPr>
            <w:tcW w:type="dxa" w:w="43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SINGLE-SOURCE-INDICATIVE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R:R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 1.28 : 1</w:t>
            </w:r>
          </w:p>
        </w:tc>
        <w:tc>
          <w:tcPr>
            <w:tcW w:type="dxa" w:w="4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 R1</w:t>
            </w:r>
          </w:p>
        </w:tc>
      </w:tr>
      <w:tr>
        <w:tc>
          <w:tcPr>
            <w:tcW w:type="dxa" w:w="210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Corroboration flag</w:t>
            </w:r>
          </w:p>
        </w:tc>
        <w:tc>
          <w:tcPr>
            <w:tcW w:type="dxa" w:w="290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SINGLE-SOURCE-INDICATIVE</w:t>
            </w:r>
          </w:p>
        </w:tc>
        <w:tc>
          <w:tcPr>
            <w:tcW w:type="dxa" w:w="436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M5 §4a inherits from parent pivots dict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Under the protocol as written this card should not exist — its entry, target and stop are all pivot-derived and pivots may not be computed from single-source H/L. It is included per instruction and marked accordingly.</w:t>
      </w:r>
    </w:p>
    <w:p>
      <w:pPr>
        <w:spacing w:before="180"/>
      </w:pPr>
    </w:p>
    <w:p>
      <w:pPr>
        <w:pStyle w:val="Heading2"/>
        <w:spacing w:after="100" w:before="190"/>
      </w:pPr>
      <w:r>
        <w:t xml:space="preserve">17d. Trade 3C — Transition Breakout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Regime is TRANSITION, so the fork resolves to 3C. Per M5 §4d the anchor is the 25-day range boundary rather than a fib swing.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8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1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Fork</w:t>
            </w:r>
          </w:p>
        </w:tc>
        <w:tc>
          <w:tcPr>
            <w:tcW w:type="dxa" w:w="2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3C (transition breakout)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3A/3B suppressed — regime is not TREND_* or RANGE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Range boundary (upper)</w:t>
            </w:r>
          </w:p>
        </w:tc>
        <w:tc>
          <w:tcPr>
            <w:tcW w:type="dxa" w:w="28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7,579.93</w:t>
            </w:r>
          </w:p>
        </w:tc>
        <w:tc>
          <w:tcPr>
            <w:tcW w:type="dxa" w:w="41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swing_high_25d — SINGLE-SOURCE</w:t>
            </w:r>
          </w:p>
        </w:tc>
      </w:tr>
      <w:t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Range boundary (lower)</w:t>
            </w:r>
          </w:p>
        </w:tc>
        <w:tc>
          <w:tcPr>
            <w:tcW w:type="dxa" w:w="2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7,294.18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swing_low_25d — SINGLE-SOURCE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Confirmed break (long)</w:t>
            </w:r>
          </w:p>
        </w:tc>
        <w:tc>
          <w:tcPr>
            <w:tcW w:type="dxa" w:w="28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close &gt; 7,599.50</w:t>
            </w:r>
          </w:p>
        </w:tc>
        <w:tc>
          <w:tcPr>
            <w:tcW w:type="dxa" w:w="41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Boundary + 0.25 × ATR (19.57)</w:t>
            </w:r>
          </w:p>
        </w:tc>
      </w:tr>
      <w:t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Confirmed break (short)</w:t>
            </w:r>
          </w:p>
        </w:tc>
        <w:tc>
          <w:tcPr>
            <w:tcW w:type="dxa" w:w="2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close &lt; 7,274.61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Boundary − 0.25 × ATR</w:t>
            </w:r>
          </w:p>
        </w:tc>
      </w:tr>
      <w:tr>
        <w:tc>
          <w:tcPr>
            <w:tcW w:type="dxa" w:w="24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Eligibility</w:t>
            </w:r>
          </w:p>
        </w:tc>
        <w:tc>
          <w:tcPr>
            <w:tcW w:type="dxa" w:w="280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ELIGIBLE</w:t>
            </w:r>
          </w:p>
        </w:tc>
        <w:tc>
          <w:tcPr>
            <w:tcW w:type="dxa" w:w="4160"/>
            <w:shd w:fill="FFF2CC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14-Jul close 7,543.59 is inside the range — no confirming close</w:t>
            </w:r>
          </w:p>
        </w:tc>
      </w:tr>
      <w:tr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Fib swing anchor (§4b)</w:t>
            </w:r>
          </w:p>
        </w:tc>
        <w:tc>
          <w:tcPr>
            <w:tcW w:type="dxa" w:w="2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25-day range, 285.75 pts = 3.65 × ATR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Qualifies at 10-session lookback (default 4 found none ≥ 2×ATR)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Trade 3C does not trigger for the 16-Jul session. Price must first close beyond 7,599.50 (long) or 7,274.61 (short). This is the correct outcome — a breakout strategy should not fire mid-range.</w:t>
      </w:r>
    </w:p>
    <w:p>
      <w:pPr>
        <w:spacing w:before="180"/>
      </w:pPr>
    </w:p>
    <w:p>
      <w:pPr>
        <w:pStyle w:val="Heading2"/>
        <w:spacing w:after="100" w:before="190"/>
      </w:pPr>
      <w:r>
        <w:t xml:space="preserve">17e. Simultaneous long/short check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[MAX_SIMULTANEOUS_LONG_SHORT] = YES. Trades 1 and 2 are both LONG; Trade 3C is inactive. No opposing cards, so no suppression is triggered under this switch.</w:t>
      </w:r>
    </w:p>
    <w:p>
      <w:pPr>
        <w:spacing w:before="180"/>
      </w:pPr>
    </w:p>
    <w:p>
      <w:pPr>
        <w:pStyle w:val="Heading2"/>
        <w:spacing w:after="100" w:before="190"/>
      </w:pPr>
      <w:r>
        <w:t xml:space="preserve">17f. Five-session no-leakage backtest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Signal at each session t computed strictly from closes up to t-1 (KER sign + position vs SMA5). Corroborated closes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500"/>
        <w:gridCol w:w="1400"/>
        <w:gridCol w:w="1700"/>
        <w:gridCol w:w="176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13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5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KER(t-1)</w:t>
            </w:r>
          </w:p>
        </w:tc>
        <w:tc>
          <w:tcPr>
            <w:tcW w:type="dxa" w:w="14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vs SMA5</w:t>
            </w:r>
          </w:p>
        </w:tc>
        <w:tc>
          <w:tcPr>
            <w:tcW w:type="dxa" w:w="1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move</w:t>
            </w:r>
          </w:p>
        </w:tc>
        <w:tc>
          <w:tcPr>
            <w:tcW w:type="dxa" w:w="17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08-Jul-2026</w:t>
            </w:r>
          </w:p>
        </w:tc>
        <w:tc>
          <w:tcPr>
            <w:tcW w:type="dxa" w:w="1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-0.0212</w:t>
            </w:r>
          </w:p>
        </w:tc>
        <w:tc>
          <w:tcPr>
            <w:tcW w:type="dxa" w:w="1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above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-21.14</w:t>
            </w:r>
          </w:p>
        </w:tc>
        <w:tc>
          <w:tcPr>
            <w:tcW w:type="dxa" w:w="1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trade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09-Jul-2026</w:t>
            </w:r>
          </w:p>
        </w:tc>
        <w:tc>
          <w:tcPr>
            <w:tcW w:type="dxa" w:w="13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+0.0523</w:t>
            </w:r>
          </w:p>
        </w:tc>
        <w:tc>
          <w:tcPr>
            <w:tcW w:type="dxa" w:w="14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below</w:t>
            </w:r>
          </w:p>
        </w:tc>
        <w:tc>
          <w:tcPr>
            <w:tcW w:type="dxa" w:w="17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+60.93</w:t>
            </w:r>
          </w:p>
        </w:tc>
        <w:tc>
          <w:tcPr>
            <w:tcW w:type="dxa" w:w="17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trade</w:t>
            </w:r>
          </w:p>
        </w:tc>
      </w:tr>
      <w:tr>
        <w:tc>
          <w:tcPr>
            <w:tcW w:type="dxa" w:w="17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10-Jul-2026</w:t>
            </w:r>
          </w:p>
        </w:tc>
        <w:tc>
          <w:tcPr>
            <w:tcW w:type="dxa" w:w="13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</w:t>
            </w:r>
          </w:p>
        </w:tc>
        <w:tc>
          <w:tcPr>
            <w:tcW w:type="dxa" w:w="15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+0.0712</w:t>
            </w:r>
          </w:p>
        </w:tc>
        <w:tc>
          <w:tcPr>
            <w:tcW w:type="dxa" w:w="14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above</w:t>
            </w:r>
          </w:p>
        </w:tc>
        <w:tc>
          <w:tcPr>
            <w:tcW w:type="dxa" w:w="170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+31.75</w:t>
            </w:r>
          </w:p>
        </w:tc>
        <w:tc>
          <w:tcPr>
            <w:tcW w:type="dxa" w:w="1760"/>
            <w:shd w:fill="E2EFDA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</w:t>
            </w:r>
          </w:p>
        </w:tc>
      </w:tr>
      <w:tr>
        <w:tc>
          <w:tcPr>
            <w:tcW w:type="dxa" w:w="170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13-Jul-2026</w:t>
            </w:r>
          </w:p>
        </w:tc>
        <w:tc>
          <w:tcPr>
            <w:tcW w:type="dxa" w:w="130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</w:t>
            </w:r>
          </w:p>
        </w:tc>
        <w:tc>
          <w:tcPr>
            <w:tcW w:type="dxa" w:w="150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+0.1421</w:t>
            </w:r>
          </w:p>
        </w:tc>
        <w:tc>
          <w:tcPr>
            <w:tcW w:type="dxa" w:w="140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above</w:t>
            </w:r>
          </w:p>
        </w:tc>
        <w:tc>
          <w:tcPr>
            <w:tcW w:type="dxa" w:w="170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-60.05</w:t>
            </w:r>
          </w:p>
        </w:tc>
        <w:tc>
          <w:tcPr>
            <w:tcW w:type="dxa" w:w="1760"/>
            <w:shd w:fill="FCE4E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LOSS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14-Jul-2026</w:t>
            </w:r>
          </w:p>
        </w:tc>
        <w:tc>
          <w:tcPr>
            <w:tcW w:type="dxa" w:w="1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+0.2435</w:t>
            </w:r>
          </w:p>
        </w:tc>
        <w:tc>
          <w:tcPr>
            <w:tcW w:type="dxa" w:w="1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below</w:t>
            </w:r>
          </w:p>
        </w:tc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+28.25</w:t>
            </w:r>
          </w:p>
        </w:tc>
        <w:tc>
          <w:tcPr>
            <w:tcW w:type="dxa" w:w="1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trade</w:t>
            </w:r>
          </w:p>
        </w:tc>
      </w:tr>
    </w:tbl>
    <w:p>
      <w:pPr>
        <w:spacing w:before="1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Trades taken: 2. Wins: 1. Losses: 1. Hit rate: 50%. Net: -28.30 pts.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This result carries no statistical weight whatsoever. Two trades cannot distinguish a working strategy from a coin flip; the sample exists because [BACKTEST_LOOKBACK_DAYS] = 5, not because five sessions are informative. It is reported because the module requires it. The §H.3 twenty-session weight-lock exists precisely so that weights are not tuned on evidence this thin.</w:t>
      </w:r>
    </w:p>
    <w:p>
      <w:pPr>
        <w:spacing w:before="180"/>
      </w:pPr>
    </w:p>
    <w:p>
      <w:pPr>
        <w:pStyle w:val="Heading2"/>
        <w:spacing w:after="100" w:before="190"/>
      </w:pPr>
      <w:r>
        <w:t xml:space="preserve">17g. What is working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Across the replayed window the KER/SMA5 filter stayed flat on three of five sessions, including 09-Jul (+60.93) and 14-Jul (+28.25) — two up sessions it missed by requiring price above the 5-day mean. It caught 10-Jul (+31.75) and was wrong on 13-Jul (-60.05), where the single loss exceeded the single win. The pattern in this tiny sample is consistent with the regime label: a filter built for trends is being whipsawed by a market that is not trending cleanly, which is what TRANSITION describes. Nothing here should be read as evidence for or against the weights.</w:t>
      </w:r>
    </w:p>
    <w:p>
      <w:r>
        <w:br w:type="page"/>
      </w:r>
    </w:p>
    <w:p>
      <w:pPr>
        <w:pStyle w:val="Heading1"/>
        <w:spacing w:after="130" w:before="260"/>
      </w:pPr>
      <w:r>
        <w:t xml:space="preserve">18. Forward-Test Session Log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#</w:t>
            </w:r>
          </w:p>
        </w:tc>
        <w:tc>
          <w:tcPr>
            <w:tcW w:type="dxa" w:w="7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 (of 20 minimum before any weight tuning)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16-Jul-2026</w:t>
            </w:r>
          </w:p>
        </w:tc>
      </w:tr>
      <w:t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timestamp (UK)</w:t>
            </w:r>
          </w:p>
        </w:tc>
        <w:tc>
          <w:tcPr>
            <w:tcW w:type="dxa" w:w="7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15-Jul-2026 (report prepared ahead of session)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Output dir</w:t>
            </w:r>
          </w:p>
        </w:tc>
        <w:tc>
          <w:tcPr>
            <w:tcW w:type="dxa" w:w="71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 — manual run; engine not invoked (egress restricted)</w:t>
            </w:r>
          </w:p>
        </w:tc>
      </w:tr>
      <w:t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§21 result summary</w:t>
            </w:r>
          </w:p>
        </w:tc>
        <w:tc>
          <w:tcPr>
            <w:tcW w:type="dxa" w:w="7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1 LONG @ 7,543.59 ref, SL 7,402.26, score +0.2750. Trade 2 LONG pivot (unverified). Trade 3C not eligible.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Anchor overridden to 00:00 UK (non-executable on cash — pending order). O/H/L single-source; corroboration leniency applied per user instruction. Weights at default.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CLOSING NOTE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aspects of this run depart from the framework's own safeguards, both at your explicit instruction, and both are recorded rather than quietly absorbed: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The corroboration leniency means the trade levels rest on unverified High/Low data. The direction (+0.2750 LONG) is derived from fully corroborated closes and stands on its own. The levels do not — one second source for 14-Jul H/L would resolve this and re-validate every number in §17.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The 00:00 UK anchor cannot fill on a cash index. The framework's own PATCHES §P6 anticipates precisely this and prescribes the anchor be corrected. If the goal is a genuine 24-hour entry, ES futures rather than ^GSPC is the instrument that supports 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report is complete and internally consistent. It should not be treated as protocol-clean.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5"/>
      </w:pBdr>
      <w:spacing w:after="130" w:before="2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90"/>
    </w:pPr>
    <w:rPr>
      <w:rFonts w:ascii="Calibri" w:cs="Calibri" w:eastAsia="Calibri" w:hAnsi="Calibri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S&amp;P 500 Daily Technical &amp; Strategy Report — 16 July 2026</dc:title>
  <dc:creator>Modular Prompt Architecture v2.1</dc:creator>
  <cp:lastModifiedBy>Un-named</cp:lastModifiedBy>
  <cp:revision>1</cp:revision>
  <dcterms:created xsi:type="dcterms:W3CDTF">2026-07-15T21:35:52.634Z</dcterms:created>
  <dcterms:modified xsi:type="dcterms:W3CDTF">2026-07-15T21:35:52.652Z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