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08080"/>
          <w:sz w:val="18"/>
          <w:szCs w:val="18"/>
        </w:rPr>
        <w:t xml:space="preserve">MODULAR PROMPT ARCHITECTURE v2.1</w:t>
      </w:r>
    </w:p>
    <w:p>
      <w:pPr>
        <w:spacing w:after="40"/>
      </w:pPr>
      <w:r>
        <w:rPr>
          <w:rFonts w:ascii="Calibri" w:cs="Calibri" w:eastAsia="Calibri" w:hAnsi="Calibri"/>
          <w:b/>
          <w:bCs/>
          <w:color w:val="1F3864"/>
          <w:sz w:val="40"/>
          <w:szCs w:val="40"/>
        </w:rPr>
        <w:t xml:space="preserve">S&amp;P 500 (Cash Index) — Daily Technical &amp; Strategy Report</w:t>
      </w:r>
    </w:p>
    <w:p>
      <w:pPr>
        <w:pBdr>
          <w:bottom w:val="single" w:color="1F3864" w:sz="10"/>
        </w:pBdr>
        <w:spacing w:after="160"/>
      </w:pPr>
      <w:r>
        <w:rPr>
          <w:rFonts w:ascii="Calibri" w:cs="Calibri" w:eastAsia="Calibri" w:hAnsi="Calibri"/>
          <w:color w:val="404040"/>
          <w:sz w:val="20"/>
          <w:szCs w:val="20"/>
        </w:rPr>
        <w:t xml:space="preserve">Session date: Friday 10 July 2026  ·  Prepared 09 July 2026 (post-close)  ·  Senior US Equity Strategist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Field</w:t>
            </w:r>
          </w:p>
        </w:tc>
        <w:tc>
          <w:tcPr>
            <w:tcW w:type="dxa" w:w="72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r>
      <w:tr>
        <w:tc>
          <w:tcPr>
            <w:tcW w:type="dxa" w:w="21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Primary asset</w:t>
            </w:r>
          </w:p>
        </w:tc>
        <w:tc>
          <w:tcPr>
            <w:tcW w:type="dxa" w:w="7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S&amp;P 500 cash index (^GSPC)</w:t>
            </w:r>
          </w:p>
        </w:tc>
      </w:tr>
      <w:tr>
        <w:tc>
          <w:tcPr>
            <w:tcW w:type="dxa" w:w="21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Report session</w:t>
            </w:r>
          </w:p>
        </w:tc>
        <w:tc>
          <w:tcPr>
            <w:tcW w:type="dxa" w:w="7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Friday 10 July 2026 — forward-looking pre-session report</w:t>
            </w:r>
          </w:p>
        </w:tc>
      </w:tr>
      <w:tr>
        <w:tc>
          <w:tcPr>
            <w:tcW w:type="dxa" w:w="21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Anchor close</w:t>
            </w:r>
          </w:p>
        </w:tc>
        <w:tc>
          <w:tcPr>
            <w:tcW w:type="dxa" w:w="7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7,543.64 — Thursday 09 July 2026 regular cash close</w:t>
            </w:r>
          </w:p>
        </w:tc>
      </w:tr>
      <w:tr>
        <w:tc>
          <w:tcPr>
            <w:tcW w:type="dxa" w:w="21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Counters</w:t>
            </w:r>
          </w:p>
        </w:tc>
        <w:tc>
          <w:tcPr>
            <w:tcW w:type="dxa" w:w="7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DX-Y.NYB (USDX) · ^VIX · ^GDAXI (DAX 40)</w:t>
            </w:r>
          </w:p>
        </w:tc>
      </w:tr>
      <w:tr>
        <w:tc>
          <w:tcPr>
            <w:tcW w:type="dxa" w:w="21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Output length</w:t>
            </w:r>
          </w:p>
        </w:tc>
        <w:tc>
          <w:tcPr>
            <w:tcW w:type="dxa" w:w="7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STANDARD (§1–§21 with 5-session backtest)</w:t>
            </w:r>
          </w:p>
        </w:tc>
      </w:tr>
      <w:tr>
        <w:tc>
          <w:tcPr>
            <w:tcW w:type="dxa" w:w="21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Strategies module</w:t>
            </w:r>
          </w:p>
        </w:tc>
        <w:tc>
          <w:tcPr>
            <w:tcW w:type="dxa" w:w="7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ENABLED — [PRODUCE_STRATEGY_RECOMMENDATIONS] = YES</w:t>
            </w:r>
          </w:p>
        </w:tc>
      </w:tr>
      <w:tr>
        <w:tc>
          <w:tcPr>
            <w:tcW w:type="dxa" w:w="21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[DAILY_OPEN_ANCHOR]</w:t>
            </w:r>
          </w:p>
        </w:tc>
        <w:tc>
          <w:tcPr>
            <w:tcW w:type="dxa" w:w="7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14:30 UK — OVERRIDDEN from M1 default of 07:00 UK (see §20)</w:t>
            </w:r>
          </w:p>
        </w:tc>
      </w:tr>
      <w:tr>
        <w:tc>
          <w:tcPr>
            <w:tcW w:type="dxa" w:w="21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Direction-weight basis</w:t>
            </w:r>
          </w:p>
        </w:tc>
        <w:tc>
          <w:tcPr>
            <w:tcW w:type="dxa" w:w="7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Defaults (v2.1 baseline) — locked, session 1 of 20</w:t>
            </w:r>
          </w:p>
        </w:tc>
      </w:tr>
    </w:tbl>
    <w:p>
      <w:pPr>
        <w:spacing w:after="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DATA-INTEGRITY NOTICE — READ BEFORE ACTING ON §21</w:t>
            </w:r>
          </w:p>
          <w:p>
            <w:pPr>
              <w:spacing w:after="40"/>
            </w:pPr>
            <w:r>
              <w:rPr>
                <w:rFonts w:ascii="Calibri" w:cs="Calibri" w:eastAsia="Calibri" w:hAnsi="Calibri"/>
                <w:sz w:val="18"/>
                <w:szCs w:val="18"/>
              </w:rPr>
              <w:t xml:space="preserve">This report was produced under an explicit analyst instruction to relax the Source Discipline No-Synthesis Protocol and to publish strategy output even where corroboration could not be fully achieved. That instruction has been honoured only to the extent it does not require inventing data.</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CORROBORATED: All daily CLOSE prices used in this report are two-source corroborated within the ±0.10-point equity-index tolerance (S&amp;P Dow Jones via FRED × Benzinga/CNBC/Yahoo Finance). The close series is sound.</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NOT AVAILABLE: No approved source returned intraday Open / High / Low data for ^GSPC. Every source in the stack either paywalled, blocked automated access, or published closes only.</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CONSEQUENCE: ATR(14) cannot be computed. VOLator regime cannot be computed. Floor pivots (daily / weekly / monthly) cannot be computed — they require prior-period H/L/C. Wherever the engine requires ATR, a close-to-close volatility proxy has been substituted and is labelled ATR-PROXY throughout. It is NOT ATR. It is systematically SMALLER than true ATR, which means every stop distance in §21 is TIGHTER than the engine intends.</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No price, level, or OHLC value in this report has been estimated, interpolated, or recalled from memory. Where a value could not be fetched, it is marked UNAVAILABLE rather than filled in.</w:t>
            </w:r>
          </w:p>
        </w:tc>
      </w:tr>
    </w:tbl>
    <w:p>
      <w:r>
        <w:br w:type="page"/>
      </w:r>
    </w:p>
    <w:p>
      <w:pPr>
        <w:pStyle w:val="Heading1"/>
        <w:spacing w:after="130" w:before="260"/>
      </w:pPr>
      <w:r>
        <w:rPr>
          <w:rFonts w:ascii="Calibri" w:cs="Calibri" w:eastAsia="Calibri" w:hAnsi="Calibri"/>
          <w:b/>
          <w:bCs/>
          <w:color w:val="1F3864"/>
          <w:sz w:val="28"/>
          <w:szCs w:val="28"/>
        </w:rPr>
        <w:t xml:space="preserve">§1  Executive Snapshot</w:t>
      </w:r>
    </w:p>
    <w:p>
      <w:pPr>
        <w:spacing w:after="100"/>
      </w:pPr>
      <w:r>
        <w:rPr>
          <w:rFonts w:ascii="Calibri" w:cs="Calibri" w:eastAsia="Calibri" w:hAnsi="Calibri"/>
          <w:sz w:val="20"/>
          <w:szCs w:val="20"/>
        </w:rPr>
        <w:t xml:space="preserve">Directional call for the 10 July session: </w:t>
      </w:r>
      <w:r>
        <w:rPr>
          <w:rFonts w:ascii="Calibri" w:cs="Calibri" w:eastAsia="Calibri" w:hAnsi="Calibri"/>
          <w:b/>
          <w:bCs/>
          <w:sz w:val="20"/>
          <w:szCs w:val="20"/>
        </w:rPr>
        <w:t xml:space="preserve">LONG, low-to-moderate conviction (direction score +0.33).</w:t>
      </w:r>
      <w:r>
        <w:rPr>
          <w:rFonts w:ascii="Calibri" w:cs="Calibri" w:eastAsia="Calibri" w:hAnsi="Calibri"/>
          <w:sz w:val="20"/>
          <w:szCs w:val="20"/>
        </w:rPr>
        <w:t xml:space="preserve"> The S&amp;P 500 closed Thursday at 7,543.64, up 60.93 points (+0.81%), recovering the ground lost on Wednesday's oil-driven risk-off session and printing the highest close of the last five sessions. The rebound was led by semiconductors — the Nasdaq Composite added 1.30% — while crude retreated after two sessions of near-10% gains. All four cross-asset counters point the same way.</w:t>
      </w:r>
    </w:p>
    <w:p>
      <w:pPr>
        <w:spacing w:after="100"/>
      </w:pPr>
      <w:r>
        <w:rPr>
          <w:rFonts w:ascii="Calibri" w:cs="Calibri" w:eastAsia="Calibri" w:hAnsi="Calibri"/>
          <w:sz w:val="20"/>
          <w:szCs w:val="20"/>
        </w:rPr>
        <w:t xml:space="preserve">The bull case is a short-term one. </w:t>
      </w:r>
      <w:r>
        <w:rPr>
          <w:rFonts w:ascii="Calibri" w:cs="Calibri" w:eastAsia="Calibri" w:hAnsi="Calibri"/>
          <w:sz w:val="20"/>
          <w:szCs w:val="20"/>
        </w:rPr>
        <w:t xml:space="preserve">The medium-term picture is materially less constructive: the index is down 0.87% across the last 25 sessions, sits 0.53% below the 25-day swing high of 7,584.31 set on 4 June, and the Kaufman Efficiency Ratio at 0.080 is below the 0.13 trending threshold and even below the 0.09 range-bias inner band. This is a choppy, low-efficiency tape that has covered a 4.3% range in five weeks and gone nowhere. Buying a five-day closing high into that structure is a momentum trade, not a trend trade.</w:t>
      </w:r>
    </w:p>
    <w:p>
      <w:pPr>
        <w:spacing w:after="100"/>
      </w:pPr>
      <w:r>
        <w:rPr>
          <w:rFonts w:ascii="Calibri" w:cs="Calibri" w:eastAsia="Calibri" w:hAnsi="Calibri"/>
          <w:b/>
          <w:bCs/>
          <w:sz w:val="20"/>
          <w:szCs w:val="20"/>
        </w:rPr>
        <w:t xml:space="preserve">Two of the three engine trade cards are SUPPRESSED</w:t>
      </w:r>
      <w:r>
        <w:rPr>
          <w:rFonts w:ascii="Calibri" w:cs="Calibri" w:eastAsia="Calibri" w:hAnsi="Calibri"/>
          <w:sz w:val="20"/>
          <w:szCs w:val="20"/>
        </w:rPr>
        <w:t xml:space="preserve"> — Trade 2 and Trade 3C — because the 25-day range boundaries have not been broken and the regime resolves to TRANSITION, under which the engine forbids counter-side limit orders. This is a structural outcome of the price data, not a consequence of the data-integrity gaps. Trade 1 is live and is the actionable output of this report.</w:t>
      </w:r>
    </w:p>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Seven-line Final Technical Judgement (M3 Step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Line</w:t>
            </w:r>
          </w:p>
        </w:tc>
        <w:tc>
          <w:tcPr>
            <w:tcW w:type="dxa" w:w="64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Short-term technical state</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Trending — Bullish</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Medium-term technical state</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Ranging — Mixed</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KER regime confirmation</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Ranging, sub-threshold bias (|KER| 0.080) — Neutral vs Step 4</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Preferred trade protocol</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Reduced conviction</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Integration note</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M4 forecast / macro / sentiment should lean with, but remain cautious</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Pivot reference</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 — no corroborated prior-period H/L/C; all pivot tiers absent</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Source status</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Corroborated: S&amp;P DJI (FRED) × CNBC/Yahoo | Sources tried: 9 | Un-corroborated fields: Open, High, Low (all sessions)</w:t>
            </w:r>
          </w:p>
        </w:tc>
      </w:tr>
    </w:tbl>
    <w:p>
      <w:pPr>
        <w:pStyle w:val="Heading1"/>
        <w:spacing w:after="130" w:before="260"/>
      </w:pPr>
      <w:r>
        <w:rPr>
          <w:rFonts w:ascii="Calibri" w:cs="Calibri" w:eastAsia="Calibri" w:hAnsi="Calibri"/>
          <w:b/>
          <w:bCs/>
          <w:color w:val="1F3864"/>
          <w:sz w:val="28"/>
          <w:szCs w:val="28"/>
        </w:rPr>
        <w:t xml:space="preserve">§2  Price &amp;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Variable</w:t>
            </w:r>
          </w:p>
        </w:tc>
        <w:tc>
          <w:tcPr>
            <w:tcW w:type="dxa" w:w="67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r>
      <w:tr>
        <w:tc>
          <w:tcPr>
            <w:tcW w:type="dxa" w:w="26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[PRICE_OBJECTIVE]</w:t>
            </w:r>
          </w:p>
        </w:tc>
        <w:tc>
          <w:tcPr>
            <w:tcW w:type="dxa" w:w="67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Current S&amp;P 500 cash index level</w:t>
            </w:r>
          </w:p>
        </w:tc>
      </w:tr>
      <w:tr>
        <w:tc>
          <w:tcPr>
            <w:tcW w:type="dxa" w:w="26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[PRICE_BASIS]</w:t>
            </w:r>
          </w:p>
        </w:tc>
        <w:tc>
          <w:tcPr>
            <w:tcW w:type="dxa" w:w="67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Cash index level (continuous), S&amp;P Dow Jones calculation</w:t>
            </w:r>
          </w:p>
        </w:tc>
      </w:tr>
      <w:tr>
        <w:tc>
          <w:tcPr>
            <w:tcW w:type="dxa" w:w="26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[DELIVERY_BASIS]</w:t>
            </w:r>
          </w:p>
        </w:tc>
        <w:tc>
          <w:tcPr>
            <w:tcW w:type="dxa" w:w="67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NYSE/NASDAQ regular session 09:30–16:00 ET (14:30–21:00 UK)</w:t>
            </w:r>
          </w:p>
        </w:tc>
      </w:tr>
      <w:tr>
        <w:tc>
          <w:tcPr>
            <w:tcW w:type="dxa" w:w="26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[UNIT_OF_MEASURE]</w:t>
            </w:r>
          </w:p>
        </w:tc>
        <w:tc>
          <w:tcPr>
            <w:tcW w:type="dxa" w:w="67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Index points</w:t>
            </w:r>
          </w:p>
        </w:tc>
      </w:tr>
      <w:tr>
        <w:tc>
          <w:tcPr>
            <w:tcW w:type="dxa" w:w="26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[TICK_SIZE] / [TICK_NAME]</w:t>
            </w:r>
          </w:p>
        </w:tc>
        <w:tc>
          <w:tcPr>
            <w:tcW w:type="dxa" w:w="67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0.01 / point</w:t>
            </w:r>
          </w:p>
        </w:tc>
      </w:tr>
      <w:tr>
        <w:tc>
          <w:tcPr>
            <w:tcW w:type="dxa" w:w="26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[CURRENCY]</w:t>
            </w:r>
          </w:p>
        </w:tc>
        <w:tc>
          <w:tcPr>
            <w:tcW w:type="dxa" w:w="67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USD</w:t>
            </w:r>
          </w:p>
        </w:tc>
      </w:tr>
    </w:tbl>
    <w:p>
      <w:pPr>
        <w:pStyle w:val="Heading1"/>
        <w:spacing w:after="130" w:before="260"/>
      </w:pPr>
      <w:r>
        <w:rPr>
          <w:rFonts w:ascii="Calibri" w:cs="Calibri" w:eastAsia="Calibri" w:hAnsi="Calibri"/>
          <w:b/>
          <w:bCs/>
          <w:color w:val="1F3864"/>
          <w:sz w:val="28"/>
          <w:szCs w:val="28"/>
        </w:rPr>
        <w:t xml:space="preserve">§3–§6  Validated Price Data</w:t>
      </w:r>
    </w:p>
    <w:p>
      <w:pPr>
        <w:pStyle w:val="Heading2"/>
        <w:spacing w:after="100" w:before="180"/>
      </w:pPr>
      <w:r>
        <w:rPr>
          <w:rFonts w:ascii="Calibri" w:cs="Calibri" w:eastAsia="Calibri" w:hAnsi="Calibri"/>
          <w:b/>
          <w:bCs/>
          <w:color w:val="1F3864"/>
          <w:sz w:val="23"/>
          <w:szCs w:val="23"/>
        </w:rPr>
        <w:t xml:space="preserve">§3  Session series — CLOSE basis only</w:t>
      </w:r>
    </w:p>
    <w:p>
      <w:pPr>
        <w:spacing w:after="100" w:before="0"/>
      </w:pPr>
      <w:r>
        <w:rPr>
          <w:rFonts w:ascii="Calibri" w:cs="Calibri" w:eastAsia="Calibri" w:hAnsi="Calibri"/>
          <w:i/>
          <w:iCs/>
          <w:sz w:val="20"/>
          <w:szCs w:val="20"/>
        </w:rPr>
        <w:t xml:space="preserve">Trading-date validation: all rows Monday–Friday. Friday 3 July 2026 correctly absent (US Independence Day observed). No unjustified duplicates. Session count matches the NYSE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500"/>
        <w:gridCol w:w="3160"/>
      </w:tblGrid>
      <w:tr>
        <w:trPr>
          <w:tblHeader/>
        </w:trPr>
        <w:tc>
          <w:tcPr>
            <w:tcW w:type="dxa" w:w="1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Date</w:t>
            </w:r>
          </w:p>
        </w:tc>
        <w:tc>
          <w:tcPr>
            <w:tcW w:type="dxa" w:w="17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Close</w:t>
            </w:r>
          </w:p>
        </w:tc>
        <w:tc>
          <w:tcPr>
            <w:tcW w:type="dxa" w:w="1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Δ pts</w:t>
            </w:r>
          </w:p>
        </w:tc>
        <w:tc>
          <w:tcPr>
            <w:tcW w:type="dxa" w:w="1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Δ %</w:t>
            </w:r>
          </w:p>
        </w:tc>
        <w:tc>
          <w:tcPr>
            <w:tcW w:type="dxa" w:w="31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Corroboration</w:t>
            </w:r>
          </w:p>
        </w:tc>
      </w:tr>
      <w:tr>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2026-06-29</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7,440.43</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+86.41</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+1.17%</w:t>
            </w:r>
          </w:p>
        </w:tc>
        <w:tc>
          <w:tcPr>
            <w:tcW w:type="dxa" w:w="3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S&amp;P DJI (FRED) — single-source close</w:t>
            </w:r>
          </w:p>
        </w:tc>
      </w:tr>
      <w:tr>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2026-06-30</w:t>
            </w:r>
          </w:p>
        </w:tc>
        <w:tc>
          <w:tcPr>
            <w:tcW w:type="dxa" w:w="1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7,499.36</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+58.93</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+0.79%</w:t>
            </w:r>
          </w:p>
        </w:tc>
        <w:tc>
          <w:tcPr>
            <w:tcW w:type="dxa" w:w="3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S&amp;P DJI (FRED) — single-source close</w:t>
            </w:r>
          </w:p>
        </w:tc>
      </w:tr>
      <w:tr>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2026-07-01</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7,483.23</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−16.13</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−0.22%</w:t>
            </w:r>
          </w:p>
        </w:tc>
        <w:tc>
          <w:tcPr>
            <w:tcW w:type="dxa" w:w="3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S&amp;P DJI (FRED) — single-source close</w:t>
            </w:r>
          </w:p>
        </w:tc>
      </w:tr>
      <w:tr>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2026-07-02</w:t>
            </w:r>
          </w:p>
        </w:tc>
        <w:tc>
          <w:tcPr>
            <w:tcW w:type="dxa" w:w="1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7,483.24</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+0.01</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+0.00%</w:t>
            </w:r>
          </w:p>
        </w:tc>
        <w:tc>
          <w:tcPr>
            <w:tcW w:type="dxa" w:w="3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S&amp;P DJI (FRED) — single-source close</w:t>
            </w:r>
          </w:p>
        </w:tc>
      </w:tr>
      <w:tr>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2026-07-03</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 holiday —</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3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US Independence Day (observed)</w:t>
            </w:r>
          </w:p>
        </w:tc>
      </w:tr>
      <w:tr>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2026-07-06</w:t>
            </w:r>
          </w:p>
        </w:tc>
        <w:tc>
          <w:tcPr>
            <w:tcW w:type="dxa" w:w="1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7,537.43</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+54.19</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+0.72%</w:t>
            </w:r>
          </w:p>
        </w:tc>
        <w:tc>
          <w:tcPr>
            <w:tcW w:type="dxa" w:w="3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CORROBORATED: FRED × Benzinga (Δ 0.00)</w:t>
            </w:r>
          </w:p>
        </w:tc>
      </w:tr>
      <w:tr>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2026-07-07</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7,503.85</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−33.58</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−0.45%</w:t>
            </w:r>
          </w:p>
        </w:tc>
        <w:tc>
          <w:tcPr>
            <w:tcW w:type="dxa" w:w="3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CORROBORATED: FRED × Benzinga (Δ 0.00)</w:t>
            </w:r>
          </w:p>
        </w:tc>
      </w:tr>
      <w:tr>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2026-07-08</w:t>
            </w:r>
          </w:p>
        </w:tc>
        <w:tc>
          <w:tcPr>
            <w:tcW w:type="dxa" w:w="1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7,482.71</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−21.14</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−0.28%</w:t>
            </w:r>
          </w:p>
        </w:tc>
        <w:tc>
          <w:tcPr>
            <w:tcW w:type="dxa" w:w="3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CORROBORATED: FRED × CNBC (Δ 0.00)</w:t>
            </w:r>
          </w:p>
        </w:tc>
      </w:tr>
      <w:tr>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2026-07-09</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7,543.64</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+60.93</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+0.81%</w:t>
            </w:r>
          </w:p>
        </w:tc>
        <w:tc>
          <w:tcPr>
            <w:tcW w:type="dxa" w:w="3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CORROBORATED: CNBC × Yahoo Finance (Δ 0.00)</w:t>
            </w:r>
          </w:p>
        </w:tc>
      </w:tr>
    </w:tbl>
    <w:p>
      <w:pPr>
        <w:spacing w:after="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§3 CORROBORATION NOTE</w:t>
            </w:r>
          </w:p>
          <w:p>
            <w:pPr>
              <w:spacing w:after="40"/>
            </w:pPr>
            <w:r>
              <w:rPr>
                <w:rFonts w:ascii="Calibri" w:cs="Calibri" w:eastAsia="Calibri" w:hAnsi="Calibri"/>
                <w:sz w:val="18"/>
                <w:szCs w:val="18"/>
              </w:rPr>
              <w:t xml:space="preserve">The four sessions used for all live signal generation (6–9 July) are two-source corroborated at zero delta, well inside the ±0.10-point equity-index tolerance. Earlier sessions in the lookback are drawn from S&amp;P Dow Jones Indices via FRED — the index provider's own published series, the Tier-1 authority for this instrument — and were not independently corroborated because no second source publishes the full historical close series without a paywall. They are used for indicator computation only, never as an entry, stop, or settlement reference.</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Open, High and Low are UNAVAILABLE for every session. No approved source returned them. This is the single most consequential limitation in this report.</w:t>
            </w:r>
          </w:p>
        </w:tc>
      </w:tr>
    </w:tbl>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§4  Source stack — attempts in rank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1600"/>
        <w:gridCol w:w="3260"/>
      </w:tblGrid>
      <w:tr>
        <w:trPr>
          <w:tblHeader/>
        </w:trPr>
        <w:tc>
          <w:tcPr>
            <w:tcW w:type="dxa" w:w="7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Rank</w:t>
            </w:r>
          </w:p>
        </w:tc>
        <w:tc>
          <w:tcPr>
            <w:tcW w:type="dxa" w:w="2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Source</w:t>
            </w:r>
          </w:p>
        </w:tc>
        <w:tc>
          <w:tcPr>
            <w:tcW w:type="dxa" w:w="13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Tier</w:t>
            </w:r>
          </w:p>
        </w:tc>
        <w:tc>
          <w:tcPr>
            <w:tcW w:type="dxa" w:w="16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Outcome</w:t>
            </w:r>
          </w:p>
        </w:tc>
        <w:tc>
          <w:tcPr>
            <w:tcW w:type="dxa" w:w="32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Detail</w:t>
            </w:r>
          </w:p>
        </w:tc>
      </w:tr>
      <w:tr>
        <w:tc>
          <w:tcPr>
            <w:tcW w:type="dxa" w:w="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w:t>
            </w:r>
          </w:p>
        </w:tc>
        <w:tc>
          <w:tcPr>
            <w:tcW w:type="dxa" w:w="2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Stooq</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w:t>
            </w:r>
          </w:p>
        </w:tc>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FAILED</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robots.txt disallows automated access</w:t>
            </w:r>
          </w:p>
        </w:tc>
      </w:tr>
      <w:tr>
        <w:tc>
          <w:tcPr>
            <w:tcW w:type="dxa" w:w="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w:t>
            </w:r>
          </w:p>
        </w:tc>
        <w:tc>
          <w:tcPr>
            <w:tcW w:type="dxa" w:w="2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Yahoo Finance (history)</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w:t>
            </w:r>
          </w:p>
        </w:tc>
        <w:tc>
          <w:tcPr>
            <w:tcW w:type="dxa" w:w="1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FAILED</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Historical OHLC behind Gold subscription (2025 change)</w:t>
            </w:r>
          </w:p>
        </w:tc>
      </w:tr>
      <w:tr>
        <w:tc>
          <w:tcPr>
            <w:tcW w:type="dxa" w:w="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w:t>
            </w:r>
          </w:p>
        </w:tc>
        <w:tc>
          <w:tcPr>
            <w:tcW w:type="dxa" w:w="2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Twelve Data</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w:t>
            </w:r>
          </w:p>
        </w:tc>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NOT ATTEMPTED</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API key required; none provisioned in this environment</w:t>
            </w:r>
          </w:p>
        </w:tc>
      </w:tr>
      <w:tr>
        <w:tc>
          <w:tcPr>
            <w:tcW w:type="dxa" w:w="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4</w:t>
            </w:r>
          </w:p>
        </w:tc>
        <w:tc>
          <w:tcPr>
            <w:tcW w:type="dxa" w:w="2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FRED / S&amp;P Dow Jones</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w:t>
            </w:r>
          </w:p>
        </w:tc>
        <w:tc>
          <w:tcPr>
            <w:tcW w:type="dxa" w:w="1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PARTIAL</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Full close series to 2026-07-08. Close only — no O/H/L</w:t>
            </w:r>
          </w:p>
        </w:tc>
      </w:tr>
      <w:tr>
        <w:tc>
          <w:tcPr>
            <w:tcW w:type="dxa" w:w="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5</w:t>
            </w:r>
          </w:p>
        </w:tc>
        <w:tc>
          <w:tcPr>
            <w:tcW w:type="dxa" w:w="2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Investing.com</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w:t>
            </w:r>
          </w:p>
        </w:tc>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FAILED</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OHLC table renders client-side; not retrievable</w:t>
            </w:r>
          </w:p>
        </w:tc>
      </w:tr>
      <w:tr>
        <w:tc>
          <w:tcPr>
            <w:tcW w:type="dxa" w:w="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6</w:t>
            </w:r>
          </w:p>
        </w:tc>
        <w:tc>
          <w:tcPr>
            <w:tcW w:type="dxa" w:w="2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CNBC</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w:t>
            </w:r>
          </w:p>
        </w:tc>
        <w:tc>
          <w:tcPr>
            <w:tcW w:type="dxa" w:w="1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SUCCESS (close)</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2026-07-08 and 2026-07-09 closes</w:t>
            </w:r>
          </w:p>
        </w:tc>
      </w:tr>
      <w:tr>
        <w:tc>
          <w:tcPr>
            <w:tcW w:type="dxa" w:w="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w:t>
            </w:r>
          </w:p>
        </w:tc>
        <w:tc>
          <w:tcPr>
            <w:tcW w:type="dxa" w:w="2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Benzinga</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w:t>
            </w:r>
          </w:p>
        </w:tc>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SUCCESS (close)</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2026-07-06 and 2026-07-07 closes</w:t>
            </w:r>
          </w:p>
        </w:tc>
      </w:tr>
      <w:tr>
        <w:tc>
          <w:tcPr>
            <w:tcW w:type="dxa" w:w="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8</w:t>
            </w:r>
          </w:p>
        </w:tc>
        <w:tc>
          <w:tcPr>
            <w:tcW w:type="dxa" w:w="2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Yahoo Finance (markets)</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w:t>
            </w:r>
          </w:p>
        </w:tc>
        <w:tc>
          <w:tcPr>
            <w:tcW w:type="dxa" w:w="1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SUCCESS (close)</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2026-07-09 close, corroborates CNBC</w:t>
            </w:r>
          </w:p>
        </w:tc>
      </w:tr>
      <w:tr>
        <w:tc>
          <w:tcPr>
            <w:tcW w:type="dxa" w:w="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9</w:t>
            </w:r>
          </w:p>
        </w:tc>
        <w:tc>
          <w:tcPr>
            <w:tcW w:type="dxa" w:w="2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Trading Economics</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w:t>
            </w:r>
          </w:p>
        </w:tc>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REJECTED</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CFD proxy (7,465) — not the cash index; outside tolerance</w:t>
            </w:r>
          </w:p>
        </w:tc>
      </w:tr>
    </w:tbl>
    <w:p>
      <w:pPr>
        <w:spacing w:after="60" w:before="0"/>
      </w:pPr>
      <w:r>
        <w:rPr>
          <w:rFonts w:ascii="Calibri" w:cs="Calibri" w:eastAsia="Calibri" w:hAnsi="Calibri"/>
          <w:i/>
          <w:iCs/>
          <w:sz w:val="20"/>
          <w:szCs w:val="20"/>
        </w:rPr>
        <w:t xml:space="preserve">Sources 10–50 were not attempted: the container network allowlist blocks all financial-data domains, and the fetch layer restricts retrieval to URLs surfaced by search. Under the unmodified protocol the correct action at this point is to raise a DataCorroborationError and halt. That halt has been overridden on analyst instruction.</w:t>
      </w:r>
    </w:p>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§5  Derived indicator surface — M3 §11 Named Output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Named output</w:t>
            </w:r>
          </w:p>
        </w:tc>
        <w:tc>
          <w:tcPr>
            <w:tcW w:type="dxa" w:w="22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c>
          <w:tcPr>
            <w:tcW w:type="dxa" w:w="46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Status / derivation</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atr_14</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Requires High/Low. NOT computed. NOT estimated.</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atr_proxy_14</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39.88 pts</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SUBSTITUTE. Mean |close-to-close| over 14 sessions. Understates true ATR.</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sigma_20 (daily)</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69.79 pts</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20-session close-return std-dev × price. 0.925%/day.</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rsi2_latest</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77.99</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Wilder, close basis. Extended, not extreme (&lt;90).</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rsi14_latest</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57.90</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Wilder, close basis. Mild bullish momentum.</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swing_high_5d / low_5d</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7,543.64 / 7,482.71</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CLOSING basis. True intraday extremes unavailable.</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swing_high_25d / low_25d</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7,584.31 / 7,266.99</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CLOSING basis. Range width 317.32 pts (4.3%).</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fractal_swings</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DEGRADED</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Close-only pivots. 4-session magnitude 60.93 &lt; 2×proxy (79.77) → adaptive extension to 10 sessions per M5 §4b.</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pivots_daily / weekly / monthly</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All three require prior-period H/L/C. Absent from surface.</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nearest_support</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7,415 / 7,390</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SINGLE-SOURCE-INDICATIVE. Briefing.com band, via Schwab 08-Jul.</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nearest_resistance</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7,584.31</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25-day closing swing high, 04-Jun.</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ker_value / ker_class</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0.0798 / RANGING</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Period 13, EMA(3) smoothed. Below 0.13 trend gate AND below 0.09 range-bias band → no directional bias.</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volator_slope</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Requires ATR(14). Dual-gate for RANGE cannot be satisfied.</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cross_asset_confirm</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CONFIRM</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4 of 4 active counters confirm; none contradict (≥60%, per M3 §11c).</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regime_label</w:t>
            </w:r>
          </w:p>
        </w:tc>
        <w:tc>
          <w:tcPr>
            <w:tcW w:type="dxa" w:w="2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TRANSITION</w:t>
            </w:r>
          </w:p>
        </w:tc>
        <w:tc>
          <w:tcPr>
            <w:tcW w:type="dxa" w:w="4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Fall-through. RANGE requires |KER|&lt;0.13 AND volator_slope≤0. Second gate unevaluable → cannot emit RANGE.</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sentiment_tilt</w:t>
            </w:r>
          </w:p>
        </w:tc>
        <w:tc>
          <w:tcPr>
            <w:tcW w:type="dxa" w:w="2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+0.10</w:t>
            </w:r>
          </w:p>
        </w:tc>
        <w:tc>
          <w:tcPr>
            <w:tcW w:type="dxa" w:w="4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M2 §13b numeric derivation (see §13).</w:t>
            </w:r>
          </w:p>
        </w:tc>
      </w:tr>
    </w:tbl>
    <w:p>
      <w:pPr>
        <w:spacing w:after="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REGIME DERIVATION — WHY 'TRANSITION' AND NOT 'RANGE'</w:t>
            </w:r>
          </w:p>
          <w:p>
            <w:pPr>
              <w:spacing w:after="40"/>
            </w:pPr>
            <w:r>
              <w:rPr>
                <w:rFonts w:ascii="Calibri" w:cs="Calibri" w:eastAsia="Calibri" w:hAnsi="Calibri"/>
                <w:sz w:val="18"/>
                <w:szCs w:val="18"/>
              </w:rPr>
              <w:t xml:space="preserve">On the KER reading alone (0.0798, comfortably below the 0.13 trending threshold) this tape looks like a textbook range. The engine will not label it RANGE.</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M3 §11b imposes a dual gate: RANGE is permitted only when |ker_value| &lt; 0.13 AND volator_slope ≤ 0. The second gate depends on ATR(14), which depends on High and Low, which are unavailable. The gate cannot be evaluated, therefore it cannot pass, therefore RANGE cannot be emitted. The label falls through to TRANSITION — the documented default when any single gate fails to be unambiguously satisfied.</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This is not a cosmetic distinction. Under RANGE the engine would build a Trade 3B mean-reversion card and fade both pivot boundaries. Under TRANSITION it builds a Trade 3C momentum-breakout card and restricts Trade 2 to the breakout side only. The two produce opposite trades. Emitting RANGE without the VOLator confirmation would have been exactly the failure M3 §11b's warning note exists to prevent — constructing a mean-reversion card on a market that may already be leaving the range.</w:t>
            </w:r>
          </w:p>
        </w:tc>
      </w:tr>
    </w:tbl>
    <w:p>
      <w:r>
        <w:br w:type="page"/>
      </w:r>
    </w:p>
    <w:p>
      <w:pPr>
        <w:pStyle w:val="Heading1"/>
        <w:spacing w:after="130" w:before="260"/>
      </w:pPr>
      <w:r>
        <w:rPr>
          <w:rFonts w:ascii="Calibri" w:cs="Calibri" w:eastAsia="Calibri" w:hAnsi="Calibri"/>
          <w:b/>
          <w:bCs/>
          <w:color w:val="1F3864"/>
          <w:sz w:val="28"/>
          <w:szCs w:val="28"/>
        </w:rPr>
        <w:t xml:space="preserve">§8  Short-Term Technical Analysis (5 sessions)</w:t>
      </w:r>
    </w:p>
    <w:p>
      <w:pPr>
        <w:spacing w:after="100" w:before="0"/>
      </w:pPr>
      <w:r>
        <w:rPr>
          <w:rFonts w:ascii="Calibri" w:cs="Calibri" w:eastAsia="Calibri" w:hAnsi="Calibri"/>
          <w:b/>
          <w:bCs/>
          <w:sz w:val="20"/>
          <w:szCs w:val="20"/>
        </w:rPr>
        <w:t xml:space="preserve">Sequence label: Down–Down–Up, closing at the top of the five-session band.</w:t>
      </w:r>
    </w:p>
    <w:p>
      <w:pPr>
        <w:spacing w:after="100"/>
      </w:pPr>
      <w:r>
        <w:rPr>
          <w:rFonts w:ascii="Calibri" w:cs="Calibri" w:eastAsia="Calibri" w:hAnsi="Calibri"/>
          <w:sz w:val="20"/>
          <w:szCs w:val="20"/>
        </w:rPr>
        <w:t xml:space="preserve">Over the last five sessions the index has traced 7,537.43 → 7,503.85 → 7,482.71 → 7,543.64: two consecutive lower closes into Wednesday, then a decisive 60.93-point reversal on Thursday that took out the entire two-day decline in a single session and closed 6.21 points above the 6 July high-water mark. The close sits above the 5-, 10-, 20-, 25- and 50-session simple moving averages, which are themselves stacked in bullish order (7,510.17 &gt; 7,468.54 &gt; 7,448.05 &gt; 7,451.00 &gt; 7,424.39). Note the 20- and 25-session averages have crossed — 7,448.05 above 7,451.00 is a marginal inversion — which is characteristic of a flat, low-efficiency medium-term tape rather than a trending one.</w:t>
      </w:r>
    </w:p>
    <w:p>
      <w:pPr>
        <w:spacing w:after="100"/>
      </w:pPr>
      <w:r>
        <w:rPr>
          <w:rFonts w:ascii="Calibri" w:cs="Calibri" w:eastAsia="Calibri" w:hAnsi="Calibri"/>
          <w:sz w:val="20"/>
          <w:szCs w:val="20"/>
        </w:rPr>
        <w:t xml:space="preserve">RSI(2) at 77.99 is elevated. It is not at the 90+ level that would ordinarily veto a fresh long under a short-term mean-reversion overlay, but it does mean the entry in §21 is being taken into two-day strength rather than into a pullback. RSI(14) at 57.90 is unremarkable: positive, with room in both directions. The five-session close-basis range is 60.93 points — that is 1.53× the ATR-proxy, a narrow band, and it is worth stating plainly that on a true-ATR basis this range would look narrower still.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WHAT THE MISSING HIGHS AND LOWS COST YOU HERE</w:t>
            </w:r>
          </w:p>
          <w:p>
            <w:pPr>
              <w:spacing w:after="40"/>
            </w:pPr>
            <w:r>
              <w:rPr>
                <w:rFonts w:ascii="Calibri" w:cs="Calibri" w:eastAsia="Calibri" w:hAnsi="Calibri"/>
                <w:sz w:val="18"/>
                <w:szCs w:val="18"/>
              </w:rPr>
              <w:t xml:space="preserve">Every swing level in this section is a CLOSING extreme. The real intraday low of the last five sessions is below 7,482.71 and the real high is above 7,543.64 — by how much is unknown. Wednesday's session in particular saw the index down roughly 1% intraday before recovering, so the true 5-day low is materially lower than the closing low used as the Trade 1 stop anchor.</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Practical consequence: the Trade 1 stop at 7,472.74 is anchored to a closing low that intraday price has already traded through. A stop placed there is more likely to be swept than the engine's logic implies.</w:t>
            </w:r>
          </w:p>
        </w:tc>
      </w:tr>
    </w:tbl>
    <w:p>
      <w:pPr>
        <w:pStyle w:val="Heading1"/>
        <w:spacing w:after="130" w:before="260"/>
      </w:pPr>
      <w:r>
        <w:rPr>
          <w:rFonts w:ascii="Calibri" w:cs="Calibri" w:eastAsia="Calibri" w:hAnsi="Calibri"/>
          <w:b/>
          <w:bCs/>
          <w:color w:val="1F3864"/>
          <w:sz w:val="28"/>
          <w:szCs w:val="28"/>
        </w:rPr>
        <w:t xml:space="preserve">§9  Medium-Term Regime &amp; VOLator (25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Metric</w:t>
            </w:r>
          </w:p>
        </w:tc>
        <w:tc>
          <w:tcPr>
            <w:tcW w:type="dxa" w:w="61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Reading</w:t>
            </w:r>
          </w:p>
        </w:tc>
      </w:tr>
      <w:tr>
        <w:tc>
          <w:tcPr>
            <w:tcW w:type="dxa" w:w="32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Classification</w:t>
            </w:r>
          </w:p>
        </w:tc>
        <w:tc>
          <w:tcPr>
            <w:tcW w:type="dxa" w:w="6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TRANSITION (regime_label) — RANGE gate unevaluable</w:t>
            </w:r>
          </w:p>
        </w:tc>
      </w:tr>
      <w:tr>
        <w:tc>
          <w:tcPr>
            <w:tcW w:type="dxa" w:w="32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25-session change</w:t>
            </w:r>
          </w:p>
        </w:tc>
        <w:tc>
          <w:tcPr>
            <w:tcW w:type="dxa" w:w="6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−0.87%</w:t>
            </w:r>
          </w:p>
        </w:tc>
      </w:tr>
      <w:tr>
        <w:tc>
          <w:tcPr>
            <w:tcW w:type="dxa" w:w="32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25-session closing range</w:t>
            </w:r>
          </w:p>
        </w:tc>
        <w:tc>
          <w:tcPr>
            <w:tcW w:type="dxa" w:w="6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7,266.99 (10-Jun) — 7,584.31 (04-Jun); width 317.32 pts / 4.3%</w:t>
            </w:r>
          </w:p>
        </w:tc>
      </w:tr>
      <w:tr>
        <w:tc>
          <w:tcPr>
            <w:tcW w:type="dxa" w:w="32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Position within range</w:t>
            </w:r>
          </w:p>
        </w:tc>
        <w:tc>
          <w:tcPr>
            <w:tcW w:type="dxa" w:w="6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87.2% — upper quartile, but 40.67 pts below the boundary</w:t>
            </w:r>
          </w:p>
        </w:tc>
      </w:tr>
      <w:tr>
        <w:tc>
          <w:tcPr>
            <w:tcW w:type="dxa" w:w="32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KER(13), EMA(3)</w:t>
            </w:r>
          </w:p>
        </w:tc>
        <w:tc>
          <w:tcPr>
            <w:tcW w:type="dxa" w:w="6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0.0798 — ranging; below the 0.09 range-bias inner band → no bias direction</w:t>
            </w:r>
          </w:p>
        </w:tc>
      </w:tr>
      <w:tr>
        <w:tc>
          <w:tcPr>
            <w:tcW w:type="dxa" w:w="32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VOLator regime</w:t>
            </w:r>
          </w:p>
        </w:tc>
        <w:tc>
          <w:tcPr>
            <w:tcW w:type="dxa" w:w="6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 — ATR(14) required</w:t>
            </w:r>
          </w:p>
        </w:tc>
      </w:tr>
      <w:tr>
        <w:tc>
          <w:tcPr>
            <w:tcW w:type="dxa" w:w="32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VOLator slope</w:t>
            </w:r>
          </w:p>
        </w:tc>
        <w:tc>
          <w:tcPr>
            <w:tcW w:type="dxa" w:w="61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r>
      <w:tr>
        <w:tc>
          <w:tcPr>
            <w:tcW w:type="dxa" w:w="32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Trade protocol</w:t>
            </w:r>
          </w:p>
        </w:tc>
        <w:tc>
          <w:tcPr>
            <w:tcW w:type="dxa" w:w="61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Reduced conviction</w:t>
            </w:r>
          </w:p>
        </w:tc>
      </w:tr>
    </w:tbl>
    <w:p>
      <w:pPr>
        <w:spacing w:after="100"/>
      </w:pPr>
      <w:r>
        <w:rPr>
          <w:rFonts w:ascii="Calibri" w:cs="Calibri" w:eastAsia="Calibri" w:hAnsi="Calibri"/>
          <w:sz w:val="20"/>
          <w:szCs w:val="20"/>
        </w:rPr>
        <w:t xml:space="preserve">The 25-session structure is the strongest argument against the long. The index made its high on 4 June at 7,584.31, sold off 4.2% to 7,266.99 by 10 June, recovered to 7,554.29 on 15 June, faded again to 7,354.02 by 26 June, and has since rallied back to 7,543.64. That is three full traverses of a 317-point band in five weeks with a net loss. A KER of 0.0798 says that of every 100 points of price movement, only 8 have translated into net directional progress. Thursday's rally is the third attempt at the upper boundary in five weeks; the previous two failed.</w:t>
      </w:r>
    </w:p>
    <w:p>
      <w:pPr>
        <w:pStyle w:val="Heading1"/>
        <w:spacing w:after="130" w:before="260"/>
      </w:pPr>
      <w:r>
        <w:rPr>
          <w:rFonts w:ascii="Calibri" w:cs="Calibri" w:eastAsia="Calibri" w:hAnsi="Calibri"/>
          <w:b/>
          <w:bCs/>
          <w:color w:val="1F3864"/>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4260"/>
      </w:tblGrid>
      <w:tr>
        <w:trPr>
          <w:tblHeader/>
        </w:trPr>
        <w:tc>
          <w:tcPr>
            <w:tcW w:type="dxa" w:w="19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Counter</w:t>
            </w:r>
          </w:p>
        </w:tc>
        <w:tc>
          <w:tcPr>
            <w:tcW w:type="dxa" w:w="17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Level (09-Jul)</w:t>
            </w:r>
          </w:p>
        </w:tc>
        <w:tc>
          <w:tcPr>
            <w:tcW w:type="dxa" w:w="1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Signal</w:t>
            </w:r>
          </w:p>
        </w:tc>
        <w:tc>
          <w:tcPr>
            <w:tcW w:type="dxa" w:w="42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Mechanism</w:t>
            </w:r>
          </w:p>
        </w:tc>
      </w:tr>
      <w:tr>
        <w:tc>
          <w:tcPr>
            <w:tcW w:type="dxa" w:w="1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DX-Y.NYB (USDX)</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≈100.95</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Confirms</w:t>
            </w:r>
          </w:p>
        </w:tc>
        <w:tc>
          <w:tcPr>
            <w:tcW w:type="dxa" w:w="4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Dollar backed off the week's highs on Thursday, easing ~0.08% after the FOMC minutes. A softer dollar is a mild tailwind for S&amp;P multinational earnings translation.</w:t>
            </w:r>
          </w:p>
        </w:tc>
      </w:tr>
      <w:tr>
        <w:tc>
          <w:tcPr>
            <w:tcW w:type="dxa" w:w="19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^VIX</w:t>
            </w:r>
          </w:p>
        </w:tc>
        <w:tc>
          <w:tcPr>
            <w:tcW w:type="dxa" w:w="1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15.84 (−6.27%)</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Confirms</w:t>
            </w:r>
          </w:p>
        </w:tc>
        <w:tc>
          <w:tcPr>
            <w:tcW w:type="dxa" w:w="4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Down over 6% and back below 16 after spiking above 18 intraday Wednesday. Well beneath the 20 threshold this instance treats as elevated risk. Volatility is being sold.</w:t>
            </w:r>
          </w:p>
        </w:tc>
      </w:tr>
      <w:tr>
        <w:tc>
          <w:tcPr>
            <w:tcW w:type="dxa" w:w="1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^GDAXI / Stoxx 600</w:t>
            </w:r>
          </w:p>
        </w:tc>
        <w:tc>
          <w:tcPr>
            <w:tcW w:type="dxa" w:w="17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DAX +1.03%</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Confirms</w:t>
            </w:r>
          </w:p>
        </w:tc>
        <w:tc>
          <w:tcPr>
            <w:tcW w:type="dxa" w:w="4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European equities recovered in tandem; Stoxx 600 closed +0.8%. The bid was global, not a narrow US-tech artefact.</w:t>
            </w:r>
          </w:p>
        </w:tc>
      </w:tr>
      <w:tr>
        <w:tc>
          <w:tcPr>
            <w:tcW w:type="dxa" w:w="19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WTI crude (context)</w:t>
            </w:r>
          </w:p>
        </w:tc>
        <w:tc>
          <w:tcPr>
            <w:tcW w:type="dxa" w:w="17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−2.34%</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Confirms</w:t>
            </w:r>
          </w:p>
        </w:tc>
        <w:tc>
          <w:tcPr>
            <w:tcW w:type="dxa" w:w="4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Crude retreated after two sessions of ~10% cumulative gains, removing the energy-inflation impulse that drove Wednesday's de-rating.</w:t>
            </w:r>
          </w:p>
        </w:tc>
      </w:tr>
    </w:tbl>
    <w:p>
      <w:pPr>
        <w:spacing w:after="100"/>
      </w:pPr>
      <w:r>
        <w:rPr>
          <w:rFonts w:ascii="Calibri" w:cs="Calibri" w:eastAsia="Calibri" w:hAnsi="Calibri"/>
          <w:b/>
          <w:bCs/>
          <w:sz w:val="20"/>
          <w:szCs w:val="20"/>
        </w:rPr>
        <w:t xml:space="preserve">cross_asset_confirm = CONFIRM. </w:t>
      </w:r>
      <w:r>
        <w:rPr>
          <w:rFonts w:ascii="Calibri" w:cs="Calibri" w:eastAsia="Calibri" w:hAnsi="Calibri"/>
          <w:sz w:val="20"/>
          <w:szCs w:val="20"/>
        </w:rPr>
        <w:t xml:space="preserve">Four of four active counters confirm and none contradict, satisfying the ≥60%-with-no-contradiction rule in M3 §11c. This is the single cleanest signal in the report and it carries a 0.15 weight. It is also the most fragile: three of the four readings are same-session reactions to one piece of news flow — the partial de-escalation of the oil shock — and would reverse together on a single overnight headline out of the Strait of Hormuz.</w:t>
      </w:r>
    </w:p>
    <w:p>
      <w:pPr>
        <w:spacing w:after="100" w:before="0"/>
      </w:pPr>
      <w:r>
        <w:rPr>
          <w:rFonts w:ascii="Calibri" w:cs="Calibri" w:eastAsia="Calibri" w:hAnsi="Calibri"/>
          <w:i/>
          <w:iCs/>
          <w:sz w:val="20"/>
          <w:szCs w:val="20"/>
        </w:rPr>
        <w:t xml:space="preserve">No contradiction to flag. Per M3 hard rules, had one been present it would appear here explicitly rather than being netted away.</w:t>
      </w:r>
    </w:p>
    <w:p>
      <w:pPr>
        <w:pStyle w:val="Heading1"/>
        <w:spacing w:after="130" w:before="260"/>
      </w:pPr>
      <w:r>
        <w:rPr>
          <w:rFonts w:ascii="Calibri" w:cs="Calibri" w:eastAsia="Calibri" w:hAnsi="Calibri"/>
          <w:b/>
          <w:bCs/>
          <w:color w:val="1F3864"/>
          <w:sz w:val="28"/>
          <w:szCs w:val="28"/>
        </w:rPr>
        <w:t xml:space="preserve">§11  Floor Pivot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§11  SUPPRESSED — ALL TIMEFRAMES</w:t>
            </w:r>
          </w:p>
          <w:p>
            <w:pPr>
              <w:spacing w:after="40"/>
            </w:pPr>
            <w:r>
              <w:rPr>
                <w:rFonts w:ascii="Calibri" w:cs="Calibri" w:eastAsia="Calibri" w:hAnsi="Calibri"/>
                <w:sz w:val="18"/>
                <w:szCs w:val="18"/>
              </w:rPr>
              <w:t xml:space="preserve">[PIVOT_DAILY], [PIVOT_WEEKLY] and [PIVOT_MONTHLY] are all set to YES in the M1 instance. None can be produced.</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Floor pivots are computed as P = (H + L + C) / 3 from the prior period. High and Low are unavailable for every session from every approved source. Under Source Discipline §4, a single-source indicative value may not be used for pivot prior-period calculations under any circumstances — and here the values are not even single-source, they are absent entirely.</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No pivot level appears anywhere in this report. Nothing in §21 references a pivot. The engine's substitute reference levels are the published Briefing.com support band and the 25-day closing swing extremes, both explicitly labelled at the point of use.</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This is the direct cause of the Trade 2 suppression in §21b.</w:t>
            </w:r>
          </w:p>
        </w:tc>
      </w:tr>
    </w:tbl>
    <w:p>
      <w:pPr>
        <w:pStyle w:val="Heading1"/>
        <w:spacing w:after="130" w:before="260"/>
      </w:pPr>
      <w:r>
        <w:rPr>
          <w:rFonts w:ascii="Calibri" w:cs="Calibri" w:eastAsia="Calibri" w:hAnsi="Calibri"/>
          <w:b/>
          <w:bCs/>
          <w:color w:val="1F3864"/>
          <w:sz w:val="28"/>
          <w:szCs w:val="28"/>
        </w:rPr>
        <w:t xml:space="preserve">§12  Key Market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Factor</w:t>
            </w:r>
          </w:p>
        </w:tc>
        <w:tc>
          <w:tcPr>
            <w:tcW w:type="dxa" w:w="13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Direction</w:t>
            </w:r>
          </w:p>
        </w:tc>
        <w:tc>
          <w:tcPr>
            <w:tcW w:type="dxa" w:w="56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Assessment</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Fed policy path</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Bearish</w:t>
            </w:r>
          </w:p>
        </w:tc>
        <w:tc>
          <w:tcPr>
            <w:tcW w:type="dxa" w:w="5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June FOMC minutes released Wednesday showed some policymakers making the case for a further rate HIKE if inflation stays elevated. Market-implied probability of a September increase moved to roughly 69–70%, up from 58% the prior day. This is the first Warsh-chaired cycle and the reaction function is not yet well understood. Equities at 7,543 are not obviously priced for a hike.</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Middle East / oil</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Bearish, volatile</w:t>
            </w:r>
          </w:p>
        </w:tc>
        <w:tc>
          <w:tcPr>
            <w:tcW w:type="dxa" w:w="5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Trump declared the Iran ceasefire 'over' Wednesday following Iranian attacks on shipping in the Strait of Hormuz and reciprocal US strikes. Crude surged ~10% across two sessions, then gave back 2.34% Thursday. The de-escalation is tactical, not structural. An overnight headline reverses the entire cross-asset confirmation in §10.</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Semiconductor rotation</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Improving</w:t>
            </w:r>
          </w:p>
        </w:tc>
        <w:tc>
          <w:tcPr>
            <w:tcW w:type="dxa" w:w="5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The SOX had fallen 16% from its 22 June peak and sat below its 50-day average for the first time since early April. Thursday saw a sharp reversal — SMH +2.5%, Micron +4.5% after a US supply-chain investment announcement, Sandisk +7.6%. Whether this is a bottom or a bounce inside a downtrend is the key question for the index, given semis' index weight.</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AI capex scepticism</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Bearish</w:t>
            </w:r>
          </w:p>
        </w:tc>
        <w:tc>
          <w:tcPr>
            <w:tcW w:type="dxa" w:w="5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Hyperscalers underperformed earlier in the week on data-centre overspending concerns. Alphabet, Amazon and Microsoft each fell more than 1% Wednesday. This is a slow-burn de-rating theme, not a same-session driver.</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Growth data</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Bearish</w:t>
            </w:r>
          </w:p>
        </w:tc>
        <w:tc>
          <w:tcPr>
            <w:tcW w:type="dxa" w:w="56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Atlanta Fed GDPNow for Q2 fell from above 4% earlier this year to just above 1.4% on Tuesday. June existing home sales came in at 4.9m SAAR, down 2.4% on the month against a consensus for a 0.7% rise.</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Labour market</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Neutral/Positive</w:t>
            </w:r>
          </w:p>
        </w:tc>
        <w:tc>
          <w:tcPr>
            <w:tcW w:type="dxa" w:w="56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Initial claims 215,000 for the week ended 4 July, down 4,000 and the lowest since 23 May, against a 218,000 consensus. Continuing claims 1.814m. No cracks.</w:t>
            </w:r>
          </w:p>
        </w:tc>
      </w:tr>
    </w:tbl>
    <w:p>
      <w:pPr>
        <w:pStyle w:val="Heading1"/>
        <w:spacing w:after="130" w:before="260"/>
      </w:pPr>
      <w:r>
        <w:rPr>
          <w:rFonts w:ascii="Calibri" w:cs="Calibri" w:eastAsia="Calibri" w:hAnsi="Calibri"/>
          <w:b/>
          <w:bCs/>
          <w:color w:val="1F3864"/>
          <w:sz w:val="28"/>
          <w:szCs w:val="28"/>
        </w:rPr>
        <w:t xml:space="preserve">§13  Sentiment &amp; News</w:t>
      </w:r>
    </w:p>
    <w:p>
      <w:pPr>
        <w:pStyle w:val="Heading2"/>
        <w:spacing w:after="100" w:before="180"/>
      </w:pPr>
      <w:r>
        <w:rPr>
          <w:rFonts w:ascii="Calibri" w:cs="Calibri" w:eastAsia="Calibri" w:hAnsi="Calibri"/>
          <w:b/>
          <w:bCs/>
          <w:color w:val="1F3864"/>
          <w:sz w:val="23"/>
          <w:szCs w:val="23"/>
        </w:rPr>
        <w:t xml:space="preserve">§13a  Material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rPr>
          <w:tblHeader/>
        </w:trPr>
        <w:tc>
          <w:tcPr>
            <w:tcW w:type="dxa" w:w="14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Date</w:t>
            </w:r>
          </w:p>
        </w:tc>
        <w:tc>
          <w:tcPr>
            <w:tcW w:type="dxa" w:w="1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Source</w:t>
            </w:r>
          </w:p>
        </w:tc>
        <w:tc>
          <w:tcPr>
            <w:tcW w:type="dxa" w:w="64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Item</w:t>
            </w:r>
          </w:p>
        </w:tc>
      </w:tr>
      <w:tr>
        <w:tc>
          <w:tcPr>
            <w:tcW w:type="dxa" w:w="14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09-Jul</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CNBC</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Index closed higher, led by semiconductors and a fall in oil. Nasdaq +1.30%, S&amp;P +0.81%, Dow +0.27%.</w:t>
            </w:r>
          </w:p>
        </w:tc>
      </w:tr>
      <w:tr>
        <w:tc>
          <w:tcPr>
            <w:tcW w:type="dxa" w:w="14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09-Jul</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Reuters</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The dollar backed off the week's highs as the US and Iran continued strikes.</w:t>
            </w:r>
          </w:p>
        </w:tc>
      </w:tr>
      <w:tr>
        <w:tc>
          <w:tcPr>
            <w:tcW w:type="dxa" w:w="14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09-Jul</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CNBC</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Existing home sales unexpectedly declined 2.4% in June to a 4.9m annualised rate.</w:t>
            </w:r>
          </w:p>
        </w:tc>
      </w:tr>
      <w:tr>
        <w:tc>
          <w:tcPr>
            <w:tcW w:type="dxa" w:w="14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09-Jul</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CNBC</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Initial jobless claims fell to 215,000, the lowest since 23 May.</w:t>
            </w:r>
          </w:p>
        </w:tc>
      </w:tr>
      <w:tr>
        <w:tc>
          <w:tcPr>
            <w:tcW w:type="dxa" w:w="14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08-Jul</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Trading Economics</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FOMC June minutes: some members made the case for a rate hike. September hike odds moved toward ~70%.</w:t>
            </w:r>
          </w:p>
        </w:tc>
      </w:tr>
      <w:tr>
        <w:tc>
          <w:tcPr>
            <w:tcW w:type="dxa" w:w="14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08-Jul</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Schwab / Briefing.com</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Technical support cited at 7,390–7,415, then 7,335–7,350. VIX spiked above 18 intraday, futures curve tracing toward 19 by August and 20 by September.</w:t>
            </w:r>
          </w:p>
        </w:tc>
      </w:tr>
      <w:tr>
        <w:tc>
          <w:tcPr>
            <w:tcW w:type="dxa" w:w="14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08-Jul</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CNBC</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Trump: ceasefire with Iran is 'over'; threatened further strikes and a blockade of Iranian ports.</w:t>
            </w:r>
          </w:p>
        </w:tc>
      </w:tr>
    </w:tbl>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§13b  Aggregate sentiment tilt — numeric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3260"/>
      </w:tblGrid>
      <w:tr>
        <w:trPr>
          <w:tblHeader/>
        </w:trPr>
        <w:tc>
          <w:tcPr>
            <w:tcW w:type="dxa" w:w="46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Component</w:t>
            </w:r>
          </w:p>
        </w:tc>
        <w:tc>
          <w:tcPr>
            <w:tcW w:type="dxa" w:w="1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Contribution</w:t>
            </w:r>
          </w:p>
        </w:tc>
        <w:tc>
          <w:tcPr>
            <w:tcW w:type="dxa" w:w="32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Basis</w:t>
            </w:r>
          </w:p>
        </w:tc>
      </w:tr>
      <w:tr>
        <w:tc>
          <w:tcPr>
            <w:tcW w:type="dxa" w:w="4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Price action / risk appetite</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+0.35</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Broad global equity bid; VIX −6.3%; volatility being sold</w:t>
            </w:r>
          </w:p>
        </w:tc>
      </w:tr>
      <w:tr>
        <w:tc>
          <w:tcPr>
            <w:tcW w:type="dxa" w:w="4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Energy / inflation impulse</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+0.20</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Crude retreating; the acute driver of Wednesday's de-rating is easing</w:t>
            </w:r>
          </w:p>
        </w:tc>
      </w:tr>
      <w:tr>
        <w:tc>
          <w:tcPr>
            <w:tcW w:type="dxa" w:w="4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Sector rotation</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+0.15</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Semiconductor reversal after a 16% drawdown from the June peak</w:t>
            </w:r>
          </w:p>
        </w:tc>
      </w:tr>
      <w:tr>
        <w:tc>
          <w:tcPr>
            <w:tcW w:type="dxa" w:w="4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Fed policy expectations</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−0.30</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Hike odds ~70% for September; hawkish minutes; equities not priced for it</w:t>
            </w:r>
          </w:p>
        </w:tc>
      </w:tr>
      <w:tr>
        <w:tc>
          <w:tcPr>
            <w:tcW w:type="dxa" w:w="4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Geopolitical risk</w:t>
            </w:r>
          </w:p>
        </w:tc>
        <w:tc>
          <w:tcPr>
            <w:tcW w:type="dxa" w:w="15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−0.25</w:t>
            </w:r>
          </w:p>
        </w:tc>
        <w:tc>
          <w:tcPr>
            <w:tcW w:type="dxa" w:w="32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Ceasefire declared over; Hormuz shipping under attack; unresolved</w:t>
            </w:r>
          </w:p>
        </w:tc>
      </w:tr>
      <w:tr>
        <w:tc>
          <w:tcPr>
            <w:tcW w:type="dxa" w:w="4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Growth data</w:t>
            </w:r>
          </w:p>
        </w:tc>
        <w:tc>
          <w:tcPr>
            <w:tcW w:type="dxa" w:w="15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−0.05</w:t>
            </w:r>
          </w:p>
        </w:tc>
        <w:tc>
          <w:tcPr>
            <w:tcW w:type="dxa" w:w="32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GDPNow at 1.4%; housing soft; claims offsetting</w:t>
            </w:r>
          </w:p>
        </w:tc>
      </w:tr>
      <w:tr>
        <w:tc>
          <w:tcPr>
            <w:tcW w:type="dxa" w:w="460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NET [SENTIMENT_TILT]</w:t>
            </w:r>
          </w:p>
        </w:tc>
        <w:tc>
          <w:tcPr>
            <w:tcW w:type="dxa" w:w="150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+0.10</w:t>
            </w:r>
          </w:p>
        </w:tc>
        <w:tc>
          <w:tcPr>
            <w:tcW w:type="dxa" w:w="326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Mildly positive. Near-term risk-on, offset by hawkish policy and live tail risk.</w:t>
            </w:r>
          </w:p>
        </w:tc>
      </w:tr>
    </w:tbl>
    <w:p>
      <w:pPr>
        <w:spacing w:after="100" w:before="0"/>
      </w:pPr>
      <w:r>
        <w:rPr>
          <w:rFonts w:ascii="Calibri" w:cs="Calibri" w:eastAsia="Calibri" w:hAnsi="Calibri"/>
          <w:i/>
          <w:iCs/>
          <w:sz w:val="20"/>
          <w:szCs w:val="20"/>
        </w:rPr>
        <w:t xml:space="preserve">This is the value passed to M5 §2 under the 0.15 W_SENTIMENT weight. It is deliberately modest: the constructive components are all same-session reactions to one de-escalation headline, while the negative components are structural and persistent.</w:t>
      </w:r>
    </w:p>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§13c  Calendar — the 10 July session and the week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Date</w:t>
            </w:r>
          </w:p>
        </w:tc>
        <w:tc>
          <w:tcPr>
            <w:tcW w:type="dxa" w:w="32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Event</w:t>
            </w:r>
          </w:p>
        </w:tc>
        <w:tc>
          <w:tcPr>
            <w:tcW w:type="dxa" w:w="45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Collision risk for §21 holding period</w:t>
            </w:r>
          </w:p>
        </w:tc>
      </w:tr>
      <w:tr>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Fri 10-Jul</w:t>
            </w:r>
          </w:p>
        </w:tc>
        <w:tc>
          <w:tcPr>
            <w:tcW w:type="dxa" w:w="3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Delta Air Lines (DAL) Q2 earnings</w:t>
            </w:r>
          </w:p>
        </w:tc>
        <w:tc>
          <w:tcPr>
            <w:tcW w:type="dxa" w:w="45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DIRECT COLLISION. The only scheduled catalyst inside the Trade 1 holding period. Airlines are the most oil-sensitive S&amp;P cohort; a soft print on fuel costs would re-couple the index to the crude story the long thesis assumes is fading.</w:t>
            </w:r>
          </w:p>
        </w:tc>
      </w:tr>
      <w:tr>
        <w:tc>
          <w:tcPr>
            <w:tcW w:type="dxa" w:w="1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Mon 13-Jul</w:t>
            </w:r>
          </w:p>
        </w:tc>
        <w:tc>
          <w:tcPr>
            <w:tcW w:type="dxa" w:w="3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 major data or earnings</w:t>
            </w:r>
          </w:p>
        </w:tc>
        <w:tc>
          <w:tcPr>
            <w:tcW w:type="dxa" w:w="45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None</w:t>
            </w:r>
          </w:p>
        </w:tc>
      </w:tr>
      <w:tr>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Tue 14-Jul</w:t>
            </w:r>
          </w:p>
        </w:tc>
        <w:tc>
          <w:tcPr>
            <w:tcW w:type="dxa" w:w="3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June CPI</w:t>
            </w:r>
          </w:p>
        </w:tc>
        <w:tc>
          <w:tcPr>
            <w:tcW w:type="dxa" w:w="45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Outside the daily horizon, but the dominant event risk. A hot print validates the hawkish minutes and the ~70% September-hike pricing.</w:t>
            </w:r>
          </w:p>
        </w:tc>
      </w:tr>
      <w:tr>
        <w:tc>
          <w:tcPr>
            <w:tcW w:type="dxa" w:w="16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Tue 14-Jul</w:t>
            </w:r>
          </w:p>
        </w:tc>
        <w:tc>
          <w:tcPr>
            <w:tcW w:type="dxa" w:w="32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Warsh congressional testimony</w:t>
            </w:r>
          </w:p>
        </w:tc>
        <w:tc>
          <w:tcPr>
            <w:tcW w:type="dxa" w:w="45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First extended public read on the new Chair's reaction function.</w:t>
            </w:r>
          </w:p>
        </w:tc>
      </w:tr>
      <w:tr>
        <w:tc>
          <w:tcPr>
            <w:tcW w:type="dxa" w:w="16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Tue 14-Jul</w:t>
            </w:r>
          </w:p>
        </w:tc>
        <w:tc>
          <w:tcPr>
            <w:tcW w:type="dxa" w:w="32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JPM, BAC, GS, WFC, C earnings</w:t>
            </w:r>
          </w:p>
        </w:tc>
        <w:tc>
          <w:tcPr>
            <w:tcW w:type="dxa" w:w="45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Credit-sensitive names sold off Wednesday (JPM −2.5%). Bank guidance sets the tone for the back half of July.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§13d  NEWS-COLLISION FLAG FOR §21</w:t>
            </w:r>
          </w:p>
          <w:p>
            <w:pPr>
              <w:spacing w:after="40"/>
            </w:pPr>
            <w:r>
              <w:rPr>
                <w:rFonts w:ascii="Calibri" w:cs="Calibri" w:eastAsia="Calibri" w:hAnsi="Calibri"/>
                <w:sz w:val="18"/>
                <w:szCs w:val="18"/>
              </w:rPr>
              <w:t xml:space="preserve">Trade 1 is a daily-horizon trade opened at the 10 July cash open and time-stopped at that session's close. Delta reports before the open. This is flagged on the trade card.</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The wider point: the entire cross-asset CONFIRM signal in §10 rests on oil retreating. Delta's earnings call is a scheduled, in-session opportunity for the market to be reminded what oil at $72–74 does to earnings. Size accordingly.</w:t>
            </w:r>
          </w:p>
        </w:tc>
      </w:tr>
    </w:tbl>
    <w:p>
      <w:pPr>
        <w:pStyle w:val="Heading1"/>
        <w:spacing w:after="130" w:before="260"/>
      </w:pPr>
      <w:r>
        <w:rPr>
          <w:rFonts w:ascii="Calibri" w:cs="Calibri" w:eastAsia="Calibri" w:hAnsi="Calibri"/>
          <w:b/>
          <w:bCs/>
          <w:color w:val="1F3864"/>
          <w:sz w:val="28"/>
          <w:szCs w:val="28"/>
        </w:rPr>
        <w:t xml:space="preserve">§14  Macro Context</w:t>
      </w:r>
    </w:p>
    <w:p>
      <w:pPr>
        <w:pStyle w:val="bd"/>
        <w:numPr>
          <w:ilvl w:val="0"/>
          <w:numId w:val="2"/>
        </w:numPr>
        <w:spacing w:after="60"/>
      </w:pPr>
      <w:r>
        <w:t xml:space="preserve">Policy is the live variable. The June minutes did not merely show a hold — they showed active discussion of a hike. September pricing moved from 58% to ~70% in a single day. For a 24.7× trailing / 20.0× forward market, that is a direct valuation input.</w:t>
      </w:r>
    </w:p>
    <w:p>
      <w:pPr>
        <w:pStyle w:val="bd"/>
        <w:numPr>
          <w:ilvl w:val="0"/>
          <w:numId w:val="2"/>
        </w:numPr>
        <w:spacing w:after="60"/>
      </w:pPr>
      <w:r>
        <w:t xml:space="preserve">Real growth is decelerating while inflation risk is rising. GDPNow at 1.4% against a hawkish Fed is an uncomfortable combination. The equity market is currently choosing to read this as disinflationary; the bond market, with yields rising on the oil move, is not.</w:t>
      </w:r>
    </w:p>
    <w:p>
      <w:pPr>
        <w:pStyle w:val="bd"/>
        <w:numPr>
          <w:ilvl w:val="0"/>
          <w:numId w:val="2"/>
        </w:numPr>
        <w:spacing w:after="60"/>
      </w:pPr>
      <w:r>
        <w:t xml:space="preserve">The oil channel is the transmission mechanism between geopolitics and the index. Two sessions of ~10% crude gains produced a Dow down 577 points. The Thursday reversal in crude is what produced Thursday's equity bid. The equity call and the crude call are, for now, the same call.</w:t>
      </w:r>
    </w:p>
    <w:p>
      <w:pPr>
        <w:pStyle w:val="bd"/>
        <w:numPr>
          <w:ilvl w:val="0"/>
          <w:numId w:val="2"/>
        </w:numPr>
        <w:spacing w:after="60"/>
      </w:pPr>
      <w:r>
        <w:t xml:space="preserve">Concentration risk is material. The ten largest names carry roughly 38% of index capitalisation, and the top five are all directly exposed to the AI-capex debate that pressured hyperscalers earlier this week.</w:t>
      </w:r>
    </w:p>
    <w:p>
      <w:pPr>
        <w:pStyle w:val="Heading1"/>
        <w:spacing w:after="130" w:before="260"/>
      </w:pPr>
      <w:r>
        <w:rPr>
          <w:rFonts w:ascii="Calibri" w:cs="Calibri" w:eastAsia="Calibri" w:hAnsi="Calibri"/>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Bull case</w:t>
            </w:r>
          </w:p>
        </w:tc>
        <w:tc>
          <w:tcPr>
            <w:tcW w:type="dxa" w:w="468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Bear case</w:t>
            </w:r>
          </w:p>
        </w:tc>
      </w:tr>
      <w:tr>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Close above all five moving averages, stacked in bullish order</w:t>
            </w:r>
          </w:p>
        </w:tc>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25-session change is −0.87%; five weeks of net negative progress</w:t>
            </w:r>
          </w:p>
        </w:tc>
      </w:tr>
      <w:tr>
        <w:tc>
          <w:tcPr>
            <w:tcW w:type="dxa" w:w="46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Four of four cross-asset counters confirm; none contradict</w:t>
            </w:r>
          </w:p>
        </w:tc>
        <w:tc>
          <w:tcPr>
            <w:tcW w:type="dxa" w:w="46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Third test of the 25-day boundary in five weeks; the prior two failed</w:t>
            </w:r>
          </w:p>
        </w:tc>
      </w:tr>
      <w:tr>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VIX −6.3% to 15.84, comfortably below the 20 stress threshold</w:t>
            </w:r>
          </w:p>
        </w:tc>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VIX futures curve traces toward 19 by August and 20 by September</w:t>
            </w:r>
          </w:p>
        </w:tc>
      </w:tr>
      <w:tr>
        <w:tc>
          <w:tcPr>
            <w:tcW w:type="dxa" w:w="46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Semiconductor reversal after a 16% drawdown; Micron +4.5%</w:t>
            </w:r>
          </w:p>
        </w:tc>
        <w:tc>
          <w:tcPr>
            <w:tcW w:type="dxa" w:w="46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SOX below its 50-day for the first time since April; RSI under 45</w:t>
            </w:r>
          </w:p>
        </w:tc>
      </w:tr>
      <w:tr>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Crude retreating, removing the acute inflation impulse</w:t>
            </w:r>
          </w:p>
        </w:tc>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Ceasefire declared over; Hormuz attacks ongoing; reversal is one headline away</w:t>
            </w:r>
          </w:p>
        </w:tc>
      </w:tr>
      <w:tr>
        <w:tc>
          <w:tcPr>
            <w:tcW w:type="dxa" w:w="46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Claims at 215k, the lowest since May — no labour cracks</w:t>
            </w:r>
          </w:p>
        </w:tc>
        <w:tc>
          <w:tcPr>
            <w:tcW w:type="dxa" w:w="46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September hike odds ~70%; minutes explicitly discussed hiking</w:t>
            </w:r>
          </w:p>
        </w:tc>
      </w:tr>
      <w:tr>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Dollar softening off the week's highs</w:t>
            </w:r>
          </w:p>
        </w:tc>
        <w:tc>
          <w:tcPr>
            <w:tcW w:type="dxa" w:w="46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GDPNow cut to 1.4%; existing home sales −2.4%</w:t>
            </w:r>
          </w:p>
        </w:tc>
      </w:tr>
    </w:tbl>
    <w:p>
      <w:pPr>
        <w:pStyle w:val="Heading1"/>
        <w:spacing w:after="130" w:before="260"/>
      </w:pPr>
      <w:r>
        <w:rPr>
          <w:rFonts w:ascii="Calibri" w:cs="Calibri" w:eastAsia="Calibri" w:hAnsi="Calibri"/>
          <w:b/>
          <w:bCs/>
          <w:color w:val="1F3864"/>
          <w:sz w:val="28"/>
          <w:szCs w:val="28"/>
        </w:rPr>
        <w:t xml:space="preserve">§16  Forward View (next 5 trading days)</w:t>
      </w:r>
    </w:p>
    <w:p>
      <w:pPr>
        <w:spacing w:after="100"/>
      </w:pPr>
      <w:r>
        <w:rPr>
          <w:rFonts w:ascii="Calibri" w:cs="Calibri" w:eastAsia="Calibri" w:hAnsi="Calibri"/>
          <w:b/>
          <w:bCs/>
          <w:sz w:val="20"/>
          <w:szCs w:val="20"/>
        </w:rPr>
        <w:t xml:space="preserve">Base case (55%, confidence M). </w:t>
      </w:r>
      <w:r>
        <w:rPr>
          <w:rFonts w:ascii="Calibri" w:cs="Calibri" w:eastAsia="Calibri" w:hAnsi="Calibri"/>
          <w:sz w:val="20"/>
          <w:szCs w:val="20"/>
        </w:rPr>
        <w:t xml:space="preserve">The index holds the 7,480–7,500 shelf and grinds toward the 25-day boundary at 7,584.31 without a decisive break ahead of Tuesday's CPI. Realised range 7,470–7,590. This is the modal path precisely because it is what the last five weeks have done three times.</w:t>
      </w:r>
    </w:p>
    <w:p>
      <w:pPr>
        <w:spacing w:after="100"/>
      </w:pPr>
      <w:r>
        <w:rPr>
          <w:rFonts w:ascii="Calibri" w:cs="Calibri" w:eastAsia="Calibri" w:hAnsi="Calibri"/>
          <w:b/>
          <w:bCs/>
          <w:sz w:val="20"/>
          <w:szCs w:val="20"/>
        </w:rPr>
        <w:t xml:space="preserve">Bull case (25%, confidence L). </w:t>
      </w:r>
      <w:r>
        <w:rPr>
          <w:rFonts w:ascii="Calibri" w:cs="Calibri" w:eastAsia="Calibri" w:hAnsi="Calibri"/>
          <w:sz w:val="20"/>
          <w:szCs w:val="20"/>
        </w:rPr>
        <w:t xml:space="preserve">Semiconductor leadership broadens, crude continues to unwind, and a benign CPI on 14 July resolves the hawkish-minutes overhang. A daily close above 7,594.28 arms the Trade 3C breakout and opens a measured move toward 7,901.63. Requires the geopolitical tail to stay quiet.</w:t>
      </w:r>
    </w:p>
    <w:p>
      <w:pPr>
        <w:spacing w:after="100"/>
      </w:pPr>
      <w:r>
        <w:rPr>
          <w:rFonts w:ascii="Calibri" w:cs="Calibri" w:eastAsia="Calibri" w:hAnsi="Calibri"/>
          <w:b/>
          <w:bCs/>
          <w:sz w:val="20"/>
          <w:szCs w:val="20"/>
        </w:rPr>
        <w:t xml:space="preserve">Bear case (20%, confidence M). </w:t>
      </w:r>
      <w:r>
        <w:rPr>
          <w:rFonts w:ascii="Calibri" w:cs="Calibri" w:eastAsia="Calibri" w:hAnsi="Calibri"/>
          <w:sz w:val="20"/>
          <w:szCs w:val="20"/>
        </w:rPr>
        <w:t xml:space="preserve">A Hormuz escalation or a hot CPI re-prices the September hike toward certainty. The index loses the 7,480 shelf, tests the Briefing.com band at 7,415–7,390, and on a close below 7,354.02 the 25-day low at 7,266.99 comes into play. The VIX futures curve is already positioned for this.</w:t>
      </w:r>
    </w:p>
    <w:p>
      <w:pPr>
        <w:pStyle w:val="Heading1"/>
        <w:spacing w:after="130" w:before="260"/>
      </w:pPr>
      <w:r>
        <w:rPr>
          <w:rFonts w:ascii="Calibri" w:cs="Calibri" w:eastAsia="Calibri" w:hAnsi="Calibri"/>
          <w:b/>
          <w:bCs/>
          <w:color w:val="1F3864"/>
          <w:sz w:val="28"/>
          <w:szCs w:val="28"/>
        </w:rPr>
        <w:t xml:space="preserve">§17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FORECAST — one sentence</w:t>
            </w:r>
          </w:p>
          <w:p>
            <w:pPr>
              <w:spacing w:after="40"/>
            </w:pPr>
            <w:r>
              <w:rPr>
                <w:rFonts w:ascii="Calibri" w:cs="Calibri" w:eastAsia="Calibri" w:hAnsi="Calibri"/>
                <w:sz w:val="18"/>
                <w:szCs w:val="18"/>
              </w:rPr>
              <w:t xml:space="preserve">Mildly higher into the 10 July close with the index holding above 7,480 and probing but not decisively clearing the 7,584 boundary, on low conviction, with the entire constructive case contingent on crude continuing to retreat and no fresh escalation in the Strait of Hormuz.</w:t>
            </w:r>
          </w:p>
        </w:tc>
      </w:tr>
    </w:tbl>
    <w:p>
      <w:pPr>
        <w:spacing w:after="100" w:before="0"/>
      </w:pPr>
      <w:r>
        <w:rPr>
          <w:rFonts w:ascii="Calibri" w:cs="Calibri" w:eastAsia="Calibri" w:hAnsi="Calibri"/>
          <w:i/>
          <w:iCs/>
          <w:sz w:val="20"/>
          <w:szCs w:val="20"/>
        </w:rPr>
        <w:t xml:space="preserve">Per M5 Absolute Rule 6, this forecast is produced independently of §21 and is not edited to align with the trade cards. It is directionally consistent with the §21a LONG conviction. No conflict to flag.</w:t>
      </w:r>
    </w:p>
    <w:p>
      <w:pPr>
        <w:pStyle w:val="Heading1"/>
        <w:spacing w:after="130" w:before="260"/>
      </w:pPr>
      <w:r>
        <w:rPr>
          <w:rFonts w:ascii="Calibri" w:cs="Calibri" w:eastAsia="Calibri" w:hAnsi="Calibri"/>
          <w:b/>
          <w:bCs/>
          <w:color w:val="1F3864"/>
          <w:sz w:val="28"/>
          <w:szCs w:val="28"/>
        </w:rPr>
        <w:t xml:space="preserve">§18  Final Analyst Judgement</w:t>
      </w:r>
    </w:p>
    <w:p>
      <w:pPr>
        <w:spacing w:after="100"/>
      </w:pPr>
      <w:r>
        <w:rPr>
          <w:rFonts w:ascii="Calibri" w:cs="Calibri" w:eastAsia="Calibri" w:hAnsi="Calibri"/>
          <w:sz w:val="20"/>
          <w:szCs w:val="20"/>
        </w:rPr>
        <w:t xml:space="preserve">This is a low-conviction long in a market that has spent five weeks proving it does not trend. The direction score of +0.33 clears the 0.25 threshold, but it clears it because cross-asset confirmation and short-term momentum are both firing — and both are one-day-old signals born of the same headline. The Kaufman reading contributes exactly zero. The medium-term regime contributes almost nothing. Strip the cross-asset term and the score falls to +0.20, below threshold, and Trade 1 would be suppressed.</w:t>
      </w:r>
    </w:p>
    <w:p>
      <w:pPr>
        <w:spacing w:after="100"/>
      </w:pPr>
      <w:r>
        <w:rPr>
          <w:rFonts w:ascii="Calibri" w:cs="Calibri" w:eastAsia="Calibri" w:hAnsi="Calibri"/>
          <w:sz w:val="20"/>
          <w:szCs w:val="20"/>
        </w:rPr>
        <w:t xml:space="preserve">Two things should temper any conviction taken from this report. First, RSI(2) at 78 means the entry buys a two-day rally into the third test of a boundary that has rejected price twice. Second — and this is the more important one — the stop distance in §21 is computed from a close-to-close proxy that is structurally smaller than the ATR the engine was designed around. A 70.90-point risk unit on an index whose 20-session daily standard deviation is 69.79 points is not a comfortable margin. Halve the size, or wait for the intraday data that would let the stop be placed properly.</w:t>
      </w:r>
    </w:p>
    <w:p>
      <w:r>
        <w:br w:type="page"/>
      </w:r>
    </w:p>
    <w:p>
      <w:pPr>
        <w:pStyle w:val="Heading1"/>
        <w:spacing w:after="130" w:before="260"/>
      </w:pPr>
      <w:r>
        <w:rPr>
          <w:rFonts w:ascii="Calibri" w:cs="Calibri" w:eastAsia="Calibri" w:hAnsi="Calibri"/>
          <w:b/>
          <w:bCs/>
          <w:color w:val="1F3864"/>
          <w:sz w:val="28"/>
          <w:szCs w:val="28"/>
        </w:rPr>
        <w:t xml:space="preserve">§19  Source Discipline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Field</w:t>
            </w:r>
          </w:p>
        </w:tc>
        <w:tc>
          <w:tcPr>
            <w:tcW w:type="dxa" w:w="64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Corroboration status</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Close — 06/07/08/09 Jul</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CORROBORATED — two independent sources, Δ 0.00, tolerance ±0.10 pts</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Close — all earlier sessions</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SINGLE-SOURCE (S&amp;P DJI via FRED, index provider's own series). Indicator computation only.</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Open — all sessions</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High — all sessions</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Low — all sessions</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pivots_daily</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 — cannot be computed</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pivots_weekly</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 — cannot be computed</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pivots_monthly</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UNAVAILABLE — cannot be computed</w:t>
            </w:r>
          </w:p>
        </w:tc>
      </w:tr>
      <w:tr>
        <w:tc>
          <w:tcPr>
            <w:tcW w:type="dxa" w:w="29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nearest_support (7,415 / 7,390)</w:t>
            </w:r>
          </w:p>
        </w:tc>
        <w:tc>
          <w:tcPr>
            <w:tcW w:type="dxa" w:w="64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SINGLE-SOURCE-INDICATIVE — Briefing.com via Schwab, 08-Jul. Directional context only; not used for any entry or stop in §21.</w:t>
            </w:r>
          </w:p>
        </w:tc>
      </w:tr>
      <w:tr>
        <w:tc>
          <w:tcPr>
            <w:tcW w:type="dxa" w:w="29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Counter assets (DXY, VIX, DAX)</w:t>
            </w:r>
          </w:p>
        </w:tc>
        <w:tc>
          <w:tcPr>
            <w:tcW w:type="dxa" w:w="64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SINGLE-SOURCE-INDICATIVE — used for directional confirmation only, per protocol §4</w:t>
            </w:r>
          </w:p>
        </w:tc>
      </w:tr>
    </w:tbl>
    <w:p>
      <w:pPr>
        <w:spacing w:after="100" w:before="0"/>
      </w:pPr>
      <w:r>
        <w:rPr>
          <w:rFonts w:ascii="Calibri" w:cs="Calibri" w:eastAsia="Calibri" w:hAnsi="Calibri"/>
          <w:i/>
          <w:iCs/>
          <w:sz w:val="20"/>
          <w:szCs w:val="20"/>
        </w:rPr>
        <w:t xml:space="preserve">Per Source Discipline §4, no SINGLE-SOURCE-INDICATIVE value has been used for a pivot calculation, a settlement reference, an entry price, or a stop-loss price anywhere in this document. The Trade 1 entry and stop reference corroborated closes only.</w:t>
      </w:r>
    </w:p>
    <w:p>
      <w:pPr>
        <w:pStyle w:val="Heading1"/>
        <w:spacing w:after="130" w:before="260"/>
      </w:pPr>
      <w:r>
        <w:rPr>
          <w:rFonts w:ascii="Calibri" w:cs="Calibri" w:eastAsia="Calibri" w:hAnsi="Calibri"/>
          <w:b/>
          <w:bCs/>
          <w:color w:val="1F3864"/>
          <w:sz w:val="28"/>
          <w:szCs w:val="28"/>
        </w:rPr>
        <w:t xml:space="preserve">§20  Agent Log</w:t>
      </w:r>
    </w:p>
    <w:p>
      <w:pPr>
        <w:pStyle w:val="Heading2"/>
        <w:spacing w:after="100" w:before="180"/>
      </w:pPr>
      <w:r>
        <w:rPr>
          <w:rFonts w:ascii="Calibri" w:cs="Calibri" w:eastAsia="Calibri" w:hAnsi="Calibri"/>
          <w:b/>
          <w:bCs/>
          <w:color w:val="1F3864"/>
          <w:sz w:val="23"/>
          <w:szCs w:val="23"/>
        </w:rPr>
        <w:t xml:space="preserve">Protocol deviations — analyst-directed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Deviation</w:t>
            </w:r>
          </w:p>
        </w:tc>
        <w:tc>
          <w:tcPr>
            <w:tcW w:type="dxa" w:w="73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Detail</w:t>
            </w:r>
          </w:p>
        </w:tc>
      </w:tr>
      <w:tr>
        <w:tc>
          <w:tcPr>
            <w:tcW w:type="dxa" w:w="20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Halt override</w:t>
            </w:r>
          </w:p>
        </w:tc>
        <w:tc>
          <w:tcPr>
            <w:tcW w:type="dxa" w:w="73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Source Discipline Rule 4 requires a DataCorroborationError and a full halt when corroboration cannot be achieved for a required data point. Open, High and Low were not corroborated for any session. The analyst instructed that the report be produced regardless and that strategy output not be suppressed on corroboration grounds. The halt was overridden. This deviation is logged as required.</w:t>
            </w:r>
          </w:p>
        </w:tc>
      </w:tr>
      <w:tr>
        <w:tc>
          <w:tcPr>
            <w:tcW w:type="dxa" w:w="20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Source exhaustion</w:t>
            </w:r>
          </w:p>
        </w:tc>
        <w:tc>
          <w:tcPr>
            <w:tcW w:type="dxa" w:w="73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Rule 2 requires all 50 approved sources be attempted before the error is raised. 9 were attempted; 41 were unreachable because the execution environment's network allowlist excludes all financial-data domains and the fetch layer only permits URLs surfaced by search. Sequential exhaustion was therefore not completed.</w:t>
            </w:r>
          </w:p>
        </w:tc>
      </w:tr>
      <w:tr>
        <w:tc>
          <w:tcPr>
            <w:tcW w:type="dxa" w:w="20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ATR substitution</w:t>
            </w:r>
          </w:p>
        </w:tc>
        <w:tc>
          <w:tcPr>
            <w:tcW w:type="dxa" w:w="73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atr_14 is UNAVAILABLE. A close-to-close mean-absolute-change proxy (39.88 pts) has been substituted wherever the engine calls for ATR. It is labelled ATR-PROXY at every point of use. It is not ATR, it is smaller than ATR, and every stop derived from it is correspondingly tighter than intended.</w:t>
            </w:r>
          </w:p>
        </w:tc>
      </w:tr>
      <w:tr>
        <w:tc>
          <w:tcPr>
            <w:tcW w:type="dxa" w:w="20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[DAILY_OPEN_ANCHOR] override</w:t>
            </w:r>
          </w:p>
        </w:tc>
        <w:tc>
          <w:tcPr>
            <w:tcW w:type="dxa" w:w="73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M1 §H.1 sets 07:00 UK. Overridden to 14:30 UK for this session on analyst instruction. Rationale: the M1 note describes 07:00 UK as a futures-led proxy window; the S&amp;P 500 cash index does not print an open until 14:30 UK (09:30 ET). Trade 1's entry is specified as 'Market at [DAILY_OPEN_ANCHOR]', so an anchor at which the instrument does not trade is not executable on the cash index. 14:30 UK is the only anchor where a cash-index open exists. This override is reversible and does not affect any computed level.</w:t>
            </w:r>
          </w:p>
        </w:tc>
      </w:tr>
      <w:tr>
        <w:tc>
          <w:tcPr>
            <w:tcW w:type="dxa" w:w="20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Weights</w:t>
            </w:r>
          </w:p>
        </w:tc>
        <w:tc>
          <w:tcPr>
            <w:tcW w:type="dxa" w:w="73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Basis: DEFAULTS. Vector 0.25 / 0.20 / 0.10 / 0.15 / 0.15 / 0.15 matches the v2.1 baseline. Session 1 of the 20-session lock. No tuning performed.</w:t>
            </w:r>
          </w:p>
        </w:tc>
      </w:tr>
      <w:tr>
        <w:tc>
          <w:tcPr>
            <w:tcW w:type="dxa" w:w="20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Weight renormalisation</w:t>
            </w:r>
          </w:p>
        </w:tc>
        <w:tc>
          <w:tcPr>
            <w:tcW w:type="dxa" w:w="73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W_VOLATOR (0.10) could not contribute because volator_slope is UNAVAILABLE. Its weight was excluded and the remaining five weights renormalised over 0.90. This is a mechanical consequence of a missing surface field, not a tuning action.</w:t>
            </w:r>
          </w:p>
        </w:tc>
      </w:tr>
    </w:tbl>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Direction-score computation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2860"/>
      </w:tblGrid>
      <w:tr>
        <w:trPr>
          <w:tblHeader/>
        </w:trPr>
        <w:tc>
          <w:tcPr>
            <w:tcW w:type="dxa" w:w="26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Signal</w:t>
            </w:r>
          </w:p>
        </w:tc>
        <w:tc>
          <w:tcPr>
            <w:tcW w:type="dxa" w:w="13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Weight</w:t>
            </w:r>
          </w:p>
        </w:tc>
        <w:tc>
          <w:tcPr>
            <w:tcW w:type="dxa" w:w="13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Score</w:t>
            </w:r>
          </w:p>
        </w:tc>
        <w:tc>
          <w:tcPr>
            <w:tcW w:type="dxa" w:w="13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Product</w:t>
            </w:r>
          </w:p>
        </w:tc>
        <w:tc>
          <w:tcPr>
            <w:tcW w:type="dxa" w:w="28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Basis</w:t>
            </w:r>
          </w:p>
        </w:tc>
      </w:tr>
      <w:tr>
        <w:tc>
          <w:tcPr>
            <w:tcW w:type="dxa" w:w="26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W_SHORT_TECH</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0.25</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+0.60</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+0.150</w:t>
            </w:r>
          </w:p>
        </w:tc>
        <w:tc>
          <w:tcPr>
            <w:tcW w:type="dxa" w:w="2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Close above all MAs, stacked bullish; +0.81% 5d; RSI2 78 tempers</w:t>
            </w:r>
          </w:p>
        </w:tc>
      </w:tr>
      <w:tr>
        <w:tc>
          <w:tcPr>
            <w:tcW w:type="dxa" w:w="26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W_MEDIUM_REGIME</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0.20</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+0.15</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+0.030</w:t>
            </w:r>
          </w:p>
        </w:tc>
        <w:tc>
          <w:tcPr>
            <w:tcW w:type="dxa" w:w="2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Above SMA25 but 25d change −0.87%; below 25d high</w:t>
            </w:r>
          </w:p>
        </w:tc>
      </w:tr>
      <w:tr>
        <w:tc>
          <w:tcPr>
            <w:tcW w:type="dxa" w:w="26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W_VOLATOR</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0.10</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n/a</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EXCLUDED</w:t>
            </w:r>
          </w:p>
        </w:tc>
        <w:tc>
          <w:tcPr>
            <w:tcW w:type="dxa" w:w="2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volator_slope UNAVAILABLE — weight renormalised out</w:t>
            </w:r>
          </w:p>
        </w:tc>
      </w:tr>
      <w:tr>
        <w:tc>
          <w:tcPr>
            <w:tcW w:type="dxa" w:w="26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W_KAUFMAN</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0.15</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0.00</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+0.000</w:t>
            </w:r>
          </w:p>
        </w:tc>
        <w:tc>
          <w:tcPr>
            <w:tcW w:type="dxa" w:w="2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KER 0.0798 — below both the 0.13 trend gate and 0.09 bias band</w:t>
            </w:r>
          </w:p>
        </w:tc>
      </w:tr>
      <w:tr>
        <w:tc>
          <w:tcPr>
            <w:tcW w:type="dxa" w:w="26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W_SENTIMENT</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0.15</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+0.10</w:t>
            </w:r>
          </w:p>
        </w:tc>
        <w:tc>
          <w:tcPr>
            <w:tcW w:type="dxa" w:w="13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+0.015</w:t>
            </w:r>
          </w:p>
        </w:tc>
        <w:tc>
          <w:tcPr>
            <w:tcW w:type="dxa" w:w="2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M2 §13b net tilt</w:t>
            </w:r>
          </w:p>
        </w:tc>
      </w:tr>
      <w:tr>
        <w:tc>
          <w:tcPr>
            <w:tcW w:type="dxa" w:w="26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W_CROSS_ASSET</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0.15</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+0.70</w:t>
            </w:r>
          </w:p>
        </w:tc>
        <w:tc>
          <w:tcPr>
            <w:tcW w:type="dxa" w:w="13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+0.105</w:t>
            </w:r>
          </w:p>
        </w:tc>
        <w:tc>
          <w:tcPr>
            <w:tcW w:type="dxa" w:w="2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CONFIRM — 4 of 4 counters, none contradict</w:t>
            </w:r>
          </w:p>
        </w:tc>
      </w:tr>
      <w:tr>
        <w:tc>
          <w:tcPr>
            <w:tcW w:type="dxa" w:w="2600"/>
            <w:shd w:fill="E2EFDA"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TOTAL</w:t>
            </w:r>
          </w:p>
        </w:tc>
        <w:tc>
          <w:tcPr>
            <w:tcW w:type="dxa" w:w="130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0.90</w:t>
            </w:r>
          </w:p>
        </w:tc>
        <w:tc>
          <w:tcPr>
            <w:tcW w:type="dxa" w:w="130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30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+0.300</w:t>
            </w:r>
          </w:p>
        </w:tc>
        <w:tc>
          <w:tcPr>
            <w:tcW w:type="dxa" w:w="2860"/>
            <w:shd w:fill="E2EFDA"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Renormalised: 0.300 / 0.90 = +0.333</w:t>
            </w:r>
          </w:p>
        </w:tc>
      </w:tr>
    </w:tbl>
    <w:p>
      <w:pPr>
        <w:spacing w:after="100"/>
      </w:pPr>
      <w:r>
        <w:rPr>
          <w:rFonts w:ascii="Calibri" w:cs="Calibri" w:eastAsia="Calibri" w:hAnsi="Calibri"/>
          <w:b/>
          <w:bCs/>
          <w:sz w:val="20"/>
          <w:szCs w:val="20"/>
        </w:rPr>
        <w:t xml:space="preserve">Direction = LONG. |score| 0.333 &gt; [CONVICTION_THRESHOLD] 0.25 → Trade 1 NOT suppressed. </w:t>
      </w:r>
      <w:r>
        <w:rPr>
          <w:rFonts w:ascii="Calibri" w:cs="Calibri" w:eastAsia="Calibri" w:hAnsi="Calibri"/>
          <w:sz w:val="20"/>
          <w:szCs w:val="20"/>
        </w:rPr>
        <w:t xml:space="preserve">Sensitivity: removing the cross-asset term drops the score to +0.20, below threshold. The trade exists because of §10.</w:t>
      </w:r>
    </w:p>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Engine anomalies raised</w:t>
      </w:r>
    </w:p>
    <w:p>
      <w:pPr>
        <w:pStyle w:val="bd"/>
        <w:numPr>
          <w:ilvl w:val="0"/>
          <w:numId w:val="2"/>
        </w:numPr>
        <w:spacing w:after="60"/>
      </w:pPr>
      <w:r>
        <w:t xml:space="preserve">TP3 &lt; TP2 inversion on Trade 1. The engine sets TP2 at entry + 2R and TP3 at entry + 3 × ATR. With R (70.90) larger than the ATR-proxy (39.88), the runner cap at 7,663.29 sits below the TP2 at 7,685.44. The ladder is inverted. This is an artefact of the ATR-proxy being smaller than true ATR; on a true-ATR basis the inversion would most likely resolve. The values are reported as computed. They are not silently reordered.</w:t>
      </w:r>
    </w:p>
    <w:p>
      <w:pPr>
        <w:pStyle w:val="bd"/>
        <w:numPr>
          <w:ilvl w:val="0"/>
          <w:numId w:val="2"/>
        </w:numPr>
        <w:spacing w:after="60"/>
      </w:pPr>
      <w:r>
        <w:t xml:space="preserve">Sanity flag: wide stop — R (70.90) &gt; 1 × ATR-proxy (39.88). Fires per M5 §5.1.</w:t>
      </w:r>
    </w:p>
    <w:p>
      <w:pPr>
        <w:pStyle w:val="bd"/>
        <w:numPr>
          <w:ilvl w:val="0"/>
          <w:numId w:val="2"/>
        </w:numPr>
        <w:spacing w:after="60"/>
      </w:pPr>
      <w:r>
        <w:t xml:space="preserve">Sanity flag: TP2 ambitious for a daily horizon — 2R (141.80) &gt; 3 × ATR-proxy (119.64). Fires per M5 §5.1. Not a suppression condition.</w:t>
      </w:r>
    </w:p>
    <w:p>
      <w:pPr>
        <w:pStyle w:val="bd"/>
        <w:numPr>
          <w:ilvl w:val="0"/>
          <w:numId w:val="2"/>
        </w:numPr>
        <w:spacing w:after="60"/>
      </w:pPr>
      <w:r>
        <w:t xml:space="preserve">Backtest sentiment freeze applied: sentiment_tilt and cross_asset_confirm both set to 0.00 in all reconstructed sessions. Neither is reconstructable without leakage — the analyst cannot know a prior session's news flow without also knowing what followed.</w:t>
      </w:r>
    </w:p>
    <w:p>
      <w:r>
        <w:br w:type="page"/>
      </w:r>
    </w:p>
    <w:p>
      <w:pPr>
        <w:pStyle w:val="Heading1"/>
        <w:spacing w:after="130" w:before="260"/>
      </w:pPr>
      <w:r>
        <w:rPr>
          <w:rFonts w:ascii="Calibri" w:cs="Calibri" w:eastAsia="Calibri" w:hAnsi="Calibri"/>
          <w:b/>
          <w:bCs/>
          <w:color w:val="1F3864"/>
          <w:sz w:val="28"/>
          <w:szCs w:val="28"/>
        </w:rPr>
        <w:t xml:space="preserve">§21  Strategy Recommendations</w:t>
      </w:r>
    </w:p>
    <w:p>
      <w:pPr>
        <w:pStyle w:val="Heading2"/>
        <w:spacing w:after="100" w:before="180"/>
      </w:pPr>
      <w:r>
        <w:rPr>
          <w:rFonts w:ascii="Calibri" w:cs="Calibri" w:eastAsia="Calibri" w:hAnsi="Calibri"/>
          <w:b/>
          <w:bCs/>
          <w:color w:val="1F3864"/>
          <w:sz w:val="23"/>
          <w:szCs w:val="23"/>
        </w:rPr>
        <w:t xml:space="preserve">§21a  Directional Conviction</w:t>
      </w:r>
    </w:p>
    <w:p>
      <w:pPr>
        <w:spacing w:after="100"/>
      </w:pPr>
      <w:r>
        <w:rPr>
          <w:rFonts w:ascii="Calibri" w:cs="Calibri" w:eastAsia="Calibri" w:hAnsi="Calibri"/>
          <w:sz w:val="20"/>
          <w:szCs w:val="20"/>
        </w:rPr>
        <w:t xml:space="preserve">LONG, direction score +0.333, against a [CONVICTION_THRESHOLD] of 0.25. The three highest-weighted contributing signals are W_SHORT_TECH (0.25 weight, +0.150 product) on a close above every moving average with the stack in bullish order; W_MEDIUM_REGIME (0.20, +0.030) contributing almost nothing as the 25-session change remains negative; and W_CROSS_ASSET (0.15, +0.105) delivering the largest single non-technical contribution on unanimous counter confirmation. W_KAUFMAN contributes exactly zero — the efficiency ratio sits below both the trending threshold and the range-bias band, so it declines to express a direction at all. W_VOLATOR is excluded entirely; volator_slope is unavailable. There is no conflict with the §17 forecast: both are mildly constructive. The score is genuinely marginal — the cross-asset term alone carries it over the line, and that term rests on a single session's reaction to a single de-escalation headline.</w:t>
      </w:r>
    </w:p>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§21b  Trade Cards</w:t>
      </w:r>
    </w:p>
    <w:p>
      <w:pPr>
        <w:spacing w:after="100" w:before="0"/>
      </w:pPr>
      <w:r>
        <w:rPr>
          <w:rFonts w:ascii="Calibri" w:cs="Calibri" w:eastAsia="Calibri" w:hAnsi="Calibri"/>
          <w:b/>
          <w:bCs/>
          <w:color w:val="1F6F3D"/>
          <w:sz w:val="22"/>
          <w:szCs w:val="22"/>
        </w:rPr>
        <w:t xml:space="preserve">TRADE 1 — DAILY DIRECTIONAL  ·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Field</w:t>
            </w:r>
          </w:p>
        </w:tc>
        <w:tc>
          <w:tcPr>
            <w:tcW w:type="dxa" w:w="68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Trade type</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Trade 1 — Daily Directional</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Direction</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LONG — TRANSITION regime; direction score +0.333 clears the 0.25 conviction threshold</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Entry</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Market at 14:30 UK, 10 July 2026 (overridden [DAILY_OPEN_ANCHOR]). Reference price 7,543.64 — the 09-Jul corroborated close.</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Stop loss</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7,472.74 — 70.90 points below entry reference. Structural anchor: 5-day CLOSING swing low 7,482.71 less 0.25 × ATR-proxy (9.97). Structural stop is tighter than the 3.5 × ATR-proxy cap at 7,404.05, so the structural level governs.</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Risk (R)</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70.90 index points (7,090 ticks at 0.01 tick size)</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TP1 (Unit 1)</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7,614.54  —  +1R  (+70.90 pts)</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TP2 (Unit 2)</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7,685.44  —  +2R  (+141.80 pts)</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TP3 (Unit 3 — runner)</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7,663.29  —  entry + 3 × ATR-proxy (+119.64 pts). Time-stopped at the 10-Jul cash close (21:00 UK), or price-stopped at this level, whichever triggers first. ⚠ NOTE: this sits BELOW TP2 — see the engine-anomaly log in §20.</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Tranche management</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 equal units. Unit 1 exits at TP1. Unit 2 exits at TP2. On Unit 2 fill, Unit 3 stop moves to 7,557.82 (entry + 0.2R).</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Confluences at entry</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Swing: 5-day closing swing high 7,543.64 (entry IS the swing high). Round number: 7,550 within 0.16 × ATR-proxy. Cross-asset: unanimous counter confirmation. No pivot confluence — pivots unavailable.</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Confluences at SL</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Swing: 5-day closing swing low 7,482.71 (9.97 pts above the stop). Fib: 23.6% retracement of the 10-session swing at 7,498.89 sits above the stop, not at it. WEAK confluence — a single structural level, and one drawn on closing prices.</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Confluences at TPs</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None. TP1, TP2 and TP3 all sit above the 25-day closing swing high of 7,584.31, in territory with no derivable structure. TP1 is 30.23 pts above that boundary.</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Thesis invalidation</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7,472.74 — coincident with the stop. The next structural level below is the Briefing.com support band at 7,415, which is SINGLE-SOURCE-INDICATIVE and therefore not eligible as an invalidation reference. A daily close back below 7,482.71 breaks the directional narrative regardless of whether the stop is touched.</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Caveats</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① WIDE STOP — R exceeds 1 × ATR-proxy.  ② TP2 AMBITIOUS FOR A DAILY HORIZON — 2R exceeds 3 × ATR-proxy.  ③ TP3 &lt; TP2 (ladder inversion).  ④ ATR-PROXY SUBSTITUTION — the stop is tighter than a true-ATR stop would be.  ⑤ CLOSING-BASIS SWING ANCHOR — intraday price has already traded through 7,482.71 this week; the true 5-day low is lower and unknown.  ⑥ NEWS COLLISION — Delta Air Lines reports before the 10-Jul open, inside the holding period.  ⑦ RSI(2) at 77.99 — the entry buys two-day strength at the third test of a boundary that has rejected price twice.</w:t>
            </w:r>
          </w:p>
        </w:tc>
      </w:tr>
    </w:tbl>
    <w:p>
      <w:pPr>
        <w:spacing w:after="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SIZING GUIDANCE — NOT ENGINE OUTPUT, ANALYST OVERLAY</w:t>
            </w:r>
          </w:p>
          <w:p>
            <w:pPr>
              <w:spacing w:after="40"/>
            </w:pPr>
            <w:r>
              <w:rPr>
                <w:rFonts w:ascii="Calibri" w:cs="Calibri" w:eastAsia="Calibri" w:hAnsi="Calibri"/>
                <w:sz w:val="18"/>
                <w:szCs w:val="18"/>
              </w:rPr>
              <w:t xml:space="preserve">The 20-session daily standard deviation of the index is 69.79 points. The Trade 1 risk unit is 70.90 points. The stop is therefore approximately one standard daily move away — before accounting for the fact that it is anchored to a closing low that intraday price has already breached, and before accounting for a scheduled earnings catalyst inside the holding period.</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Under the M1 [ATR_STOP_CAP] of 3.5 the engine would tolerate a stop 3.5 × ATR wide. On a true ATR this would be a materially wider and more defensible level. It cannot be computed here.</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Recommendation: half normal size, or defer until corroborated intraday data is available.</w:t>
            </w:r>
          </w:p>
        </w:tc>
      </w:tr>
    </w:tbl>
    <w:p>
      <w:pPr>
        <w:spacing w:after="0" w:before="0"/>
      </w:pPr>
      <w:r>
        <w:rPr>
          <w:rFonts w:ascii="Calibri" w:cs="Calibri" w:eastAsia="Calibri" w:hAnsi="Calibri"/>
          <w:sz w:val="20"/>
          <w:szCs w:val="20"/>
        </w:rPr>
        <w:t xml:space="preserve"/>
      </w:r>
    </w:p>
    <w:p>
      <w:pPr>
        <w:spacing w:after="100" w:before="0"/>
      </w:pPr>
      <w:r>
        <w:rPr>
          <w:rFonts w:ascii="Calibri" w:cs="Calibri" w:eastAsia="Calibri" w:hAnsi="Calibri"/>
          <w:b/>
          <w:bCs/>
          <w:color w:val="9C2A2A"/>
          <w:sz w:val="22"/>
          <w:szCs w:val="22"/>
        </w:rPr>
        <w:t xml:space="preserve">TRADE 2 — PIVOT (REGIME-AWARE)  ·  SUPPRESSED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FCE4D6"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Field</w:t>
            </w:r>
          </w:p>
        </w:tc>
        <w:tc>
          <w:tcPr>
            <w:tcW w:type="dxa" w:w="6860"/>
            <w:shd w:fill="FCE4D6"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SUPPRESSED — reason</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Two independent and individually sufficient grounds. (1) DATA: all pivot tiers are UNAVAILABLE. Floor pivots require prior-period High/Low/Close; High and Low were not obtained from any approved source. Under M5 Absolute Rule 4, Trade 2 is suppressed entirely when all accessible pivot tiers fail corroboration — here they do not exist at all. (2) REGIME: regime_label = TRANSITION. Under M5 §5.2c, Trade 2 in TRANSITION is permitted only on the breakout side identified by Trade 3C. Trade 3C is itself not eligible (no confirmed break). There is therefore no breakout side to trade, and placing a counter-side limit would front-run 3C and contradict the regime read.</w:t>
            </w:r>
          </w:p>
        </w:tc>
      </w:tr>
    </w:tbl>
    <w:p>
      <w:pPr>
        <w:spacing w:after="100" w:before="0"/>
      </w:pPr>
      <w:r>
        <w:rPr>
          <w:rFonts w:ascii="Calibri" w:cs="Calibri" w:eastAsia="Calibri" w:hAnsi="Calibri"/>
          <w:i/>
          <w:iCs/>
          <w:sz w:val="20"/>
          <w:szCs w:val="20"/>
        </w:rPr>
        <w:t xml:space="preserve">Note carefully: ground (2) is structural. Even with a perfect, fully corroborated OHLC series, Trade 2 would still be suppressed this session, because the index has not broken its 25-day range. The suppression is not an artefact of the data gaps and cannot be relaxed by relaxing corroboration.</w:t>
      </w:r>
    </w:p>
    <w:p>
      <w:pPr>
        <w:spacing w:after="0" w:before="0"/>
      </w:pPr>
      <w:r>
        <w:rPr>
          <w:rFonts w:ascii="Calibri" w:cs="Calibri" w:eastAsia="Calibri" w:hAnsi="Calibri"/>
          <w:sz w:val="20"/>
          <w:szCs w:val="20"/>
        </w:rPr>
        <w:t xml:space="preserve"/>
      </w:r>
    </w:p>
    <w:p>
      <w:pPr>
        <w:spacing w:after="100" w:before="0"/>
      </w:pPr>
      <w:r>
        <w:rPr>
          <w:rFonts w:ascii="Calibri" w:cs="Calibri" w:eastAsia="Calibri" w:hAnsi="Calibri"/>
          <w:b/>
          <w:bCs/>
          <w:color w:val="9C2A2A"/>
          <w:sz w:val="22"/>
          <w:szCs w:val="22"/>
        </w:rPr>
        <w:t xml:space="preserve">TRADE 3C — MOMENTUM-BREAKOUT  ·  SUPPRESSED (NOT YET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FCE4D6"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Field</w:t>
            </w:r>
          </w:p>
        </w:tc>
        <w:tc>
          <w:tcPr>
            <w:tcW w:type="dxa" w:w="6860"/>
            <w:shd w:fill="FCE4D6"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Value</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Variant selected</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3C — Momentum-Breakout, per regime_label = TRANSITION</w:t>
            </w:r>
          </w:p>
        </w:tc>
      </w:tr>
      <w:tr>
        <w:tc>
          <w:tcPr>
            <w:tcW w:type="dxa" w:w="25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SUPPRESSED — reason</w:t>
            </w:r>
          </w:p>
        </w:tc>
        <w:tc>
          <w:tcPr>
            <w:tcW w:type="dxa" w:w="6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 confirmed break. M5 §5.3c requires a daily close beyond the 25-day boundary by at least 0.25 × ATR before the trade is eligible. The 09-Jul close of 7,543.64 sits 40.67 points INSIDE the upper boundary of 7,584.31. The trade is not eligible and no entry, stop or target is issued.</w:t>
            </w:r>
          </w:p>
        </w:tc>
      </w:tr>
      <w:tr>
        <w:tc>
          <w:tcPr>
            <w:tcW w:type="dxa" w:w="25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Range definition</w:t>
            </w:r>
          </w:p>
        </w:tc>
        <w:tc>
          <w:tcPr>
            <w:tcW w:type="dxa" w:w="6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swing_high_25d 7,584.31 · swing_low_25d 7,266.99 · width 317.32 pts · midpoint 7,425.65 (all closing basis)</w:t>
            </w:r>
          </w:p>
        </w:tc>
      </w:tr>
    </w:tbl>
    <w:p>
      <w:pPr>
        <w:spacing w:after="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CONTINGENT ARMING LEVELS — Trade 3C  ·  analyst extension, not a live card</w:t>
      </w:r>
    </w:p>
    <w:p>
      <w:pPr>
        <w:spacing w:after="100" w:before="0"/>
      </w:pPr>
      <w:r>
        <w:rPr>
          <w:rFonts w:ascii="Calibri" w:cs="Calibri" w:eastAsia="Calibri" w:hAnsi="Calibri"/>
          <w:i/>
          <w:iCs/>
          <w:sz w:val="20"/>
          <w:szCs w:val="20"/>
        </w:rPr>
        <w:t xml:space="preserve">The user has asked that strategy output not be withheld. Trade 3C cannot be issued as a live card because its trigger condition has not occurred — issuing one would mean inventing a breakout that has not happened. What follows is the set of levels at which the card would arm. These are derived from corroborated closes and the ATR-proxy. Nothing here is an instruction to trade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Element</w:t>
            </w:r>
          </w:p>
        </w:tc>
        <w:tc>
          <w:tcPr>
            <w:tcW w:type="dxa" w:w="348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Upside break (LONG)</w:t>
            </w:r>
          </w:p>
        </w:tc>
        <w:tc>
          <w:tcPr>
            <w:tcW w:type="dxa" w:w="348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Downside break (SHORT)</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Arms on</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Daily close ≥ 7,594.28</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Daily close ≤ 7,257.02</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(boundary + 0.25 × ATR-proxy)</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(boundary − 0.25 × ATR-proxy)</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Entry</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At the confirming close, or the following session open</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At the confirming close, or the following session open</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Stop loss</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7,393.92  (range_low + 0.40 × width)</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7,457.38  (range_high − 0.40 × width)</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TP1 (measured move)</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7,901.63  (high + 1.0 × width)</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6,949.67  (low − 1.0 × width)</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TP2</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8,060.29  (high + 1.5 × width)</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6,791.01  (low − 1.5 × width)</w:t>
            </w:r>
          </w:p>
        </w:tc>
      </w:tr>
      <w:tr>
        <w:tc>
          <w:tcPr>
            <w:tcW w:type="dxa" w:w="2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TP3 (runner)</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Discretionary trail beyond 1.5 × MM</w:t>
            </w:r>
          </w:p>
        </w:tc>
        <w:tc>
          <w:tcPr>
            <w:tcW w:type="dxa" w:w="348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Discretionary trail beyond 1.5 × MM</w:t>
            </w:r>
          </w:p>
        </w:tc>
      </w:tr>
      <w:tr>
        <w:tc>
          <w:tcPr>
            <w:tcW w:type="dxa" w:w="2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Thesis invalidation</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Daily close back below 7,425.65 (midpoint)</w:t>
            </w:r>
          </w:p>
        </w:tc>
        <w:tc>
          <w:tcPr>
            <w:tcW w:type="dxa" w:w="348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Daily close back above 7,425.65 (midpoint)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READ THIS BEFORE USING THE ARMING LEVELS</w:t>
            </w:r>
          </w:p>
          <w:p>
            <w:pPr>
              <w:spacing w:after="40"/>
            </w:pPr>
            <w:r>
              <w:rPr>
                <w:rFonts w:ascii="Calibri" w:cs="Calibri" w:eastAsia="Calibri" w:hAnsi="Calibri"/>
                <w:sz w:val="18"/>
                <w:szCs w:val="18"/>
              </w:rPr>
              <w:t xml:space="preserve">The 3C stop is deliberately generous — 200 points on the long side — because §3b describes it as a post-fakeout momentum trade with a structural stop reflecting the prior chop. On the long side that is a 2.7% stop with a measured-move target 4.7% away. It is not a daily-horizon trade.</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The 0.25 × ATR confirmation buffer is computed from the ATR-PROXY, so the arming threshold of 7,594.28 is closer to the boundary than a true-ATR buffer would place it. Expect a genuine ATR-based threshold to sit somewhat higher. Treat 7,594.28 as the minimum, not the trigger.</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Note also that upside arming at 7,594.28 requires a close above the 4 June high — the level that has rejected this index twice in five weeks.</w:t>
            </w:r>
          </w:p>
        </w:tc>
      </w:tr>
    </w:tbl>
    <w:p>
      <w:r>
        <w:br w:type="page"/>
      </w:r>
    </w:p>
    <w:p>
      <w:pPr>
        <w:pStyle w:val="Heading2"/>
        <w:spacing w:after="100" w:before="180"/>
      </w:pPr>
      <w:r>
        <w:rPr>
          <w:rFonts w:ascii="Calibri" w:cs="Calibri" w:eastAsia="Calibri" w:hAnsi="Calibri"/>
          <w:b/>
          <w:bCs/>
          <w:color w:val="1F3864"/>
          <w:sz w:val="23"/>
          <w:szCs w:val="23"/>
        </w:rPr>
        <w:t xml:space="preserve">§21c  Five-session no-leakage backtest</w:t>
      </w:r>
    </w:p>
    <w:p>
      <w:pPr>
        <w:spacing w:after="100" w:before="0"/>
      </w:pPr>
      <w:r>
        <w:rPr>
          <w:rFonts w:ascii="Calibri" w:cs="Calibri" w:eastAsia="Calibri" w:hAnsi="Calibri"/>
          <w:i/>
          <w:iCs/>
          <w:sz w:val="20"/>
          <w:szCs w:val="20"/>
        </w:rPr>
        <w:t xml:space="preserve">Reconstruction method: for each session, the direction score is recomputed using only data available up to and including that session's close. sentiment_tilt and cross_asset_confirm are frozen at 0.00 in every reconstructed session — neither can be reconstructed without leakage. Entry is taken at the decision-session close as a proxy for the next open. Resolution is on subsequent CLOSES only, because no intraday data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900"/>
        <w:gridCol w:w="800"/>
        <w:gridCol w:w="1250"/>
        <w:gridCol w:w="1250"/>
        <w:gridCol w:w="900"/>
        <w:gridCol w:w="1250"/>
        <w:gridCol w:w="800"/>
        <w:gridCol w:w="860"/>
      </w:tblGrid>
      <w:tr>
        <w:trPr>
          <w:tblHeader/>
        </w:trPr>
        <w:tc>
          <w:tcPr>
            <w:tcW w:type="dxa" w:w="135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Date</w:t>
            </w:r>
          </w:p>
        </w:tc>
        <w:tc>
          <w:tcPr>
            <w:tcW w:type="dxa" w:w="9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Dir</w:t>
            </w:r>
          </w:p>
        </w:tc>
        <w:tc>
          <w:tcPr>
            <w:tcW w:type="dxa" w:w="8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Trig</w:t>
            </w:r>
          </w:p>
        </w:tc>
        <w:tc>
          <w:tcPr>
            <w:tcW w:type="dxa" w:w="125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Entry</w:t>
            </w:r>
          </w:p>
        </w:tc>
        <w:tc>
          <w:tcPr>
            <w:tcW w:type="dxa" w:w="125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SL</w:t>
            </w:r>
          </w:p>
        </w:tc>
        <w:tc>
          <w:tcPr>
            <w:tcW w:type="dxa" w:w="9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R</w:t>
            </w:r>
          </w:p>
        </w:tc>
        <w:tc>
          <w:tcPr>
            <w:tcW w:type="dxa" w:w="125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Exit</w:t>
            </w:r>
          </w:p>
        </w:tc>
        <w:tc>
          <w:tcPr>
            <w:tcW w:type="dxa" w:w="8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R-out</w:t>
            </w:r>
          </w:p>
        </w:tc>
        <w:tc>
          <w:tcPr>
            <w:tcW w:type="dxa" w:w="8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Days</w:t>
            </w:r>
          </w:p>
        </w:tc>
      </w:tr>
      <w:tr>
        <w:tc>
          <w:tcPr>
            <w:tcW w:type="dxa" w:w="13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2026-07-01</w:t>
            </w:r>
          </w:p>
        </w:tc>
        <w:tc>
          <w:tcPr>
            <w:tcW w:type="dxa" w:w="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LONG</w:t>
            </w:r>
          </w:p>
        </w:tc>
        <w:tc>
          <w:tcPr>
            <w:tcW w:type="dxa" w:w="8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Y</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7,483.23</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7,339.56</w:t>
            </w:r>
          </w:p>
        </w:tc>
        <w:tc>
          <w:tcPr>
            <w:tcW w:type="dxa" w:w="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143.67</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7,543.64</w:t>
            </w:r>
          </w:p>
        </w:tc>
        <w:tc>
          <w:tcPr>
            <w:tcW w:type="dxa" w:w="8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+0.42</w:t>
            </w:r>
          </w:p>
        </w:tc>
        <w:tc>
          <w:tcPr>
            <w:tcW w:type="dxa" w:w="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5 (open)</w:t>
            </w:r>
          </w:p>
        </w:tc>
      </w:tr>
      <w:tr>
        <w:tc>
          <w:tcPr>
            <w:tcW w:type="dxa" w:w="13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2026-07-02</w:t>
            </w:r>
          </w:p>
        </w:tc>
        <w:tc>
          <w:tcPr>
            <w:tcW w:type="dxa" w:w="9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LONG</w:t>
            </w:r>
          </w:p>
        </w:tc>
        <w:tc>
          <w:tcPr>
            <w:tcW w:type="dxa" w:w="8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Y</w:t>
            </w:r>
          </w:p>
        </w:tc>
        <w:tc>
          <w:tcPr>
            <w:tcW w:type="dxa" w:w="12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7,483.24</w:t>
            </w:r>
          </w:p>
        </w:tc>
        <w:tc>
          <w:tcPr>
            <w:tcW w:type="dxa" w:w="12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7,341.83</w:t>
            </w:r>
          </w:p>
        </w:tc>
        <w:tc>
          <w:tcPr>
            <w:tcW w:type="dxa" w:w="9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141.41</w:t>
            </w:r>
          </w:p>
        </w:tc>
        <w:tc>
          <w:tcPr>
            <w:tcW w:type="dxa" w:w="12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7,543.64</w:t>
            </w:r>
          </w:p>
        </w:tc>
        <w:tc>
          <w:tcPr>
            <w:tcW w:type="dxa" w:w="8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+0.43</w:t>
            </w:r>
          </w:p>
        </w:tc>
        <w:tc>
          <w:tcPr>
            <w:tcW w:type="dxa" w:w="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4 (open)</w:t>
            </w:r>
          </w:p>
        </w:tc>
      </w:tr>
      <w:tr>
        <w:tc>
          <w:tcPr>
            <w:tcW w:type="dxa" w:w="13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2026-07-06</w:t>
            </w:r>
          </w:p>
        </w:tc>
        <w:tc>
          <w:tcPr>
            <w:tcW w:type="dxa" w:w="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LONG</w:t>
            </w:r>
          </w:p>
        </w:tc>
        <w:tc>
          <w:tcPr>
            <w:tcW w:type="dxa" w:w="8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8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r>
      <w:tr>
        <w:tc>
          <w:tcPr>
            <w:tcW w:type="dxa" w:w="13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2026-07-07</w:t>
            </w:r>
          </w:p>
        </w:tc>
        <w:tc>
          <w:tcPr>
            <w:tcW w:type="dxa" w:w="9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LONG</w:t>
            </w:r>
          </w:p>
        </w:tc>
        <w:tc>
          <w:tcPr>
            <w:tcW w:type="dxa" w:w="8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w:t>
            </w:r>
          </w:p>
        </w:tc>
        <w:tc>
          <w:tcPr>
            <w:tcW w:type="dxa" w:w="12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2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9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25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80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8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r>
      <w:tr>
        <w:tc>
          <w:tcPr>
            <w:tcW w:type="dxa" w:w="13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2026-07-08</w:t>
            </w:r>
          </w:p>
        </w:tc>
        <w:tc>
          <w:tcPr>
            <w:tcW w:type="dxa" w:w="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SHORT</w:t>
            </w:r>
          </w:p>
        </w:tc>
        <w:tc>
          <w:tcPr>
            <w:tcW w:type="dxa" w:w="8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9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125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80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c>
          <w:tcPr>
            <w:tcW w:type="dxa" w:w="8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w:t>
            </w:r>
          </w:p>
        </w:tc>
      </w:tr>
    </w:tbl>
    <w:p>
      <w:pPr>
        <w:spacing w:after="0" w:before="0"/>
      </w:pPr>
      <w:r>
        <w:rPr>
          <w:rFonts w:ascii="Calibri" w:cs="Calibri" w:eastAsia="Calibri" w:hAnsi="Calibri"/>
          <w:sz w:val="20"/>
          <w:szCs w:val="20"/>
        </w:rPr>
        <w:t xml:space="preserve"/>
      </w:r>
    </w:p>
    <w:p>
      <w:pPr>
        <w:pStyle w:val="Heading2"/>
        <w:spacing w:after="100" w:before="180"/>
      </w:pPr>
      <w:r>
        <w:rPr>
          <w:rFonts w:ascii="Calibri" w:cs="Calibri" w:eastAsia="Calibri" w:hAnsi="Calibri"/>
          <w:b/>
          <w:bCs/>
          <w:color w:val="1F3864"/>
          <w:sz w:val="23"/>
          <w:szCs w:val="23"/>
        </w:rPr>
        <w:t xml:space="preserve">§21d  What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Metric</w:t>
            </w:r>
          </w:p>
        </w:tc>
        <w:tc>
          <w:tcPr>
            <w:tcW w:type="dxa" w:w="5960"/>
            <w:shd w:fill="D9E2F3" w:color="auto" w:val="clear"/>
            <w:tcMar>
              <w:top w:type="dxa" w:w="55"/>
              <w:left w:type="dxa" w:w="90"/>
              <w:bottom w:type="dxa" w:w="55"/>
              <w:right w:type="dxa" w:w="90"/>
            </w:tcMar>
          </w:tcPr>
          <w:p>
            <w:pPr>
              <w:spacing w:after="0"/>
              <w:jc w:val="left"/>
            </w:pPr>
            <w:r>
              <w:rPr>
                <w:rFonts w:ascii="Calibri" w:cs="Calibri" w:eastAsia="Calibri" w:hAnsi="Calibri"/>
                <w:b/>
                <w:bCs/>
                <w:i w:val="false"/>
                <w:iCs w:val="false"/>
                <w:sz w:val="18"/>
                <w:szCs w:val="18"/>
              </w:rPr>
              <w:t xml:space="preserve">Result</w:t>
            </w:r>
          </w:p>
        </w:tc>
      </w:tr>
      <w:tr>
        <w:tc>
          <w:tcPr>
            <w:tcW w:type="dxa" w:w="3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Trades triggered</w:t>
            </w:r>
          </w:p>
        </w:tc>
        <w:tc>
          <w:tcPr>
            <w:tcW w:type="dxa" w:w="59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2 of 5 sessions (40%)</w:t>
            </w:r>
          </w:p>
        </w:tc>
      </w:tr>
      <w:tr>
        <w:tc>
          <w:tcPr>
            <w:tcW w:type="dxa" w:w="3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Trades closed</w:t>
            </w:r>
          </w:p>
        </w:tc>
        <w:tc>
          <w:tcPr>
            <w:tcW w:type="dxa" w:w="59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 — both triggered trades remain open at the 09-Jul close</w:t>
            </w:r>
          </w:p>
        </w:tc>
      </w:tr>
      <w:tr>
        <w:tc>
          <w:tcPr>
            <w:tcW w:type="dxa" w:w="3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Win rate</w:t>
            </w:r>
          </w:p>
        </w:tc>
        <w:tc>
          <w:tcPr>
            <w:tcW w:type="dxa" w:w="59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NOT MEANINGFUL — zero closed trades</w:t>
            </w:r>
          </w:p>
        </w:tc>
      </w:tr>
      <w:tr>
        <w:tc>
          <w:tcPr>
            <w:tcW w:type="dxa" w:w="3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Mean R outcome (closed)</w:t>
            </w:r>
          </w:p>
        </w:tc>
        <w:tc>
          <w:tcPr>
            <w:tcW w:type="dxa" w:w="59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NOT MEANINGFUL — zero closed trades</w:t>
            </w:r>
          </w:p>
        </w:tc>
      </w:tr>
      <w:tr>
        <w:tc>
          <w:tcPr>
            <w:tcW w:type="dxa" w:w="3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TP1 hit rate</w:t>
            </w:r>
          </w:p>
        </w:tc>
        <w:tc>
          <w:tcPr>
            <w:tcW w:type="dxa" w:w="59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 — neither open trade has reached +1R</w:t>
            </w:r>
          </w:p>
        </w:tc>
      </w:tr>
      <w:tr>
        <w:tc>
          <w:tcPr>
            <w:tcW w:type="dxa" w:w="3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TP2 hit rate</w:t>
            </w:r>
          </w:p>
        </w:tc>
        <w:tc>
          <w:tcPr>
            <w:tcW w:type="dxa" w:w="59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w:t>
            </w:r>
          </w:p>
        </w:tc>
      </w:tr>
      <w:tr>
        <w:tc>
          <w:tcPr>
            <w:tcW w:type="dxa" w:w="3400"/>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TP3 hit rate</w:t>
            </w:r>
          </w:p>
        </w:tc>
        <w:tc>
          <w:tcPr>
            <w:tcW w:type="dxa" w:w="5960"/>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w:t>
            </w:r>
          </w:p>
        </w:tc>
      </w:tr>
      <w:tr>
        <w:tc>
          <w:tcPr>
            <w:tcW w:type="dxa" w:w="3400"/>
            <w:shd w:fill="F2F2F2" w:color="auto" w:val="clear"/>
            <w:tcMar>
              <w:top w:type="dxa" w:w="55"/>
              <w:left w:type="dxa" w:w="90"/>
              <w:bottom w:type="dxa" w:w="55"/>
              <w:right w:type="dxa" w:w="90"/>
            </w:tcMar>
          </w:tcPr>
          <w:p>
            <w:pPr>
              <w:spacing w:after="0"/>
            </w:pPr>
            <w:r>
              <w:rPr>
                <w:rFonts w:ascii="Calibri" w:cs="Calibri" w:eastAsia="Calibri" w:hAnsi="Calibri"/>
                <w:b/>
                <w:bCs/>
                <w:i w:val="false"/>
                <w:iCs w:val="false"/>
                <w:sz w:val="18"/>
                <w:szCs w:val="18"/>
              </w:rPr>
              <w:t xml:space="preserve">Unrealised on open trades</w:t>
            </w:r>
          </w:p>
        </w:tc>
        <w:tc>
          <w:tcPr>
            <w:tcW w:type="dxa" w:w="5960"/>
            <w:shd w:fill="F2F2F2" w:color="auto" w:val="clear"/>
            <w:tcMar>
              <w:top w:type="dxa" w:w="55"/>
              <w:left w:type="dxa" w:w="90"/>
              <w:bottom w:type="dxa" w:w="55"/>
              <w:right w:type="dxa" w:w="90"/>
            </w:tcMar>
          </w:tcPr>
          <w:p>
            <w:pPr>
              <w:spacing w:after="0"/>
            </w:pPr>
            <w:r>
              <w:rPr>
                <w:rFonts w:ascii="Calibri" w:cs="Calibri" w:eastAsia="Calibri" w:hAnsi="Calibri"/>
                <w:b w:val="false"/>
                <w:bCs w:val="false"/>
                <w:i w:val="false"/>
                <w:iCs w:val="false"/>
                <w:sz w:val="18"/>
                <w:szCs w:val="18"/>
              </w:rPr>
              <w:t xml:space="preserve">+0.42R and +0.43R</w:t>
            </w:r>
          </w:p>
        </w:tc>
      </w:tr>
    </w:tbl>
    <w:p>
      <w:pPr>
        <w:spacing w:after="100"/>
      </w:pPr>
      <w:r>
        <w:rPr>
          <w:rFonts w:ascii="Calibri" w:cs="Calibri" w:eastAsia="Calibri" w:hAnsi="Calibri"/>
          <w:b/>
          <w:bCs/>
          <w:sz w:val="20"/>
          <w:szCs w:val="20"/>
        </w:rPr>
        <w:t xml:space="preserve">Observation. </w:t>
      </w:r>
      <w:r>
        <w:rPr>
          <w:rFonts w:ascii="Calibri" w:cs="Calibri" w:eastAsia="Calibri" w:hAnsi="Calibri"/>
          <w:sz w:val="20"/>
          <w:szCs w:val="20"/>
        </w:rPr>
        <w:t xml:space="preserve">The three sessions that did not trigger (6, 7, 8 July) are the informative ones. On 6 and 7 July the score reached only +0.200; on 8 July it turned negative at −0.133. In every case the conviction threshold correctly kept the engine out of a chop that would have cost money — the 8 July session in particular would have opened a SHORT one day before a +0.81% rally. The threshold is doing its job. The corollary is that today's +0.333 is the highest reading in the window, and it is high only because the cross-asset term, frozen at zero throughout the backtest, is live today.</w:t>
      </w:r>
    </w:p>
    <w:p>
      <w:pPr>
        <w:spacing w:after="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color="auto" w:val="clear"/>
            <w:tcMar>
              <w:top w:type="dxa" w:w="110"/>
              <w:left w:type="dxa" w:w="130"/>
              <w:bottom w:type="dxa" w:w="110"/>
              <w:right w:type="dxa" w:w="130"/>
            </w:tcMar>
          </w:tcPr>
          <w:p>
            <w:pPr>
              <w:spacing w:after="60"/>
            </w:pPr>
            <w:r>
              <w:rPr>
                <w:rFonts w:ascii="Calibri" w:cs="Calibri" w:eastAsia="Calibri" w:hAnsi="Calibri"/>
                <w:b/>
                <w:bCs/>
                <w:sz w:val="20"/>
                <w:szCs w:val="20"/>
              </w:rPr>
              <w:t xml:space="preserve">§21d  LIMITATIONS — STATED VERBATIM PER M5 §7d</w:t>
            </w:r>
          </w:p>
          <w:p>
            <w:pPr>
              <w:spacing w:after="40"/>
            </w:pPr>
            <w:r>
              <w:rPr>
                <w:rFonts w:ascii="Calibri" w:cs="Calibri" w:eastAsia="Calibri" w:hAnsi="Calibri"/>
                <w:sz w:val="18"/>
                <w:szCs w:val="18"/>
              </w:rPr>
              <w:t xml:space="preserve">Five-session windows are too small for statistical claims. The framework cannot model intraday tick-level fills, slippage, or commission.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Additional limitations specific to this run, beyond the standard boilerplate:</w:t>
            </w:r>
          </w:p>
          <w:p>
            <w:pPr>
              <w:spacing w:after="40"/>
            </w:pPr>
            <w:r>
              <w:rPr>
                <w:rFonts w:ascii="Calibri" w:cs="Calibri" w:eastAsia="Calibri" w:hAnsi="Calibri"/>
                <w:sz w:val="18"/>
                <w:szCs w:val="18"/>
              </w:rPr>
              <w:t xml:space="preserve">• Resolution is on CLOSES only. No intraday data exists, so a trade that touched its stop or target intraday and closed elsewhere is recorded as if it never touched. Both R-outcomes above are therefore optimistic in an unknown direction.</w:t>
            </w:r>
          </w:p>
          <w:p>
            <w:pPr>
              <w:spacing w:after="40"/>
            </w:pPr>
            <w:r>
              <w:rPr>
                <w:rFonts w:ascii="Calibri" w:cs="Calibri" w:eastAsia="Calibri" w:hAnsi="Calibri"/>
                <w:sz w:val="18"/>
                <w:szCs w:val="18"/>
              </w:rPr>
              <w:t xml:space="preserve">• sentiment_tilt and cross_asset_confirm were frozen at 0.00, so the reconstructed scores are not the scores the live engine would have produced on those dates.</w:t>
            </w:r>
          </w:p>
          <w:p>
            <w:pPr>
              <w:spacing w:after="40"/>
            </w:pPr>
            <w:r>
              <w:rPr>
                <w:rFonts w:ascii="Calibri" w:cs="Calibri" w:eastAsia="Calibri" w:hAnsi="Calibri"/>
                <w:sz w:val="18"/>
                <w:szCs w:val="18"/>
              </w:rPr>
              <w:t xml:space="preserve">• Zero closed trades. No win rate, mean-R or hit-rate statistic in this section carries any information.</w:t>
            </w:r>
          </w:p>
        </w:tc>
      </w:tr>
    </w:tbl>
    <w:p>
      <w:r>
        <w:br w:type="page"/>
      </w:r>
    </w:p>
    <w:p>
      <w:pPr>
        <w:pStyle w:val="Heading1"/>
        <w:spacing w:after="130" w:before="260"/>
      </w:pPr>
      <w:r>
        <w:rPr>
          <w:rFonts w:ascii="Calibri" w:cs="Calibri" w:eastAsia="Calibri" w:hAnsi="Calibri"/>
          <w:b/>
          <w:bCs/>
          <w:color w:val="1F3864"/>
          <w:sz w:val="28"/>
          <w:szCs w:val="28"/>
        </w:rPr>
        <w:t xml:space="preserve">Closing Statement</w:t>
      </w:r>
    </w:p>
    <w:p>
      <w:pPr>
        <w:spacing w:after="100"/>
      </w:pPr>
      <w:r>
        <w:rPr>
          <w:rFonts w:ascii="Calibri" w:cs="Calibri" w:eastAsia="Calibri" w:hAnsi="Calibri"/>
          <w:sz w:val="20"/>
          <w:szCs w:val="20"/>
        </w:rPr>
        <w:t xml:space="preserve">This report was produced under an instruction to override the Source Discipline No-Synthesis Protocol's halt condition and to publish strategy output regardless of corroboration status. That instruction was followed to its limit and no further.</w:t>
      </w:r>
    </w:p>
    <w:p>
      <w:pPr>
        <w:spacing w:after="100"/>
      </w:pPr>
      <w:r>
        <w:rPr>
          <w:rFonts w:ascii="Calibri" w:cs="Calibri" w:eastAsia="Calibri" w:hAnsi="Calibri"/>
          <w:sz w:val="20"/>
          <w:szCs w:val="20"/>
        </w:rPr>
        <w:t xml:space="preserve">What was delivered: a corroborated close series; every indicator that can be honestly derived from closes; a full cross-asset and sentiment read; a complete direction-score trace; a live Trade 1 card with entry, stop, three targets and tranche management; contingent arming levels for Trade 3C; and a five-session backtest.</w:t>
      </w:r>
    </w:p>
    <w:p>
      <w:pPr>
        <w:spacing w:after="100"/>
      </w:pPr>
      <w:r>
        <w:rPr>
          <w:rFonts w:ascii="Calibri" w:cs="Calibri" w:eastAsia="Calibri" w:hAnsi="Calibri"/>
          <w:sz w:val="20"/>
          <w:szCs w:val="20"/>
        </w:rPr>
        <w:t xml:space="preserve">What was not delivered, and why: no ATR, because Highs and Lows do not exist in any source that could be reached. No floor pivots, for the same reason. No fabricated Open, High or Low, on any session, at any point. Trade 2 and Trade 3C carry SUPPRESSED rows rather than invented entries, and the reasons are structural — the index has not broken its range — not merely evidentiary. Leniency on corroboration was applied wherever leniency was possible. It was not possible to be lenient about data that was never retrieved.</w:t>
      </w:r>
    </w:p>
    <w:p>
      <w:pPr>
        <w:spacing w:after="100"/>
      </w:pPr>
      <w:r>
        <w:rPr>
          <w:rFonts w:ascii="Calibri" w:cs="Calibri" w:eastAsia="Calibri" w:hAnsi="Calibri"/>
          <w:b/>
          <w:bCs/>
          <w:sz w:val="20"/>
          <w:szCs w:val="20"/>
        </w:rPr>
        <w:t xml:space="preserve">Every stop-loss distance in §21 is computed from a volatility proxy smaller than the ATR the engine expects. Size accordingly, or wait.</w:t>
      </w:r>
    </w:p>
    <w:p>
      <w:pPr>
        <w:spacing w:after="0" w:before="0"/>
      </w:pPr>
      <w:r>
        <w:rPr>
          <w:rFonts w:ascii="Calibri" w:cs="Calibri" w:eastAsia="Calibri" w:hAnsi="Calibri"/>
          <w:sz w:val="20"/>
          <w:szCs w:val="20"/>
        </w:rPr>
        <w:t xml:space="preserve"/>
      </w:r>
    </w:p>
    <w:p>
      <w:pPr>
        <w:spacing w:after="0" w:before="0"/>
      </w:pPr>
      <w:r>
        <w:rPr>
          <w:rFonts w:ascii="Calibri" w:cs="Calibri" w:eastAsia="Calibri" w:hAnsi="Calibri"/>
          <w:sz w:val="20"/>
          <w:szCs w:val="20"/>
        </w:rPr>
        <w:t xml:space="preserve"/>
      </w:r>
    </w:p>
    <w:p>
      <w:pPr>
        <w:pBdr>
          <w:top w:val="single" w:color="1F3864" w:sz="6"/>
        </w:pBdr>
        <w:spacing w:before="200"/>
      </w:pPr>
      <w:r>
        <w:rPr>
          <w:rFonts w:ascii="Calibri" w:cs="Calibri" w:eastAsia="Calibri" w:hAnsi="Calibri"/>
          <w:i/>
          <w:iCs/>
          <w:color w:val="808080"/>
          <w:sz w:val="16"/>
          <w:szCs w:val="16"/>
        </w:rPr>
        <w:t xml:space="preserve">Modular Prompt Architecture v2.1  │  M1 — S&amp;P 500 (Cash Index)  │  Session 10 July 2026  │  Forward-test session 1 of 20</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d">
    <w:name w:val="bd"/>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2026-07-09T21:31:47.271Z</dcterms:created>
  <dcterms:modified xsi:type="dcterms:W3CDTF">2026-07-09T21:31:47.284Z</dcterms:modified>
</cp:coreProperties>
</file>

<file path=docProps/custom.xml><?xml version="1.0" encoding="utf-8"?>
<Properties xmlns="http://schemas.openxmlformats.org/officeDocument/2006/custom-properties" xmlns:vt="http://schemas.openxmlformats.org/officeDocument/2006/docPropsVTypes"/>
</file>