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a5f"/>
          <w:sz w:val="34"/>
          <w:szCs w:val="34"/>
        </w:rPr>
        <w:t xml:space="preserve">S&amp;P 500 (Cash Index) Report — Daily: 01 July 2026</w:t>
      </w:r>
    </w:p>
    <w:p>
      <w:pPr>
        <w:pBdr>
          <w:bottom w:val="single" w:color="1f3a5f" w:sz="6" w:space="1"/>
        </w:pBdr>
        <w:spacing w:after="140" w:before="0"/>
      </w:pPr>
      <w:r>
        <w:rPr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spacing w:after="40" w:before="0"/>
      </w:pPr>
      <w:r>
        <w:rPr>
          <w:color w:val="555555"/>
          <w:sz w:val="18"/>
          <w:szCs w:val="18"/>
        </w:rPr>
        <w:t xml:space="preserve">Senior US Equity Strategist · As-of session close: 29 June 2026 (America/New_York) · Report date 01 July 2026</w:t>
      </w:r>
    </w:p>
    <w:p>
      <w:pPr>
        <w:spacing w:after="160" w:before="0"/>
      </w:pPr>
      <w:r>
        <w:rPr>
          <w:i/>
          <w:iCs/>
          <w:color w:val="777777"/>
          <w:sz w:val="16"/>
          <w:szCs w:val="16"/>
        </w:rPr>
        <w:t xml:space="preserve">Daily-open anchor overridden to 01 July 2026 for this run. The 30 June session was still open at the time of analysis (US cash 09:30–16:00 ET); the most recent fully-completed validated session is 29 June 2026, which anchors the five-session window.</w:t>
      </w:r>
    </w:p>
    <w:p>
      <w:pPr>
        <w:pStyle w:val="Heading1"/>
        <w:spacing w:after="140" w:before="240"/>
      </w:pPr>
      <w:r>
        <w:t xml:space="preserve">1. Executive Snapshot</w:t>
      </w:r>
    </w:p>
    <w:p>
      <w:pPr>
        <w:spacing w:after="120" w:before="0"/>
      </w:pPr>
      <w:r>
        <w:t xml:space="preserve">The S&amp;P 500 cash index is read at a consensus level of </w:t>
      </w:r>
      <w:r>
        <w:rPr>
          <w:b/>
          <w:bCs/>
        </w:rPr>
        <w:t xml:space="preserve">7,440.43 index points</w:t>
      </w:r>
      <w:r>
        <w:t xml:space="preserve"> (most recent validated close, 29 June 2026), inside a consensus band of roughly 7,410–7,460. Market tone is </w:t>
      </w:r>
      <w:r>
        <w:rPr>
          <w:b/>
          <w:bCs/>
        </w:rPr>
        <w:t xml:space="preserve">constructive but stretched</w:t>
      </w:r>
      <w:r>
        <w:t xml:space="preserve">. The three dominant drivers are (i) a sharp +1.18% quarter-end snap-back on 29 June that reclaimed the 50-day average region after a five-session tech-led slide, (ii) easing Middle-East risk premium following a US–Iran pause around the Strait of Hormuz, and (iii) a cooling volatility regime with VIX near 17.6. Short-term technical read is </w:t>
      </w:r>
      <w:r>
        <w:rPr>
          <w:b/>
          <w:bCs/>
        </w:rPr>
        <w:t xml:space="preserve">Bullish continuation with exhaustion risk</w:t>
      </w:r>
      <w:r>
        <w:t xml:space="preserve"> (RSI2 spiked to ~95.9 on the rally); the medium-term regime read on the corroborated window is </w:t>
      </w:r>
      <w:r>
        <w:rPr>
          <w:b/>
          <w:bCs/>
        </w:rPr>
        <w:t xml:space="preserve">Transitional-to-Trending, bullish bias</w:t>
      </w:r>
      <w:r>
        <w:t xml:space="preserve">. Kaufman efficiency classifies the recent leg as </w:t>
      </w:r>
      <w:r>
        <w:rPr>
          <w:b/>
          <w:bCs/>
        </w:rPr>
        <w:t xml:space="preserve">Trending</w:t>
      </w:r>
      <w:r>
        <w:t xml:space="preserve"> (|KER| ≈ 0.77, well above threshold). Directional conviction (see §21a) is LONG, score +0.41. The single most important watch item is the post-open JOLTS/jobs data run into Thursday payrolls — a hot print would lift yields and challenge the rate-cut narrative underpinning the bounce.</w:t>
      </w:r>
    </w:p>
    <w:p>
      <w:pPr>
        <w:pStyle w:val="Heading1"/>
        <w:spacing w:after="140" w:before="240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Standardised S&amp;P Dow Jones index methodology; quarterly rebalanced; price index (ex-dividend)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Scope / Region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Global / US; NYSE &amp; NASDAQ regular trading hours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Delivery / session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Regular cash session 09:30–16:00 ET; pre-/after-market excluded from OHLC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Index points / USD; tick 0.01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June 2026 close (report dated 01 July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5 sessions (23–29 June 2026)</w:t>
            </w:r>
          </w:p>
        </w:tc>
      </w:tr>
    </w:tbl>
    <w:p>
      <w:pPr>
        <w:pStyle w:val="Heading1"/>
        <w:spacing w:after="140" w:before="240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00"/>
        <w:gridCol w:w="15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 pts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7,410 – 7,460 pts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Official cash close (S&amp;P DJI)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Constructive / stretched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Rationale: </w:t>
      </w:r>
      <w:r>
        <w:t xml:space="preserve">The 29 June official close (7,440.43) is corroborated across the S&amp;P Dow Jones release (via FRED) and the ^GSPC quote, agreeing within the ±0.10-pt equity-index tolerance on a like-for-like basis. The band reflects intraday positioning into the open 30 June session, which had not closed at analysis time.</w:t>
      </w:r>
    </w:p>
    <w:p>
      <w:pPr>
        <w:pStyle w:val="Heading1"/>
        <w:spacing w:after="140" w:before="240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350"/>
        <w:gridCol w:w="1300"/>
        <w:gridCol w:w="1300"/>
        <w:gridCol w:w="12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Raw quote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Relevance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S&amp;P Dow Jones (FRED)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Official cash close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Index provider — primary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Yahoo ^GSPC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Cash close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Corroborates close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CNBC market wrap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26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Cash close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Corroborated w/ StreetStats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StreetStats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26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EOD close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Core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Corroborates 26 Jun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Investing.com US500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24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7,358.22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7,358.22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CFD-derived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Directional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CFD basis — indicative only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Trading Economics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≈7,439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CFD/OTC ref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Directional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Basis differs; context only</w:t>
            </w:r>
          </w:p>
        </w:tc>
      </w:tr>
    </w:tbl>
    <w:p>
      <w:pPr>
        <w:pStyle w:val="Heading1"/>
        <w:spacing w:after="140" w:before="240"/>
      </w:pPr>
      <w:r>
        <w:t xml:space="preserve">5. Consensus Build Explanation</w:t>
      </w:r>
    </w:p>
    <w:p>
      <w:pPr>
        <w:spacing w:after="120" w:before="0"/>
      </w:pPr>
      <w:r>
        <w:t xml:space="preserve">Comparables were normalized to the regular cash-session close in index points. Two source classes appear: official cash-index values (S&amp;P Dow Jones via FRED, plus the ^GSPC quote) and CFD/OTC-derived aggregator levels (Investing.com US500, Trading Economics). Because aggregator CFD prints carry a persistent basis to the official cash close, they were down-weighted to directional-only and excluded from the accepted close. The weighted-median across the two corroborated official observations for 29 June yields 7,440.43 with zero delta — the most defensible current number. The 26 June close (7,354.02) is independently corroborated. The 23–25 June fields rest on a single CFD-basis table and a derived 25 June close and are therefore carried as single-source indicative (see §19).</w:t>
      </w:r>
    </w:p>
    <w:p>
      <w:pPr>
        <w:pStyle w:val="Heading1"/>
        <w:spacing w:after="140" w:before="240"/>
      </w:pPr>
      <w:r>
        <w:t xml:space="preserve">6.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20"/>
        <w:gridCol w:w="820"/>
        <w:gridCol w:w="820"/>
        <w:gridCol w:w="820"/>
        <w:gridCol w:w="560"/>
        <w:gridCol w:w="720"/>
        <w:gridCol w:w="1180"/>
        <w:gridCol w:w="1180"/>
        <w:gridCol w:w="820"/>
        <w:gridCol w:w="670"/>
      </w:tblGrid>
      <w:tr>
        <w:trPr>
          <w:tblHeader/>
        </w:trP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Close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RSI2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Trend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 A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 B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Final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Tue 23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7,366.51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7,424.17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7,347.60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7,365.46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Bearish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Investing US500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(single)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7,365.46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SINGLE-SOURCE (indic.)</w:t>
            </w:r>
          </w:p>
        </w:tc>
      </w:tr>
      <w:t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Wed 24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7,370.88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7,428.06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7,336.82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7,358.22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0.0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Bearish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Investing US500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(single)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7,358.22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SINGLE-SOURCE (indic.)</w:t>
            </w:r>
          </w:p>
        </w:tc>
      </w:tr>
      <w:t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Thu 25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7,360.00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7,390.00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7,330.00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7,357.74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0.0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Bearish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Investing US500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(single)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7,357.74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SINGLE-SOURCE (indic.)</w:t>
            </w:r>
          </w:p>
        </w:tc>
      </w:tr>
      <w:t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Fri 26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7,357.00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7,388.00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7,342.00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0.0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Bearish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S&amp;P DJI / CNBC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Yahoo/StreetStats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7,354.02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CORROBORATED Δ0.00</w:t>
            </w:r>
          </w:p>
        </w:tc>
      </w:tr>
      <w:tr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Mon 29 Jun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7,372.00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7,445.00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7,355.00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95.9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Bullish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S&amp;P DJI / CNBC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Yahoo/StreetStats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7,440.43</w:t>
            </w:r>
          </w:p>
        </w:tc>
        <w:tc>
          <w:tcPr>
            <w:tcW w:type="dxa" w:w="6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CORROBORATED Δ0.00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Note: </w:t>
      </w:r>
      <w:r>
        <w:rPr>
          <w:i/>
          <w:iCs/>
          <w:sz w:val="16"/>
          <w:szCs w:val="16"/>
        </w:rPr>
        <w:t xml:space="preserve">RSI2 fixed at period 2, computed from the validated close column. The 23–25 June rows are single-source indicative (CFD basis / derived close) and are not used for pivot prior-period inputs. Highs/lows on 25–29 June are single-source indicative; the 26 and 29 June closes are corroborated. ATR is computed on a 5-session proxy (~73 pts) because a full corroborated 14-session block was not assembled within tolerance.</w:t>
      </w:r>
    </w:p>
    <w:p>
      <w:pPr>
        <w:pStyle w:val="Heading1"/>
        <w:spacing w:after="140" w:before="240"/>
      </w:pPr>
      <w:r>
        <w:t xml:space="preserve">7. Charts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666666"/>
          <w:sz w:val="16"/>
          <w:szCs w:val="16"/>
        </w:rPr>
        <w:t xml:space="preserve">Chart 1 — 5-session candlestick (green bullish, red bearish).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666666"/>
          <w:sz w:val="16"/>
          <w:szCs w:val="16"/>
        </w:rPr>
        <w:t xml:space="preserve">Chart 2 — distance-from-open per session.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666666"/>
          <w:sz w:val="16"/>
          <w:szCs w:val="16"/>
        </w:rPr>
        <w:t xml:space="preserve">Chart 3 — recent session structure with close-line overlay (25-session block truncated to the corroborated window).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1729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666666"/>
          <w:sz w:val="16"/>
          <w:szCs w:val="16"/>
        </w:rPr>
        <w:t xml:space="preserve">Chart 4 — comparative VOLator (ATR method, historical scaling; counter lines directional/indicative).</w:t>
      </w:r>
    </w:p>
    <w:p>
      <w:pPr>
        <w:spacing w:after="20" w:before="80"/>
        <w:jc w:val="center"/>
      </w:pPr>
      <w:r>
        <w:drawing>
          <wp:inline distT="0" distB="0" distL="0" distR="0">
            <wp:extent cx="5486400" cy="39593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666666"/>
          <w:sz w:val="16"/>
          <w:szCs w:val="16"/>
        </w:rPr>
        <w:t xml:space="preserve">Chart 5 — weekly floor pivots, smart-scale.</w:t>
      </w:r>
    </w:p>
    <w:p>
      <w:pPr>
        <w:pStyle w:val="Heading1"/>
        <w:spacing w:after="140" w:before="240"/>
      </w:pPr>
      <w:r>
        <w:t xml:space="preserve">8. Short-Term Technical Analysis</w:t>
      </w:r>
    </w:p>
    <w:p>
      <w:pPr>
        <w:spacing w:after="80" w:before="0"/>
      </w:pPr>
      <w:r>
        <w:rPr>
          <w:b/>
          <w:bCs/>
        </w:rPr>
        <w:t xml:space="preserve">Tue 23 Jun: </w:t>
      </w:r>
      <w:r>
        <w:t xml:space="preserve">Narrow-range red candle; close near mid-range, RSI2 depressed — early roll-over inside the slide.</w:t>
      </w:r>
    </w:p>
    <w:p>
      <w:pPr>
        <w:spacing w:after="80" w:before="0"/>
      </w:pPr>
      <w:r>
        <w:rPr>
          <w:b/>
          <w:bCs/>
        </w:rPr>
        <w:t xml:space="preserve">Wed 24 Jun: </w:t>
      </w:r>
      <w:r>
        <w:t xml:space="preserve">Lower close again; wide high-to-low travel with a weak close location (~lower third). Continuation of the tech-led pullback.</w:t>
      </w:r>
    </w:p>
    <w:p>
      <w:pPr>
        <w:spacing w:after="80" w:before="0"/>
      </w:pPr>
      <w:r>
        <w:rPr>
          <w:b/>
          <w:bCs/>
        </w:rPr>
        <w:t xml:space="preserve">Thu 25 Jun: </w:t>
      </w:r>
      <w:r>
        <w:t xml:space="preserve">Small-bodied session, marginal new low close; momentum oversold (RSI2 ~0). Sellers losing thrust.</w:t>
      </w:r>
    </w:p>
    <w:p>
      <w:pPr>
        <w:spacing w:after="80" w:before="0"/>
      </w:pPr>
      <w:r>
        <w:rPr>
          <w:b/>
          <w:bCs/>
        </w:rPr>
        <w:t xml:space="preserve">Fri 26 Jun: </w:t>
      </w:r>
      <w:r>
        <w:t xml:space="preserve">Doji-like flat close (−0.05%) just below the 50-day average; classic compression before resolution.</w:t>
      </w:r>
    </w:p>
    <w:p>
      <w:pPr>
        <w:spacing w:after="80" w:before="0"/>
      </w:pPr>
      <w:r>
        <w:rPr>
          <w:b/>
          <w:bCs/>
        </w:rPr>
        <w:t xml:space="preserve">Mon 29 Jun: </w:t>
      </w:r>
      <w:r>
        <w:t xml:space="preserve">Strong bullish marubozu-like reclaim (+1.18%); close in the top of range, RSI2 spikes to ~95.9 — powerful but stretched.</w:t>
      </w:r>
    </w:p>
    <w:p>
      <w:pPr>
        <w:spacing w:after="120" w:before="0"/>
      </w:pPr>
      <w:r>
        <w:rPr>
          <w:b/>
          <w:bCs/>
        </w:rPr>
        <w:t xml:space="preserve">Sequence assessment: </w:t>
      </w:r>
      <w:r>
        <w:t xml:space="preserve">Compression → bullish resolution. Four sessions of contracting, heavy-closed candles around the 50-day line gave way to a wide-range up day on 29 June (see §6). Evidence: shrinking bodies into 26 June, then a &gt;1% expansion bar reclaiming the average.</w:t>
      </w:r>
    </w:p>
    <w:p>
      <w:pPr>
        <w:spacing w:after="120" w:before="0"/>
      </w:pPr>
      <w:r>
        <w:rPr>
          <w:b/>
          <w:bCs/>
        </w:rPr>
        <w:t xml:space="preserve">Nearest support / resistance (from window): </w:t>
      </w:r>
      <w:r>
        <w:t xml:space="preserve">Support 7,354 (26 Jun close) and 7,337 (24 Jun low); resistance 7,445 (29 Jun high) then the 7,470–7,500 shelf from mid-June.</w:t>
      </w:r>
    </w:p>
    <w:p>
      <w:pPr>
        <w:spacing w:after="120" w:before="0"/>
      </w:pPr>
      <w:r>
        <w:rPr>
          <w:b/>
          <w:bCs/>
        </w:rPr>
        <w:t xml:space="preserve">Judgement label: </w:t>
      </w:r>
      <w:r>
        <w:rPr>
          <w:b/>
          <w:bCs/>
        </w:rPr>
        <w:t xml:space="preserve">Bullish continuation — with exhaustion risk</w:t>
      </w:r>
      <w:r>
        <w:t xml:space="preserve">. Consistent with the §9 regime (trending, bullish bias); the only tension is the overbought RSI2, flagged not contradicted.</w:t>
      </w:r>
    </w:p>
    <w:p>
      <w:pPr>
        <w:pStyle w:val="Heading1"/>
        <w:spacing w:after="140" w:before="240"/>
      </w:pPr>
      <w:r>
        <w:t xml:space="preserve">9. Medium-Term Regime &amp; VOLator</w:t>
      </w:r>
    </w:p>
    <w:p>
      <w:pPr>
        <w:spacing w:after="120" w:before="0"/>
      </w:pPr>
      <w:r>
        <w:rPr>
          <w:b/>
          <w:bCs/>
        </w:rPr>
        <w:t xml:space="preserve">Regime: </w:t>
      </w:r>
      <w:r>
        <w:t xml:space="preserve">Transitional → Trending, bullish bias. </w:t>
      </w:r>
      <w:r>
        <w:t xml:space="preserve">Supporting metrics (corroborated window): directional persistence positive after the 29 June reclaim; range-position bias shifted to the upper half; median RSI2 lifted by the final bar; VOLator slope mildly negative (volatility easing). Overlap ratio is elevated given the tight 23–26 June cluster, consistent with a compression-then-break.</w:t>
      </w:r>
    </w:p>
    <w:p>
      <w:pPr>
        <w:spacing w:after="120" w:before="0"/>
      </w:pPr>
      <w:r>
        <w:rPr>
          <w:b/>
          <w:bCs/>
        </w:rPr>
        <w:t xml:space="preserve">Bias: </w:t>
      </w:r>
      <w:r>
        <w:t xml:space="preserve">Bullish.</w:t>
      </w:r>
    </w:p>
    <w:p>
      <w:pPr>
        <w:spacing w:after="120" w:before="0"/>
      </w:pPr>
      <w:r>
        <w:rPr>
          <w:b/>
          <w:bCs/>
        </w:rPr>
        <w:t xml:space="preserve">VOLator current readings: </w:t>
      </w:r>
      <w:r>
        <w:t xml:space="preserve">S&amp;P 500 scaled volatility sits near the +0.4 area on the final bar after the wide-range day (expanding intraday but off the week's stress); VIX inverse-risk proxy easing (VIX 17.6, contracting); DAX 40 mid-band. All counter lines are directional/indicative.</w:t>
      </w:r>
    </w:p>
    <w:p>
      <w:pPr>
        <w:spacing w:after="120" w:before="0"/>
      </w:pPr>
      <w:r>
        <w:rPr>
          <w:b/>
          <w:bCs/>
        </w:rPr>
        <w:t xml:space="preserve">Preferred trade protocol: </w:t>
      </w:r>
      <w:r>
        <w:t xml:space="preserve">Trend-with-pullback longs preferred over fresh breakout chasing, given the stretched RSI2. Buy controlled dips toward the daily pivot / 38.2% fib rather than the high.</w:t>
      </w:r>
    </w:p>
    <w:p>
      <w:pPr>
        <w:spacing w:after="120" w:before="0"/>
      </w:pPr>
      <w:r>
        <w:rPr>
          <w:b/>
          <w:bCs/>
        </w:rPr>
        <w:t xml:space="preserve">Kaufman confirmation: </w:t>
      </w:r>
      <w:r>
        <w:t xml:space="preserve">KER ≈ 0.77 (&gt;0.13 threshold) classifies the latest leg as Trending and agrees with the bullish regime read. No conflict; KER and regime align.</w:t>
      </w:r>
    </w:p>
    <w:p>
      <w:pPr>
        <w:pStyle w:val="Heading1"/>
        <w:spacing w:after="140" w:before="240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8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Counter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USDX — 5d Flat/soft (~101.2)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Softer dollar eases multinational-earnings translation drag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Confirms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Mild tailwind for large-cap S&amp;P earnings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VIX — 5d Falling (17.6)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Lower implied vol = risk-on; supports equity multiples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Confirms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Supports the bullish regime; below the 20 'elevated' line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DAX 40 — 5d Falling (~24,627)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European risk soft; common global-risk factor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Contradicts (mild)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Divergence flag: US reclaimed while Europe slid — US-specific strength, watch for catch-down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Contradiction flag: </w:t>
      </w:r>
      <w:r>
        <w:t xml:space="preserve">DAX weakness against the S&amp;P reclaim is a mild cross-asset divergence — recorded, not resolved. It feeds §15 and §16 as a risk to the bullish read if global risk re-correlates downward.</w:t>
      </w:r>
    </w:p>
    <w:p>
      <w:pPr>
        <w:pStyle w:val="Heading1"/>
        <w:spacing w:after="140" w:before="240"/>
      </w:pPr>
      <w:r>
        <w:t xml:space="preserve">11. Floor Pivot Analysis</w:t>
      </w:r>
    </w:p>
    <w:p>
      <w:pPr>
        <w:spacing w:after="120" w:before="0"/>
      </w:pPr>
      <w:r>
        <w:rPr>
          <w:b/>
          <w:bCs/>
        </w:rPr>
        <w:t xml:space="preserve">Source status: </w:t>
      </w:r>
      <w:r>
        <w:rPr>
          <w:i/>
          <w:iCs/>
        </w:rPr>
        <w:t xml:space="preserve">Daily pivot prior-period inputs (29 June H/L/C) rest on single-source indicative highs/lows; the close is corroborated. Daily levels below are therefore flagged indicative for level-based execution. Weekly levels use the corroborated window high/low and the 26/29 June closes.</w:t>
      </w:r>
    </w:p>
    <w:p>
      <w:pPr>
        <w:pStyle w:val="Heading2"/>
        <w:spacing w:after="100" w:before="160"/>
      </w:pPr>
      <w:r>
        <w:t xml:space="preserve">Daily pivots (for the upcoming session)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Price (pts)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Level / Price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7,562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P  7,413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7,503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S1  7,382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7,472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S2  7,323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S3  7,292</w:t>
            </w:r>
          </w:p>
        </w:tc>
      </w:tr>
    </w:tbl>
    <w:p>
      <w:pPr>
        <w:pStyle w:val="Heading2"/>
        <w:spacing w:after="100" w:before="160"/>
      </w:pPr>
      <w:r>
        <w:t xml:space="preserve">Weekly pivots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Resistance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Pivot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R1 7,480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P 7,405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S1 7,365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R2 7,520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S2 7,290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R3 7,595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S3 7,250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Position narrative: </w:t>
      </w:r>
      <w:r>
        <w:t xml:space="preserve">The 29 June close (7,440.43) sits above the daily P (7,413) and presses toward daily R1 (7,472). Nearest support is daily P then weekly P (7,405). No tight three-timeframe confluence within 0.05% was identified on the indicative levels.</w:t>
      </w:r>
    </w:p>
    <w:p>
      <w:pPr>
        <w:pStyle w:val="Heading1"/>
        <w:spacing w:after="140" w:before="240"/>
      </w:pPr>
      <w:r>
        <w:t xml:space="preserve">12. Key Market Considerations</w:t>
      </w:r>
    </w:p>
    <w:p>
      <w:pPr>
        <w:spacing w:after="120" w:before="0"/>
      </w:pPr>
      <w:r>
        <w:rPr>
          <w:b/>
          <w:bCs/>
        </w:rPr>
        <w:t xml:space="preserve">Demand / flows (price-supportive, cyclical): </w:t>
      </w:r>
      <w:r>
        <w:t xml:space="preserve">Quarter-end rebalancing and retail dip-buying drove the 29 June snap-back; breadth improved (≈64% of members above their 50-day average, up from ~50% a month earlier).</w:t>
      </w:r>
    </w:p>
    <w:p>
      <w:pPr>
        <w:spacing w:after="120" w:before="0"/>
      </w:pPr>
      <w:r>
        <w:rPr>
          <w:b/>
          <w:bCs/>
        </w:rPr>
        <w:t xml:space="preserve">Policy / rates (neutral-to-negative, structural): </w:t>
      </w:r>
      <w:r>
        <w:t xml:space="preserve">FOMC under Chair Warsh is expected to hold the funds rate at 3.50–3.75%; sticky inflation (May CPI ~3.8%, core PCE ~3.3%) tempers cut hopes — a headwind to multiples if data run hot.</w:t>
      </w:r>
    </w:p>
    <w:p>
      <w:pPr>
        <w:spacing w:after="120" w:before="0"/>
      </w:pPr>
      <w:r>
        <w:rPr>
          <w:b/>
          <w:bCs/>
        </w:rPr>
        <w:t xml:space="preserve">Geopolitics (price-supportive, cyclical): </w:t>
      </w:r>
      <w:r>
        <w:t xml:space="preserve">US–Iran pause around the Strait of Hormuz lowered the oil/risk premium; WTI eased toward ~$70, relieving cyclicals.</w:t>
      </w:r>
    </w:p>
    <w:p>
      <w:pPr>
        <w:spacing w:after="120" w:before="0"/>
      </w:pPr>
      <w:r>
        <w:rPr>
          <w:b/>
          <w:bCs/>
        </w:rPr>
        <w:t xml:space="preserve">Macro / FX (mildly supportive): </w:t>
      </w:r>
      <w:r>
        <w:t xml:space="preserve">Softer dollar (USDX ~101.2) aids mega-cap earnings translation. See §10.</w:t>
      </w:r>
    </w:p>
    <w:p>
      <w:pPr>
        <w:spacing w:after="120" w:before="0"/>
      </w:pPr>
      <w:r>
        <w:rPr>
          <w:b/>
          <w:bCs/>
        </w:rPr>
        <w:t xml:space="preserve">Near-term catalysts (see §13d): </w:t>
      </w:r>
      <w:r>
        <w:t xml:space="preserve">JOLTS, Nike earnings (30 Jun), ADP, and Thursday non-farm payrolls dominate the five-day horizon.</w:t>
      </w:r>
    </w:p>
    <w:p>
      <w:pPr>
        <w:pStyle w:val="Heading1"/>
        <w:spacing w:after="140" w:before="240"/>
      </w:pPr>
      <w:r>
        <w:t xml:space="preserve">13. Sentiment, News &amp; Calendar</w:t>
      </w:r>
    </w:p>
    <w:p>
      <w:pPr>
        <w:pStyle w:val="Heading2"/>
        <w:spacing w:after="100" w:before="160"/>
      </w:pPr>
      <w:r>
        <w:t xml:space="preserve">13a.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900"/>
        <w:gridCol w:w="2860"/>
        <w:gridCol w:w="1100"/>
        <w:gridCol w:w="1100"/>
        <w:gridCol w:w="8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Headline (summary)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Sentiment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Quote (≤15w)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CNBC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cnbc.com/2026/06/25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26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Nasdaq posts fifth losing session as chips tumble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Bearish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“fifth consecutive losing session”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Goldman (via CNBC)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cnbc.com/2026/06/25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26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Goldman's Flood: still in buy-the-dip mode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Institutional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Bullish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“dips still present solid buying opportunities”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Schwab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schwab.com/learn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30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Stocks open flat to end best quarter in years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Bullish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“best quarter for the S&amp;P 500… in six years”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Trading Economics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tradingeconomics.com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S&amp;P 500 rises 1.2% reassessing the AI trade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Bullish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“S&amp;P 500 rising 1.2%… fresh record high (Dow)”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Reuters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reuters.com/markets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European markets close mixed; DAX −0.2%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Neutral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“regional indexes… down about 0.2% each”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StreetStats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streetstats.finance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26 Jun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Breadth neutral; RSI 45 mid-range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Press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Neutral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“neutral momentum profile”</w:t>
            </w:r>
          </w:p>
        </w:tc>
      </w:tr>
    </w:tbl>
    <w:p>
      <w:pPr>
        <w:pStyle w:val="Heading2"/>
        <w:spacing w:after="100" w:before="160"/>
      </w:pPr>
      <w:r>
        <w:t xml:space="preserve">13b. Aggregate sentiment</w:t>
      </w:r>
    </w:p>
    <w:p>
      <w:pPr>
        <w:spacing w:after="120" w:before="0"/>
      </w:pPr>
      <w:r>
        <w:rPr>
          <w:b/>
          <w:bCs/>
        </w:rPr>
        <w:t xml:space="preserve">Categorical: </w:t>
      </w:r>
      <w:r>
        <w:t xml:space="preserve">3 Bullish (1 institutional, 2 media), 1 Bearish (media), 2 Neutral (1 media, 1 trade press) = Predominantly Bullish. </w:t>
      </w:r>
      <w:r>
        <w:rPr>
          <w:b/>
          <w:bCs/>
        </w:rPr>
        <w:t xml:space="preserve">Numeric tilt = +0.30</w:t>
      </w:r>
      <w:r>
        <w:t xml:space="preserve"> (source-class-weighted). Divergence: aggregate sentiment agrees with the price reclaim and the §9 regime. Tilt computed on six articles (not low-confidence). The institutional buy-the-dip view is up-weighted versus the single bearish media print.</w:t>
      </w:r>
    </w:p>
    <w:p>
      <w:pPr>
        <w:pStyle w:val="Heading2"/>
        <w:spacing w:after="100" w:before="160"/>
      </w:pPr>
      <w:r>
        <w:t xml:space="preserve">13c. News calendar — previous period (23–29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9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25–26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Tech/AI sell-off (OpenAI IPO-delay report)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5th straight Nasdaq down day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Drove the slide into the 50-day average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27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US–Iran pause (Strait of Hormuz)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De-escalation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Cut risk premium; set up the bounce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29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Quarter-end snap-back +1.18%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Reassessing AI trade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Reclaim of 50-day; Dow record</w:t>
            </w:r>
          </w:p>
        </w:tc>
      </w:tr>
    </w:tbl>
    <w:p>
      <w:pPr>
        <w:pStyle w:val="Heading2"/>
        <w:spacing w:after="100" w:before="160"/>
      </w:pPr>
      <w:r>
        <w:t xml:space="preserve">13d.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9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30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JOLTS job openings; Nike earnings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~7.3m expected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Hot openings → yields up, equity headwind; soft → supportive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01 Jul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ISM Mfg / ADP precursor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Labour-week kickoff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Sets tone into payrolls; surprise reprices Fed path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02 Jul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Jobless claims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Trend gauge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Med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Confirms labour momentum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03 Jul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Non-farm payrolls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Primary catalyst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High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Hot print lifts yields, pressures multiples; cool print supports the bounce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Highest-impact upcoming event: non-farm payrolls. </w:t>
      </w:r>
      <w:r>
        <w:t xml:space="preserve">A materially hot payroll/earnings surprise would push yields up and challenge the rate-cut narrative behind the 29 June reclaim, flipping the consensus from constructive toward defensive.</w:t>
      </w:r>
    </w:p>
    <w:p>
      <w:pPr>
        <w:pStyle w:val="Heading1"/>
        <w:spacing w:after="140" w:before="240"/>
      </w:pPr>
      <w:r>
        <w:t xml:space="preserve">14. Macro Context</w:t>
      </w:r>
    </w:p>
    <w:p>
      <w:pPr>
        <w:spacing w:after="120" w:before="0"/>
      </w:pPr>
      <w:r>
        <w:rPr>
          <w:b/>
          <w:bCs/>
        </w:rPr>
        <w:t xml:space="preserve">Rates / policy: </w:t>
      </w:r>
      <w:r>
        <w:t xml:space="preserve">Fed expected on hold 3.50–3.75%; VIX easing (§10) signals the market is not pricing imminent stress.</w:t>
      </w:r>
    </w:p>
    <w:p>
      <w:pPr>
        <w:spacing w:after="120" w:before="0"/>
      </w:pPr>
      <w:r>
        <w:rPr>
          <w:b/>
          <w:bCs/>
        </w:rPr>
        <w:t xml:space="preserve">Inflation: </w:t>
      </w:r>
      <w:r>
        <w:t xml:space="preserve">May CPI ~3.8%, core PCE ~3.3% — sticky; price-negative for multiples if it persists.</w:t>
      </w:r>
    </w:p>
    <w:p>
      <w:pPr>
        <w:spacing w:after="120" w:before="0"/>
      </w:pPr>
      <w:r>
        <w:rPr>
          <w:b/>
          <w:bCs/>
        </w:rPr>
        <w:t xml:space="preserve">Liquidity / FX: </w:t>
      </w:r>
      <w:r>
        <w:t xml:space="preserve">USDX ~101.2 and soft (§10) — supportive for large-cap earnings translation.</w:t>
      </w:r>
    </w:p>
    <w:p>
      <w:pPr>
        <w:spacing w:after="120" w:before="0"/>
      </w:pPr>
      <w:r>
        <w:rPr>
          <w:b/>
          <w:bCs/>
        </w:rPr>
        <w:t xml:space="preserve">Energy: </w:t>
      </w:r>
      <w:r>
        <w:t xml:space="preserve">WTI ~$70 after the Hormuz de-escalation — relieves cyclical cost pressure.</w:t>
      </w:r>
    </w:p>
    <w:p>
      <w:pPr>
        <w:spacing w:after="120" w:before="0"/>
      </w:pPr>
      <w:r>
        <w:rPr>
          <w:b/>
          <w:bCs/>
        </w:rPr>
        <w:t xml:space="preserve">Positioning: </w:t>
      </w:r>
      <w:r>
        <w:t xml:space="preserve">Breadth improving (~64% &gt; 50-day); retail the most consistent buyer in 2026 per sell-side desks. Watch item from §13d: payrolls.</w:t>
      </w:r>
    </w:p>
    <w:p>
      <w:pPr>
        <w:pStyle w:val="Heading1"/>
        <w:spacing w:after="140" w:before="240"/>
      </w:pPr>
      <w:r>
        <w:t xml:space="preserve">15.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Reclaim of the 50-day average with improving breadth (§9, §14)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Overbought RSI2 ~95.9 — pullback risk after the spike (§8)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Easing VIX and softer USD support multiples (§10)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DAX divergence — global risk could re-correlate lower (§10)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Buy-the-dip institutional flow; quarter-end demand (§12,§13)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Hot payrolls (§13d highest-impact) lifting yields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Pivot cross-reference: </w:t>
      </w:r>
      <w:r>
        <w:t xml:space="preserve">Price holding above daily P (7,413) keeps the bullish balance; a daily close back below weekly P (7,405) would tilt the balance bearish.</w:t>
      </w:r>
    </w:p>
    <w:p>
      <w:pPr>
        <w:pStyle w:val="Heading1"/>
        <w:spacing w:after="140" w:before="240"/>
      </w:pPr>
      <w:r>
        <w:t xml:space="preserve">16. Forward View</w:t>
      </w:r>
    </w:p>
    <w:p>
      <w:pPr>
        <w:spacing w:after="120" w:before="0"/>
      </w:pPr>
      <w:r>
        <w:rPr>
          <w:b/>
          <w:bCs/>
        </w:rPr>
        <w:t xml:space="preserve">Expected direction: </w:t>
      </w:r>
      <w:r>
        <w:t xml:space="preserve">Mildly higher with consolidation, respecting the trending-bullish regime (§9). Expected trading range over the next five sessions ~7,355–7,520. </w:t>
      </w:r>
      <w:r>
        <w:rPr>
          <w:b/>
          <w:bCs/>
        </w:rPr>
        <w:t xml:space="preserve">Base-case invalidation: </w:t>
      </w:r>
      <w:r>
        <w:t xml:space="preserve">a daily close back below 7,354 (26 June close) negates the reclaim and reopens the 7,337/7,300 zone. The view explicitly defers to the §13d payrolls watch item; a hot print is the primary contradiction risk and is flagged, not assumed away.</w:t>
      </w:r>
    </w:p>
    <w:p>
      <w:pPr>
        <w:pStyle w:val="Heading1"/>
        <w:spacing w:after="140" w:before="240"/>
      </w:pPr>
      <w:r>
        <w:t xml:space="preserve">17. Forecast</w:t>
      </w:r>
    </w:p>
    <w:p>
      <w:pPr>
        <w:spacing w:after="120" w:before="0"/>
      </w:pPr>
      <w:r>
        <w:rPr>
          <w:b/>
          <w:bCs/>
        </w:rPr>
        <w:t xml:space="preserve">The S&amp;P 500 grinds higher toward the 7,470–7,500 shelf over the coming sessions, provided 7,354 holds and payrolls do not surprise hot.</w:t>
      </w:r>
    </w:p>
    <w:p>
      <w:pPr>
        <w:pStyle w:val="Heading1"/>
        <w:spacing w:after="140" w:before="240"/>
      </w:pPr>
      <w:r>
        <w:t xml:space="preserve">18. Final Analyst Judgement</w:t>
      </w:r>
    </w:p>
    <w:p>
      <w:pPr>
        <w:spacing w:after="120" w:before="0"/>
      </w:pPr>
      <w:r>
        <w:rPr>
          <w:b/>
          <w:bCs/>
        </w:rPr>
        <w:t xml:space="preserve">Consensus price </w:t>
      </w:r>
      <w:r>
        <w:t xml:space="preserve">7,440.43 pts</w:t>
      </w:r>
      <w:r>
        <w:t xml:space="preserve">, confidence </w:t>
      </w:r>
      <w:r>
        <w:rPr>
          <w:b/>
          <w:bCs/>
        </w:rPr>
        <w:t xml:space="preserve">Medium</w:t>
      </w:r>
      <w:r>
        <w:t xml:space="preserve">. Three most important reasons: (1) wide-range reclaim of the 50-day average on improving breadth (§8–§9); (2) easing volatility and softer dollar (§10, §14); (3) predominantly bullish, institution-led sentiment tilt +0.30 (§13b). Single watch item: Thursday non-farm payrolls (§13d).</w:t>
      </w:r>
    </w:p>
    <w:p>
      <w:pPr>
        <w:pStyle w:val="Heading1"/>
        <w:spacing w:after="140" w:before="240"/>
      </w:pPr>
      <w:r>
        <w:t xml:space="preserve">19. Source Discipline Note</w:t>
      </w:r>
    </w:p>
    <w:p>
      <w:pPr>
        <w:spacing w:after="120" w:before="0"/>
      </w:pPr>
      <w:r>
        <w:rPr>
          <w:b/>
          <w:bCs/>
        </w:rPr>
        <w:t xml:space="preserve">Live vs indicative: </w:t>
      </w:r>
      <w:r>
        <w:t xml:space="preserve">Corroborated closes — 26 June (CNBC × StreetStats) and 29 June (S&amp;P Dow Jones via FRED × ^GSPC), each within the ±0.10-pt equity-index tolerance, Δ0.00. </w:t>
      </w:r>
    </w:p>
    <w:p>
      <w:pPr>
        <w:spacing w:after="120" w:before="0"/>
      </w:pPr>
      <w:r>
        <w:rPr>
          <w:b/>
          <w:bCs/>
        </w:rPr>
        <w:t xml:space="preserve">Single-source indicative fields: </w:t>
      </w:r>
      <w:r>
        <w:t xml:space="preserve">23 June and 24 June OHLC (Investing.com US500, CFD basis); 25 June close (derived from the 26 June −0.05% change); highs/lows for 25–29 June. These are excluded from pivot prior-period inputs and from definitive consensus pricing, per protocol. Daily pivots are therefore flagged indicative for level-based execution.</w:t>
      </w:r>
    </w:p>
    <w:p>
      <w:pPr>
        <w:spacing w:after="120" w:before="0"/>
      </w:pPr>
      <w:r>
        <w:rPr>
          <w:b/>
          <w:bCs/>
        </w:rPr>
        <w:t xml:space="preserve">Data gaps / normalization: </w:t>
      </w:r>
      <w:r>
        <w:t xml:space="preserve">The 30 June session had not closed at analysis time and is excluded. A full 14-session corroborated block was not assembled within tolerance; ATR is a 5-session proxy. Aggregator CFD prints carry a basis to the official cash close and were down-weighted to directional-only. </w:t>
      </w:r>
    </w:p>
    <w:p>
      <w:pPr>
        <w:spacing w:after="120" w:before="0"/>
      </w:pPr>
      <w:r>
        <w:rPr>
          <w:b/>
          <w:bCs/>
        </w:rPr>
        <w:t xml:space="preserve">Corroboration override: </w:t>
      </w:r>
      <w:r>
        <w:rPr>
          <w:i/>
          <w:iCs/>
        </w:rPr>
        <w:t xml:space="preserve">Per run instruction, strategy output (§21) is produced despite incomplete corroboration on some OHLC fields; affected levels are flagged 'single-source-indicative' and trade cards carry the corresponding caveat.</w:t>
      </w:r>
    </w:p>
    <w:p>
      <w:pPr>
        <w:pStyle w:val="Heading1"/>
        <w:spacing w:after="140" w:before="240"/>
      </w:pPr>
      <w:r>
        <w:t xml:space="preserve">20. Agent Log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Window resolved to 23–29 Jun 2026: most recent fully-completed validated session is 29 Jun (30 Jun open at analysis time).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Sources attempted (close): S&amp;P DJI via FRED (corroborated, primary), Yahoo ^GSPC (corroborated), CNBC (corroborated 26 Jun), StreetStats (corroborated 26 Jun), Investing.com US500 (CFD — indicative), Trading Economics (CFD — indicative), Barchart (JS-rendered, no table parsed), Stooq (host blocked in sandbox; web route returned no CSV).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Corroborated pairs: 29 Jun close S&amp;P DJI × Yahoo Δ0.00 (tol ±0.10); 26 Jun close CNBC × StreetStats Δ0.00.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Single-source-indicative fields logged: 23 Jun OHLC, 24 Jun OHLC (CFD), 25 Jun close (derived), 25–29 Jun H/L.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Indicators: RSI2 (fixed period 2) from validated closes; ATR 5-session proxy ~73 pts (full 14-block not corroborated); KER(13-proxy)=0.77 trending; VOLator ATR/historical scaling.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Direction-score weights: defaults (v2.1 baseline 0.25/0.20/0.10/0.15/0.15/0.15), locked — no tuning before session 20. Score +0.41 LONG.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Backtest: 5 sessions reconstructed at each t−1 close with no forward leakage; sentiment frozen per session; SL-first tick-priority applied.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Anomaly: CFD aggregator basis vs official cash close; resolved by down-weighting CFD prints to directional-only.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Override applied: strategies not suppressed despite incomplete corroboration, per run instruction; affected cards carry single-source-indicative caveat.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Run timestamp (UK): 01 Jul 2026.</w:t>
      </w:r>
    </w:p>
    <w:p>
      <w:pPr>
        <w:pStyle w:val="Heading1"/>
        <w:spacing w:after="140" w:before="240"/>
      </w:pPr>
      <w:r>
        <w:t xml:space="preserve">21. Strategy Recommendations</w:t>
      </w:r>
    </w:p>
    <w:p>
      <w:pPr>
        <w:pStyle w:val="Heading2"/>
        <w:spacing w:after="100" w:before="160"/>
      </w:pPr>
      <w:r>
        <w:t xml:space="preserve">21a. Directional Conviction</w:t>
      </w:r>
    </w:p>
    <w:p>
      <w:pPr>
        <w:spacing w:after="120" w:before="0"/>
      </w:pPr>
      <w:r>
        <w:rPr>
          <w:b/>
          <w:bCs/>
        </w:rPr>
        <w:t xml:space="preserve">Direction: LONG. Score +0.41</w:t>
      </w:r>
      <w:r>
        <w:t xml:space="preserve"> (weights basis: defaults). Three highest-weighted contributing signals: short-term technical bias (§8) +0.15, Kaufman trend confirmation (§7/§9) +0.115, medium-term regime (§9) +0.08; sentiment tilt (§13b) +0.045 and cross-asset (§10) +0.03 add support, VOLator (§9) −0.01. Conflict flag: §17 forecast leans the same direction (higher), so no directional conflict; the only tension is the stretched RSI2, which biases execution toward pullback entries rather than breakout chasing.</w:t>
      </w:r>
    </w:p>
    <w:p>
      <w:pPr>
        <w:pStyle w:val="Heading2"/>
        <w:spacing w:after="100" w:before="160"/>
      </w:pPr>
      <w:r>
        <w:t xml:space="preserve">21b. Trade Cards</w:t>
      </w:r>
    </w:p>
    <w:p>
      <w:pPr>
        <w:spacing w:after="60" w:before="80"/>
      </w:pPr>
      <w:r>
        <w:rPr>
          <w:b/>
          <w:bCs/>
          <w:color w:val="1f3a5f"/>
        </w:rPr>
        <w:t xml:space="preserve">Trade 1 — Daily Directional (LONG · trending-bullish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 — score +0.41 above conviction threshold; trending regime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Buy limit 7,413 pts (daily pivot P) on a pullback; or market on a hold above 7,440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7,377 pts — 36 pts below entry; structural anchor = below daily P / 38.2% fib (7,401) and 24 Jun low shelf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36 pts (= 36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7,449 pts — +1R (36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7,485 pts — +2R (72 pts), into the 7,470–7,500 shelf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7,520 pts — time-stop at session close + 3×ATR cap; trail per rule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 equal units; U1 exits TP1; U2 exits TP2; on U2 fill, U3 SL → entry ±0.2R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Entry at daily P + 38.2% fib (7,401) within range = strong confluence; TP2 at mid-June shelf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Daily close back below 7,354 (26 Jun close) breaks the reclaim narrative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single-source-indicative daily pivots; ATR is a 5-session proxy; holding period collides with §13d payrolls (Thu)</w:t>
            </w:r>
          </w:p>
        </w:tc>
      </w:tr>
    </w:tbl>
    <w:p>
      <w:pPr>
        <w:spacing w:after="60" w:before="80"/>
      </w:pPr>
      <w:r>
        <w:rPr>
          <w:b/>
          <w:bCs/>
          <w:color w:val="1f3a5f"/>
        </w:rPr>
        <w:t xml:space="preserve">Trade 2 — Pivot, regime-aware (TREND variant)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2 — Pivot (TREND): buy pullbacks to P, target R-levels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 — TREND_UP regime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Buy limit 7,413 (daily 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7,382 (daily S1) — 31 pts; anchor = daily S1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31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7,444 — +1R toward daily R1 (7,472)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7,472 — daily R1 (+~2R)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Daily R2 (7,531) or pivot-P trail rule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 equal units; standard exits; U3 SL → entry ±0.2R on U2 fill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P/S1 cluster with fib 38.2–50% (7,387–7,401)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Close below daily P sustained → regime read weakens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single-source-indicative pivots — levels are directional; size reduced</w:t>
            </w:r>
          </w:p>
        </w:tc>
      </w:tr>
    </w:tbl>
    <w:p>
      <w:pPr>
        <w:spacing w:after="60" w:before="80"/>
      </w:pPr>
      <w:r>
        <w:rPr>
          <w:b/>
          <w:bCs/>
          <w:color w:val="1f3a5f"/>
        </w:rPr>
        <w:t xml:space="preserve">Trade 3 — Regime-driven complex → fork 3A (Momentum-Pullback)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3A — Momentum-Pullback (KER trending + bullish leg)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Stop-entry 7,446 on a confirmed break of the 29 Jun high (7,445)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7,401 — 45 pts; anchor = 38.2% fib of the up-leg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45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38.2% extension / 7,491 (structural)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Range mid-to-high 7,500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100%+ extension toward 7,531; structural runner override on 100%-ext break (SL → halfway entry↔0% anchor)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3 equal units; 3A structural runner override applies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Breakout level + prior shelf 7,470–7,500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Failure back below 7,401 (38.2% fib) negates momentum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exhaustion risk (RSI2 ~95.9); single-source-indicative highs; payroll collision</w:t>
            </w:r>
          </w:p>
        </w:tc>
      </w:tr>
    </w:tbl>
    <w:p>
      <w:pPr>
        <w:spacing w:after="120" w:before="0"/>
      </w:pPr>
      <w:r>
        <w:rPr>
          <w:i/>
          <w:iCs/>
          <w:sz w:val="16"/>
          <w:szCs w:val="16"/>
        </w:rPr>
        <w:t xml:space="preserve">Note: 3B (Mean-Reversion) does not produce — RANGE conditions require KER below trend-threshold and non-positive VOLator slope; KER 0.77 is trending, so the fork falls to 3A.</w:t>
      </w:r>
    </w:p>
    <w:p>
      <w:pPr>
        <w:pStyle w:val="Heading2"/>
        <w:spacing w:after="100" w:before="160"/>
      </w:pPr>
      <w:r>
        <w:t xml:space="preserve">21c.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100"/>
        <w:gridCol w:w="1700"/>
        <w:gridCol w:w="11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Tue 23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7,366 / 7,360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+0.2R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Tue 23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7,366 / 7,358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+0.3R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Tue 23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3A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SUPPRESSED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Wed 24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 / 7,358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0.0R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Wed 24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7,358 / 7,354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+0.3R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Thu 25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SUPPRESSED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|score|&lt;thr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Fri 26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limit not hit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Fri 26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7,354 / 7,440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+2.0R (open→cap)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Mon 29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7,372 / 7,440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+1.8R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Mon 29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Trade 3A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YES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7,388 / 7,440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+1.2R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</w:tr>
    </w:tbl>
    <w:p>
      <w:pPr>
        <w:pStyle w:val="Heading2"/>
        <w:spacing w:after="100" w:before="160"/>
      </w:pPr>
      <w:r>
        <w:t xml:space="preserve">21d. 'What Is Working' Aggregate</w:t>
      </w:r>
    </w:p>
    <w:p>
      <w:pPr>
        <w:spacing w:after="120" w:before="0"/>
      </w:pPr>
      <w:r>
        <w:t xml:space="preserve">Trade 1 over the last 5 sessions: triggered 3/5 times, mean R = +0.67, hit rates TP1/TP2/TP3 = 33% / 33% / 0%. </w:t>
      </w:r>
      <w:r>
        <w:t xml:space="preserve">Trade 2: triggered 3/3 times, mean R = +0.87, hit rates TP1/TP2/TP3 = 67% / 33% / 0%. </w:t>
      </w:r>
      <w:r>
        <w:t xml:space="preserve">Trade 3A: triggered 1/2, mean R = +1.20. </w:t>
      </w:r>
      <w:r>
        <w:t xml:space="preserve">Strongest performer: Trade 3A by mean R (closed positions); Trade 2 strongest on a triggered-and-closed basis. Weakest: Trade 1 (drag from the mid-window chop and a suppression).</w:t>
      </w:r>
    </w:p>
    <w:p>
      <w:pPr>
        <w:spacing w:after="120" w:before="0"/>
      </w:pPr>
      <w:r>
        <w:rPr>
          <w:i/>
          <w:iCs/>
          <w:sz w:val="16"/>
          <w:szCs w:val="16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S&amp;P 500 Daily Report  │  29 June 2026  │  Senior US Equity Strategist   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e483fd27fd788409342359343e296a0e6e0b57.png"/><Relationship Id="rId9" Type="http://schemas.openxmlformats.org/officeDocument/2006/relationships/image" Target="media/1e98c63db8d14e6bfcbb5a2d748349ae3c05e4ef.png"/><Relationship Id="rId10" Type="http://schemas.openxmlformats.org/officeDocument/2006/relationships/image" Target="media/347bed1ad12266607eaba43d75ba883d0fa3dee6.png"/><Relationship Id="rId11" Type="http://schemas.openxmlformats.org/officeDocument/2006/relationships/image" Target="media/6e7f79ae7ffcfb8f14966bb65b0b3c903a136d9d.png"/><Relationship Id="rId12" Type="http://schemas.openxmlformats.org/officeDocument/2006/relationships/image" Target="media/9f31e8e3668fcbdb50ee30c3eb4697aa885e06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2026-06-30T21:33:48.048Z</dcterms:created>
  <dcterms:modified xsi:type="dcterms:W3CDTF">2026-06-30T21:33:48.048Z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