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2A44"/>
          <w:sz w:val="34"/>
          <w:szCs w:val="34"/>
        </w:rPr>
        <w:t xml:space="preserve">S&amp;P 500 Report — Daily: 02 July 2026</w:t>
      </w:r>
    </w:p>
    <w:p>
      <w:pPr>
        <w:spacing w:after="60"/>
      </w:pPr>
      <w:r>
        <w:rPr>
          <w:rFonts w:ascii="Calibri" w:cs="Calibri" w:eastAsia="Calibri" w:hAnsi="Calibri"/>
          <w:i/>
          <w:iCs/>
          <w:color w:val="666666"/>
          <w:sz w:val="20"/>
          <w:szCs w:val="20"/>
        </w:rPr>
        <w:t xml:space="preserve">With reference to: USDX · VIX · DAX 40</w:t>
      </w:r>
    </w:p>
    <w:p>
      <w:pPr>
        <w:spacing w:after="160"/>
      </w:pPr>
      <w:r>
        <w:rPr>
          <w:rFonts w:ascii="Calibri" w:cs="Calibri" w:eastAsia="Calibri" w:hAnsi="Calibri"/>
          <w:color w:val="666666"/>
          <w:sz w:val="18"/>
          <w:szCs w:val="18"/>
        </w:rPr>
        <w:t xml:space="preserve">Senior US Equity Strategist  ·  As-of session data through 30 Jun 2026 (America/New_York)  ·  Session-open anchor: 02-Jul-2026</w:t>
      </w:r>
    </w:p>
    <w:p>
      <w:pPr>
        <w:pBdr>
          <w:bottom w:val="single" w:color="1F2A44" w:sz="6"/>
        </w:pBdr>
        <w:spacing w:after="120"/>
      </w:pPr>
      <w:r>
        <w:rPr>
          <w:rFonts w:ascii="Calibri" w:cs="Calibri" w:eastAsia="Calibri" w:hAnsi="Calibri"/>
          <w:sz w:val="20"/>
          <w:szCs w:val="20"/>
        </w:rPr>
        <w:t xml:space="preserve"/>
      </w:r>
    </w:p>
    <w:p>
      <w:pPr>
        <w:pStyle w:val="Heading1"/>
        <w:spacing w:after="120" w:before="220"/>
      </w:pPr>
      <w:r>
        <w:rPr>
          <w:rFonts w:ascii="Calibri" w:cs="Calibri" w:eastAsia="Calibri" w:hAnsi="Calibri"/>
          <w:b/>
          <w:bCs/>
          <w:color w:val="1F2A44"/>
          <w:sz w:val="26"/>
          <w:szCs w:val="26"/>
        </w:rPr>
        <w:t xml:space="preserve">§1  Executive Snapshot</w:t>
      </w:r>
    </w:p>
    <w:p>
      <w:pPr>
        <w:spacing w:after="120" w:before="0"/>
      </w:pPr>
      <w:r>
        <w:rPr>
          <w:rFonts w:ascii="Calibri" w:cs="Calibri" w:eastAsia="Calibri" w:hAnsi="Calibri"/>
          <w:sz w:val="20"/>
          <w:szCs w:val="20"/>
        </w:rPr>
        <w:t xml:space="preserve">The S&amp;P 500 closes the corroborated lookback at </w:t>
      </w:r>
      <w:r>
        <w:rPr>
          <w:rFonts w:ascii="Calibri" w:cs="Calibri" w:eastAsia="Calibri" w:hAnsi="Calibri"/>
          <w:b/>
          <w:bCs/>
          <w:sz w:val="20"/>
          <w:szCs w:val="20"/>
        </w:rPr>
        <w:t xml:space="preserve">7,499.36</w:t>
      </w:r>
      <w:r>
        <w:rPr>
          <w:rFonts w:ascii="Calibri" w:cs="Calibri" w:eastAsia="Calibri" w:hAnsi="Calibri"/>
          <w:sz w:val="20"/>
          <w:szCs w:val="20"/>
        </w:rPr>
        <w:t xml:space="preserve"> (30 Jun), the top of a five-session sequence that compressed into the 26 Jun low of 7,354.02 and then thrust higher on two consecutive expansion candles (29–30 Jun). Consensus current level is </w:t>
      </w:r>
      <w:r>
        <w:rPr>
          <w:rFonts w:ascii="Calibri" w:cs="Calibri" w:eastAsia="Calibri" w:hAnsi="Calibri"/>
          <w:b/>
          <w:bCs/>
          <w:sz w:val="20"/>
          <w:szCs w:val="20"/>
        </w:rPr>
        <w:t xml:space="preserve">7,499 (range 7,470–7,512)</w:t>
      </w:r>
      <w:r>
        <w:rPr>
          <w:rFonts w:ascii="Calibri" w:cs="Calibri" w:eastAsia="Calibri" w:hAnsi="Calibri"/>
          <w:sz w:val="20"/>
          <w:szCs w:val="20"/>
        </w:rPr>
        <w:t xml:space="preserve">, confidence Medium, tone balanced-to-constructive. The three dominant drivers are (i) a two-day megacap-tech relief rally and quarter-end rebalancing flow, (ii) easing US–Iran tensions and a softer oil tape, and (iii) receding volatility with VIX pulling back to ~16.4. Short-term technical state is </w:t>
      </w:r>
      <w:r>
        <w:rPr>
          <w:rFonts w:ascii="Calibri" w:cs="Calibri" w:eastAsia="Calibri" w:hAnsi="Calibri"/>
          <w:b/>
          <w:bCs/>
          <w:sz w:val="20"/>
          <w:szCs w:val="20"/>
        </w:rPr>
        <w:t xml:space="preserve">Trending — Bullish</w:t>
      </w:r>
      <w:r>
        <w:rPr>
          <w:rFonts w:ascii="Calibri" w:cs="Calibri" w:eastAsia="Calibri" w:hAnsi="Calibri"/>
          <w:sz w:val="20"/>
          <w:szCs w:val="20"/>
        </w:rPr>
        <w:t xml:space="preserve"> (RSI2 pinned at 100, an overbought extreme); medium-term regime is </w:t>
      </w:r>
      <w:r>
        <w:rPr>
          <w:rFonts w:ascii="Calibri" w:cs="Calibri" w:eastAsia="Calibri" w:hAnsi="Calibri"/>
          <w:b/>
          <w:bCs/>
          <w:sz w:val="20"/>
          <w:szCs w:val="20"/>
        </w:rPr>
        <w:t xml:space="preserve">Transitional — Mildly Bullish</w:t>
      </w:r>
      <w:r>
        <w:rPr>
          <w:rFonts w:ascii="Calibri" w:cs="Calibri" w:eastAsia="Calibri" w:hAnsi="Calibri"/>
          <w:sz w:val="20"/>
          <w:szCs w:val="20"/>
        </w:rPr>
        <w:t xml:space="preserve">. Kaufman efficiency is near zero (≈ −0.01), classifying as Ranging — Neutral, which contradicts the two-day thrust and is the key tension in this report. Directional conviction (see §21a) is LONG with a score of +0.42. The single most important watch item is the </w:t>
      </w:r>
      <w:r>
        <w:rPr>
          <w:rFonts w:ascii="Calibri" w:cs="Calibri" w:eastAsia="Calibri" w:hAnsi="Calibri"/>
          <w:b/>
          <w:bCs/>
          <w:sz w:val="20"/>
          <w:szCs w:val="20"/>
        </w:rPr>
        <w:t xml:space="preserve">June nonfarm payrolls release on Thursday 02 Jul</w:t>
      </w:r>
      <w:r>
        <w:rPr>
          <w:rFonts w:ascii="Calibri" w:cs="Calibri" w:eastAsia="Calibri" w:hAnsi="Calibri"/>
          <w:sz w:val="20"/>
          <w:szCs w:val="20"/>
        </w:rPr>
        <w:t xml:space="preserve"> (moved forward from Friday due to the 03 Jul holiday close), which lands on the session-open anchor date and can validate or void the breakout.</w:t>
      </w:r>
    </w:p>
    <w:p>
      <w:pPr>
        <w:pStyle w:val="Heading1"/>
        <w:spacing w:after="120" w:before="220"/>
      </w:pPr>
      <w:r>
        <w:rPr>
          <w:rFonts w:ascii="Calibri" w:cs="Calibri" w:eastAsia="Calibri" w:hAnsi="Calibri"/>
          <w:b/>
          <w:bCs/>
          <w:color w:val="1F2A44"/>
          <w:sz w:val="26"/>
          <w:szCs w:val="26"/>
        </w:rPr>
        <w:t xml:space="preserve">§2  Market Definition</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300"/>
        <w:gridCol w:w="7060"/>
      </w:tblGrid>
      <w:tr>
        <w:trPr>
          <w:tblHeader/>
        </w:trPr>
        <w:tc>
          <w:tcPr>
            <w:tcW w:type="dxa" w:w="23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Field</w:t>
            </w:r>
          </w:p>
        </w:tc>
        <w:tc>
          <w:tcPr>
            <w:tcW w:type="dxa" w:w="706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Value</w:t>
            </w:r>
          </w:p>
        </w:tc>
      </w:tr>
      <w:tr>
        <w:tc>
          <w:tcPr>
            <w:tcW w:type="dxa" w:w="2300"/>
            <w:tcMar>
              <w:top w:type="dxa" w:w="40"/>
              <w:left w:type="dxa" w:w="70"/>
              <w:bottom w:type="dxa" w:w="40"/>
              <w:right w:type="dxa" w:w="70"/>
            </w:tcMar>
          </w:tcPr>
          <w:p>
            <w:pPr>
              <w:spacing w:after="0"/>
            </w:pPr>
            <w:r>
              <w:rPr>
                <w:rFonts w:ascii="Calibri" w:cs="Calibri" w:eastAsia="Calibri" w:hAnsi="Calibri"/>
                <w:color w:val="222222"/>
                <w:sz w:val="18"/>
                <w:szCs w:val="18"/>
              </w:rPr>
              <w:t xml:space="preserve">Asset</w:t>
            </w:r>
          </w:p>
        </w:tc>
        <w:tc>
          <w:tcPr>
            <w:tcW w:type="dxa" w:w="7060"/>
            <w:tcMar>
              <w:top w:type="dxa" w:w="40"/>
              <w:left w:type="dxa" w:w="70"/>
              <w:bottom w:type="dxa" w:w="40"/>
              <w:right w:type="dxa" w:w="70"/>
            </w:tcMar>
          </w:tcPr>
          <w:p>
            <w:pPr>
              <w:spacing w:after="0"/>
            </w:pPr>
            <w:r>
              <w:rPr>
                <w:rFonts w:ascii="Calibri" w:cs="Calibri" w:eastAsia="Calibri" w:hAnsi="Calibri"/>
                <w:color w:val="222222"/>
                <w:sz w:val="18"/>
                <w:szCs w:val="18"/>
              </w:rPr>
              <w:t xml:space="preserve">S&amp;P 500 cash index (large-cap US equity benchmark, 503 constituents)</w:t>
            </w:r>
          </w:p>
        </w:tc>
      </w:tr>
      <w:tr>
        <w:tc>
          <w:tcPr>
            <w:tcW w:type="dxa" w:w="23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Specification</w:t>
            </w:r>
          </w:p>
        </w:tc>
        <w:tc>
          <w:tcPr>
            <w:tcW w:type="dxa" w:w="70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Standardised S&amp;P Dow Jones index methodology; rebalanced quarterly</w:t>
            </w:r>
          </w:p>
        </w:tc>
      </w:tr>
      <w:tr>
        <w:tc>
          <w:tcPr>
            <w:tcW w:type="dxa" w:w="2300"/>
            <w:tcMar>
              <w:top w:type="dxa" w:w="40"/>
              <w:left w:type="dxa" w:w="70"/>
              <w:bottom w:type="dxa" w:w="40"/>
              <w:right w:type="dxa" w:w="70"/>
            </w:tcMar>
          </w:tcPr>
          <w:p>
            <w:pPr>
              <w:spacing w:after="0"/>
            </w:pPr>
            <w:r>
              <w:rPr>
                <w:rFonts w:ascii="Calibri" w:cs="Calibri" w:eastAsia="Calibri" w:hAnsi="Calibri"/>
                <w:color w:val="222222"/>
                <w:sz w:val="18"/>
                <w:szCs w:val="18"/>
              </w:rPr>
              <w:t xml:space="preserve">Scope / Region</w:t>
            </w:r>
          </w:p>
        </w:tc>
        <w:tc>
          <w:tcPr>
            <w:tcW w:type="dxa" w:w="7060"/>
            <w:tcMar>
              <w:top w:type="dxa" w:w="40"/>
              <w:left w:type="dxa" w:w="70"/>
              <w:bottom w:type="dxa" w:w="40"/>
              <w:right w:type="dxa" w:w="70"/>
            </w:tcMar>
          </w:tcPr>
          <w:p>
            <w:pPr>
              <w:spacing w:after="0"/>
            </w:pPr>
            <w:r>
              <w:rPr>
                <w:rFonts w:ascii="Calibri" w:cs="Calibri" w:eastAsia="Calibri" w:hAnsi="Calibri"/>
                <w:color w:val="222222"/>
                <w:sz w:val="18"/>
                <w:szCs w:val="18"/>
              </w:rPr>
              <w:t xml:space="preserve">Global / US — NYSE &amp; NASDAQ regular trading hours</w:t>
            </w:r>
          </w:p>
        </w:tc>
      </w:tr>
      <w:tr>
        <w:tc>
          <w:tcPr>
            <w:tcW w:type="dxa" w:w="23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Delivery basis</w:t>
            </w:r>
          </w:p>
        </w:tc>
        <w:tc>
          <w:tcPr>
            <w:tcW w:type="dxa" w:w="70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Regular cash session 09:30–16:00 ET (pre/after-market excluded from OHLC)</w:t>
            </w:r>
          </w:p>
        </w:tc>
      </w:tr>
      <w:tr>
        <w:tc>
          <w:tcPr>
            <w:tcW w:type="dxa" w:w="2300"/>
            <w:tcMar>
              <w:top w:type="dxa" w:w="40"/>
              <w:left w:type="dxa" w:w="70"/>
              <w:bottom w:type="dxa" w:w="40"/>
              <w:right w:type="dxa" w:w="70"/>
            </w:tcMar>
          </w:tcPr>
          <w:p>
            <w:pPr>
              <w:spacing w:after="0"/>
            </w:pPr>
            <w:r>
              <w:rPr>
                <w:rFonts w:ascii="Calibri" w:cs="Calibri" w:eastAsia="Calibri" w:hAnsi="Calibri"/>
                <w:color w:val="222222"/>
                <w:sz w:val="18"/>
                <w:szCs w:val="18"/>
              </w:rPr>
              <w:t xml:space="preserve">Price basis</w:t>
            </w:r>
          </w:p>
        </w:tc>
        <w:tc>
          <w:tcPr>
            <w:tcW w:type="dxa" w:w="7060"/>
            <w:tcMar>
              <w:top w:type="dxa" w:w="40"/>
              <w:left w:type="dxa" w:w="70"/>
              <w:bottom w:type="dxa" w:w="40"/>
              <w:right w:type="dxa" w:w="70"/>
            </w:tcMar>
          </w:tcPr>
          <w:p>
            <w:pPr>
              <w:spacing w:after="0"/>
            </w:pPr>
            <w:r>
              <w:rPr>
                <w:rFonts w:ascii="Calibri" w:cs="Calibri" w:eastAsia="Calibri" w:hAnsi="Calibri"/>
                <w:color w:val="222222"/>
                <w:sz w:val="18"/>
                <w:szCs w:val="18"/>
              </w:rPr>
              <w:t xml:space="preserve">Continuous cash index level</w:t>
            </w:r>
          </w:p>
        </w:tc>
      </w:tr>
      <w:tr>
        <w:tc>
          <w:tcPr>
            <w:tcW w:type="dxa" w:w="23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Unit / Currency</w:t>
            </w:r>
          </w:p>
        </w:tc>
        <w:tc>
          <w:tcPr>
            <w:tcW w:type="dxa" w:w="70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Index points / USD</w:t>
            </w:r>
          </w:p>
        </w:tc>
      </w:tr>
      <w:tr>
        <w:tc>
          <w:tcPr>
            <w:tcW w:type="dxa" w:w="2300"/>
            <w:tcMar>
              <w:top w:type="dxa" w:w="40"/>
              <w:left w:type="dxa" w:w="70"/>
              <w:bottom w:type="dxa" w:w="40"/>
              <w:right w:type="dxa" w:w="70"/>
            </w:tcMar>
          </w:tcPr>
          <w:p>
            <w:pPr>
              <w:spacing w:after="0"/>
            </w:pPr>
            <w:r>
              <w:rPr>
                <w:rFonts w:ascii="Calibri" w:cs="Calibri" w:eastAsia="Calibri" w:hAnsi="Calibri"/>
                <w:color w:val="222222"/>
                <w:sz w:val="18"/>
                <w:szCs w:val="18"/>
              </w:rPr>
              <w:t xml:space="preserve">As-of date</w:t>
            </w:r>
          </w:p>
        </w:tc>
        <w:tc>
          <w:tcPr>
            <w:tcW w:type="dxa" w:w="7060"/>
            <w:tcMar>
              <w:top w:type="dxa" w:w="40"/>
              <w:left w:type="dxa" w:w="70"/>
              <w:bottom w:type="dxa" w:w="40"/>
              <w:right w:type="dxa" w:w="70"/>
            </w:tcMar>
          </w:tcPr>
          <w:p>
            <w:pPr>
              <w:spacing w:after="0"/>
            </w:pPr>
            <w:r>
              <w:rPr>
                <w:rFonts w:ascii="Calibri" w:cs="Calibri" w:eastAsia="Calibri" w:hAnsi="Calibri"/>
                <w:color w:val="222222"/>
                <w:sz w:val="18"/>
                <w:szCs w:val="18"/>
              </w:rPr>
              <w:t xml:space="preserve">Session data through 30 Jun 2026 (America/New_York)</w:t>
            </w:r>
          </w:p>
        </w:tc>
      </w:tr>
      <w:tr>
        <w:tc>
          <w:tcPr>
            <w:tcW w:type="dxa" w:w="23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Lookback window</w:t>
            </w:r>
          </w:p>
        </w:tc>
        <w:tc>
          <w:tcPr>
            <w:tcW w:type="dxa" w:w="70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5 sessions (24 Jun – 30 Jun 2026)</w:t>
            </w:r>
          </w:p>
        </w:tc>
      </w:tr>
      <w:tr>
        <w:tc>
          <w:tcPr>
            <w:tcW w:type="dxa" w:w="2300"/>
            <w:tcMar>
              <w:top w:type="dxa" w:w="40"/>
              <w:left w:type="dxa" w:w="70"/>
              <w:bottom w:type="dxa" w:w="40"/>
              <w:right w:type="dxa" w:w="70"/>
            </w:tcMar>
          </w:tcPr>
          <w:p>
            <w:pPr>
              <w:spacing w:after="0"/>
            </w:pPr>
            <w:r>
              <w:rPr>
                <w:rFonts w:ascii="Calibri" w:cs="Calibri" w:eastAsia="Calibri" w:hAnsi="Calibri"/>
                <w:color w:val="222222"/>
                <w:sz w:val="18"/>
                <w:szCs w:val="18"/>
              </w:rPr>
              <w:t xml:space="preserve">Report / anchor date</w:t>
            </w:r>
          </w:p>
        </w:tc>
        <w:tc>
          <w:tcPr>
            <w:tcW w:type="dxa" w:w="7060"/>
            <w:tcMar>
              <w:top w:type="dxa" w:w="40"/>
              <w:left w:type="dxa" w:w="70"/>
              <w:bottom w:type="dxa" w:w="40"/>
              <w:right w:type="dxa" w:w="70"/>
            </w:tcMar>
          </w:tcPr>
          <w:p>
            <w:pPr>
              <w:spacing w:after="0"/>
            </w:pPr>
            <w:r>
              <w:rPr>
                <w:rFonts w:ascii="Calibri" w:cs="Calibri" w:eastAsia="Calibri" w:hAnsi="Calibri"/>
                <w:color w:val="222222"/>
                <w:sz w:val="18"/>
                <w:szCs w:val="18"/>
              </w:rPr>
              <w:t xml:space="preserve">02 Jul 2026 (session-open execution anchor)</w:t>
            </w:r>
          </w:p>
        </w:tc>
      </w:tr>
    </w:tbl>
    <w:p>
      <w:pPr>
        <w:pStyle w:val="Heading1"/>
        <w:spacing w:after="120" w:before="220"/>
      </w:pPr>
      <w:r>
        <w:rPr>
          <w:rFonts w:ascii="Calibri" w:cs="Calibri" w:eastAsia="Calibri" w:hAnsi="Calibri"/>
          <w:b/>
          <w:bCs/>
          <w:color w:val="1F2A44"/>
          <w:sz w:val="26"/>
          <w:szCs w:val="26"/>
        </w:rPr>
        <w:t xml:space="preserve">§3  Consensus Price Call</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100"/>
        <w:gridCol w:w="1500"/>
        <w:gridCol w:w="2760"/>
        <w:gridCol w:w="1200"/>
        <w:gridCol w:w="1600"/>
        <w:gridCol w:w="1200"/>
      </w:tblGrid>
      <w:tr>
        <w:trPr>
          <w:tblHeader/>
        </w:trPr>
        <w:tc>
          <w:tcPr>
            <w:tcW w:type="dxa" w:w="11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Consensus</w:t>
            </w:r>
          </w:p>
        </w:tc>
        <w:tc>
          <w:tcPr>
            <w:tcW w:type="dxa" w:w="15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Range</w:t>
            </w:r>
          </w:p>
        </w:tc>
        <w:tc>
          <w:tcPr>
            <w:tcW w:type="dxa" w:w="276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Basis</w:t>
            </w:r>
          </w:p>
        </w:tc>
        <w:tc>
          <w:tcPr>
            <w:tcW w:type="dxa" w:w="12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Confidence</w:t>
            </w:r>
          </w:p>
        </w:tc>
        <w:tc>
          <w:tcPr>
            <w:tcW w:type="dxa" w:w="16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Tone</w:t>
            </w:r>
          </w:p>
        </w:tc>
        <w:tc>
          <w:tcPr>
            <w:tcW w:type="dxa" w:w="12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Rationale</w:t>
            </w:r>
          </w:p>
        </w:tc>
      </w:tr>
      <w:tr>
        <w:tc>
          <w:tcPr>
            <w:tcW w:type="dxa" w:w="1100"/>
            <w:tcMar>
              <w:top w:type="dxa" w:w="40"/>
              <w:left w:type="dxa" w:w="70"/>
              <w:bottom w:type="dxa" w:w="40"/>
              <w:right w:type="dxa" w:w="70"/>
            </w:tcMar>
          </w:tcPr>
          <w:p>
            <w:pPr>
              <w:spacing w:after="0"/>
            </w:pPr>
            <w:r>
              <w:rPr>
                <w:rFonts w:ascii="Calibri" w:cs="Calibri" w:eastAsia="Calibri" w:hAnsi="Calibri"/>
                <w:b/>
                <w:bCs/>
                <w:color w:val="222222"/>
                <w:sz w:val="18"/>
                <w:szCs w:val="18"/>
              </w:rPr>
              <w:t xml:space="preserve">7,499</w:t>
            </w:r>
          </w:p>
        </w:tc>
        <w:tc>
          <w:tcPr>
            <w:tcW w:type="dxa" w:w="1500"/>
            <w:tcMar>
              <w:top w:type="dxa" w:w="40"/>
              <w:left w:type="dxa" w:w="70"/>
              <w:bottom w:type="dxa" w:w="40"/>
              <w:right w:type="dxa" w:w="70"/>
            </w:tcMar>
          </w:tcPr>
          <w:p>
            <w:pPr>
              <w:spacing w:after="0"/>
            </w:pPr>
            <w:r>
              <w:rPr>
                <w:rFonts w:ascii="Calibri" w:cs="Calibri" w:eastAsia="Calibri" w:hAnsi="Calibri"/>
                <w:color w:val="222222"/>
                <w:sz w:val="18"/>
                <w:szCs w:val="18"/>
              </w:rPr>
              <w:t xml:space="preserve">7,470–7,512</w:t>
            </w:r>
          </w:p>
        </w:tc>
        <w:tc>
          <w:tcPr>
            <w:tcW w:type="dxa" w:w="2760"/>
            <w:tcMar>
              <w:top w:type="dxa" w:w="40"/>
              <w:left w:type="dxa" w:w="70"/>
              <w:bottom w:type="dxa" w:w="40"/>
              <w:right w:type="dxa" w:w="70"/>
            </w:tcMar>
          </w:tcPr>
          <w:p>
            <w:pPr>
              <w:spacing w:after="0"/>
            </w:pPr>
            <w:r>
              <w:rPr>
                <w:rFonts w:ascii="Calibri" w:cs="Calibri" w:eastAsia="Calibri" w:hAnsi="Calibri"/>
                <w:color w:val="222222"/>
                <w:sz w:val="18"/>
                <w:szCs w:val="18"/>
              </w:rPr>
              <w:t xml:space="preserve">Cash close 30 Jun; weighted median of exchange &amp; aggregator sources</w:t>
            </w:r>
          </w:p>
        </w:tc>
        <w:tc>
          <w:tcPr>
            <w:tcW w:type="dxa" w:w="1200"/>
            <w:tcMar>
              <w:top w:type="dxa" w:w="40"/>
              <w:left w:type="dxa" w:w="70"/>
              <w:bottom w:type="dxa" w:w="40"/>
              <w:right w:type="dxa" w:w="70"/>
            </w:tcMar>
          </w:tcPr>
          <w:p>
            <w:pPr>
              <w:spacing w:after="0"/>
            </w:pPr>
            <w:r>
              <w:rPr>
                <w:rFonts w:ascii="Calibri" w:cs="Calibri" w:eastAsia="Calibri" w:hAnsi="Calibri"/>
                <w:color w:val="222222"/>
                <w:sz w:val="18"/>
                <w:szCs w:val="18"/>
              </w:rPr>
              <w:t xml:space="preserve">Medium</w:t>
            </w:r>
          </w:p>
        </w:tc>
        <w:tc>
          <w:tcPr>
            <w:tcW w:type="dxa" w:w="1600"/>
            <w:tcMar>
              <w:top w:type="dxa" w:w="40"/>
              <w:left w:type="dxa" w:w="70"/>
              <w:bottom w:type="dxa" w:w="40"/>
              <w:right w:type="dxa" w:w="70"/>
            </w:tcMar>
          </w:tcPr>
          <w:p>
            <w:pPr>
              <w:spacing w:after="0"/>
            </w:pPr>
            <w:r>
              <w:rPr>
                <w:rFonts w:ascii="Calibri" w:cs="Calibri" w:eastAsia="Calibri" w:hAnsi="Calibri"/>
                <w:color w:val="222222"/>
                <w:sz w:val="18"/>
                <w:szCs w:val="18"/>
              </w:rPr>
              <w:t xml:space="preserve">Balanced-to-constructive</w:t>
            </w:r>
          </w:p>
        </w:tc>
        <w:tc>
          <w:tcPr>
            <w:tcW w:type="dxa" w:w="1200"/>
            <w:tcMar>
              <w:top w:type="dxa" w:w="40"/>
              <w:left w:type="dxa" w:w="70"/>
              <w:bottom w:type="dxa" w:w="40"/>
              <w:right w:type="dxa" w:w="70"/>
            </w:tcMar>
          </w:tcPr>
          <w:p>
            <w:pPr>
              <w:spacing w:after="0"/>
            </w:pPr>
            <w:r>
              <w:rPr>
                <w:rFonts w:ascii="Calibri" w:cs="Calibri" w:eastAsia="Calibri" w:hAnsi="Calibri"/>
                <w:color w:val="222222"/>
                <w:sz w:val="18"/>
                <w:szCs w:val="18"/>
              </w:rPr>
              <w:t xml:space="preserve">Corroborated close across index-provider, exchange and aggregator feeds; intraday 01 Jul prints (7,449–7,521) sit around the same level, confirming the zone</w:t>
            </w:r>
          </w:p>
        </w:tc>
      </w:tr>
    </w:tbl>
    <w:p>
      <w:pPr>
        <w:pStyle w:val="Heading1"/>
        <w:spacing w:after="120" w:before="220"/>
      </w:pPr>
      <w:r>
        <w:rPr>
          <w:rFonts w:ascii="Calibri" w:cs="Calibri" w:eastAsia="Calibri" w:hAnsi="Calibri"/>
          <w:b/>
          <w:bCs/>
          <w:color w:val="1F2A44"/>
          <w:sz w:val="26"/>
          <w:szCs w:val="26"/>
        </w:rPr>
        <w:t xml:space="preserve">§4  Price Evidence Table</w:t>
      </w:r>
    </w:p>
    <w:tbl>
      <w:tblPr>
        <w:tblW w:type="dxa" w:w="9350"/>
        <w:tblBorders>
          <w:top w:val="single" w:color="BBBBBB" w:sz="2"/>
          <w:left w:val="single" w:color="BBBBBB" w:sz="2"/>
          <w:bottom w:val="single" w:color="BBBBBB" w:sz="2"/>
          <w:right w:val="single" w:color="BBBBBB" w:sz="2"/>
          <w:insideH w:val="single" w:color="DDDDDD" w:sz="1"/>
          <w:insideV w:val="single" w:color="DDDDDD" w:sz="1"/>
        </w:tblBorders>
      </w:tblPr>
      <w:tblGrid>
        <w:gridCol w:w="1500"/>
        <w:gridCol w:w="1250"/>
        <w:gridCol w:w="1400"/>
        <w:gridCol w:w="1100"/>
        <w:gridCol w:w="1450"/>
        <w:gridCol w:w="1050"/>
        <w:gridCol w:w="1600"/>
      </w:tblGrid>
      <w:tr>
        <w:trPr>
          <w:tblHeader/>
        </w:trPr>
        <w:tc>
          <w:tcPr>
            <w:tcW w:type="dxa" w:w="15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Source</w:t>
            </w:r>
          </w:p>
        </w:tc>
        <w:tc>
          <w:tcPr>
            <w:tcW w:type="dxa" w:w="125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Date/Time</w:t>
            </w:r>
          </w:p>
        </w:tc>
        <w:tc>
          <w:tcPr>
            <w:tcW w:type="dxa" w:w="14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Raw Quote</w:t>
            </w:r>
          </w:p>
        </w:tc>
        <w:tc>
          <w:tcPr>
            <w:tcW w:type="dxa" w:w="11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Normalized</w:t>
            </w:r>
          </w:p>
        </w:tc>
        <w:tc>
          <w:tcPr>
            <w:tcW w:type="dxa" w:w="145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Basis/Location</w:t>
            </w:r>
          </w:p>
        </w:tc>
        <w:tc>
          <w:tcPr>
            <w:tcW w:type="dxa" w:w="105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Relevance</w:t>
            </w:r>
          </w:p>
        </w:tc>
        <w:tc>
          <w:tcPr>
            <w:tcW w:type="dxa" w:w="16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Notes</w:t>
            </w:r>
          </w:p>
        </w:tc>
      </w:tr>
      <w:tr>
        <w:tc>
          <w:tcPr>
            <w:tcW w:type="dxa" w:w="1500"/>
            <w:tcMar>
              <w:top w:type="dxa" w:w="40"/>
              <w:left w:type="dxa" w:w="70"/>
              <w:bottom w:type="dxa" w:w="40"/>
              <w:right w:type="dxa" w:w="70"/>
            </w:tcMar>
          </w:tcPr>
          <w:p>
            <w:pPr>
              <w:spacing w:after="0"/>
            </w:pPr>
            <w:r>
              <w:rPr>
                <w:rFonts w:ascii="Calibri" w:cs="Calibri" w:eastAsia="Calibri" w:hAnsi="Calibri"/>
                <w:color w:val="222222"/>
                <w:sz w:val="18"/>
                <w:szCs w:val="18"/>
              </w:rPr>
              <w:t xml:space="preserve">S&amp;P Dow Jones / FRED</w:t>
            </w:r>
          </w:p>
        </w:tc>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30 Jun 16:00 ET</w:t>
            </w:r>
          </w:p>
        </w:tc>
        <w:tc>
          <w:tcPr>
            <w:tcW w:type="dxa" w:w="1400"/>
            <w:tcMar>
              <w:top w:type="dxa" w:w="40"/>
              <w:left w:type="dxa" w:w="70"/>
              <w:bottom w:type="dxa" w:w="40"/>
              <w:right w:type="dxa" w:w="70"/>
            </w:tcMar>
          </w:tcPr>
          <w:p>
            <w:pPr>
              <w:spacing w:after="0"/>
            </w:pPr>
            <w:r>
              <w:rPr>
                <w:rFonts w:ascii="Calibri" w:cs="Calibri" w:eastAsia="Calibri" w:hAnsi="Calibri"/>
                <w:color w:val="222222"/>
                <w:sz w:val="18"/>
                <w:szCs w:val="18"/>
              </w:rPr>
              <w:t xml:space="preserve">7,499.36</w:t>
            </w:r>
          </w:p>
        </w:tc>
        <w:tc>
          <w:tcPr>
            <w:tcW w:type="dxa" w:w="1100"/>
            <w:tcMar>
              <w:top w:type="dxa" w:w="40"/>
              <w:left w:type="dxa" w:w="70"/>
              <w:bottom w:type="dxa" w:w="40"/>
              <w:right w:type="dxa" w:w="70"/>
            </w:tcMar>
          </w:tcPr>
          <w:p>
            <w:pPr>
              <w:spacing w:after="0"/>
            </w:pPr>
            <w:r>
              <w:rPr>
                <w:rFonts w:ascii="Calibri" w:cs="Calibri" w:eastAsia="Calibri" w:hAnsi="Calibri"/>
                <w:color w:val="222222"/>
                <w:sz w:val="18"/>
                <w:szCs w:val="18"/>
              </w:rPr>
              <w:t xml:space="preserve">7,499.36</w:t>
            </w:r>
          </w:p>
        </w:tc>
        <w:tc>
          <w:tcPr>
            <w:tcW w:type="dxa" w:w="1450"/>
            <w:tcMar>
              <w:top w:type="dxa" w:w="40"/>
              <w:left w:type="dxa" w:w="70"/>
              <w:bottom w:type="dxa" w:w="40"/>
              <w:right w:type="dxa" w:w="70"/>
            </w:tcMar>
          </w:tcPr>
          <w:p>
            <w:pPr>
              <w:spacing w:after="0"/>
            </w:pPr>
            <w:r>
              <w:rPr>
                <w:rFonts w:ascii="Calibri" w:cs="Calibri" w:eastAsia="Calibri" w:hAnsi="Calibri"/>
                <w:color w:val="222222"/>
                <w:sz w:val="18"/>
                <w:szCs w:val="18"/>
              </w:rPr>
              <w:t xml:space="preserve">Official cash close, NY</w:t>
            </w:r>
          </w:p>
        </w:tc>
        <w:tc>
          <w:tcPr>
            <w:tcW w:type="dxa" w:w="1050"/>
            <w:tcMar>
              <w:top w:type="dxa" w:w="40"/>
              <w:left w:type="dxa" w:w="70"/>
              <w:bottom w:type="dxa" w:w="40"/>
              <w:right w:type="dxa" w:w="70"/>
            </w:tcMar>
          </w:tcPr>
          <w:p>
            <w:pPr>
              <w:spacing w:after="0"/>
            </w:pPr>
            <w:r>
              <w:rPr>
                <w:rFonts w:ascii="Calibri" w:cs="Calibri" w:eastAsia="Calibri" w:hAnsi="Calibri"/>
                <w:color w:val="222222"/>
                <w:sz w:val="18"/>
                <w:szCs w:val="18"/>
              </w:rPr>
              <w:t xml:space="preserve">Core</w:t>
            </w:r>
          </w:p>
        </w:tc>
        <w:tc>
          <w:tcPr>
            <w:tcW w:type="dxa" w:w="1600"/>
            <w:tcMar>
              <w:top w:type="dxa" w:w="40"/>
              <w:left w:type="dxa" w:w="70"/>
              <w:bottom w:type="dxa" w:w="40"/>
              <w:right w:type="dxa" w:w="70"/>
            </w:tcMar>
          </w:tcPr>
          <w:p>
            <w:pPr>
              <w:spacing w:after="0"/>
            </w:pPr>
            <w:r>
              <w:rPr>
                <w:rFonts w:ascii="Calibri" w:cs="Calibri" w:eastAsia="Calibri" w:hAnsi="Calibri"/>
                <w:color w:val="222222"/>
                <w:sz w:val="18"/>
                <w:szCs w:val="18"/>
              </w:rPr>
              <w:t xml:space="preserve">Index-provider settlement</w:t>
            </w:r>
          </w:p>
        </w:tc>
      </w:tr>
      <w:tr>
        <w:tc>
          <w:tcPr>
            <w:tcW w:type="dxa" w:w="15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Yahoo Finance (^GSPC)</w:t>
            </w:r>
          </w:p>
        </w:tc>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30 Jun 16:00 ET</w:t>
            </w:r>
          </w:p>
        </w:tc>
        <w:tc>
          <w:tcPr>
            <w:tcW w:type="dxa" w:w="14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7,499.36</w:t>
            </w:r>
          </w:p>
        </w:tc>
        <w:tc>
          <w:tcPr>
            <w:tcW w:type="dxa" w:w="11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7,499.36</w:t>
            </w:r>
          </w:p>
        </w:tc>
        <w:tc>
          <w:tcPr>
            <w:tcW w:type="dxa" w:w="14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Cash close</w:t>
            </w:r>
          </w:p>
        </w:tc>
        <w:tc>
          <w:tcPr>
            <w:tcW w:type="dxa" w:w="10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Core</w:t>
            </w:r>
          </w:p>
        </w:tc>
        <w:tc>
          <w:tcPr>
            <w:tcW w:type="dxa" w:w="16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+0.79% (+58.93)</w:t>
            </w:r>
          </w:p>
        </w:tc>
      </w:tr>
      <w:tr>
        <w:tc>
          <w:tcPr>
            <w:tcW w:type="dxa" w:w="1500"/>
            <w:tcMar>
              <w:top w:type="dxa" w:w="40"/>
              <w:left w:type="dxa" w:w="70"/>
              <w:bottom w:type="dxa" w:w="40"/>
              <w:right w:type="dxa" w:w="70"/>
            </w:tcMar>
          </w:tcPr>
          <w:p>
            <w:pPr>
              <w:spacing w:after="0"/>
            </w:pPr>
            <w:r>
              <w:rPr>
                <w:rFonts w:ascii="Calibri" w:cs="Calibri" w:eastAsia="Calibri" w:hAnsi="Calibri"/>
                <w:color w:val="222222"/>
                <w:sz w:val="18"/>
                <w:szCs w:val="18"/>
              </w:rPr>
              <w:t xml:space="preserve">CNBC (.SPX)</w:t>
            </w:r>
          </w:p>
        </w:tc>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30 Jun close</w:t>
            </w:r>
          </w:p>
        </w:tc>
        <w:tc>
          <w:tcPr>
            <w:tcW w:type="dxa" w:w="1400"/>
            <w:tcMar>
              <w:top w:type="dxa" w:w="40"/>
              <w:left w:type="dxa" w:w="70"/>
              <w:bottom w:type="dxa" w:w="40"/>
              <w:right w:type="dxa" w:w="70"/>
            </w:tcMar>
          </w:tcPr>
          <w:p>
            <w:pPr>
              <w:spacing w:after="0"/>
            </w:pPr>
            <w:r>
              <w:rPr>
                <w:rFonts w:ascii="Calibri" w:cs="Calibri" w:eastAsia="Calibri" w:hAnsi="Calibri"/>
                <w:color w:val="222222"/>
                <w:sz w:val="18"/>
                <w:szCs w:val="18"/>
              </w:rPr>
              <w:t xml:space="preserve">7,499.36</w:t>
            </w:r>
          </w:p>
        </w:tc>
        <w:tc>
          <w:tcPr>
            <w:tcW w:type="dxa" w:w="1100"/>
            <w:tcMar>
              <w:top w:type="dxa" w:w="40"/>
              <w:left w:type="dxa" w:w="70"/>
              <w:bottom w:type="dxa" w:w="40"/>
              <w:right w:type="dxa" w:w="70"/>
            </w:tcMar>
          </w:tcPr>
          <w:p>
            <w:pPr>
              <w:spacing w:after="0"/>
            </w:pPr>
            <w:r>
              <w:rPr>
                <w:rFonts w:ascii="Calibri" w:cs="Calibri" w:eastAsia="Calibri" w:hAnsi="Calibri"/>
                <w:color w:val="222222"/>
                <w:sz w:val="18"/>
                <w:szCs w:val="18"/>
              </w:rPr>
              <w:t xml:space="preserve">7,499.36</w:t>
            </w:r>
          </w:p>
        </w:tc>
        <w:tc>
          <w:tcPr>
            <w:tcW w:type="dxa" w:w="1450"/>
            <w:tcMar>
              <w:top w:type="dxa" w:w="40"/>
              <w:left w:type="dxa" w:w="70"/>
              <w:bottom w:type="dxa" w:w="40"/>
              <w:right w:type="dxa" w:w="70"/>
            </w:tcMar>
          </w:tcPr>
          <w:p>
            <w:pPr>
              <w:spacing w:after="0"/>
            </w:pPr>
            <w:r>
              <w:rPr>
                <w:rFonts w:ascii="Calibri" w:cs="Calibri" w:eastAsia="Calibri" w:hAnsi="Calibri"/>
                <w:color w:val="222222"/>
                <w:sz w:val="18"/>
                <w:szCs w:val="18"/>
              </w:rPr>
              <w:t xml:space="preserve">Cash close</w:t>
            </w:r>
          </w:p>
        </w:tc>
        <w:tc>
          <w:tcPr>
            <w:tcW w:type="dxa" w:w="1050"/>
            <w:tcMar>
              <w:top w:type="dxa" w:w="40"/>
              <w:left w:type="dxa" w:w="70"/>
              <w:bottom w:type="dxa" w:w="40"/>
              <w:right w:type="dxa" w:w="70"/>
            </w:tcMar>
          </w:tcPr>
          <w:p>
            <w:pPr>
              <w:spacing w:after="0"/>
            </w:pPr>
            <w:r>
              <w:rPr>
                <w:rFonts w:ascii="Calibri" w:cs="Calibri" w:eastAsia="Calibri" w:hAnsi="Calibri"/>
                <w:color w:val="222222"/>
                <w:sz w:val="18"/>
                <w:szCs w:val="18"/>
              </w:rPr>
              <w:t xml:space="preserve">Core</w:t>
            </w:r>
          </w:p>
        </w:tc>
        <w:tc>
          <w:tcPr>
            <w:tcW w:type="dxa" w:w="1600"/>
            <w:tcMar>
              <w:top w:type="dxa" w:w="40"/>
              <w:left w:type="dxa" w:w="70"/>
              <w:bottom w:type="dxa" w:w="40"/>
              <w:right w:type="dxa" w:w="70"/>
            </w:tcMar>
          </w:tcPr>
          <w:p>
            <w:pPr>
              <w:spacing w:after="0"/>
            </w:pPr>
            <w:r>
              <w:rPr>
                <w:rFonts w:ascii="Calibri" w:cs="Calibri" w:eastAsia="Calibri" w:hAnsi="Calibri"/>
                <w:color w:val="222222"/>
                <w:sz w:val="18"/>
                <w:szCs w:val="18"/>
              </w:rPr>
              <w:t xml:space="preserve">Editorial confirmation</w:t>
            </w:r>
          </w:p>
        </w:tc>
      </w:tr>
      <w:tr>
        <w:tc>
          <w:tcPr>
            <w:tcW w:type="dxa" w:w="15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TheStreet SMT blog</w:t>
            </w:r>
          </w:p>
        </w:tc>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30 Jun close</w:t>
            </w:r>
          </w:p>
        </w:tc>
        <w:tc>
          <w:tcPr>
            <w:tcW w:type="dxa" w:w="14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7,499.36*</w:t>
            </w:r>
          </w:p>
        </w:tc>
        <w:tc>
          <w:tcPr>
            <w:tcW w:type="dxa" w:w="11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7,499.36</w:t>
            </w:r>
          </w:p>
        </w:tc>
        <w:tc>
          <w:tcPr>
            <w:tcW w:type="dxa" w:w="14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Cash close</w:t>
            </w:r>
          </w:p>
        </w:tc>
        <w:tc>
          <w:tcPr>
            <w:tcW w:type="dxa" w:w="10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Directional</w:t>
            </w:r>
          </w:p>
        </w:tc>
        <w:tc>
          <w:tcPr>
            <w:tcW w:type="dxa" w:w="16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*In-text typo '7,449.36'; % move confirms 7,499</w:t>
            </w:r>
          </w:p>
        </w:tc>
      </w:tr>
      <w:tr>
        <w:tc>
          <w:tcPr>
            <w:tcW w:type="dxa" w:w="1500"/>
            <w:tcMar>
              <w:top w:type="dxa" w:w="40"/>
              <w:left w:type="dxa" w:w="70"/>
              <w:bottom w:type="dxa" w:w="40"/>
              <w:right w:type="dxa" w:w="70"/>
            </w:tcMar>
          </w:tcPr>
          <w:p>
            <w:pPr>
              <w:spacing w:after="0"/>
            </w:pPr>
            <w:r>
              <w:rPr>
                <w:rFonts w:ascii="Calibri" w:cs="Calibri" w:eastAsia="Calibri" w:hAnsi="Calibri"/>
                <w:color w:val="222222"/>
                <w:sz w:val="18"/>
                <w:szCs w:val="18"/>
              </w:rPr>
              <w:t xml:space="preserve">Investing.com</w:t>
            </w:r>
          </w:p>
        </w:tc>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01 Jul intraday</w:t>
            </w:r>
          </w:p>
        </w:tc>
        <w:tc>
          <w:tcPr>
            <w:tcW w:type="dxa" w:w="1400"/>
            <w:tcMar>
              <w:top w:type="dxa" w:w="40"/>
              <w:left w:type="dxa" w:w="70"/>
              <w:bottom w:type="dxa" w:w="40"/>
              <w:right w:type="dxa" w:w="70"/>
            </w:tcMar>
          </w:tcPr>
          <w:p>
            <w:pPr>
              <w:spacing w:after="0"/>
            </w:pPr>
            <w:r>
              <w:rPr>
                <w:rFonts w:ascii="Calibri" w:cs="Calibri" w:eastAsia="Calibri" w:hAnsi="Calibri"/>
                <w:color w:val="222222"/>
                <w:sz w:val="18"/>
                <w:szCs w:val="18"/>
              </w:rPr>
              <w:t xml:space="preserve">7,449.63–7,521.81</w:t>
            </w:r>
          </w:p>
        </w:tc>
        <w:tc>
          <w:tcPr>
            <w:tcW w:type="dxa" w:w="1100"/>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c>
          <w:tcPr>
            <w:tcW w:type="dxa" w:w="1450"/>
            <w:tcMar>
              <w:top w:type="dxa" w:w="40"/>
              <w:left w:type="dxa" w:w="70"/>
              <w:bottom w:type="dxa" w:w="40"/>
              <w:right w:type="dxa" w:w="70"/>
            </w:tcMar>
          </w:tcPr>
          <w:p>
            <w:pPr>
              <w:spacing w:after="0"/>
            </w:pPr>
            <w:r>
              <w:rPr>
                <w:rFonts w:ascii="Calibri" w:cs="Calibri" w:eastAsia="Calibri" w:hAnsi="Calibri"/>
                <w:color w:val="222222"/>
                <w:sz w:val="18"/>
                <w:szCs w:val="18"/>
              </w:rPr>
              <w:t xml:space="preserve">Cash session range</w:t>
            </w:r>
          </w:p>
        </w:tc>
        <w:tc>
          <w:tcPr>
            <w:tcW w:type="dxa" w:w="1050"/>
            <w:tcMar>
              <w:top w:type="dxa" w:w="40"/>
              <w:left w:type="dxa" w:w="70"/>
              <w:bottom w:type="dxa" w:w="40"/>
              <w:right w:type="dxa" w:w="70"/>
            </w:tcMar>
          </w:tcPr>
          <w:p>
            <w:pPr>
              <w:spacing w:after="0"/>
            </w:pPr>
            <w:r>
              <w:rPr>
                <w:rFonts w:ascii="Calibri" w:cs="Calibri" w:eastAsia="Calibri" w:hAnsi="Calibri"/>
                <w:color w:val="222222"/>
                <w:sz w:val="18"/>
                <w:szCs w:val="18"/>
              </w:rPr>
              <w:t xml:space="preserve">Directional</w:t>
            </w:r>
          </w:p>
        </w:tc>
        <w:tc>
          <w:tcPr>
            <w:tcW w:type="dxa" w:w="1600"/>
            <w:tcMar>
              <w:top w:type="dxa" w:w="40"/>
              <w:left w:type="dxa" w:w="70"/>
              <w:bottom w:type="dxa" w:w="40"/>
              <w:right w:type="dxa" w:w="70"/>
            </w:tcMar>
          </w:tcPr>
          <w:p>
            <w:pPr>
              <w:spacing w:after="0"/>
            </w:pPr>
            <w:r>
              <w:rPr>
                <w:rFonts w:ascii="Calibri" w:cs="Calibri" w:eastAsia="Calibri" w:hAnsi="Calibri"/>
                <w:color w:val="222222"/>
                <w:sz w:val="18"/>
                <w:szCs w:val="18"/>
              </w:rPr>
              <w:t xml:space="preserve">Open 7,478.84; brackets prior close</w:t>
            </w:r>
          </w:p>
        </w:tc>
      </w:tr>
      <w:tr>
        <w:tc>
          <w:tcPr>
            <w:tcW w:type="dxa" w:w="15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StreetStats</w:t>
            </w:r>
          </w:p>
        </w:tc>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01 Jul 11:51 ET</w:t>
            </w:r>
          </w:p>
        </w:tc>
        <w:tc>
          <w:tcPr>
            <w:tcW w:type="dxa" w:w="14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7,512.18</w:t>
            </w:r>
          </w:p>
        </w:tc>
        <w:tc>
          <w:tcPr>
            <w:tcW w:type="dxa" w:w="11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c>
          <w:tcPr>
            <w:tcW w:type="dxa" w:w="14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Delayed cash</w:t>
            </w:r>
          </w:p>
        </w:tc>
        <w:tc>
          <w:tcPr>
            <w:tcW w:type="dxa" w:w="10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Directional</w:t>
            </w:r>
          </w:p>
        </w:tc>
        <w:tc>
          <w:tcPr>
            <w:tcW w:type="dxa" w:w="16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Confirms zone into 02 Jul anchor</w:t>
            </w:r>
          </w:p>
        </w:tc>
      </w:tr>
    </w:tbl>
    <w:p>
      <w:pPr>
        <w:spacing w:after="120" w:before="0"/>
      </w:pPr>
      <w:r>
        <w:rPr>
          <w:rFonts w:ascii="Calibri" w:cs="Calibri" w:eastAsia="Calibri" w:hAnsi="Calibri"/>
          <w:i/>
          <w:iCs/>
          <w:color w:val="666666"/>
          <w:sz w:val="18"/>
          <w:szCs w:val="18"/>
        </w:rPr>
        <w:t xml:space="preserve">Six independent observations meet the minimum source count. Exchange/index-provider feeds (S&amp;P DJI/FRED, Yahoo) form the core; aggregators are directional confirmation only.</w:t>
      </w:r>
    </w:p>
    <w:p>
      <w:pPr>
        <w:pStyle w:val="Heading1"/>
        <w:spacing w:after="120" w:before="220"/>
      </w:pPr>
      <w:r>
        <w:rPr>
          <w:rFonts w:ascii="Calibri" w:cs="Calibri" w:eastAsia="Calibri" w:hAnsi="Calibri"/>
          <w:b/>
          <w:bCs/>
          <w:color w:val="1F2A44"/>
          <w:sz w:val="26"/>
          <w:szCs w:val="26"/>
        </w:rPr>
        <w:t xml:space="preserve">§5  Consensus Build Explanation</w:t>
      </w:r>
    </w:p>
    <w:p>
      <w:pPr>
        <w:spacing w:after="120" w:before="0"/>
      </w:pPr>
      <w:r>
        <w:rPr>
          <w:rFonts w:ascii="Calibri" w:cs="Calibri" w:eastAsia="Calibri" w:hAnsi="Calibri"/>
          <w:sz w:val="20"/>
          <w:szCs w:val="20"/>
        </w:rPr>
        <w:t xml:space="preserve">All observations are already denominated in USD index points on the same cash-session basis, so no FX or unit normalization is required. The 30 Jun official close (7,499.36) is corroborated to the cent by three independent core sources (index-provider/FRED, Yahoo, CNBC), giving a zero-delta anchor. The single TheStreet in-text figure of '7,449.36' is treated as a transcription slip because the reported +0.79% move reconciles precisely to 7,499.36 from the 7,440.43 prior close. Aggregator prints for the in-progress 01 Jul session (7,449–7,521) straddle the anchor and are used only to confirm that the level persisted into the 02 Jul open, not to move the number. Applying the weighted-median method — down-weighting the delayed aggregator quotes — the most defensible consensus is 7,499 with a tight 7,470–7,512 band. Precision is Medium rather than High only because the anchor sits at a five-session high with RSI2 at an overbought extreme, so the level is well-established but its durability is not.</w:t>
      </w:r>
    </w:p>
    <w:p>
      <w:pPr>
        <w:pStyle w:val="Heading1"/>
        <w:spacing w:after="120" w:before="220"/>
      </w:pPr>
      <w:r>
        <w:rPr>
          <w:rFonts w:ascii="Calibri" w:cs="Calibri" w:eastAsia="Calibri" w:hAnsi="Calibri"/>
          <w:b/>
          <w:bCs/>
          <w:color w:val="1F2A44"/>
          <w:sz w:val="26"/>
          <w:szCs w:val="26"/>
        </w:rPr>
        <w:t xml:space="preserve">§6  Validated OHLC + RSI2 Table (5-Day)</w:t>
      </w:r>
    </w:p>
    <w:tbl>
      <w:tblPr>
        <w:tblW w:type="dxa" w:w="10400"/>
        <w:tblBorders>
          <w:top w:val="single" w:color="BBBBBB" w:sz="2"/>
          <w:left w:val="single" w:color="BBBBBB" w:sz="2"/>
          <w:bottom w:val="single" w:color="BBBBBB" w:sz="2"/>
          <w:right w:val="single" w:color="BBBBBB" w:sz="2"/>
          <w:insideH w:val="single" w:color="DDDDDD" w:sz="1"/>
          <w:insideV w:val="single" w:color="DDDDDD" w:sz="1"/>
        </w:tblBorders>
      </w:tblPr>
      <w:tblGrid>
        <w:gridCol w:w="780"/>
        <w:gridCol w:w="900"/>
        <w:gridCol w:w="900"/>
        <w:gridCol w:w="900"/>
        <w:gridCol w:w="920"/>
        <w:gridCol w:w="620"/>
        <w:gridCol w:w="860"/>
        <w:gridCol w:w="780"/>
        <w:gridCol w:w="860"/>
        <w:gridCol w:w="900"/>
        <w:gridCol w:w="1980"/>
      </w:tblGrid>
      <w:tr>
        <w:trPr>
          <w:tblHeader/>
        </w:trPr>
        <w:tc>
          <w:tcPr>
            <w:tcW w:type="dxa" w:w="78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Date</w:t>
            </w:r>
          </w:p>
        </w:tc>
        <w:tc>
          <w:tcPr>
            <w:tcW w:type="dxa" w:w="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Open</w:t>
            </w:r>
          </w:p>
        </w:tc>
        <w:tc>
          <w:tcPr>
            <w:tcW w:type="dxa" w:w="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High</w:t>
            </w:r>
          </w:p>
        </w:tc>
        <w:tc>
          <w:tcPr>
            <w:tcW w:type="dxa" w:w="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Low</w:t>
            </w:r>
          </w:p>
        </w:tc>
        <w:tc>
          <w:tcPr>
            <w:tcW w:type="dxa" w:w="92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Close</w:t>
            </w:r>
          </w:p>
        </w:tc>
        <w:tc>
          <w:tcPr>
            <w:tcW w:type="dxa" w:w="62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RSI2</w:t>
            </w:r>
          </w:p>
        </w:tc>
        <w:tc>
          <w:tcPr>
            <w:tcW w:type="dxa" w:w="86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Trend</w:t>
            </w:r>
          </w:p>
        </w:tc>
        <w:tc>
          <w:tcPr>
            <w:tcW w:type="dxa" w:w="78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Src A</w:t>
            </w:r>
          </w:p>
        </w:tc>
        <w:tc>
          <w:tcPr>
            <w:tcW w:type="dxa" w:w="86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Src B</w:t>
            </w:r>
          </w:p>
        </w:tc>
        <w:tc>
          <w:tcPr>
            <w:tcW w:type="dxa" w:w="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Final</w:t>
            </w:r>
          </w:p>
        </w:tc>
        <w:tc>
          <w:tcPr>
            <w:tcW w:type="dxa" w:w="198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Validation</w:t>
            </w:r>
          </w:p>
        </w:tc>
      </w:tr>
      <w:tr>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24 Jun</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7,383.20</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7,398.55</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7,351.10</w:t>
            </w:r>
          </w:p>
        </w:tc>
        <w:tc>
          <w:tcPr>
            <w:tcW w:type="dxa" w:w="920"/>
            <w:tcMar>
              <w:top w:type="dxa" w:w="40"/>
              <w:left w:type="dxa" w:w="70"/>
              <w:bottom w:type="dxa" w:w="40"/>
              <w:right w:type="dxa" w:w="70"/>
            </w:tcMar>
          </w:tcPr>
          <w:p>
            <w:pPr>
              <w:spacing w:after="0"/>
            </w:pPr>
            <w:r>
              <w:rPr>
                <w:rFonts w:ascii="Calibri" w:cs="Calibri" w:eastAsia="Calibri" w:hAnsi="Calibri"/>
                <w:b/>
                <w:bCs/>
                <w:color w:val="222222"/>
                <w:sz w:val="18"/>
                <w:szCs w:val="18"/>
              </w:rPr>
              <w:t xml:space="preserve">7,358.22</w:t>
            </w:r>
          </w:p>
        </w:tc>
        <w:tc>
          <w:tcPr>
            <w:tcW w:type="dxa" w:w="620"/>
            <w:tcMar>
              <w:top w:type="dxa" w:w="40"/>
              <w:left w:type="dxa" w:w="70"/>
              <w:bottom w:type="dxa" w:w="40"/>
              <w:right w:type="dxa" w:w="70"/>
            </w:tcMar>
          </w:tcPr>
          <w:p>
            <w:pPr>
              <w:spacing w:after="0"/>
            </w:pPr>
            <w:r>
              <w:rPr>
                <w:rFonts w:ascii="Calibri" w:cs="Calibri" w:eastAsia="Calibri" w:hAnsi="Calibri"/>
                <w:color w:val="222222"/>
                <w:sz w:val="18"/>
                <w:szCs w:val="18"/>
              </w:rPr>
              <w:t xml:space="preserve">~0</w:t>
            </w:r>
          </w:p>
        </w:tc>
        <w:tc>
          <w:tcPr>
            <w:tcW w:type="dxa" w:w="860"/>
            <w:tcMar>
              <w:top w:type="dxa" w:w="40"/>
              <w:left w:type="dxa" w:w="70"/>
              <w:bottom w:type="dxa" w:w="40"/>
              <w:right w:type="dxa" w:w="70"/>
            </w:tcMar>
          </w:tcPr>
          <w:p>
            <w:pPr>
              <w:spacing w:after="0"/>
            </w:pPr>
            <w:r>
              <w:rPr>
                <w:rFonts w:ascii="Calibri" w:cs="Calibri" w:eastAsia="Calibri" w:hAnsi="Calibri"/>
                <w:color w:val="222222"/>
                <w:sz w:val="18"/>
                <w:szCs w:val="18"/>
              </w:rPr>
              <w:t xml:space="preserve">Bearish</w:t>
            </w:r>
          </w:p>
        </w:tc>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S&amp;P DJI</w:t>
            </w:r>
          </w:p>
        </w:tc>
        <w:tc>
          <w:tcPr>
            <w:tcW w:type="dxa" w:w="860"/>
            <w:tcMar>
              <w:top w:type="dxa" w:w="40"/>
              <w:left w:type="dxa" w:w="70"/>
              <w:bottom w:type="dxa" w:w="40"/>
              <w:right w:type="dxa" w:w="70"/>
            </w:tcMar>
          </w:tcPr>
          <w:p>
            <w:pPr>
              <w:spacing w:after="0"/>
            </w:pPr>
            <w:r>
              <w:rPr>
                <w:rFonts w:ascii="Calibri" w:cs="Calibri" w:eastAsia="Calibri" w:hAnsi="Calibri"/>
                <w:color w:val="222222"/>
                <w:sz w:val="18"/>
                <w:szCs w:val="18"/>
              </w:rPr>
              <w:t xml:space="preserve">Yahoo</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7,358.22</w:t>
            </w:r>
          </w:p>
        </w:tc>
        <w:tc>
          <w:tcPr>
            <w:tcW w:type="dxa" w:w="1980"/>
            <w:tcMar>
              <w:top w:type="dxa" w:w="40"/>
              <w:left w:type="dxa" w:w="70"/>
              <w:bottom w:type="dxa" w:w="40"/>
              <w:right w:type="dxa" w:w="70"/>
            </w:tcMar>
          </w:tcPr>
          <w:p>
            <w:pPr>
              <w:spacing w:after="0"/>
            </w:pPr>
            <w:r>
              <w:rPr>
                <w:rFonts w:ascii="Calibri" w:cs="Calibri" w:eastAsia="Calibri" w:hAnsi="Calibri"/>
                <w:color w:val="1A8A4A"/>
                <w:sz w:val="18"/>
                <w:szCs w:val="18"/>
              </w:rPr>
              <w:t xml:space="preserve">CORROBORATED (Δ 0.00)</w:t>
            </w:r>
          </w:p>
        </w:tc>
      </w:tr>
      <w:tr>
        <w:tc>
          <w:tcPr>
            <w:tcW w:type="dxa" w:w="7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25 Jun</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7,360.90</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7,388.40</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7,332.75</w:t>
            </w:r>
          </w:p>
        </w:tc>
        <w:tc>
          <w:tcPr>
            <w:tcW w:type="dxa" w:w="920"/>
            <w:shd w:fill="EEF1F6" w:color="auto" w:val="clear"/>
            <w:tcMar>
              <w:top w:type="dxa" w:w="40"/>
              <w:left w:type="dxa" w:w="70"/>
              <w:bottom w:type="dxa" w:w="40"/>
              <w:right w:type="dxa" w:w="70"/>
            </w:tcMar>
          </w:tcPr>
          <w:p>
            <w:pPr>
              <w:spacing w:after="0"/>
            </w:pPr>
            <w:r>
              <w:rPr>
                <w:rFonts w:ascii="Calibri" w:cs="Calibri" w:eastAsia="Calibri" w:hAnsi="Calibri"/>
                <w:b/>
                <w:bCs/>
                <w:color w:val="222222"/>
                <w:sz w:val="18"/>
                <w:szCs w:val="18"/>
              </w:rPr>
              <w:t xml:space="preserve">7,357.49</w:t>
            </w:r>
          </w:p>
        </w:tc>
        <w:tc>
          <w:tcPr>
            <w:tcW w:type="dxa" w:w="62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~0</w:t>
            </w:r>
          </w:p>
        </w:tc>
        <w:tc>
          <w:tcPr>
            <w:tcW w:type="dxa" w:w="8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Bearish</w:t>
            </w:r>
          </w:p>
        </w:tc>
        <w:tc>
          <w:tcPr>
            <w:tcW w:type="dxa" w:w="7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Yahoo</w:t>
            </w:r>
          </w:p>
        </w:tc>
        <w:tc>
          <w:tcPr>
            <w:tcW w:type="dxa" w:w="8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CNBC</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7,357.49</w:t>
            </w:r>
          </w:p>
        </w:tc>
        <w:tc>
          <w:tcPr>
            <w:tcW w:type="dxa" w:w="1980"/>
            <w:shd w:fill="EEF1F6" w:color="auto" w:val="clear"/>
            <w:tcMar>
              <w:top w:type="dxa" w:w="40"/>
              <w:left w:type="dxa" w:w="70"/>
              <w:bottom w:type="dxa" w:w="40"/>
              <w:right w:type="dxa" w:w="70"/>
            </w:tcMar>
          </w:tcPr>
          <w:p>
            <w:pPr>
              <w:spacing w:after="0"/>
            </w:pPr>
            <w:r>
              <w:rPr>
                <w:rFonts w:ascii="Calibri" w:cs="Calibri" w:eastAsia="Calibri" w:hAnsi="Calibri"/>
                <w:color w:val="1A8A4A"/>
                <w:sz w:val="18"/>
                <w:szCs w:val="18"/>
              </w:rPr>
              <w:t xml:space="preserve">CORROBORATED (Δ 0.00)</w:t>
            </w:r>
          </w:p>
        </w:tc>
      </w:tr>
      <w:tr>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26 Jun</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7,351.00</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7,369.20</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7,300.85</w:t>
            </w:r>
          </w:p>
        </w:tc>
        <w:tc>
          <w:tcPr>
            <w:tcW w:type="dxa" w:w="920"/>
            <w:tcMar>
              <w:top w:type="dxa" w:w="40"/>
              <w:left w:type="dxa" w:w="70"/>
              <w:bottom w:type="dxa" w:w="40"/>
              <w:right w:type="dxa" w:w="70"/>
            </w:tcMar>
          </w:tcPr>
          <w:p>
            <w:pPr>
              <w:spacing w:after="0"/>
            </w:pPr>
            <w:r>
              <w:rPr>
                <w:rFonts w:ascii="Calibri" w:cs="Calibri" w:eastAsia="Calibri" w:hAnsi="Calibri"/>
                <w:b/>
                <w:bCs/>
                <w:color w:val="222222"/>
                <w:sz w:val="18"/>
                <w:szCs w:val="18"/>
              </w:rPr>
              <w:t xml:space="preserve">7,354.02</w:t>
            </w:r>
          </w:p>
        </w:tc>
        <w:tc>
          <w:tcPr>
            <w:tcW w:type="dxa" w:w="620"/>
            <w:tcMar>
              <w:top w:type="dxa" w:w="40"/>
              <w:left w:type="dxa" w:w="70"/>
              <w:bottom w:type="dxa" w:w="40"/>
              <w:right w:type="dxa" w:w="70"/>
            </w:tcMar>
          </w:tcPr>
          <w:p>
            <w:pPr>
              <w:spacing w:after="0"/>
            </w:pPr>
            <w:r>
              <w:rPr>
                <w:rFonts w:ascii="Calibri" w:cs="Calibri" w:eastAsia="Calibri" w:hAnsi="Calibri"/>
                <w:color w:val="222222"/>
                <w:sz w:val="18"/>
                <w:szCs w:val="18"/>
              </w:rPr>
              <w:t xml:space="preserve">~0</w:t>
            </w:r>
          </w:p>
        </w:tc>
        <w:tc>
          <w:tcPr>
            <w:tcW w:type="dxa" w:w="860"/>
            <w:tcMar>
              <w:top w:type="dxa" w:w="40"/>
              <w:left w:type="dxa" w:w="70"/>
              <w:bottom w:type="dxa" w:w="40"/>
              <w:right w:type="dxa" w:w="70"/>
            </w:tcMar>
          </w:tcPr>
          <w:p>
            <w:pPr>
              <w:spacing w:after="0"/>
            </w:pPr>
            <w:r>
              <w:rPr>
                <w:rFonts w:ascii="Calibri" w:cs="Calibri" w:eastAsia="Calibri" w:hAnsi="Calibri"/>
                <w:color w:val="222222"/>
                <w:sz w:val="18"/>
                <w:szCs w:val="18"/>
              </w:rPr>
              <w:t xml:space="preserve">Neutral</w:t>
            </w:r>
          </w:p>
        </w:tc>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CNBC</w:t>
            </w:r>
          </w:p>
        </w:tc>
        <w:tc>
          <w:tcPr>
            <w:tcW w:type="dxa" w:w="860"/>
            <w:tcMar>
              <w:top w:type="dxa" w:w="40"/>
              <w:left w:type="dxa" w:w="70"/>
              <w:bottom w:type="dxa" w:w="40"/>
              <w:right w:type="dxa" w:w="70"/>
            </w:tcMar>
          </w:tcPr>
          <w:p>
            <w:pPr>
              <w:spacing w:after="0"/>
            </w:pPr>
            <w:r>
              <w:rPr>
                <w:rFonts w:ascii="Calibri" w:cs="Calibri" w:eastAsia="Calibri" w:hAnsi="Calibri"/>
                <w:color w:val="222222"/>
                <w:sz w:val="18"/>
                <w:szCs w:val="18"/>
              </w:rPr>
              <w:t xml:space="preserve">Yahoo</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7,354.02</w:t>
            </w:r>
          </w:p>
        </w:tc>
        <w:tc>
          <w:tcPr>
            <w:tcW w:type="dxa" w:w="1980"/>
            <w:tcMar>
              <w:top w:type="dxa" w:w="40"/>
              <w:left w:type="dxa" w:w="70"/>
              <w:bottom w:type="dxa" w:w="40"/>
              <w:right w:type="dxa" w:w="70"/>
            </w:tcMar>
          </w:tcPr>
          <w:p>
            <w:pPr>
              <w:spacing w:after="0"/>
            </w:pPr>
            <w:r>
              <w:rPr>
                <w:rFonts w:ascii="Calibri" w:cs="Calibri" w:eastAsia="Calibri" w:hAnsi="Calibri"/>
                <w:color w:val="1A8A4A"/>
                <w:sz w:val="18"/>
                <w:szCs w:val="18"/>
              </w:rPr>
              <w:t xml:space="preserve">CORROBORATED (Δ 0.00)</w:t>
            </w:r>
          </w:p>
        </w:tc>
      </w:tr>
      <w:tr>
        <w:tc>
          <w:tcPr>
            <w:tcW w:type="dxa" w:w="7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29 Jun</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7,372.50</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7,445.90</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7,360.20</w:t>
            </w:r>
          </w:p>
        </w:tc>
        <w:tc>
          <w:tcPr>
            <w:tcW w:type="dxa" w:w="920"/>
            <w:shd w:fill="EEF1F6" w:color="auto" w:val="clear"/>
            <w:tcMar>
              <w:top w:type="dxa" w:w="40"/>
              <w:left w:type="dxa" w:w="70"/>
              <w:bottom w:type="dxa" w:w="40"/>
              <w:right w:type="dxa" w:w="70"/>
            </w:tcMar>
          </w:tcPr>
          <w:p>
            <w:pPr>
              <w:spacing w:after="0"/>
            </w:pPr>
            <w:r>
              <w:rPr>
                <w:rFonts w:ascii="Calibri" w:cs="Calibri" w:eastAsia="Calibri" w:hAnsi="Calibri"/>
                <w:b/>
                <w:bCs/>
                <w:color w:val="222222"/>
                <w:sz w:val="18"/>
                <w:szCs w:val="18"/>
              </w:rPr>
              <w:t xml:space="preserve">7,440.43</w:t>
            </w:r>
          </w:p>
        </w:tc>
        <w:tc>
          <w:tcPr>
            <w:tcW w:type="dxa" w:w="62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96.1</w:t>
            </w:r>
          </w:p>
        </w:tc>
        <w:tc>
          <w:tcPr>
            <w:tcW w:type="dxa" w:w="8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Bullish</w:t>
            </w:r>
          </w:p>
        </w:tc>
        <w:tc>
          <w:tcPr>
            <w:tcW w:type="dxa" w:w="7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CNBC</w:t>
            </w:r>
          </w:p>
        </w:tc>
        <w:tc>
          <w:tcPr>
            <w:tcW w:type="dxa" w:w="8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TheStreet</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7,440.43</w:t>
            </w:r>
          </w:p>
        </w:tc>
        <w:tc>
          <w:tcPr>
            <w:tcW w:type="dxa" w:w="1980"/>
            <w:shd w:fill="EEF1F6" w:color="auto" w:val="clear"/>
            <w:tcMar>
              <w:top w:type="dxa" w:w="40"/>
              <w:left w:type="dxa" w:w="70"/>
              <w:bottom w:type="dxa" w:w="40"/>
              <w:right w:type="dxa" w:w="70"/>
            </w:tcMar>
          </w:tcPr>
          <w:p>
            <w:pPr>
              <w:spacing w:after="0"/>
            </w:pPr>
            <w:r>
              <w:rPr>
                <w:rFonts w:ascii="Calibri" w:cs="Calibri" w:eastAsia="Calibri" w:hAnsi="Calibri"/>
                <w:color w:val="1A8A4A"/>
                <w:sz w:val="18"/>
                <w:szCs w:val="18"/>
              </w:rPr>
              <w:t xml:space="preserve">CORROBORATED (Δ 0.00)</w:t>
            </w:r>
          </w:p>
        </w:tc>
      </w:tr>
      <w:tr>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30 Jun</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7,441.10</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7,521.81</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7,439.10</w:t>
            </w:r>
          </w:p>
        </w:tc>
        <w:tc>
          <w:tcPr>
            <w:tcW w:type="dxa" w:w="920"/>
            <w:tcMar>
              <w:top w:type="dxa" w:w="40"/>
              <w:left w:type="dxa" w:w="70"/>
              <w:bottom w:type="dxa" w:w="40"/>
              <w:right w:type="dxa" w:w="70"/>
            </w:tcMar>
          </w:tcPr>
          <w:p>
            <w:pPr>
              <w:spacing w:after="0"/>
            </w:pPr>
            <w:r>
              <w:rPr>
                <w:rFonts w:ascii="Calibri" w:cs="Calibri" w:eastAsia="Calibri" w:hAnsi="Calibri"/>
                <w:b/>
                <w:bCs/>
                <w:color w:val="222222"/>
                <w:sz w:val="18"/>
                <w:szCs w:val="18"/>
              </w:rPr>
              <w:t xml:space="preserve">7,499.36</w:t>
            </w:r>
          </w:p>
        </w:tc>
        <w:tc>
          <w:tcPr>
            <w:tcW w:type="dxa" w:w="620"/>
            <w:tcMar>
              <w:top w:type="dxa" w:w="40"/>
              <w:left w:type="dxa" w:w="70"/>
              <w:bottom w:type="dxa" w:w="40"/>
              <w:right w:type="dxa" w:w="70"/>
            </w:tcMar>
          </w:tcPr>
          <w:p>
            <w:pPr>
              <w:spacing w:after="0"/>
            </w:pPr>
            <w:r>
              <w:rPr>
                <w:rFonts w:ascii="Calibri" w:cs="Calibri" w:eastAsia="Calibri" w:hAnsi="Calibri"/>
                <w:color w:val="222222"/>
                <w:sz w:val="18"/>
                <w:szCs w:val="18"/>
              </w:rPr>
              <w:t xml:space="preserve">100.0</w:t>
            </w:r>
          </w:p>
        </w:tc>
        <w:tc>
          <w:tcPr>
            <w:tcW w:type="dxa" w:w="860"/>
            <w:tcMar>
              <w:top w:type="dxa" w:w="40"/>
              <w:left w:type="dxa" w:w="70"/>
              <w:bottom w:type="dxa" w:w="40"/>
              <w:right w:type="dxa" w:w="70"/>
            </w:tcMar>
          </w:tcPr>
          <w:p>
            <w:pPr>
              <w:spacing w:after="0"/>
            </w:pPr>
            <w:r>
              <w:rPr>
                <w:rFonts w:ascii="Calibri" w:cs="Calibri" w:eastAsia="Calibri" w:hAnsi="Calibri"/>
                <w:color w:val="222222"/>
                <w:sz w:val="18"/>
                <w:szCs w:val="18"/>
              </w:rPr>
              <w:t xml:space="preserve">Bullish</w:t>
            </w:r>
          </w:p>
        </w:tc>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FRED</w:t>
            </w:r>
          </w:p>
        </w:tc>
        <w:tc>
          <w:tcPr>
            <w:tcW w:type="dxa" w:w="860"/>
            <w:tcMar>
              <w:top w:type="dxa" w:w="40"/>
              <w:left w:type="dxa" w:w="70"/>
              <w:bottom w:type="dxa" w:w="40"/>
              <w:right w:type="dxa" w:w="70"/>
            </w:tcMar>
          </w:tcPr>
          <w:p>
            <w:pPr>
              <w:spacing w:after="0"/>
            </w:pPr>
            <w:r>
              <w:rPr>
                <w:rFonts w:ascii="Calibri" w:cs="Calibri" w:eastAsia="Calibri" w:hAnsi="Calibri"/>
                <w:color w:val="222222"/>
                <w:sz w:val="18"/>
                <w:szCs w:val="18"/>
              </w:rPr>
              <w:t xml:space="preserve">Yahoo</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7,499.36</w:t>
            </w:r>
          </w:p>
        </w:tc>
        <w:tc>
          <w:tcPr>
            <w:tcW w:type="dxa" w:w="1980"/>
            <w:tcMar>
              <w:top w:type="dxa" w:w="40"/>
              <w:left w:type="dxa" w:w="70"/>
              <w:bottom w:type="dxa" w:w="40"/>
              <w:right w:type="dxa" w:w="70"/>
            </w:tcMar>
          </w:tcPr>
          <w:p>
            <w:pPr>
              <w:spacing w:after="0"/>
            </w:pPr>
            <w:r>
              <w:rPr>
                <w:rFonts w:ascii="Calibri" w:cs="Calibri" w:eastAsia="Calibri" w:hAnsi="Calibri"/>
                <w:color w:val="1A8A4A"/>
                <w:sz w:val="18"/>
                <w:szCs w:val="18"/>
              </w:rPr>
              <w:t xml:space="preserve">CORROBORATED (Δ 0.00)</w:t>
            </w:r>
          </w:p>
        </w:tc>
      </w:tr>
    </w:tbl>
    <w:p>
      <w:pPr>
        <w:spacing w:after="120" w:before="0"/>
      </w:pPr>
      <w:r>
        <w:rPr>
          <w:rFonts w:ascii="Calibri" w:cs="Calibri" w:eastAsia="Calibri" w:hAnsi="Calibri"/>
          <w:i/>
          <w:iCs/>
          <w:color w:val="666666"/>
          <w:sz w:val="18"/>
          <w:szCs w:val="18"/>
        </w:rPr>
        <w:t xml:space="preserve">Closes are corroborated to the cent across independent sources. Intra-session Open/High/Low are reconstructed from reported percentage moves and intraday session context; the High/Low envelope on 26–30 Jun is consistent with the documented compression-then-expansion. RSI2 is computed from the validated close sequence and reaches 100 on 30 Jun — an overbought extreme, not a bullish 'all-clear'.</w:t>
      </w:r>
    </w:p>
    <w:p>
      <w:pPr>
        <w:pStyle w:val="Heading1"/>
        <w:spacing w:after="120" w:before="220"/>
      </w:pPr>
      <w:r>
        <w:rPr>
          <w:rFonts w:ascii="Calibri" w:cs="Calibri" w:eastAsia="Calibri" w:hAnsi="Calibri"/>
          <w:b/>
          <w:bCs/>
          <w:color w:val="1F2A44"/>
          <w:sz w:val="26"/>
          <w:szCs w:val="26"/>
        </w:rPr>
        <w:t xml:space="preserve">§7  Charts</w:t>
      </w:r>
    </w:p>
    <w:p>
      <w:pPr>
        <w:spacing w:after="120" w:before="0"/>
      </w:pPr>
      <w:r>
        <w:rPr>
          <w:rFonts w:ascii="Calibri" w:cs="Calibri" w:eastAsia="Calibri" w:hAnsi="Calibri"/>
          <w:b/>
          <w:bCs/>
          <w:color w:val="1F2A44"/>
          <w:sz w:val="20"/>
          <w:szCs w:val="20"/>
        </w:rPr>
        <w:t xml:space="preserve">Chart 1 — 5-Session Candlestick</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48000"/>
                    </a:xfrm>
                    <a:prstGeom prst="rect">
                      <a:avLst/>
                    </a:prstGeom>
                  </pic:spPr>
                </pic:pic>
              </a:graphicData>
            </a:graphic>
          </wp:inline>
        </w:drawing>
      </w:r>
    </w:p>
    <w:p>
      <w:pPr>
        <w:spacing w:after="120" w:before="0"/>
      </w:pPr>
      <w:r>
        <w:rPr>
          <w:rFonts w:ascii="Calibri" w:cs="Calibri" w:eastAsia="Calibri" w:hAnsi="Calibri"/>
          <w:b/>
          <w:bCs/>
          <w:color w:val="1F2A44"/>
          <w:sz w:val="20"/>
          <w:szCs w:val="20"/>
        </w:rPr>
        <w:t xml:space="preserve">Chart 2 — Distance From Open (Open = 0)</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spacing w:after="120" w:before="0"/>
      </w:pPr>
      <w:r>
        <w:rPr>
          <w:rFonts w:ascii="Calibri" w:cs="Calibri" w:eastAsia="Calibri" w:hAnsi="Calibri"/>
          <w:b/>
          <w:bCs/>
          <w:color w:val="1F2A44"/>
          <w:sz w:val="20"/>
          <w:szCs w:val="20"/>
        </w:rPr>
        <w:t xml:space="preserve">Chart 3 — 25-Session Structure</w:t>
      </w:r>
    </w:p>
    <w:p>
      <w:pPr>
        <w:spacing w:after="80" w:before="80"/>
        <w:jc w:val="center"/>
      </w:pPr>
      <w:r>
        <w:drawing>
          <wp:inline distT="0" distB="0" distL="0" distR="0">
            <wp:extent cx="5715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48000"/>
                    </a:xfrm>
                    <a:prstGeom prst="rect">
                      <a:avLst/>
                    </a:prstGeom>
                  </pic:spPr>
                </pic:pic>
              </a:graphicData>
            </a:graphic>
          </wp:inline>
        </w:drawing>
      </w:r>
    </w:p>
    <w:p>
      <w:pPr>
        <w:spacing w:after="120" w:before="0"/>
      </w:pPr>
      <w:r>
        <w:rPr>
          <w:rFonts w:ascii="Calibri" w:cs="Calibri" w:eastAsia="Calibri" w:hAnsi="Calibri"/>
          <w:b/>
          <w:bCs/>
          <w:color w:val="1F2A44"/>
          <w:sz w:val="20"/>
          <w:szCs w:val="20"/>
        </w:rPr>
        <w:t xml:space="preserve">Chart 4 — Comparative Volatility (VOLator)</w:t>
      </w:r>
    </w:p>
    <w:p>
      <w:pPr>
        <w:spacing w:after="80" w:before="80"/>
        <w:jc w:val="center"/>
      </w:pPr>
      <w:r>
        <w:drawing>
          <wp:inline distT="0" distB="0" distL="0" distR="0">
            <wp:extent cx="5715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71825"/>
                    </a:xfrm>
                    <a:prstGeom prst="rect">
                      <a:avLst/>
                    </a:prstGeom>
                  </pic:spPr>
                </pic:pic>
              </a:graphicData>
            </a:graphic>
          </wp:inline>
        </w:drawing>
      </w:r>
    </w:p>
    <w:p>
      <w:pPr>
        <w:spacing w:after="120" w:before="0"/>
      </w:pPr>
      <w:r>
        <w:rPr>
          <w:rFonts w:ascii="Calibri" w:cs="Calibri" w:eastAsia="Calibri" w:hAnsi="Calibri"/>
          <w:b/>
          <w:bCs/>
          <w:color w:val="1F2A44"/>
          <w:sz w:val="20"/>
          <w:szCs w:val="20"/>
        </w:rPr>
        <w:t xml:space="preserve">Chart 5 — Pivot Structure</w:t>
      </w:r>
    </w:p>
    <w:p>
      <w:pPr>
        <w:spacing w:after="80" w:before="80"/>
        <w:jc w:val="center"/>
      </w:pPr>
      <w:r>
        <w:drawing>
          <wp:inline distT="0" distB="0" distL="0" distR="0">
            <wp:extent cx="5334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48100"/>
                    </a:xfrm>
                    <a:prstGeom prst="rect">
                      <a:avLst/>
                    </a:prstGeom>
                  </pic:spPr>
                </pic:pic>
              </a:graphicData>
            </a:graphic>
          </wp:inline>
        </w:drawing>
      </w:r>
    </w:p>
    <w:p>
      <w:pPr>
        <w:spacing w:after="120" w:before="0"/>
      </w:pPr>
      <w:r>
        <w:rPr>
          <w:rFonts w:ascii="Calibri" w:cs="Calibri" w:eastAsia="Calibri" w:hAnsi="Calibri"/>
          <w:i/>
          <w:iCs/>
          <w:color w:val="666666"/>
          <w:sz w:val="16"/>
          <w:szCs w:val="16"/>
        </w:rPr>
        <w:t xml:space="preserve">Note: 25-session structure and VOLator series use documented June context around the corroborated 5-session close path; they are directional-context visuals, not settlement data.</w:t>
      </w:r>
    </w:p>
    <w:p>
      <w:pPr>
        <w:pStyle w:val="Heading1"/>
        <w:spacing w:after="120" w:before="220"/>
      </w:pPr>
      <w:r>
        <w:rPr>
          <w:rFonts w:ascii="Calibri" w:cs="Calibri" w:eastAsia="Calibri" w:hAnsi="Calibri"/>
          <w:b/>
          <w:bCs/>
          <w:color w:val="1F2A44"/>
          <w:sz w:val="26"/>
          <w:szCs w:val="26"/>
        </w:rPr>
        <w:t xml:space="preserve">§8  Short-Term Technical Analysis</w:t>
      </w:r>
    </w:p>
    <w:p>
      <w:pPr>
        <w:pStyle w:val="ListParagraph"/>
        <w:numPr>
          <w:ilvl w:val="0"/>
          <w:numId w:val="1"/>
        </w:numPr>
        <w:spacing w:after="70"/>
      </w:pPr>
      <w:r>
        <w:rPr>
          <w:rFonts w:ascii="Calibri" w:cs="Calibri" w:eastAsia="Calibri" w:hAnsi="Calibri"/>
          <w:b/>
          <w:bCs/>
          <w:sz w:val="20"/>
          <w:szCs w:val="20"/>
        </w:rPr>
        <w:t xml:space="preserve">24 Jun (see §6): </w:t>
      </w:r>
      <w:r>
        <w:rPr>
          <w:rFonts w:ascii="Calibri" w:cs="Calibri" w:eastAsia="Calibri" w:hAnsi="Calibri"/>
          <w:sz w:val="20"/>
          <w:szCs w:val="20"/>
        </w:rPr>
        <w:t xml:space="preserve">Bearish body, gave back an early gain; close near lower third of range. Modest downside, part of a three-session drift lower.</w:t>
      </w:r>
    </w:p>
    <w:p>
      <w:pPr>
        <w:pStyle w:val="ListParagraph"/>
        <w:numPr>
          <w:ilvl w:val="0"/>
          <w:numId w:val="1"/>
        </w:numPr>
        <w:spacing w:after="70"/>
      </w:pPr>
      <w:r>
        <w:rPr>
          <w:rFonts w:ascii="Calibri" w:cs="Calibri" w:eastAsia="Calibri" w:hAnsi="Calibri"/>
          <w:b/>
          <w:bCs/>
          <w:sz w:val="20"/>
          <w:szCs w:val="20"/>
        </w:rPr>
        <w:t xml:space="preserve">25 Jun (see §6): </w:t>
      </w:r>
      <w:r>
        <w:rPr>
          <w:rFonts w:ascii="Calibri" w:cs="Calibri" w:eastAsia="Calibri" w:hAnsi="Calibri"/>
          <w:sz w:val="20"/>
          <w:szCs w:val="20"/>
        </w:rPr>
        <w:t xml:space="preserve">Near-doji, essentially flat close (−0.01%); wide lower wick signals absorption but no reversal yet. Indecision.</w:t>
      </w:r>
    </w:p>
    <w:p>
      <w:pPr>
        <w:pStyle w:val="ListParagraph"/>
        <w:numPr>
          <w:ilvl w:val="0"/>
          <w:numId w:val="1"/>
        </w:numPr>
        <w:spacing w:after="70"/>
      </w:pPr>
      <w:r>
        <w:rPr>
          <w:rFonts w:ascii="Calibri" w:cs="Calibri" w:eastAsia="Calibri" w:hAnsi="Calibri"/>
          <w:b/>
          <w:bCs/>
          <w:sz w:val="20"/>
          <w:szCs w:val="20"/>
        </w:rPr>
        <w:t xml:space="preserve">26 Jun (see §6): </w:t>
      </w:r>
      <w:r>
        <w:rPr>
          <w:rFonts w:ascii="Calibri" w:cs="Calibri" w:eastAsia="Calibri" w:hAnsi="Calibri"/>
          <w:sz w:val="20"/>
          <w:szCs w:val="20"/>
        </w:rPr>
        <w:t xml:space="preserve">Marginal decline with the session's widest range and lowest low (7,300.85) — a washout wick that closed back mid-range. This is the compression/low pivot of the window.</w:t>
      </w:r>
    </w:p>
    <w:p>
      <w:pPr>
        <w:pStyle w:val="ListParagraph"/>
        <w:numPr>
          <w:ilvl w:val="0"/>
          <w:numId w:val="1"/>
        </w:numPr>
        <w:spacing w:after="70"/>
      </w:pPr>
      <w:r>
        <w:rPr>
          <w:rFonts w:ascii="Calibri" w:cs="Calibri" w:eastAsia="Calibri" w:hAnsi="Calibri"/>
          <w:b/>
          <w:bCs/>
          <w:sz w:val="20"/>
          <w:szCs w:val="20"/>
        </w:rPr>
        <w:t xml:space="preserve">29 Jun (see §6): </w:t>
      </w:r>
      <w:r>
        <w:rPr>
          <w:rFonts w:ascii="Calibri" w:cs="Calibri" w:eastAsia="Calibri" w:hAnsi="Calibri"/>
          <w:sz w:val="20"/>
          <w:szCs w:val="20"/>
        </w:rPr>
        <w:t xml:space="preserve">Large bullish expansion candle (+1.18%), close in upper quarter of range; RSI2 snaps to 96. Megacap-tech-led thrust off the 26 Jun low.</w:t>
      </w:r>
    </w:p>
    <w:p>
      <w:pPr>
        <w:pStyle w:val="ListParagraph"/>
        <w:numPr>
          <w:ilvl w:val="0"/>
          <w:numId w:val="1"/>
        </w:numPr>
        <w:spacing w:after="70"/>
      </w:pPr>
      <w:r>
        <w:rPr>
          <w:rFonts w:ascii="Calibri" w:cs="Calibri" w:eastAsia="Calibri" w:hAnsi="Calibri"/>
          <w:b/>
          <w:bCs/>
          <w:sz w:val="20"/>
          <w:szCs w:val="20"/>
        </w:rPr>
        <w:t xml:space="preserve">30 Jun (see §6): </w:t>
      </w:r>
      <w:r>
        <w:rPr>
          <w:rFonts w:ascii="Calibri" w:cs="Calibri" w:eastAsia="Calibri" w:hAnsi="Calibri"/>
          <w:sz w:val="20"/>
          <w:szCs w:val="20"/>
        </w:rPr>
        <w:t xml:space="preserve">Second consecutive bullish expansion (+0.79%), fresh session high 7,521.81, RSI2 = 100. Strong close, but the reading is an overbought extreme.</w:t>
      </w:r>
    </w:p>
    <w:p>
      <w:pPr>
        <w:spacing w:after="120" w:before="0"/>
      </w:pPr>
      <w:r>
        <w:rPr>
          <w:rFonts w:ascii="Calibri" w:cs="Calibri" w:eastAsia="Calibri" w:hAnsi="Calibri"/>
          <w:b/>
          <w:bCs/>
          <w:sz w:val="20"/>
          <w:szCs w:val="20"/>
        </w:rPr>
        <w:t xml:space="preserve">Sequence assessment: </w:t>
      </w:r>
      <w:r>
        <w:rPr>
          <w:rFonts w:ascii="Calibri" w:cs="Calibri" w:eastAsia="Calibri" w:hAnsi="Calibri"/>
          <w:sz w:val="20"/>
          <w:szCs w:val="20"/>
        </w:rPr>
        <w:t xml:space="preserve">Compression-then-breakout — three flat-to-lower sessions coiling at 7,354 followed by two expansion candles reclaiming the range. Evidence: contracting closes 24–26 Jun then a &gt;180-point two-day advance on rising range.</w:t>
      </w:r>
    </w:p>
    <w:p>
      <w:pPr>
        <w:spacing w:after="120" w:before="0"/>
      </w:pPr>
      <w:r>
        <w:rPr>
          <w:rFonts w:ascii="Calibri" w:cs="Calibri" w:eastAsia="Calibri" w:hAnsi="Calibri"/>
          <w:b/>
          <w:bCs/>
          <w:sz w:val="20"/>
          <w:szCs w:val="20"/>
        </w:rPr>
        <w:t xml:space="preserve">Nearest support / resistance (from window): </w:t>
      </w:r>
      <w:r>
        <w:rPr>
          <w:rFonts w:ascii="Calibri" w:cs="Calibri" w:eastAsia="Calibri" w:hAnsi="Calibri"/>
          <w:sz w:val="20"/>
          <w:szCs w:val="20"/>
        </w:rPr>
        <w:t xml:space="preserve">support 7,439–7,440 (30 Jun low / 29 Jun close), then 7,354 (26 Jun low); resistance 7,521.81 (30 Jun high), then the early-June 7,620.90 high.</w:t>
      </w:r>
    </w:p>
    <w:p>
      <w:pPr>
        <w:spacing w:after="120" w:before="0"/>
      </w:pPr>
      <w:r>
        <w:rPr>
          <w:rFonts w:ascii="Calibri" w:cs="Calibri" w:eastAsia="Calibri" w:hAnsi="Calibri"/>
          <w:b/>
          <w:bCs/>
          <w:sz w:val="20"/>
          <w:szCs w:val="20"/>
        </w:rPr>
        <w:t xml:space="preserve">Judgement label: </w:t>
      </w:r>
      <w:r>
        <w:rPr>
          <w:rFonts w:ascii="Calibri" w:cs="Calibri" w:eastAsia="Calibri" w:hAnsi="Calibri"/>
          <w:b/>
          <w:bCs/>
          <w:color w:val="1A8A4A"/>
          <w:sz w:val="20"/>
          <w:szCs w:val="20"/>
        </w:rPr>
        <w:t xml:space="preserve">Bullish continuation</w:t>
      </w:r>
      <w:r>
        <w:rPr>
          <w:rFonts w:ascii="Calibri" w:cs="Calibri" w:eastAsia="Calibri" w:hAnsi="Calibri"/>
          <w:sz w:val="20"/>
          <w:szCs w:val="20"/>
        </w:rPr>
        <w:t xml:space="preserve"> — with an explicit overbought caveat (RSI2 = 100). This label is only partly consistent with §9: the medium-term read is Transitional and Kaufman is Neutral, so the continuation signal is a short-term thrust inside an unresolved medium-term regime.</w:t>
      </w:r>
    </w:p>
    <w:p>
      <w:pPr>
        <w:pStyle w:val="Heading1"/>
        <w:spacing w:after="120" w:before="220"/>
      </w:pPr>
      <w:r>
        <w:rPr>
          <w:rFonts w:ascii="Calibri" w:cs="Calibri" w:eastAsia="Calibri" w:hAnsi="Calibri"/>
          <w:b/>
          <w:bCs/>
          <w:color w:val="1F2A44"/>
          <w:sz w:val="26"/>
          <w:szCs w:val="26"/>
        </w:rPr>
        <w:t xml:space="preserve">§9  Medium-Term Regime &amp; VOLator</w:t>
      </w:r>
    </w:p>
    <w:p>
      <w:pPr>
        <w:pStyle w:val="ListParagraph"/>
        <w:numPr>
          <w:ilvl w:val="0"/>
          <w:numId w:val="1"/>
        </w:numPr>
        <w:spacing w:after="70"/>
      </w:pPr>
      <w:r>
        <w:rPr>
          <w:rFonts w:ascii="Calibri" w:cs="Calibri" w:eastAsia="Calibri" w:hAnsi="Calibri"/>
          <w:b/>
          <w:bCs/>
          <w:sz w:val="20"/>
          <w:szCs w:val="20"/>
        </w:rPr>
        <w:t xml:space="preserve">Regime classification: </w:t>
      </w:r>
      <w:r>
        <w:rPr>
          <w:rFonts w:ascii="Calibri" w:cs="Calibri" w:eastAsia="Calibri" w:hAnsi="Calibri"/>
          <w:sz w:val="20"/>
          <w:szCs w:val="20"/>
        </w:rPr>
        <w:t xml:space="preserve">Transitional. Overlap ratio elevated (closes clustered 7,354–7,500 for much of the window), directional persistence low until the final two sessions, VOLator slope positive (expanding), median RSI2 mid-range, range-position bias now upper-half after the thrust.</w:t>
      </w:r>
    </w:p>
    <w:p>
      <w:pPr>
        <w:pStyle w:val="ListParagraph"/>
        <w:numPr>
          <w:ilvl w:val="0"/>
          <w:numId w:val="1"/>
        </w:numPr>
        <w:spacing w:after="70"/>
      </w:pPr>
      <w:r>
        <w:rPr>
          <w:rFonts w:ascii="Calibri" w:cs="Calibri" w:eastAsia="Calibri" w:hAnsi="Calibri"/>
          <w:b/>
          <w:bCs/>
          <w:sz w:val="20"/>
          <w:szCs w:val="20"/>
        </w:rPr>
        <w:t xml:space="preserve">Bias: </w:t>
      </w:r>
      <w:r>
        <w:rPr>
          <w:rFonts w:ascii="Calibri" w:cs="Calibri" w:eastAsia="Calibri" w:hAnsi="Calibri"/>
          <w:sz w:val="20"/>
          <w:szCs w:val="20"/>
        </w:rPr>
        <w:t xml:space="preserve">Mildly Bullish.</w:t>
      </w:r>
    </w:p>
    <w:p>
      <w:pPr>
        <w:pStyle w:val="ListParagraph"/>
        <w:numPr>
          <w:ilvl w:val="0"/>
          <w:numId w:val="1"/>
        </w:numPr>
        <w:spacing w:after="70"/>
      </w:pPr>
      <w:r>
        <w:rPr>
          <w:rFonts w:ascii="Calibri" w:cs="Calibri" w:eastAsia="Calibri" w:hAnsi="Calibri"/>
          <w:b/>
          <w:bCs/>
          <w:sz w:val="20"/>
          <w:szCs w:val="20"/>
        </w:rPr>
        <w:t xml:space="preserve">VOLator readings (scaled −1..+1): </w:t>
      </w:r>
      <w:r>
        <w:rPr>
          <w:rFonts w:ascii="Calibri" w:cs="Calibri" w:eastAsia="Calibri" w:hAnsi="Calibri"/>
          <w:sz w:val="20"/>
          <w:szCs w:val="20"/>
        </w:rPr>
        <w:t xml:space="preserve">S&amp;P 500 ≈ +0.55 (above midpoint, expanding); VIX ≈ −0.22 (below midpoint, contracting); USDX ≈ −0.04 (near flat); DAX 40 ≈ +0.28 (above midpoint, expanding).</w:t>
      </w:r>
    </w:p>
    <w:p>
      <w:pPr>
        <w:pStyle w:val="ListParagraph"/>
        <w:numPr>
          <w:ilvl w:val="0"/>
          <w:numId w:val="1"/>
        </w:numPr>
        <w:spacing w:after="70"/>
      </w:pPr>
      <w:r>
        <w:rPr>
          <w:rFonts w:ascii="Calibri" w:cs="Calibri" w:eastAsia="Calibri" w:hAnsi="Calibri"/>
          <w:b/>
          <w:bCs/>
          <w:sz w:val="20"/>
          <w:szCs w:val="20"/>
        </w:rPr>
        <w:t xml:space="preserve">Preferred trade protocol: </w:t>
      </w:r>
      <w:r>
        <w:rPr>
          <w:rFonts w:ascii="Calibri" w:cs="Calibri" w:eastAsia="Calibri" w:hAnsi="Calibri"/>
          <w:sz w:val="20"/>
          <w:szCs w:val="20"/>
        </w:rPr>
        <w:t xml:space="preserve">Reduced-conviction trend continuation — short-term Trending Bullish over a Transitional medium-term frame maps to 'favour trend resumption on pullbacks, avoid chasing the overbought extreme'.</w:t>
      </w:r>
    </w:p>
    <w:p>
      <w:pPr>
        <w:pStyle w:val="ListParagraph"/>
        <w:numPr>
          <w:ilvl w:val="0"/>
          <w:numId w:val="1"/>
        </w:numPr>
        <w:spacing w:after="70"/>
      </w:pPr>
      <w:r>
        <w:rPr>
          <w:rFonts w:ascii="Calibri" w:cs="Calibri" w:eastAsia="Calibri" w:hAnsi="Calibri"/>
          <w:b/>
          <w:bCs/>
          <w:sz w:val="20"/>
          <w:szCs w:val="20"/>
        </w:rPr>
        <w:t xml:space="preserve">Kaufman confirmation: </w:t>
      </w:r>
      <w:r>
        <w:rPr>
          <w:rFonts w:ascii="Calibri" w:cs="Calibri" w:eastAsia="Calibri" w:hAnsi="Calibri"/>
          <w:sz w:val="20"/>
          <w:szCs w:val="20"/>
        </w:rPr>
        <w:t xml:space="preserve">Smoothed KER ≈ −0.01 → Ranging — Neutral. This </w:t>
      </w:r>
      <w:r>
        <w:rPr>
          <w:rFonts w:ascii="Calibri" w:cs="Calibri" w:eastAsia="Calibri" w:hAnsi="Calibri"/>
          <w:b/>
          <w:bCs/>
          <w:color w:val="C0392B"/>
          <w:sz w:val="20"/>
          <w:szCs w:val="20"/>
        </w:rPr>
        <w:t xml:space="preserve">contradicts</w:t>
      </w:r>
      <w:r>
        <w:rPr>
          <w:rFonts w:ascii="Calibri" w:cs="Calibri" w:eastAsia="Calibri" w:hAnsi="Calibri"/>
          <w:sz w:val="20"/>
          <w:szCs w:val="20"/>
        </w:rPr>
        <w:t xml:space="preserve"> the two-session bullish thrust. Precedence: for the short-term execution window the price/RSI2 thrust leads, but the near-zero KER means the move lacks path-efficiency confirmation — treat the breakout as unconfirmed until a close holds above 7,521.</w:t>
      </w:r>
    </w:p>
    <w:p>
      <w:pPr>
        <w:pStyle w:val="Heading1"/>
        <w:spacing w:after="120" w:before="220"/>
      </w:pPr>
      <w:r>
        <w:rPr>
          <w:rFonts w:ascii="Calibri" w:cs="Calibri" w:eastAsia="Calibri" w:hAnsi="Calibri"/>
          <w:b/>
          <w:bCs/>
          <w:color w:val="1F2A44"/>
          <w:sz w:val="26"/>
          <w:szCs w:val="26"/>
        </w:rPr>
        <w:t xml:space="preserve">§10  Cross-Asset Analysis</w:t>
      </w:r>
    </w:p>
    <w:tbl>
      <w:tblPr>
        <w:tblW w:type="dxa" w:w="9410"/>
        <w:tblBorders>
          <w:top w:val="single" w:color="BBBBBB" w:sz="2"/>
          <w:left w:val="single" w:color="BBBBBB" w:sz="2"/>
          <w:bottom w:val="single" w:color="BBBBBB" w:sz="2"/>
          <w:right w:val="single" w:color="BBBBBB" w:sz="2"/>
          <w:insideH w:val="single" w:color="DDDDDD" w:sz="1"/>
          <w:insideV w:val="single" w:color="DDDDDD" w:sz="1"/>
        </w:tblBorders>
      </w:tblPr>
      <w:tblGrid>
        <w:gridCol w:w="1150"/>
        <w:gridCol w:w="1750"/>
        <w:gridCol w:w="3060"/>
        <w:gridCol w:w="1350"/>
        <w:gridCol w:w="2100"/>
      </w:tblGrid>
      <w:tr>
        <w:trPr>
          <w:tblHeader/>
        </w:trPr>
        <w:tc>
          <w:tcPr>
            <w:tcW w:type="dxa" w:w="115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Counter</w:t>
            </w:r>
          </w:p>
        </w:tc>
        <w:tc>
          <w:tcPr>
            <w:tcW w:type="dxa" w:w="175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5-day direction</w:t>
            </w:r>
          </w:p>
        </w:tc>
        <w:tc>
          <w:tcPr>
            <w:tcW w:type="dxa" w:w="306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Mechanism</w:t>
            </w:r>
          </w:p>
        </w:tc>
        <w:tc>
          <w:tcPr>
            <w:tcW w:type="dxa" w:w="135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Confirmation</w:t>
            </w:r>
          </w:p>
        </w:tc>
        <w:tc>
          <w:tcPr>
            <w:tcW w:type="dxa" w:w="21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Implication</w:t>
            </w:r>
          </w:p>
        </w:tc>
      </w:tr>
      <w:tr>
        <w:tc>
          <w:tcPr>
            <w:tcW w:type="dxa" w:w="1150"/>
            <w:tcMar>
              <w:top w:type="dxa" w:w="40"/>
              <w:left w:type="dxa" w:w="70"/>
              <w:bottom w:type="dxa" w:w="40"/>
              <w:right w:type="dxa" w:w="70"/>
            </w:tcMar>
          </w:tcPr>
          <w:p>
            <w:pPr>
              <w:spacing w:after="0"/>
            </w:pPr>
            <w:r>
              <w:rPr>
                <w:rFonts w:ascii="Calibri" w:cs="Calibri" w:eastAsia="Calibri" w:hAnsi="Calibri"/>
                <w:color w:val="222222"/>
                <w:sz w:val="18"/>
                <w:szCs w:val="18"/>
              </w:rPr>
              <w:t xml:space="preserve">USDX</w:t>
            </w:r>
          </w:p>
        </w:tc>
        <w:tc>
          <w:tcPr>
            <w:tcW w:type="dxa" w:w="1750"/>
            <w:tcMar>
              <w:top w:type="dxa" w:w="40"/>
              <w:left w:type="dxa" w:w="70"/>
              <w:bottom w:type="dxa" w:w="40"/>
              <w:right w:type="dxa" w:w="70"/>
            </w:tcMar>
          </w:tcPr>
          <w:p>
            <w:pPr>
              <w:spacing w:after="0"/>
            </w:pPr>
            <w:r>
              <w:rPr>
                <w:rFonts w:ascii="Calibri" w:cs="Calibri" w:eastAsia="Calibri" w:hAnsi="Calibri"/>
                <w:color w:val="222222"/>
                <w:sz w:val="18"/>
                <w:szCs w:val="18"/>
              </w:rPr>
              <w:t xml:space="preserve">Flat / soft (~101.1)</w:t>
            </w:r>
          </w:p>
        </w:tc>
        <w:tc>
          <w:tcPr>
            <w:tcW w:type="dxa" w:w="3060"/>
            <w:tcMar>
              <w:top w:type="dxa" w:w="40"/>
              <w:left w:type="dxa" w:w="70"/>
              <w:bottom w:type="dxa" w:w="40"/>
              <w:right w:type="dxa" w:w="70"/>
            </w:tcMar>
          </w:tcPr>
          <w:p>
            <w:pPr>
              <w:spacing w:after="0"/>
            </w:pPr>
            <w:r>
              <w:rPr>
                <w:rFonts w:ascii="Calibri" w:cs="Calibri" w:eastAsia="Calibri" w:hAnsi="Calibri"/>
                <w:color w:val="222222"/>
                <w:sz w:val="18"/>
                <w:szCs w:val="18"/>
              </w:rPr>
              <w:t xml:space="preserve">A softer dollar eases financial conditions and supports multinational earnings translation</w:t>
            </w:r>
          </w:p>
        </w:tc>
        <w:tc>
          <w:tcPr>
            <w:tcW w:type="dxa" w:w="1350"/>
            <w:tcMar>
              <w:top w:type="dxa" w:w="40"/>
              <w:left w:type="dxa" w:w="70"/>
              <w:bottom w:type="dxa" w:w="40"/>
              <w:right w:type="dxa" w:w="70"/>
            </w:tcMar>
          </w:tcPr>
          <w:p>
            <w:pPr>
              <w:spacing w:after="0"/>
            </w:pPr>
            <w:r>
              <w:rPr>
                <w:rFonts w:ascii="Calibri" w:cs="Calibri" w:eastAsia="Calibri" w:hAnsi="Calibri"/>
                <w:color w:val="222222"/>
                <w:sz w:val="18"/>
                <w:szCs w:val="18"/>
              </w:rPr>
              <w:t xml:space="preserve">Confirms (mild)</w:t>
            </w:r>
          </w:p>
        </w:tc>
        <w:tc>
          <w:tcPr>
            <w:tcW w:type="dxa" w:w="2100"/>
            <w:tcMar>
              <w:top w:type="dxa" w:w="40"/>
              <w:left w:type="dxa" w:w="70"/>
              <w:bottom w:type="dxa" w:w="40"/>
              <w:right w:type="dxa" w:w="70"/>
            </w:tcMar>
          </w:tcPr>
          <w:p>
            <w:pPr>
              <w:spacing w:after="0"/>
            </w:pPr>
            <w:r>
              <w:rPr>
                <w:rFonts w:ascii="Calibri" w:cs="Calibri" w:eastAsia="Calibri" w:hAnsi="Calibri"/>
                <w:color w:val="222222"/>
                <w:sz w:val="18"/>
                <w:szCs w:val="18"/>
              </w:rPr>
              <w:t xml:space="preserve">Neutral-to-supportive tailwind for the index</w:t>
            </w:r>
          </w:p>
        </w:tc>
      </w:tr>
      <w:tr>
        <w:tc>
          <w:tcPr>
            <w:tcW w:type="dxa" w:w="11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VIX</w:t>
            </w:r>
          </w:p>
        </w:tc>
        <w:tc>
          <w:tcPr>
            <w:tcW w:type="dxa" w:w="17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Falling (18.9 → 16.4)</w:t>
            </w:r>
          </w:p>
        </w:tc>
        <w:tc>
          <w:tcPr>
            <w:tcW w:type="dxa" w:w="30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Lower implied vol = risk-on; compresses equity risk premium</w:t>
            </w:r>
          </w:p>
        </w:tc>
        <w:tc>
          <w:tcPr>
            <w:tcW w:type="dxa" w:w="13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Confirms</w:t>
            </w:r>
          </w:p>
        </w:tc>
        <w:tc>
          <w:tcPr>
            <w:tcW w:type="dxa" w:w="21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Supports the bullish thrust; sub-20 is a benign regime</w:t>
            </w:r>
          </w:p>
        </w:tc>
      </w:tr>
      <w:tr>
        <w:tc>
          <w:tcPr>
            <w:tcW w:type="dxa" w:w="1150"/>
            <w:tcMar>
              <w:top w:type="dxa" w:w="40"/>
              <w:left w:type="dxa" w:w="70"/>
              <w:bottom w:type="dxa" w:w="40"/>
              <w:right w:type="dxa" w:w="70"/>
            </w:tcMar>
          </w:tcPr>
          <w:p>
            <w:pPr>
              <w:spacing w:after="0"/>
            </w:pPr>
            <w:r>
              <w:rPr>
                <w:rFonts w:ascii="Calibri" w:cs="Calibri" w:eastAsia="Calibri" w:hAnsi="Calibri"/>
                <w:color w:val="222222"/>
                <w:sz w:val="18"/>
                <w:szCs w:val="18"/>
              </w:rPr>
              <w:t xml:space="preserve">DAX 40</w:t>
            </w:r>
          </w:p>
        </w:tc>
        <w:tc>
          <w:tcPr>
            <w:tcW w:type="dxa" w:w="1750"/>
            <w:tcMar>
              <w:top w:type="dxa" w:w="40"/>
              <w:left w:type="dxa" w:w="70"/>
              <w:bottom w:type="dxa" w:w="40"/>
              <w:right w:type="dxa" w:w="70"/>
            </w:tcMar>
          </w:tcPr>
          <w:p>
            <w:pPr>
              <w:spacing w:after="0"/>
            </w:pPr>
            <w:r>
              <w:rPr>
                <w:rFonts w:ascii="Calibri" w:cs="Calibri" w:eastAsia="Calibri" w:hAnsi="Calibri"/>
                <w:color w:val="222222"/>
                <w:sz w:val="18"/>
                <w:szCs w:val="18"/>
              </w:rPr>
              <w:t xml:space="preserve">Rising (~24,996, +1.5% on 30 Jun)</w:t>
            </w:r>
          </w:p>
        </w:tc>
        <w:tc>
          <w:tcPr>
            <w:tcW w:type="dxa" w:w="3060"/>
            <w:tcMar>
              <w:top w:type="dxa" w:w="40"/>
              <w:left w:type="dxa" w:w="70"/>
              <w:bottom w:type="dxa" w:w="40"/>
              <w:right w:type="dxa" w:w="70"/>
            </w:tcMar>
          </w:tcPr>
          <w:p>
            <w:pPr>
              <w:spacing w:after="0"/>
            </w:pPr>
            <w:r>
              <w:rPr>
                <w:rFonts w:ascii="Calibri" w:cs="Calibri" w:eastAsia="Calibri" w:hAnsi="Calibri"/>
                <w:color w:val="222222"/>
                <w:sz w:val="18"/>
                <w:szCs w:val="18"/>
              </w:rPr>
              <w:t xml:space="preserve">Global risk-appetite common factor; European confirmation of the equity bid</w:t>
            </w:r>
          </w:p>
        </w:tc>
        <w:tc>
          <w:tcPr>
            <w:tcW w:type="dxa" w:w="1350"/>
            <w:tcMar>
              <w:top w:type="dxa" w:w="40"/>
              <w:left w:type="dxa" w:w="70"/>
              <w:bottom w:type="dxa" w:w="40"/>
              <w:right w:type="dxa" w:w="70"/>
            </w:tcMar>
          </w:tcPr>
          <w:p>
            <w:pPr>
              <w:spacing w:after="0"/>
            </w:pPr>
            <w:r>
              <w:rPr>
                <w:rFonts w:ascii="Calibri" w:cs="Calibri" w:eastAsia="Calibri" w:hAnsi="Calibri"/>
                <w:color w:val="222222"/>
                <w:sz w:val="18"/>
                <w:szCs w:val="18"/>
              </w:rPr>
              <w:t xml:space="preserve">Confirms</w:t>
            </w:r>
          </w:p>
        </w:tc>
        <w:tc>
          <w:tcPr>
            <w:tcW w:type="dxa" w:w="2100"/>
            <w:tcMar>
              <w:top w:type="dxa" w:w="40"/>
              <w:left w:type="dxa" w:w="70"/>
              <w:bottom w:type="dxa" w:w="40"/>
              <w:right w:type="dxa" w:w="70"/>
            </w:tcMar>
          </w:tcPr>
          <w:p>
            <w:pPr>
              <w:spacing w:after="0"/>
            </w:pPr>
            <w:r>
              <w:rPr>
                <w:rFonts w:ascii="Calibri" w:cs="Calibri" w:eastAsia="Calibri" w:hAnsi="Calibri"/>
                <w:color w:val="222222"/>
                <w:sz w:val="18"/>
                <w:szCs w:val="18"/>
              </w:rPr>
              <w:t xml:space="preserve">Broad-based risk-on, not a US-only move</w:t>
            </w:r>
          </w:p>
        </w:tc>
      </w:tr>
    </w:tbl>
    <w:p>
      <w:pPr>
        <w:spacing w:after="120" w:before="0"/>
      </w:pPr>
      <w:r>
        <w:rPr>
          <w:rFonts w:ascii="Calibri" w:cs="Calibri" w:eastAsia="Calibri" w:hAnsi="Calibri"/>
          <w:b/>
          <w:bCs/>
          <w:color w:val="1A8A4A"/>
          <w:sz w:val="20"/>
          <w:szCs w:val="20"/>
        </w:rPr>
        <w:t xml:space="preserve">Aggregate cross-asset read: CONFIRM</w:t>
      </w:r>
      <w:r>
        <w:rPr>
          <w:rFonts w:ascii="Calibri" w:cs="Calibri" w:eastAsia="Calibri" w:hAnsi="Calibri"/>
          <w:sz w:val="20"/>
          <w:szCs w:val="20"/>
        </w:rPr>
        <w:t xml:space="preserve"> — all three active counters align with the mild bullish bias and none contradict. No contradiction flag is raised at the counter level; the only internal tension is the KER/regime mismatch in §9.</w:t>
      </w:r>
    </w:p>
    <w:p>
      <w:pPr>
        <w:pStyle w:val="Heading1"/>
        <w:spacing w:after="120" w:before="220"/>
      </w:pPr>
      <w:r>
        <w:rPr>
          <w:rFonts w:ascii="Calibri" w:cs="Calibri" w:eastAsia="Calibri" w:hAnsi="Calibri"/>
          <w:b/>
          <w:bCs/>
          <w:color w:val="1F2A44"/>
          <w:sz w:val="26"/>
          <w:szCs w:val="26"/>
        </w:rPr>
        <w:t xml:space="preserve">§11  Floor Pivot Analysis</w:t>
      </w:r>
    </w:p>
    <w:p>
      <w:pPr>
        <w:spacing w:after="120" w:before="0"/>
      </w:pPr>
      <w:r>
        <w:rPr>
          <w:rFonts w:ascii="Calibri" w:cs="Calibri" w:eastAsia="Calibri" w:hAnsi="Calibri"/>
          <w:b/>
          <w:bCs/>
          <w:color w:val="1F2A44"/>
          <w:sz w:val="20"/>
          <w:szCs w:val="20"/>
        </w:rPr>
        <w:t xml:space="preserve">Daily (from 30 Jun H/L/C):</w:t>
      </w:r>
    </w:p>
    <w:tbl>
      <w:tblPr>
        <w:tblW w:type="dxa" w:w="4000"/>
        <w:tblBorders>
          <w:top w:val="single" w:color="BBBBBB" w:sz="2"/>
          <w:left w:val="single" w:color="BBBBBB" w:sz="2"/>
          <w:bottom w:val="single" w:color="BBBBBB" w:sz="2"/>
          <w:right w:val="single" w:color="BBBBBB" w:sz="2"/>
          <w:insideH w:val="single" w:color="DDDDDD" w:sz="1"/>
          <w:insideV w:val="single" w:color="DDDDDD" w:sz="1"/>
        </w:tblBorders>
      </w:tblPr>
      <w:tblGrid>
        <w:gridCol w:w="2000"/>
        <w:gridCol w:w="2000"/>
      </w:tblGrid>
      <w:tr>
        <w:trPr>
          <w:tblHeader/>
        </w:trPr>
        <w:tc>
          <w:tcPr>
            <w:tcW w:type="dxa" w:w="20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Level</w:t>
            </w:r>
          </w:p>
        </w:tc>
        <w:tc>
          <w:tcPr>
            <w:tcW w:type="dxa" w:w="20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Value</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R5</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7,782.54</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R4</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7,699.83</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R3</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7,617.12</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R2</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7,569.47</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R1</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7,534.41</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b/>
                <w:bCs/>
                <w:color w:val="222222"/>
                <w:sz w:val="18"/>
                <w:szCs w:val="18"/>
              </w:rPr>
              <w:t xml:space="preserve">P</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b/>
                <w:bCs/>
                <w:color w:val="222222"/>
                <w:sz w:val="18"/>
                <w:szCs w:val="18"/>
              </w:rPr>
              <w:t xml:space="preserve">7,486.76</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S1</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7,451.70</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S2</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7,404.05</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S3</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7,368.99</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S4</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7,286.28</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S5</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7,203.57</w:t>
            </w:r>
          </w:p>
        </w:tc>
      </w:tr>
    </w:tbl>
    <w:p>
      <w:pPr>
        <w:spacing w:after="120" w:before="0"/>
      </w:pPr>
      <w:r>
        <w:rPr>
          <w:rFonts w:ascii="Calibri" w:cs="Calibri" w:eastAsia="Calibri" w:hAnsi="Calibri"/>
          <w:b/>
          <w:bCs/>
          <w:color w:val="1F2A44"/>
          <w:sz w:val="20"/>
          <w:szCs w:val="20"/>
        </w:rPr>
        <w:t xml:space="preserve">Weekly (from W/E 26 Jun H/L/C):</w:t>
      </w:r>
    </w:p>
    <w:tbl>
      <w:tblPr>
        <w:tblW w:type="dxa" w:w="4000"/>
        <w:tblBorders>
          <w:top w:val="single" w:color="BBBBBB" w:sz="2"/>
          <w:left w:val="single" w:color="BBBBBB" w:sz="2"/>
          <w:bottom w:val="single" w:color="BBBBBB" w:sz="2"/>
          <w:right w:val="single" w:color="BBBBBB" w:sz="2"/>
          <w:insideH w:val="single" w:color="DDDDDD" w:sz="1"/>
          <w:insideV w:val="single" w:color="DDDDDD" w:sz="1"/>
        </w:tblBorders>
      </w:tblPr>
      <w:tblGrid>
        <w:gridCol w:w="2000"/>
        <w:gridCol w:w="2000"/>
      </w:tblGrid>
      <w:tr>
        <w:trPr>
          <w:tblHeader/>
        </w:trPr>
        <w:tc>
          <w:tcPr>
            <w:tcW w:type="dxa" w:w="20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Level</w:t>
            </w:r>
          </w:p>
        </w:tc>
        <w:tc>
          <w:tcPr>
            <w:tcW w:type="dxa" w:w="20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Value</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R5</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7,694.53</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R4</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7,596.83</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R3</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7,499.13</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R2</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7,448.84</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R1</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7,401.43</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b/>
                <w:bCs/>
                <w:color w:val="222222"/>
                <w:sz w:val="18"/>
                <w:szCs w:val="18"/>
              </w:rPr>
              <w:t xml:space="preserve">P</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b/>
                <w:bCs/>
                <w:color w:val="222222"/>
                <w:sz w:val="18"/>
                <w:szCs w:val="18"/>
              </w:rPr>
              <w:t xml:space="preserve">7,351.14</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S1</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7,303.73</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S2</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7,253.44</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S3</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7,206.03</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S4</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7,108.33</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S5</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7,010.63</w:t>
            </w:r>
          </w:p>
        </w:tc>
      </w:tr>
    </w:tbl>
    <w:p>
      <w:pPr>
        <w:spacing w:after="120" w:before="0"/>
      </w:pPr>
      <w:r>
        <w:rPr>
          <w:rFonts w:ascii="Calibri" w:cs="Calibri" w:eastAsia="Calibri" w:hAnsi="Calibri"/>
          <w:b/>
          <w:bCs/>
          <w:color w:val="1F2A44"/>
          <w:sz w:val="20"/>
          <w:szCs w:val="20"/>
        </w:rPr>
        <w:t xml:space="preserve">Monthly (from June H/L/C):</w:t>
      </w:r>
    </w:p>
    <w:tbl>
      <w:tblPr>
        <w:tblW w:type="dxa" w:w="4000"/>
        <w:tblBorders>
          <w:top w:val="single" w:color="BBBBBB" w:sz="2"/>
          <w:left w:val="single" w:color="BBBBBB" w:sz="2"/>
          <w:bottom w:val="single" w:color="BBBBBB" w:sz="2"/>
          <w:right w:val="single" w:color="BBBBBB" w:sz="2"/>
          <w:insideH w:val="single" w:color="DDDDDD" w:sz="1"/>
          <w:insideV w:val="single" w:color="DDDDDD" w:sz="1"/>
        </w:tblBorders>
      </w:tblPr>
      <w:tblGrid>
        <w:gridCol w:w="2000"/>
        <w:gridCol w:w="2000"/>
      </w:tblGrid>
      <w:tr>
        <w:trPr>
          <w:tblHeader/>
        </w:trPr>
        <w:tc>
          <w:tcPr>
            <w:tcW w:type="dxa" w:w="20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Level</w:t>
            </w:r>
          </w:p>
        </w:tc>
        <w:tc>
          <w:tcPr>
            <w:tcW w:type="dxa" w:w="20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Value</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R5</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8,606.71</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R4</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8,286.66</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R3</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7,966.61</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R2</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7,793.75</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R1</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7,646.56</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b/>
                <w:bCs/>
                <w:color w:val="222222"/>
                <w:sz w:val="18"/>
                <w:szCs w:val="18"/>
              </w:rPr>
              <w:t xml:space="preserve">P</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b/>
                <w:bCs/>
                <w:color w:val="222222"/>
                <w:sz w:val="18"/>
                <w:szCs w:val="18"/>
              </w:rPr>
              <w:t xml:space="preserve">7,473.70</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S1</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7,326.51</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S2</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7,153.65</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S3</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7,006.46</w:t>
            </w:r>
          </w:p>
        </w:tc>
      </w:tr>
      <w:tr>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S4</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6,686.41</w:t>
            </w:r>
          </w:p>
        </w:tc>
      </w:tr>
      <w:tr>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S5</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6,366.36</w:t>
            </w:r>
          </w:p>
        </w:tc>
      </w:tr>
    </w:tbl>
    <w:p>
      <w:pPr>
        <w:spacing w:after="120" w:before="0"/>
      </w:pPr>
      <w:r>
        <w:rPr>
          <w:rFonts w:ascii="Calibri" w:cs="Calibri" w:eastAsia="Calibri" w:hAnsi="Calibri"/>
          <w:b/>
          <w:bCs/>
          <w:sz w:val="20"/>
          <w:szCs w:val="20"/>
        </w:rPr>
        <w:t xml:space="preserve">Source status: </w:t>
      </w:r>
      <w:r>
        <w:rPr>
          <w:rFonts w:ascii="Calibri" w:cs="Calibri" w:eastAsia="Calibri" w:hAnsi="Calibri"/>
          <w:sz w:val="20"/>
          <w:szCs w:val="20"/>
        </w:rPr>
        <w:t xml:space="preserve">Prior-period High/Low/Close inputs are close-corroborated; the intraday High/Low components used in pivot construction are single-source-reconstructed and the daily and weekly tables are therefore flagged </w:t>
      </w:r>
      <w:r>
        <w:rPr>
          <w:rFonts w:ascii="Calibri" w:cs="Calibri" w:eastAsia="Calibri" w:hAnsi="Calibri"/>
          <w:b/>
          <w:bCs/>
          <w:color w:val="B8860B"/>
          <w:sz w:val="20"/>
          <w:szCs w:val="20"/>
        </w:rPr>
        <w:t xml:space="preserve">indicative</w:t>
      </w:r>
      <w:r>
        <w:rPr>
          <w:rFonts w:ascii="Calibri" w:cs="Calibri" w:eastAsia="Calibri" w:hAnsi="Calibri"/>
          <w:sz w:val="20"/>
          <w:szCs w:val="20"/>
        </w:rPr>
        <w:t xml:space="preserve"> for level-precise execution (this flag propagates to §21).</w:t>
      </w:r>
    </w:p>
    <w:p>
      <w:pPr>
        <w:spacing w:after="120" w:before="0"/>
      </w:pPr>
      <w:r>
        <w:rPr>
          <w:rFonts w:ascii="Calibri" w:cs="Calibri" w:eastAsia="Calibri" w:hAnsi="Calibri"/>
          <w:b/>
          <w:bCs/>
          <w:sz w:val="20"/>
          <w:szCs w:val="20"/>
        </w:rPr>
        <w:t xml:space="preserve">Position narrative: </w:t>
      </w:r>
      <w:r>
        <w:rPr>
          <w:rFonts w:ascii="Calibri" w:cs="Calibri" w:eastAsia="Calibri" w:hAnsi="Calibri"/>
          <w:sz w:val="20"/>
          <w:szCs w:val="20"/>
        </w:rPr>
        <w:t xml:space="preserve">The 30 Jun close (7,499.36) sits above the daily P (7,486.76) and presses the weekly R3 (7,499.13) — a confluence pin — while sitting just above the monthly R1 (7,646.56 above; monthly P 7,473.70 below). Notable confluence zone: weekly R3 7,499.13 and the 30 Jun close 7,499.36 are within 0.05%, marking 7,499 as the pivotal line for the 02 Jul session.</w:t>
      </w:r>
    </w:p>
    <w:p>
      <w:pPr>
        <w:pStyle w:val="Heading1"/>
        <w:spacing w:after="120" w:before="220"/>
      </w:pPr>
      <w:r>
        <w:rPr>
          <w:rFonts w:ascii="Calibri" w:cs="Calibri" w:eastAsia="Calibri" w:hAnsi="Calibri"/>
          <w:b/>
          <w:bCs/>
          <w:color w:val="1F2A44"/>
          <w:sz w:val="26"/>
          <w:szCs w:val="26"/>
        </w:rPr>
        <w:t xml:space="preserve">§12  Key Market Considerations</w:t>
      </w:r>
    </w:p>
    <w:p>
      <w:pPr>
        <w:pStyle w:val="ListParagraph"/>
        <w:numPr>
          <w:ilvl w:val="0"/>
          <w:numId w:val="1"/>
        </w:numPr>
        <w:spacing w:after="70"/>
      </w:pPr>
      <w:r>
        <w:rPr>
          <w:rFonts w:ascii="Calibri" w:cs="Calibri" w:eastAsia="Calibri" w:hAnsi="Calibri"/>
          <w:b/>
          <w:bCs/>
          <w:sz w:val="20"/>
          <w:szCs w:val="20"/>
        </w:rPr>
        <w:t xml:space="preserve">Demand / Flows — price-supportive (cyclical): </w:t>
      </w:r>
      <w:r>
        <w:rPr>
          <w:rFonts w:ascii="Calibri" w:cs="Calibri" w:eastAsia="Calibri" w:hAnsi="Calibri"/>
          <w:sz w:val="20"/>
          <w:szCs w:val="20"/>
        </w:rPr>
        <w:t xml:space="preserve">Quarter-end pension rebalancing and a megacap-tech relief rally (Alphabet's Dow inclusion, Tesla/Amazon/Meta rebound) drove the 29–30 Jun thrust; Goldman desk commentary framed dips as buyable.</w:t>
      </w:r>
    </w:p>
    <w:p>
      <w:pPr>
        <w:pStyle w:val="ListParagraph"/>
        <w:numPr>
          <w:ilvl w:val="0"/>
          <w:numId w:val="1"/>
        </w:numPr>
        <w:spacing w:after="70"/>
      </w:pPr>
      <w:r>
        <w:rPr>
          <w:rFonts w:ascii="Calibri" w:cs="Calibri" w:eastAsia="Calibri" w:hAnsi="Calibri"/>
          <w:b/>
          <w:bCs/>
          <w:sz w:val="20"/>
          <w:szCs w:val="20"/>
        </w:rPr>
        <w:t xml:space="preserve">Policy / Macro — mixed (cyclical): </w:t>
      </w:r>
      <w:r>
        <w:rPr>
          <w:rFonts w:ascii="Calibri" w:cs="Calibri" w:eastAsia="Calibri" w:hAnsi="Calibri"/>
          <w:sz w:val="20"/>
          <w:szCs w:val="20"/>
        </w:rPr>
        <w:t xml:space="preserve">Supreme Court left Fed Governor Cook in place, preserving Fed-independence optics; ~78% market-implied probability of further 2026 easing is a structural tailwind, but Chair Warsh offered no fresh policy signal at Sintra.</w:t>
      </w:r>
    </w:p>
    <w:p>
      <w:pPr>
        <w:pStyle w:val="ListParagraph"/>
        <w:numPr>
          <w:ilvl w:val="0"/>
          <w:numId w:val="1"/>
        </w:numPr>
        <w:spacing w:after="70"/>
      </w:pPr>
      <w:r>
        <w:rPr>
          <w:rFonts w:ascii="Calibri" w:cs="Calibri" w:eastAsia="Calibri" w:hAnsi="Calibri"/>
          <w:b/>
          <w:bCs/>
          <w:sz w:val="20"/>
          <w:szCs w:val="20"/>
        </w:rPr>
        <w:t xml:space="preserve">Geopolitics / Energy — price-supportive (cyclical): </w:t>
      </w:r>
      <w:r>
        <w:rPr>
          <w:rFonts w:ascii="Calibri" w:cs="Calibri" w:eastAsia="Calibri" w:hAnsi="Calibri"/>
          <w:sz w:val="20"/>
          <w:szCs w:val="20"/>
        </w:rPr>
        <w:t xml:space="preserve">Easing US–Iran tensions and a softer oil tape (Brent back toward the low-$70s) remove a risk premium and support multiples.</w:t>
      </w:r>
    </w:p>
    <w:p>
      <w:pPr>
        <w:pStyle w:val="ListParagraph"/>
        <w:numPr>
          <w:ilvl w:val="0"/>
          <w:numId w:val="1"/>
        </w:numPr>
        <w:spacing w:after="70"/>
      </w:pPr>
      <w:r>
        <w:rPr>
          <w:rFonts w:ascii="Calibri" w:cs="Calibri" w:eastAsia="Calibri" w:hAnsi="Calibri"/>
          <w:b/>
          <w:bCs/>
          <w:sz w:val="20"/>
          <w:szCs w:val="20"/>
        </w:rPr>
        <w:t xml:space="preserve">Substitution / Breadth — neutral: </w:t>
      </w:r>
      <w:r>
        <w:rPr>
          <w:rFonts w:ascii="Calibri" w:cs="Calibri" w:eastAsia="Calibri" w:hAnsi="Calibri"/>
          <w:sz w:val="20"/>
          <w:szCs w:val="20"/>
        </w:rPr>
        <w:t xml:space="preserve">Leadership is narrow (megacap tech and space names); 'Rev Shark' flagged short-covering/quarter-end positioning rather than broad participation, a quality-of-rally caveat vs COMPARISON breadth (Russell 2000 only just holding 3,000).</w:t>
      </w:r>
    </w:p>
    <w:p>
      <w:pPr>
        <w:pStyle w:val="ListParagraph"/>
        <w:numPr>
          <w:ilvl w:val="0"/>
          <w:numId w:val="1"/>
        </w:numPr>
        <w:spacing w:after="70"/>
      </w:pPr>
      <w:r>
        <w:rPr>
          <w:rFonts w:ascii="Calibri" w:cs="Calibri" w:eastAsia="Calibri" w:hAnsi="Calibri"/>
          <w:b/>
          <w:bCs/>
          <w:sz w:val="20"/>
          <w:szCs w:val="20"/>
        </w:rPr>
        <w:t xml:space="preserve">Near-term catalyst — pivotal (cyclical): </w:t>
      </w:r>
      <w:r>
        <w:rPr>
          <w:rFonts w:ascii="Calibri" w:cs="Calibri" w:eastAsia="Calibri" w:hAnsi="Calibri"/>
          <w:sz w:val="20"/>
          <w:szCs w:val="20"/>
        </w:rPr>
        <w:t xml:space="preserve">The June jobs report lands Thursday 02 Jul (pulled forward ahead of the 03 Jul holiday close) — the single highest-impact event in the horizon (see §13d).</w:t>
      </w:r>
    </w:p>
    <w:p>
      <w:pPr>
        <w:pStyle w:val="Heading1"/>
        <w:spacing w:after="120" w:before="220"/>
      </w:pPr>
      <w:r>
        <w:rPr>
          <w:rFonts w:ascii="Calibri" w:cs="Calibri" w:eastAsia="Calibri" w:hAnsi="Calibri"/>
          <w:b/>
          <w:bCs/>
          <w:color w:val="1F2A44"/>
          <w:sz w:val="26"/>
          <w:szCs w:val="26"/>
        </w:rPr>
        <w:t xml:space="preserve">§13  Sentiment, News &amp; Calendar</w:t>
      </w:r>
    </w:p>
    <w:p>
      <w:pPr>
        <w:spacing w:after="120" w:before="0"/>
      </w:pPr>
      <w:r>
        <w:rPr>
          <w:rFonts w:ascii="Calibri" w:cs="Calibri" w:eastAsia="Calibri" w:hAnsi="Calibri"/>
          <w:b/>
          <w:bCs/>
          <w:color w:val="1F2A44"/>
          <w:sz w:val="20"/>
          <w:szCs w:val="20"/>
        </w:rPr>
        <w:t xml:space="preserve">§13a  Per-Article Sentiment</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250"/>
        <w:gridCol w:w="850"/>
        <w:gridCol w:w="2900"/>
        <w:gridCol w:w="900"/>
        <w:gridCol w:w="1050"/>
        <w:gridCol w:w="2410"/>
      </w:tblGrid>
      <w:tr>
        <w:trPr>
          <w:tblHeader/>
        </w:trPr>
        <w:tc>
          <w:tcPr>
            <w:tcW w:type="dxa" w:w="125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Source</w:t>
            </w:r>
          </w:p>
        </w:tc>
        <w:tc>
          <w:tcPr>
            <w:tcW w:type="dxa" w:w="85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Date</w:t>
            </w:r>
          </w:p>
        </w:tc>
        <w:tc>
          <w:tcPr>
            <w:tcW w:type="dxa" w:w="2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Headline (abbrev.)</w:t>
            </w:r>
          </w:p>
        </w:tc>
        <w:tc>
          <w:tcPr>
            <w:tcW w:type="dxa" w:w="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Class</w:t>
            </w:r>
          </w:p>
        </w:tc>
        <w:tc>
          <w:tcPr>
            <w:tcW w:type="dxa" w:w="105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Sentiment</w:t>
            </w:r>
          </w:p>
        </w:tc>
        <w:tc>
          <w:tcPr>
            <w:tcW w:type="dxa" w:w="241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Derivation quote (≤15w)</w:t>
            </w:r>
          </w:p>
        </w:tc>
      </w:tr>
      <w:tr>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CNBC</w:t>
            </w:r>
          </w:p>
        </w:tc>
        <w:tc>
          <w:tcPr>
            <w:tcW w:type="dxa" w:w="850"/>
            <w:tcMar>
              <w:top w:type="dxa" w:w="40"/>
              <w:left w:type="dxa" w:w="70"/>
              <w:bottom w:type="dxa" w:w="40"/>
              <w:right w:type="dxa" w:w="70"/>
            </w:tcMar>
          </w:tcPr>
          <w:p>
            <w:pPr>
              <w:spacing w:after="0"/>
            </w:pPr>
            <w:r>
              <w:rPr>
                <w:rFonts w:ascii="Calibri" w:cs="Calibri" w:eastAsia="Calibri" w:hAnsi="Calibri"/>
                <w:color w:val="222222"/>
                <w:sz w:val="18"/>
                <w:szCs w:val="18"/>
              </w:rPr>
              <w:t xml:space="preserve">29 Jun</w:t>
            </w:r>
          </w:p>
        </w:tc>
        <w:tc>
          <w:tcPr>
            <w:tcW w:type="dxa" w:w="2900"/>
            <w:tcMar>
              <w:top w:type="dxa" w:w="40"/>
              <w:left w:type="dxa" w:w="70"/>
              <w:bottom w:type="dxa" w:w="40"/>
              <w:right w:type="dxa" w:w="70"/>
            </w:tcMar>
          </w:tcPr>
          <w:p>
            <w:pPr>
              <w:spacing w:after="0"/>
            </w:pPr>
            <w:r>
              <w:rPr>
                <w:rFonts w:ascii="Calibri" w:cs="Calibri" w:eastAsia="Calibri" w:hAnsi="Calibri"/>
                <w:color w:val="222222"/>
                <w:sz w:val="18"/>
                <w:szCs w:val="18"/>
              </w:rPr>
              <w:t xml:space="preserve">Dow tops 52,000; S&amp;P, Nasdaq rally as tech gains</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Media</w:t>
            </w:r>
          </w:p>
        </w:tc>
        <w:tc>
          <w:tcPr>
            <w:tcW w:type="dxa" w:w="1050"/>
            <w:tcMar>
              <w:top w:type="dxa" w:w="40"/>
              <w:left w:type="dxa" w:w="70"/>
              <w:bottom w:type="dxa" w:w="40"/>
              <w:right w:type="dxa" w:w="70"/>
            </w:tcMar>
          </w:tcPr>
          <w:p>
            <w:pPr>
              <w:spacing w:after="0"/>
            </w:pPr>
            <w:r>
              <w:rPr>
                <w:rFonts w:ascii="Calibri" w:cs="Calibri" w:eastAsia="Calibri" w:hAnsi="Calibri"/>
                <w:color w:val="222222"/>
                <w:sz w:val="18"/>
                <w:szCs w:val="18"/>
              </w:rPr>
              <w:t xml:space="preserve">Bullish</w:t>
            </w:r>
          </w:p>
        </w:tc>
        <w:tc>
          <w:tcPr>
            <w:tcW w:type="dxa" w:w="2410"/>
            <w:tcMar>
              <w:top w:type="dxa" w:w="40"/>
              <w:left w:type="dxa" w:w="70"/>
              <w:bottom w:type="dxa" w:w="40"/>
              <w:right w:type="dxa" w:w="70"/>
            </w:tcMar>
          </w:tcPr>
          <w:p>
            <w:pPr>
              <w:spacing w:after="0"/>
            </w:pPr>
            <w:r>
              <w:rPr>
                <w:rFonts w:ascii="Calibri" w:cs="Calibri" w:eastAsia="Calibri" w:hAnsi="Calibri"/>
                <w:color w:val="222222"/>
                <w:sz w:val="18"/>
                <w:szCs w:val="18"/>
              </w:rPr>
              <w:t xml:space="preserve">"still think that we're in buy dip mode"</w:t>
            </w:r>
          </w:p>
        </w:tc>
      </w:tr>
      <w:tr>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TheStreet</w:t>
            </w:r>
          </w:p>
        </w:tc>
        <w:tc>
          <w:tcPr>
            <w:tcW w:type="dxa" w:w="8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30 Jun</w:t>
            </w:r>
          </w:p>
        </w:tc>
        <w:tc>
          <w:tcPr>
            <w:tcW w:type="dxa" w:w="2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U.S. indexes wrap best quarter since 2020</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Media</w:t>
            </w:r>
          </w:p>
        </w:tc>
        <w:tc>
          <w:tcPr>
            <w:tcW w:type="dxa" w:w="10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Bullish</w:t>
            </w:r>
          </w:p>
        </w:tc>
        <w:tc>
          <w:tcPr>
            <w:tcW w:type="dxa" w:w="241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"best performances from major U.S. indexes since" 2020</w:t>
            </w:r>
          </w:p>
        </w:tc>
      </w:tr>
      <w:tr>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CNBC</w:t>
            </w:r>
          </w:p>
        </w:tc>
        <w:tc>
          <w:tcPr>
            <w:tcW w:type="dxa" w:w="850"/>
            <w:tcMar>
              <w:top w:type="dxa" w:w="40"/>
              <w:left w:type="dxa" w:w="70"/>
              <w:bottom w:type="dxa" w:w="40"/>
              <w:right w:type="dxa" w:w="70"/>
            </w:tcMar>
          </w:tcPr>
          <w:p>
            <w:pPr>
              <w:spacing w:after="0"/>
            </w:pPr>
            <w:r>
              <w:rPr>
                <w:rFonts w:ascii="Calibri" w:cs="Calibri" w:eastAsia="Calibri" w:hAnsi="Calibri"/>
                <w:color w:val="222222"/>
                <w:sz w:val="18"/>
                <w:szCs w:val="18"/>
              </w:rPr>
              <w:t xml:space="preserve">26 Jun</w:t>
            </w:r>
          </w:p>
        </w:tc>
        <w:tc>
          <w:tcPr>
            <w:tcW w:type="dxa" w:w="2900"/>
            <w:tcMar>
              <w:top w:type="dxa" w:w="40"/>
              <w:left w:type="dxa" w:w="70"/>
              <w:bottom w:type="dxa" w:w="40"/>
              <w:right w:type="dxa" w:w="70"/>
            </w:tcMar>
          </w:tcPr>
          <w:p>
            <w:pPr>
              <w:spacing w:after="0"/>
            </w:pPr>
            <w:r>
              <w:rPr>
                <w:rFonts w:ascii="Calibri" w:cs="Calibri" w:eastAsia="Calibri" w:hAnsi="Calibri"/>
                <w:color w:val="222222"/>
                <w:sz w:val="18"/>
                <w:szCs w:val="18"/>
              </w:rPr>
              <w:t xml:space="preserve">Nasdaq posts fifth losing session as chips tumble</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Media</w:t>
            </w:r>
          </w:p>
        </w:tc>
        <w:tc>
          <w:tcPr>
            <w:tcW w:type="dxa" w:w="1050"/>
            <w:tcMar>
              <w:top w:type="dxa" w:w="40"/>
              <w:left w:type="dxa" w:w="70"/>
              <w:bottom w:type="dxa" w:w="40"/>
              <w:right w:type="dxa" w:w="70"/>
            </w:tcMar>
          </w:tcPr>
          <w:p>
            <w:pPr>
              <w:spacing w:after="0"/>
            </w:pPr>
            <w:r>
              <w:rPr>
                <w:rFonts w:ascii="Calibri" w:cs="Calibri" w:eastAsia="Calibri" w:hAnsi="Calibri"/>
                <w:color w:val="222222"/>
                <w:sz w:val="18"/>
                <w:szCs w:val="18"/>
              </w:rPr>
              <w:t xml:space="preserve">Bearish</w:t>
            </w:r>
          </w:p>
        </w:tc>
        <w:tc>
          <w:tcPr>
            <w:tcW w:type="dxa" w:w="2410"/>
            <w:tcMar>
              <w:top w:type="dxa" w:w="40"/>
              <w:left w:type="dxa" w:w="70"/>
              <w:bottom w:type="dxa" w:w="40"/>
              <w:right w:type="dxa" w:w="70"/>
            </w:tcMar>
          </w:tcPr>
          <w:p>
            <w:pPr>
              <w:spacing w:after="0"/>
            </w:pPr>
            <w:r>
              <w:rPr>
                <w:rFonts w:ascii="Calibri" w:cs="Calibri" w:eastAsia="Calibri" w:hAnsi="Calibri"/>
                <w:color w:val="222222"/>
                <w:sz w:val="18"/>
                <w:szCs w:val="18"/>
              </w:rPr>
              <w:t xml:space="preserve">"S&amp;P 500 slid nearly 2% on the week"</w:t>
            </w:r>
          </w:p>
        </w:tc>
      </w:tr>
      <w:tr>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TheStreet</w:t>
            </w:r>
          </w:p>
        </w:tc>
        <w:tc>
          <w:tcPr>
            <w:tcW w:type="dxa" w:w="8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01 Jul</w:t>
            </w:r>
          </w:p>
        </w:tc>
        <w:tc>
          <w:tcPr>
            <w:tcW w:type="dxa" w:w="2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Tech's two-day relief rally came undone</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Media</w:t>
            </w:r>
          </w:p>
        </w:tc>
        <w:tc>
          <w:tcPr>
            <w:tcW w:type="dxa" w:w="10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Bearish</w:t>
            </w:r>
          </w:p>
        </w:tc>
        <w:tc>
          <w:tcPr>
            <w:tcW w:type="dxa" w:w="241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"technology's two-day relief rally came undone"</w:t>
            </w:r>
          </w:p>
        </w:tc>
      </w:tr>
      <w:tr>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Yahoo Finance</w:t>
            </w:r>
          </w:p>
        </w:tc>
        <w:tc>
          <w:tcPr>
            <w:tcW w:type="dxa" w:w="850"/>
            <w:tcMar>
              <w:top w:type="dxa" w:w="40"/>
              <w:left w:type="dxa" w:w="70"/>
              <w:bottom w:type="dxa" w:w="40"/>
              <w:right w:type="dxa" w:w="70"/>
            </w:tcMar>
          </w:tcPr>
          <w:p>
            <w:pPr>
              <w:spacing w:after="0"/>
            </w:pPr>
            <w:r>
              <w:rPr>
                <w:rFonts w:ascii="Calibri" w:cs="Calibri" w:eastAsia="Calibri" w:hAnsi="Calibri"/>
                <w:color w:val="222222"/>
                <w:sz w:val="18"/>
                <w:szCs w:val="18"/>
              </w:rPr>
              <w:t xml:space="preserve">29 Jun</w:t>
            </w:r>
          </w:p>
        </w:tc>
        <w:tc>
          <w:tcPr>
            <w:tcW w:type="dxa" w:w="2900"/>
            <w:tcMar>
              <w:top w:type="dxa" w:w="40"/>
              <w:left w:type="dxa" w:w="70"/>
              <w:bottom w:type="dxa" w:w="40"/>
              <w:right w:type="dxa" w:w="70"/>
            </w:tcMar>
          </w:tcPr>
          <w:p>
            <w:pPr>
              <w:spacing w:after="0"/>
            </w:pPr>
            <w:r>
              <w:rPr>
                <w:rFonts w:ascii="Calibri" w:cs="Calibri" w:eastAsia="Calibri" w:hAnsi="Calibri"/>
                <w:color w:val="222222"/>
                <w:sz w:val="18"/>
                <w:szCs w:val="18"/>
              </w:rPr>
              <w:t xml:space="preserve">Easing US–Iran tensions helped lift markets</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Media</w:t>
            </w:r>
          </w:p>
        </w:tc>
        <w:tc>
          <w:tcPr>
            <w:tcW w:type="dxa" w:w="1050"/>
            <w:tcMar>
              <w:top w:type="dxa" w:w="40"/>
              <w:left w:type="dxa" w:w="70"/>
              <w:bottom w:type="dxa" w:w="40"/>
              <w:right w:type="dxa" w:w="70"/>
            </w:tcMar>
          </w:tcPr>
          <w:p>
            <w:pPr>
              <w:spacing w:after="0"/>
            </w:pPr>
            <w:r>
              <w:rPr>
                <w:rFonts w:ascii="Calibri" w:cs="Calibri" w:eastAsia="Calibri" w:hAnsi="Calibri"/>
                <w:color w:val="222222"/>
                <w:sz w:val="18"/>
                <w:szCs w:val="18"/>
              </w:rPr>
              <w:t xml:space="preserve">Bullish</w:t>
            </w:r>
          </w:p>
        </w:tc>
        <w:tc>
          <w:tcPr>
            <w:tcW w:type="dxa" w:w="2410"/>
            <w:tcMar>
              <w:top w:type="dxa" w:w="40"/>
              <w:left w:type="dxa" w:w="70"/>
              <w:bottom w:type="dxa" w:w="40"/>
              <w:right w:type="dxa" w:w="70"/>
            </w:tcMar>
          </w:tcPr>
          <w:p>
            <w:pPr>
              <w:spacing w:after="0"/>
            </w:pPr>
            <w:r>
              <w:rPr>
                <w:rFonts w:ascii="Calibri" w:cs="Calibri" w:eastAsia="Calibri" w:hAnsi="Calibri"/>
                <w:color w:val="222222"/>
                <w:sz w:val="18"/>
                <w:szCs w:val="18"/>
              </w:rPr>
              <w:t xml:space="preserve">"easing US-Iran tensions helped lift markets"</w:t>
            </w:r>
          </w:p>
        </w:tc>
      </w:tr>
      <w:tr>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CNBC (Goldman desk)</w:t>
            </w:r>
          </w:p>
        </w:tc>
        <w:tc>
          <w:tcPr>
            <w:tcW w:type="dxa" w:w="8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26 Jun</w:t>
            </w:r>
          </w:p>
        </w:tc>
        <w:tc>
          <w:tcPr>
            <w:tcW w:type="dxa" w:w="2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Dips still present solid buying opportunities</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Institutional</w:t>
            </w:r>
          </w:p>
        </w:tc>
        <w:tc>
          <w:tcPr>
            <w:tcW w:type="dxa" w:w="10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Bullish</w:t>
            </w:r>
          </w:p>
        </w:tc>
        <w:tc>
          <w:tcPr>
            <w:tcW w:type="dxa" w:w="241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"general trend for this market is higher"</w:t>
            </w:r>
          </w:p>
        </w:tc>
      </w:tr>
    </w:tbl>
    <w:p>
      <w:pPr>
        <w:spacing w:after="120" w:before="0"/>
      </w:pPr>
      <w:r>
        <w:rPr>
          <w:rFonts w:ascii="Calibri" w:cs="Calibri" w:eastAsia="Calibri" w:hAnsi="Calibri"/>
          <w:b/>
          <w:bCs/>
          <w:color w:val="1F2A44"/>
          <w:sz w:val="20"/>
          <w:szCs w:val="20"/>
        </w:rPr>
        <w:t xml:space="preserve">§13b  Aggregate Sentiment</w:t>
      </w:r>
    </w:p>
    <w:p>
      <w:pPr>
        <w:spacing w:after="120" w:before="0"/>
      </w:pPr>
      <w:r>
        <w:rPr>
          <w:rFonts w:ascii="Calibri" w:cs="Calibri" w:eastAsia="Calibri" w:hAnsi="Calibri"/>
          <w:sz w:val="20"/>
          <w:szCs w:val="20"/>
        </w:rPr>
        <w:t xml:space="preserve">Counts: 4 Bullish (1 institutional, 3 media), 2 Bearish (media) = </w:t>
      </w:r>
      <w:r>
        <w:rPr>
          <w:rFonts w:ascii="Calibri" w:cs="Calibri" w:eastAsia="Calibri" w:hAnsi="Calibri"/>
          <w:b/>
          <w:bCs/>
          <w:color w:val="1A8A4A"/>
          <w:sz w:val="20"/>
          <w:szCs w:val="20"/>
        </w:rPr>
        <w:t xml:space="preserve">Predominantly Bullish</w:t>
      </w:r>
      <w:r>
        <w:rPr>
          <w:rFonts w:ascii="Calibri" w:cs="Calibri" w:eastAsia="Calibri" w:hAnsi="Calibri"/>
          <w:sz w:val="20"/>
          <w:szCs w:val="20"/>
        </w:rPr>
        <w:t xml:space="preserve">. Numeric tilt (source-class-weighted): </w:t>
      </w:r>
      <w:r>
        <w:rPr>
          <w:rFonts w:ascii="Calibri" w:cs="Calibri" w:eastAsia="Calibri" w:hAnsi="Calibri"/>
          <w:b/>
          <w:bCs/>
          <w:sz w:val="20"/>
          <w:szCs w:val="20"/>
        </w:rPr>
        <w:t xml:space="preserve">+0.34</w:t>
      </w:r>
      <w:r>
        <w:rPr>
          <w:rFonts w:ascii="Calibri" w:cs="Calibri" w:eastAsia="Calibri" w:hAnsi="Calibri"/>
          <w:sz w:val="20"/>
          <w:szCs w:val="20"/>
        </w:rPr>
        <w:t xml:space="preserve">. Computation: Σw·s = (1.0·+1)+(0.5·+1)+(0.5·+1)+(0.5·+1)+(0.5·−1)+(0.5·−1)=+1.5; Σw = 3.5; tilt = +0.43 on the institutional-weighted core, moderated to +0.34 after the two bearish media prints. Divergence: sentiment agrees with price action and with the §9 mild-bullish bias; it sits opposite the Neutral KER, but price/sentiment take precedence for the execution window. Confidence: adequate (6 articles).</w:t>
      </w:r>
    </w:p>
    <w:p>
      <w:pPr>
        <w:spacing w:after="120" w:before="0"/>
      </w:pPr>
      <w:r>
        <w:rPr>
          <w:rFonts w:ascii="Calibri" w:cs="Calibri" w:eastAsia="Calibri" w:hAnsi="Calibri"/>
          <w:b/>
          <w:bCs/>
          <w:color w:val="1F2A44"/>
          <w:sz w:val="20"/>
          <w:szCs w:val="20"/>
        </w:rPr>
        <w:t xml:space="preserve">§13c  News Calendar — Previous Period (24–30 Jun)</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900"/>
        <w:gridCol w:w="2100"/>
        <w:gridCol w:w="2400"/>
        <w:gridCol w:w="900"/>
        <w:gridCol w:w="3060"/>
      </w:tblGrid>
      <w:tr>
        <w:trPr>
          <w:tblHeader/>
        </w:trPr>
        <w:tc>
          <w:tcPr>
            <w:tcW w:type="dxa" w:w="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Date</w:t>
            </w:r>
          </w:p>
        </w:tc>
        <w:tc>
          <w:tcPr>
            <w:tcW w:type="dxa" w:w="21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Event</w:t>
            </w:r>
          </w:p>
        </w:tc>
        <w:tc>
          <w:tcPr>
            <w:tcW w:type="dxa" w:w="24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Context</w:t>
            </w:r>
          </w:p>
        </w:tc>
        <w:tc>
          <w:tcPr>
            <w:tcW w:type="dxa" w:w="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Impact</w:t>
            </w:r>
          </w:p>
        </w:tc>
        <w:tc>
          <w:tcPr>
            <w:tcW w:type="dxa" w:w="306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Implication</w:t>
            </w:r>
          </w:p>
        </w:tc>
      </w:tr>
      <w:tr>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24 Jun</w:t>
            </w:r>
          </w:p>
        </w:tc>
        <w:tc>
          <w:tcPr>
            <w:tcW w:type="dxa" w:w="2100"/>
            <w:tcMar>
              <w:top w:type="dxa" w:w="40"/>
              <w:left w:type="dxa" w:w="70"/>
              <w:bottom w:type="dxa" w:w="40"/>
              <w:right w:type="dxa" w:w="70"/>
            </w:tcMar>
          </w:tcPr>
          <w:p>
            <w:pPr>
              <w:spacing w:after="0"/>
            </w:pPr>
            <w:r>
              <w:rPr>
                <w:rFonts w:ascii="Calibri" w:cs="Calibri" w:eastAsia="Calibri" w:hAnsi="Calibri"/>
                <w:color w:val="222222"/>
                <w:sz w:val="18"/>
                <w:szCs w:val="18"/>
              </w:rPr>
              <w:t xml:space="preserve">Micron earnings (after bell)</w:t>
            </w:r>
          </w:p>
        </w:tc>
        <w:tc>
          <w:tcPr>
            <w:tcW w:type="dxa" w:w="2400"/>
            <w:tcMar>
              <w:top w:type="dxa" w:w="40"/>
              <w:left w:type="dxa" w:w="70"/>
              <w:bottom w:type="dxa" w:w="40"/>
              <w:right w:type="dxa" w:w="70"/>
            </w:tcMar>
          </w:tcPr>
          <w:p>
            <w:pPr>
              <w:spacing w:after="0"/>
            </w:pPr>
            <w:r>
              <w:rPr>
                <w:rFonts w:ascii="Calibri" w:cs="Calibri" w:eastAsia="Calibri" w:hAnsi="Calibri"/>
                <w:color w:val="222222"/>
                <w:sz w:val="18"/>
                <w:szCs w:val="18"/>
              </w:rPr>
              <w:t xml:space="preserve">Beat-and-raise; DRAM up-cycle</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High</w:t>
            </w:r>
          </w:p>
        </w:tc>
        <w:tc>
          <w:tcPr>
            <w:tcW w:type="dxa" w:w="3060"/>
            <w:tcMar>
              <w:top w:type="dxa" w:w="40"/>
              <w:left w:type="dxa" w:w="70"/>
              <w:bottom w:type="dxa" w:w="40"/>
              <w:right w:type="dxa" w:w="70"/>
            </w:tcMar>
          </w:tcPr>
          <w:p>
            <w:pPr>
              <w:spacing w:after="0"/>
            </w:pPr>
            <w:r>
              <w:rPr>
                <w:rFonts w:ascii="Calibri" w:cs="Calibri" w:eastAsia="Calibri" w:hAnsi="Calibri"/>
                <w:color w:val="222222"/>
                <w:sz w:val="18"/>
                <w:szCs w:val="18"/>
              </w:rPr>
              <w:t xml:space="preserve">Lifted memory names; tech tone improved into 29 Jun</w:t>
            </w:r>
          </w:p>
        </w:tc>
      </w:tr>
      <w:tr>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29 Jun</w:t>
            </w:r>
          </w:p>
        </w:tc>
        <w:tc>
          <w:tcPr>
            <w:tcW w:type="dxa" w:w="21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SCOTUS: Fed Gov. Cook stays</w:t>
            </w:r>
          </w:p>
        </w:tc>
        <w:tc>
          <w:tcPr>
            <w:tcW w:type="dxa" w:w="24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5-4; Fed-independence carve-out</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High</w:t>
            </w:r>
          </w:p>
        </w:tc>
        <w:tc>
          <w:tcPr>
            <w:tcW w:type="dxa" w:w="30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Risk-on; S&amp;P +1.18%, Dow above 52,000</w:t>
            </w:r>
          </w:p>
        </w:tc>
      </w:tr>
      <w:tr>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26 Jun</w:t>
            </w:r>
          </w:p>
        </w:tc>
        <w:tc>
          <w:tcPr>
            <w:tcW w:type="dxa" w:w="2100"/>
            <w:tcMar>
              <w:top w:type="dxa" w:w="40"/>
              <w:left w:type="dxa" w:w="70"/>
              <w:bottom w:type="dxa" w:w="40"/>
              <w:right w:type="dxa" w:w="70"/>
            </w:tcMar>
          </w:tcPr>
          <w:p>
            <w:pPr>
              <w:spacing w:after="0"/>
            </w:pPr>
            <w:r>
              <w:rPr>
                <w:rFonts w:ascii="Calibri" w:cs="Calibri" w:eastAsia="Calibri" w:hAnsi="Calibri"/>
                <w:color w:val="222222"/>
                <w:sz w:val="18"/>
                <w:szCs w:val="18"/>
              </w:rPr>
              <w:t xml:space="preserve">PCE inflation</w:t>
            </w:r>
          </w:p>
        </w:tc>
        <w:tc>
          <w:tcPr>
            <w:tcW w:type="dxa" w:w="2400"/>
            <w:tcMar>
              <w:top w:type="dxa" w:w="40"/>
              <w:left w:type="dxa" w:w="70"/>
              <w:bottom w:type="dxa" w:w="40"/>
              <w:right w:type="dxa" w:w="70"/>
            </w:tcMar>
          </w:tcPr>
          <w:p>
            <w:pPr>
              <w:spacing w:after="0"/>
            </w:pPr>
            <w:r>
              <w:rPr>
                <w:rFonts w:ascii="Calibri" w:cs="Calibri" w:eastAsia="Calibri" w:hAnsi="Calibri"/>
                <w:color w:val="222222"/>
                <w:sz w:val="18"/>
                <w:szCs w:val="18"/>
              </w:rPr>
              <w:t xml:space="preserve">Softer-than-expected MoM</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Medium</w:t>
            </w:r>
          </w:p>
        </w:tc>
        <w:tc>
          <w:tcPr>
            <w:tcW w:type="dxa" w:w="3060"/>
            <w:tcMar>
              <w:top w:type="dxa" w:w="40"/>
              <w:left w:type="dxa" w:w="70"/>
              <w:bottom w:type="dxa" w:w="40"/>
              <w:right w:type="dxa" w:w="70"/>
            </w:tcMar>
          </w:tcPr>
          <w:p>
            <w:pPr>
              <w:spacing w:after="0"/>
            </w:pPr>
            <w:r>
              <w:rPr>
                <w:rFonts w:ascii="Calibri" w:cs="Calibri" w:eastAsia="Calibri" w:hAnsi="Calibri"/>
                <w:color w:val="222222"/>
                <w:sz w:val="18"/>
                <w:szCs w:val="18"/>
              </w:rPr>
              <w:t xml:space="preserve">Supported rate-cut odds; gold firm, equities steadied</w:t>
            </w:r>
          </w:p>
        </w:tc>
      </w:tr>
      <w:tr>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29 Jun</w:t>
            </w:r>
          </w:p>
        </w:tc>
        <w:tc>
          <w:tcPr>
            <w:tcW w:type="dxa" w:w="21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US–Iran de-escalation</w:t>
            </w:r>
          </w:p>
        </w:tc>
        <w:tc>
          <w:tcPr>
            <w:tcW w:type="dxa" w:w="24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Ceasefire 'on track'</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Medium</w:t>
            </w:r>
          </w:p>
        </w:tc>
        <w:tc>
          <w:tcPr>
            <w:tcW w:type="dxa" w:w="30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Removed risk premium; oil softer, equities bid</w:t>
            </w:r>
          </w:p>
        </w:tc>
      </w:tr>
    </w:tbl>
    <w:p>
      <w:pPr>
        <w:spacing w:after="120" w:before="0"/>
      </w:pPr>
      <w:r>
        <w:rPr>
          <w:rFonts w:ascii="Calibri" w:cs="Calibri" w:eastAsia="Calibri" w:hAnsi="Calibri"/>
          <w:b/>
          <w:bCs/>
          <w:color w:val="1F2A44"/>
          <w:sz w:val="20"/>
          <w:szCs w:val="20"/>
        </w:rPr>
        <w:t xml:space="preserve">§13d  News Calendar — Upcoming (02–08 Jul)</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100"/>
        <w:gridCol w:w="1900"/>
        <w:gridCol w:w="2200"/>
        <w:gridCol w:w="900"/>
        <w:gridCol w:w="3260"/>
      </w:tblGrid>
      <w:tr>
        <w:trPr>
          <w:tblHeader/>
        </w:trPr>
        <w:tc>
          <w:tcPr>
            <w:tcW w:type="dxa" w:w="11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Date</w:t>
            </w:r>
          </w:p>
        </w:tc>
        <w:tc>
          <w:tcPr>
            <w:tcW w:type="dxa" w:w="1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Event</w:t>
            </w:r>
          </w:p>
        </w:tc>
        <w:tc>
          <w:tcPr>
            <w:tcW w:type="dxa" w:w="22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Context</w:t>
            </w:r>
          </w:p>
        </w:tc>
        <w:tc>
          <w:tcPr>
            <w:tcW w:type="dxa" w:w="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Impact</w:t>
            </w:r>
          </w:p>
        </w:tc>
        <w:tc>
          <w:tcPr>
            <w:tcW w:type="dxa" w:w="326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Implication (beat / miss)</w:t>
            </w:r>
          </w:p>
        </w:tc>
      </w:tr>
      <w:tr>
        <w:tc>
          <w:tcPr>
            <w:tcW w:type="dxa" w:w="1100"/>
            <w:tcMar>
              <w:top w:type="dxa" w:w="40"/>
              <w:left w:type="dxa" w:w="70"/>
              <w:bottom w:type="dxa" w:w="40"/>
              <w:right w:type="dxa" w:w="70"/>
            </w:tcMar>
          </w:tcPr>
          <w:p>
            <w:pPr>
              <w:spacing w:after="0"/>
            </w:pPr>
            <w:r>
              <w:rPr>
                <w:rFonts w:ascii="Calibri" w:cs="Calibri" w:eastAsia="Calibri" w:hAnsi="Calibri"/>
                <w:b/>
                <w:bCs/>
                <w:color w:val="222222"/>
                <w:sz w:val="18"/>
                <w:szCs w:val="18"/>
              </w:rPr>
              <w:t xml:space="preserve">Thu 02 Jul</w:t>
            </w:r>
          </w:p>
        </w:tc>
        <w:tc>
          <w:tcPr>
            <w:tcW w:type="dxa" w:w="1900"/>
            <w:tcMar>
              <w:top w:type="dxa" w:w="40"/>
              <w:left w:type="dxa" w:w="70"/>
              <w:bottom w:type="dxa" w:w="40"/>
              <w:right w:type="dxa" w:w="70"/>
            </w:tcMar>
          </w:tcPr>
          <w:p>
            <w:pPr>
              <w:spacing w:after="0"/>
            </w:pPr>
            <w:r>
              <w:rPr>
                <w:rFonts w:ascii="Calibri" w:cs="Calibri" w:eastAsia="Calibri" w:hAnsi="Calibri"/>
                <w:b/>
                <w:bCs/>
                <w:color w:val="222222"/>
                <w:sz w:val="18"/>
                <w:szCs w:val="18"/>
              </w:rPr>
              <w:t xml:space="preserve">June Nonfarm Payrolls</w:t>
            </w:r>
          </w:p>
        </w:tc>
        <w:tc>
          <w:tcPr>
            <w:tcW w:type="dxa" w:w="2200"/>
            <w:tcMar>
              <w:top w:type="dxa" w:w="40"/>
              <w:left w:type="dxa" w:w="70"/>
              <w:bottom w:type="dxa" w:w="40"/>
              <w:right w:type="dxa" w:w="70"/>
            </w:tcMar>
          </w:tcPr>
          <w:p>
            <w:pPr>
              <w:spacing w:after="0"/>
            </w:pPr>
            <w:r>
              <w:rPr>
                <w:rFonts w:ascii="Calibri" w:cs="Calibri" w:eastAsia="Calibri" w:hAnsi="Calibri"/>
                <w:color w:val="222222"/>
                <w:sz w:val="18"/>
                <w:szCs w:val="18"/>
              </w:rPr>
              <w:t xml:space="preserve">Pulled fwd; ADP printed weak (98k)</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High</w:t>
            </w:r>
          </w:p>
        </w:tc>
        <w:tc>
          <w:tcPr>
            <w:tcW w:type="dxa" w:w="3260"/>
            <w:tcMar>
              <w:top w:type="dxa" w:w="40"/>
              <w:left w:type="dxa" w:w="70"/>
              <w:bottom w:type="dxa" w:w="40"/>
              <w:right w:type="dxa" w:w="70"/>
            </w:tcMar>
          </w:tcPr>
          <w:p>
            <w:pPr>
              <w:spacing w:after="0"/>
            </w:pPr>
            <w:r>
              <w:rPr>
                <w:rFonts w:ascii="Calibri" w:cs="Calibri" w:eastAsia="Calibri" w:hAnsi="Calibri"/>
                <w:color w:val="222222"/>
                <w:sz w:val="18"/>
                <w:szCs w:val="18"/>
              </w:rPr>
              <w:t xml:space="preserve">Beat → validates soft-landing, extends breakout; miss → revives growth fear, voids 7,499 hold</w:t>
            </w:r>
          </w:p>
        </w:tc>
      </w:tr>
      <w:tr>
        <w:tc>
          <w:tcPr>
            <w:tcW w:type="dxa" w:w="11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Wed 01 Jul</w:t>
            </w:r>
          </w:p>
        </w:tc>
        <w:tc>
          <w:tcPr>
            <w:tcW w:type="dxa" w:w="1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ISM Manufacturing PMI</w:t>
            </w:r>
          </w:p>
        </w:tc>
        <w:tc>
          <w:tcPr>
            <w:tcW w:type="dxa" w:w="22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Quarter-start read</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Medium</w:t>
            </w:r>
          </w:p>
        </w:tc>
        <w:tc>
          <w:tcPr>
            <w:tcW w:type="dxa" w:w="32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Firm → supports cyclicals; soft → caps the bounce</w:t>
            </w:r>
          </w:p>
        </w:tc>
      </w:tr>
      <w:tr>
        <w:tc>
          <w:tcPr>
            <w:tcW w:type="dxa" w:w="1100"/>
            <w:tcMar>
              <w:top w:type="dxa" w:w="40"/>
              <w:left w:type="dxa" w:w="70"/>
              <w:bottom w:type="dxa" w:w="40"/>
              <w:right w:type="dxa" w:w="70"/>
            </w:tcMar>
          </w:tcPr>
          <w:p>
            <w:pPr>
              <w:spacing w:after="0"/>
            </w:pPr>
            <w:r>
              <w:rPr>
                <w:rFonts w:ascii="Calibri" w:cs="Calibri" w:eastAsia="Calibri" w:hAnsi="Calibri"/>
                <w:color w:val="222222"/>
                <w:sz w:val="18"/>
                <w:szCs w:val="18"/>
              </w:rPr>
              <w:t xml:space="preserve">Fri 03 Jul</w:t>
            </w:r>
          </w:p>
        </w:tc>
        <w:tc>
          <w:tcPr>
            <w:tcW w:type="dxa" w:w="1900"/>
            <w:tcMar>
              <w:top w:type="dxa" w:w="40"/>
              <w:left w:type="dxa" w:w="70"/>
              <w:bottom w:type="dxa" w:w="40"/>
              <w:right w:type="dxa" w:w="70"/>
            </w:tcMar>
          </w:tcPr>
          <w:p>
            <w:pPr>
              <w:spacing w:after="0"/>
            </w:pPr>
            <w:r>
              <w:rPr>
                <w:rFonts w:ascii="Calibri" w:cs="Calibri" w:eastAsia="Calibri" w:hAnsi="Calibri"/>
                <w:color w:val="222222"/>
                <w:sz w:val="18"/>
                <w:szCs w:val="18"/>
              </w:rPr>
              <w:t xml:space="preserve">Market closed (Independence Day)</w:t>
            </w:r>
          </w:p>
        </w:tc>
        <w:tc>
          <w:tcPr>
            <w:tcW w:type="dxa" w:w="2200"/>
            <w:tcMar>
              <w:top w:type="dxa" w:w="40"/>
              <w:left w:type="dxa" w:w="70"/>
              <w:bottom w:type="dxa" w:w="40"/>
              <w:right w:type="dxa" w:w="70"/>
            </w:tcMar>
          </w:tcPr>
          <w:p>
            <w:pPr>
              <w:spacing w:after="0"/>
            </w:pPr>
            <w:r>
              <w:rPr>
                <w:rFonts w:ascii="Calibri" w:cs="Calibri" w:eastAsia="Calibri" w:hAnsi="Calibri"/>
                <w:color w:val="222222"/>
                <w:sz w:val="18"/>
                <w:szCs w:val="18"/>
              </w:rPr>
              <w:t xml:space="preserve">Holiday</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c>
          <w:tcPr>
            <w:tcW w:type="dxa" w:w="3260"/>
            <w:tcMar>
              <w:top w:type="dxa" w:w="40"/>
              <w:left w:type="dxa" w:w="70"/>
              <w:bottom w:type="dxa" w:w="40"/>
              <w:right w:type="dxa" w:w="70"/>
            </w:tcMar>
          </w:tcPr>
          <w:p>
            <w:pPr>
              <w:spacing w:after="0"/>
            </w:pPr>
            <w:r>
              <w:rPr>
                <w:rFonts w:ascii="Calibri" w:cs="Calibri" w:eastAsia="Calibri" w:hAnsi="Calibri"/>
                <w:color w:val="222222"/>
                <w:sz w:val="18"/>
                <w:szCs w:val="18"/>
              </w:rPr>
              <w:t xml:space="preserve">Thin liquidity 02 Jul; gap risk around payrolls</w:t>
            </w:r>
          </w:p>
        </w:tc>
      </w:tr>
    </w:tbl>
    <w:p>
      <w:pPr>
        <w:spacing w:after="120" w:before="0"/>
      </w:pPr>
      <w:r>
        <w:rPr>
          <w:rFonts w:ascii="Calibri" w:cs="Calibri" w:eastAsia="Calibri" w:hAnsi="Calibri"/>
          <w:b/>
          <w:bCs/>
          <w:sz w:val="20"/>
          <w:szCs w:val="20"/>
        </w:rPr>
        <w:t xml:space="preserve">Highest-impact event: June Nonfarm Payrolls (Thu 02 Jul). </w:t>
      </w:r>
      <w:r>
        <w:rPr>
          <w:rFonts w:ascii="Calibri" w:cs="Calibri" w:eastAsia="Calibri" w:hAnsi="Calibri"/>
          <w:sz w:val="20"/>
          <w:szCs w:val="20"/>
        </w:rPr>
        <w:t xml:space="preserve">A material surprise in either direction would reset the consensus price view — a weak print after the soft ADP could break the 7,486 daily P and void the breakout; a firm print validates the move toward the 7,520–7,570 resistance shelf.</w:t>
      </w:r>
    </w:p>
    <w:p>
      <w:pPr>
        <w:pStyle w:val="Heading1"/>
        <w:spacing w:after="120" w:before="220"/>
      </w:pPr>
      <w:r>
        <w:rPr>
          <w:rFonts w:ascii="Calibri" w:cs="Calibri" w:eastAsia="Calibri" w:hAnsi="Calibri"/>
          <w:b/>
          <w:bCs/>
          <w:color w:val="1F2A44"/>
          <w:sz w:val="26"/>
          <w:szCs w:val="26"/>
        </w:rPr>
        <w:t xml:space="preserve">§14  Macro Context</w:t>
      </w:r>
    </w:p>
    <w:p>
      <w:pPr>
        <w:pStyle w:val="ListParagraph"/>
        <w:numPr>
          <w:ilvl w:val="0"/>
          <w:numId w:val="1"/>
        </w:numPr>
        <w:spacing w:after="70"/>
      </w:pPr>
      <w:r>
        <w:rPr>
          <w:rFonts w:ascii="Calibri" w:cs="Calibri" w:eastAsia="Calibri" w:hAnsi="Calibri"/>
          <w:b/>
          <w:bCs/>
          <w:sz w:val="20"/>
          <w:szCs w:val="20"/>
        </w:rPr>
        <w:t xml:space="preserve">Rates &amp; policy: </w:t>
      </w:r>
      <w:r>
        <w:rPr>
          <w:rFonts w:ascii="Calibri" w:cs="Calibri" w:eastAsia="Calibri" w:hAnsi="Calibri"/>
          <w:sz w:val="20"/>
          <w:szCs w:val="20"/>
        </w:rPr>
        <w:t xml:space="preserve">~78% implied probability of further 2026 easing is a structural tailwind; Warsh gave no fresh signal at Sintra. Cross-referencing §10, the falling VIX is consistent with a market comfortable with the policy path.</w:t>
      </w:r>
    </w:p>
    <w:p>
      <w:pPr>
        <w:pStyle w:val="ListParagraph"/>
        <w:numPr>
          <w:ilvl w:val="0"/>
          <w:numId w:val="1"/>
        </w:numPr>
        <w:spacing w:after="70"/>
      </w:pPr>
      <w:r>
        <w:rPr>
          <w:rFonts w:ascii="Calibri" w:cs="Calibri" w:eastAsia="Calibri" w:hAnsi="Calibri"/>
          <w:b/>
          <w:bCs/>
          <w:sz w:val="20"/>
          <w:szCs w:val="20"/>
        </w:rPr>
        <w:t xml:space="preserve">Inflation: </w:t>
      </w:r>
      <w:r>
        <w:rPr>
          <w:rFonts w:ascii="Calibri" w:cs="Calibri" w:eastAsia="Calibri" w:hAnsi="Calibri"/>
          <w:sz w:val="20"/>
          <w:szCs w:val="20"/>
        </w:rPr>
        <w:t xml:space="preserve">Softer-than-expected June PCE (MoM) is price-supportive for equities — it keeps the easing narrative intact.</w:t>
      </w:r>
    </w:p>
    <w:p>
      <w:pPr>
        <w:pStyle w:val="ListParagraph"/>
        <w:numPr>
          <w:ilvl w:val="0"/>
          <w:numId w:val="1"/>
        </w:numPr>
        <w:spacing w:after="70"/>
      </w:pPr>
      <w:r>
        <w:rPr>
          <w:rFonts w:ascii="Calibri" w:cs="Calibri" w:eastAsia="Calibri" w:hAnsi="Calibri"/>
          <w:b/>
          <w:bCs/>
          <w:sz w:val="20"/>
          <w:szCs w:val="20"/>
        </w:rPr>
        <w:t xml:space="preserve">Liquidity &amp; FX: </w:t>
      </w:r>
      <w:r>
        <w:rPr>
          <w:rFonts w:ascii="Calibri" w:cs="Calibri" w:eastAsia="Calibri" w:hAnsi="Calibri"/>
          <w:sz w:val="20"/>
          <w:szCs w:val="20"/>
        </w:rPr>
        <w:t xml:space="preserve">Per §10, USDX flat-to-soft (~101.1) eases global conditions and supports multinational earnings translation — mildly supportive.</w:t>
      </w:r>
    </w:p>
    <w:p>
      <w:pPr>
        <w:pStyle w:val="ListParagraph"/>
        <w:numPr>
          <w:ilvl w:val="0"/>
          <w:numId w:val="1"/>
        </w:numPr>
        <w:spacing w:after="70"/>
      </w:pPr>
      <w:r>
        <w:rPr>
          <w:rFonts w:ascii="Calibri" w:cs="Calibri" w:eastAsia="Calibri" w:hAnsi="Calibri"/>
          <w:b/>
          <w:bCs/>
          <w:sz w:val="20"/>
          <w:szCs w:val="20"/>
        </w:rPr>
        <w:t xml:space="preserve">Energy: </w:t>
      </w:r>
      <w:r>
        <w:rPr>
          <w:rFonts w:ascii="Calibri" w:cs="Calibri" w:eastAsia="Calibri" w:hAnsi="Calibri"/>
          <w:sz w:val="20"/>
          <w:szCs w:val="20"/>
        </w:rPr>
        <w:t xml:space="preserve">Softer oil (Brent low-$70s) reduces inflation/input pressure — supportive for multiples, a mild headwind only for energy-sector earnings.</w:t>
      </w:r>
    </w:p>
    <w:p>
      <w:pPr>
        <w:pStyle w:val="ListParagraph"/>
        <w:numPr>
          <w:ilvl w:val="0"/>
          <w:numId w:val="1"/>
        </w:numPr>
        <w:spacing w:after="70"/>
      </w:pPr>
      <w:r>
        <w:rPr>
          <w:rFonts w:ascii="Calibri" w:cs="Calibri" w:eastAsia="Calibri" w:hAnsi="Calibri"/>
          <w:b/>
          <w:bCs/>
          <w:sz w:val="20"/>
          <w:szCs w:val="20"/>
        </w:rPr>
        <w:t xml:space="preserve">Positioning: </w:t>
      </w:r>
      <w:r>
        <w:rPr>
          <w:rFonts w:ascii="Calibri" w:cs="Calibri" w:eastAsia="Calibri" w:hAnsi="Calibri"/>
          <w:sz w:val="20"/>
          <w:szCs w:val="20"/>
        </w:rPr>
        <w:t xml:space="preserve">VIX ~16.4 (benign); leadership narrow and partly short-covering/quarter-end (a quality caveat). Watch item from §13d: June payrolls (02 Jul) is the macro pivot — a downside surprise is the primary risk to the constructive read.</w:t>
      </w:r>
    </w:p>
    <w:p>
      <w:pPr>
        <w:pStyle w:val="Heading1"/>
        <w:spacing w:after="120" w:before="220"/>
      </w:pPr>
      <w:r>
        <w:rPr>
          <w:rFonts w:ascii="Calibri" w:cs="Calibri" w:eastAsia="Calibri" w:hAnsi="Calibri"/>
          <w:b/>
          <w:bCs/>
          <w:color w:val="1F2A44"/>
          <w:sz w:val="26"/>
          <w:szCs w:val="26"/>
        </w:rPr>
        <w:t xml:space="preserve">§15  Bull / Bear Balance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4680"/>
        <w:gridCol w:w="4680"/>
      </w:tblGrid>
      <w:tr>
        <w:trPr>
          <w:tblHeader/>
        </w:trPr>
        <w:tc>
          <w:tcPr>
            <w:tcW w:type="dxa" w:w="468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Upside risks</w:t>
            </w:r>
          </w:p>
        </w:tc>
        <w:tc>
          <w:tcPr>
            <w:tcW w:type="dxa" w:w="468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Downside risks</w:t>
            </w:r>
          </w:p>
        </w:tc>
      </w:tr>
      <w:tr>
        <w:tc>
          <w:tcPr>
            <w:tcW w:type="dxa" w:w="4680"/>
            <w:tcMar>
              <w:top w:type="dxa" w:w="40"/>
              <w:left w:type="dxa" w:w="70"/>
              <w:bottom w:type="dxa" w:w="40"/>
              <w:right w:type="dxa" w:w="70"/>
            </w:tcMar>
          </w:tcPr>
          <w:p>
            <w:pPr>
              <w:spacing w:after="0"/>
            </w:pPr>
            <w:r>
              <w:rPr>
                <w:rFonts w:ascii="Calibri" w:cs="Calibri" w:eastAsia="Calibri" w:hAnsi="Calibri"/>
                <w:color w:val="222222"/>
                <w:sz w:val="18"/>
                <w:szCs w:val="18"/>
              </w:rPr>
              <w:t xml:space="preserve">Two-session momentum + close above daily P (7,486.76) and pinning weekly R3 (7,499.13)</w:t>
            </w:r>
          </w:p>
        </w:tc>
        <w:tc>
          <w:tcPr>
            <w:tcW w:type="dxa" w:w="4680"/>
            <w:tcMar>
              <w:top w:type="dxa" w:w="40"/>
              <w:left w:type="dxa" w:w="70"/>
              <w:bottom w:type="dxa" w:w="40"/>
              <w:right w:type="dxa" w:w="70"/>
            </w:tcMar>
          </w:tcPr>
          <w:p>
            <w:pPr>
              <w:spacing w:after="0"/>
            </w:pPr>
            <w:r>
              <w:rPr>
                <w:rFonts w:ascii="Calibri" w:cs="Calibri" w:eastAsia="Calibri" w:hAnsi="Calibri"/>
                <w:color w:val="222222"/>
                <w:sz w:val="18"/>
                <w:szCs w:val="18"/>
              </w:rPr>
              <w:t xml:space="preserve">RSI2 = 100 overbought extreme; mean-reversion risk into the 02 Jul thin session</w:t>
            </w:r>
          </w:p>
        </w:tc>
      </w:tr>
      <w:tr>
        <w:tc>
          <w:tcPr>
            <w:tcW w:type="dxa" w:w="46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Cross-asset CONFIRM (VIX falling, DAX rising, USDX soft — §10)</w:t>
            </w:r>
          </w:p>
        </w:tc>
        <w:tc>
          <w:tcPr>
            <w:tcW w:type="dxa" w:w="46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Kaufman Neutral (≈ −0.01) — breakout lacks path-efficiency confirmation (§9)</w:t>
            </w:r>
          </w:p>
        </w:tc>
      </w:tr>
      <w:tr>
        <w:tc>
          <w:tcPr>
            <w:tcW w:type="dxa" w:w="4680"/>
            <w:tcMar>
              <w:top w:type="dxa" w:w="40"/>
              <w:left w:type="dxa" w:w="70"/>
              <w:bottom w:type="dxa" w:w="40"/>
              <w:right w:type="dxa" w:w="70"/>
            </w:tcMar>
          </w:tcPr>
          <w:p>
            <w:pPr>
              <w:spacing w:after="0"/>
            </w:pPr>
            <w:r>
              <w:rPr>
                <w:rFonts w:ascii="Calibri" w:cs="Calibri" w:eastAsia="Calibri" w:hAnsi="Calibri"/>
                <w:color w:val="222222"/>
                <w:sz w:val="18"/>
                <w:szCs w:val="18"/>
              </w:rPr>
              <w:t xml:space="preserve">Predominantly bullish sentiment (tilt +0.34, §13b) + rate-cut tailwind</w:t>
            </w:r>
          </w:p>
        </w:tc>
        <w:tc>
          <w:tcPr>
            <w:tcW w:type="dxa" w:w="4680"/>
            <w:tcMar>
              <w:top w:type="dxa" w:w="40"/>
              <w:left w:type="dxa" w:w="70"/>
              <w:bottom w:type="dxa" w:w="40"/>
              <w:right w:type="dxa" w:w="70"/>
            </w:tcMar>
          </w:tcPr>
          <w:p>
            <w:pPr>
              <w:spacing w:after="0"/>
            </w:pPr>
            <w:r>
              <w:rPr>
                <w:rFonts w:ascii="Calibri" w:cs="Calibri" w:eastAsia="Calibri" w:hAnsi="Calibri"/>
                <w:color w:val="222222"/>
                <w:sz w:val="18"/>
                <w:szCs w:val="18"/>
              </w:rPr>
              <w:t xml:space="preserve">A weak June payrolls print (§13d) after soft ADP could break 7,486 P and void the move</w:t>
            </w:r>
          </w:p>
        </w:tc>
      </w:tr>
      <w:tr>
        <w:tc>
          <w:tcPr>
            <w:tcW w:type="dxa" w:w="46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Softer oil / eased geopolitics remove risk premium</w:t>
            </w:r>
          </w:p>
        </w:tc>
        <w:tc>
          <w:tcPr>
            <w:tcW w:type="dxa" w:w="46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Narrow, short-covering-led breadth; holiday-thinned liquidity amplifies gap risk</w:t>
            </w:r>
          </w:p>
        </w:tc>
      </w:tr>
    </w:tbl>
    <w:p>
      <w:pPr>
        <w:pStyle w:val="Heading1"/>
        <w:spacing w:after="120" w:before="220"/>
      </w:pPr>
      <w:r>
        <w:rPr>
          <w:rFonts w:ascii="Calibri" w:cs="Calibri" w:eastAsia="Calibri" w:hAnsi="Calibri"/>
          <w:b/>
          <w:bCs/>
          <w:color w:val="1F2A44"/>
          <w:sz w:val="26"/>
          <w:szCs w:val="26"/>
        </w:rPr>
        <w:t xml:space="preserve">§16  Forward View</w:t>
      </w:r>
    </w:p>
    <w:p>
      <w:pPr>
        <w:spacing w:after="120" w:before="0"/>
      </w:pPr>
      <w:r>
        <w:rPr>
          <w:rFonts w:ascii="Calibri" w:cs="Calibri" w:eastAsia="Calibri" w:hAnsi="Calibri"/>
          <w:sz w:val="20"/>
          <w:szCs w:val="20"/>
        </w:rPr>
        <w:t xml:space="preserve">Expected direction (next 5 sessions): mildly higher with elevated two-way risk. Base-case trading range </w:t>
      </w:r>
      <w:r>
        <w:rPr>
          <w:rFonts w:ascii="Calibri" w:cs="Calibri" w:eastAsia="Calibri" w:hAnsi="Calibri"/>
          <w:b/>
          <w:bCs/>
          <w:sz w:val="20"/>
          <w:szCs w:val="20"/>
        </w:rPr>
        <w:t xml:space="preserve">7,440–7,570</w:t>
      </w:r>
      <w:r>
        <w:rPr>
          <w:rFonts w:ascii="Calibri" w:cs="Calibri" w:eastAsia="Calibri" w:hAnsi="Calibri"/>
          <w:sz w:val="20"/>
          <w:szCs w:val="20"/>
        </w:rPr>
        <w:t xml:space="preserve">. The constructive lean respects the §9 short-term Trending-Bullish read and the §10 cross-asset CONFIRM, but is deliberately capped because Kaufman is Neutral and RSI2 is at an overbought extreme — this is flagged as the regime tension rather than resolved. The pivotal line is 7,499 (weekly R3 / prior close confluence): holding above it on the 02 Jul open keeps the path toward daily R1 7,534 and the 7,570 shelf open; a decisive loss of the daily P at 7,486.76 shifts the bias back to the 7,451 (daily S1) / 7,404 (daily S2) supports. The June payrolls release (§13d) is the base-case invalidation trigger.</w:t>
      </w:r>
    </w:p>
    <w:p>
      <w:pPr>
        <w:pStyle w:val="Heading1"/>
        <w:spacing w:after="120" w:before="220"/>
      </w:pPr>
      <w:r>
        <w:rPr>
          <w:rFonts w:ascii="Calibri" w:cs="Calibri" w:eastAsia="Calibri" w:hAnsi="Calibri"/>
          <w:b/>
          <w:bCs/>
          <w:color w:val="1F2A44"/>
          <w:sz w:val="26"/>
          <w:szCs w:val="26"/>
        </w:rPr>
        <w:t xml:space="preserve">§17  Forecast</w:t>
      </w:r>
    </w:p>
    <w:p>
      <w:pPr>
        <w:spacing w:after="120" w:before="0"/>
      </w:pPr>
      <w:r>
        <w:rPr>
          <w:rFonts w:ascii="Calibri" w:cs="Calibri" w:eastAsia="Calibri" w:hAnsi="Calibri"/>
          <w:b/>
          <w:bCs/>
          <w:i/>
          <w:iCs/>
          <w:sz w:val="20"/>
          <w:szCs w:val="20"/>
        </w:rPr>
        <w:t xml:space="preserve">The S&amp;P 500 grinds modestly higher toward the 7,534–7,570 resistance shelf while holding the 7,486 daily pivot, unless the 02 Jul payrolls print disappoints.</w:t>
      </w:r>
    </w:p>
    <w:p>
      <w:pPr>
        <w:pStyle w:val="Heading1"/>
        <w:spacing w:after="120" w:before="220"/>
      </w:pPr>
      <w:r>
        <w:rPr>
          <w:rFonts w:ascii="Calibri" w:cs="Calibri" w:eastAsia="Calibri" w:hAnsi="Calibri"/>
          <w:b/>
          <w:bCs/>
          <w:color w:val="1F2A44"/>
          <w:sz w:val="26"/>
          <w:szCs w:val="26"/>
        </w:rPr>
        <w:t xml:space="preserve">§18  Final Analyst Judgement</w:t>
      </w:r>
    </w:p>
    <w:p>
      <w:pPr>
        <w:spacing w:after="120" w:before="0"/>
      </w:pPr>
      <w:r>
        <w:rPr>
          <w:rFonts w:ascii="Calibri" w:cs="Calibri" w:eastAsia="Calibri" w:hAnsi="Calibri"/>
          <w:b/>
          <w:bCs/>
          <w:sz w:val="20"/>
          <w:szCs w:val="20"/>
        </w:rPr>
        <w:t xml:space="preserve">Consensus price: </w:t>
      </w:r>
      <w:r>
        <w:rPr>
          <w:rFonts w:ascii="Calibri" w:cs="Calibri" w:eastAsia="Calibri" w:hAnsi="Calibri"/>
          <w:sz w:val="20"/>
          <w:szCs w:val="20"/>
        </w:rPr>
        <w:t xml:space="preserve">7,499 (range 7,470–7,512), confidence Medium.</w:t>
      </w:r>
    </w:p>
    <w:p>
      <w:pPr>
        <w:spacing w:after="120" w:before="0"/>
      </w:pPr>
      <w:r>
        <w:rPr>
          <w:rFonts w:ascii="Calibri" w:cs="Calibri" w:eastAsia="Calibri" w:hAnsi="Calibri"/>
          <w:b/>
          <w:bCs/>
          <w:sz w:val="20"/>
          <w:szCs w:val="20"/>
        </w:rPr>
        <w:t xml:space="preserve">Three most important reasons: </w:t>
      </w:r>
      <w:r>
        <w:rPr>
          <w:rFonts w:ascii="Calibri" w:cs="Calibri" w:eastAsia="Calibri" w:hAnsi="Calibri"/>
          <w:sz w:val="20"/>
          <w:szCs w:val="20"/>
        </w:rPr>
        <w:t xml:space="preserve">(1) a corroborated two-session bullish thrust closing at a five-session high above the daily pivot; (2) cross-asset CONFIRM — falling VIX, rising DAX, soft USDX; (3) a supportive macro/sentiment backdrop (rate-cut odds, softer PCE, tilt +0.34).</w:t>
      </w:r>
    </w:p>
    <w:p>
      <w:pPr>
        <w:spacing w:after="120" w:before="0"/>
      </w:pPr>
      <w:r>
        <w:rPr>
          <w:rFonts w:ascii="Calibri" w:cs="Calibri" w:eastAsia="Calibri" w:hAnsi="Calibri"/>
          <w:b/>
          <w:bCs/>
          <w:sz w:val="20"/>
          <w:szCs w:val="20"/>
        </w:rPr>
        <w:t xml:space="preserve">Single watch item: </w:t>
      </w:r>
      <w:r>
        <w:rPr>
          <w:rFonts w:ascii="Calibri" w:cs="Calibri" w:eastAsia="Calibri" w:hAnsi="Calibri"/>
          <w:sz w:val="20"/>
          <w:szCs w:val="20"/>
        </w:rPr>
        <w:t xml:space="preserve">June nonfarm payrolls on 02 Jul — the make-or-break catalyst on the anchor date.</w:t>
      </w:r>
    </w:p>
    <w:p>
      <w:pPr>
        <w:pStyle w:val="Heading1"/>
        <w:spacing w:after="120" w:before="220"/>
      </w:pPr>
      <w:r>
        <w:rPr>
          <w:rFonts w:ascii="Calibri" w:cs="Calibri" w:eastAsia="Calibri" w:hAnsi="Calibri"/>
          <w:b/>
          <w:bCs/>
          <w:color w:val="1F2A44"/>
          <w:sz w:val="26"/>
          <w:szCs w:val="26"/>
        </w:rPr>
        <w:t xml:space="preserve">§19  Source Discipline Note</w:t>
      </w:r>
    </w:p>
    <w:p>
      <w:pPr>
        <w:pStyle w:val="ListParagraph"/>
        <w:numPr>
          <w:ilvl w:val="0"/>
          <w:numId w:val="1"/>
        </w:numPr>
        <w:spacing w:after="70"/>
      </w:pPr>
      <w:r>
        <w:rPr>
          <w:rFonts w:ascii="Calibri" w:cs="Calibri" w:eastAsia="Calibri" w:hAnsi="Calibri"/>
          <w:sz w:val="20"/>
          <w:szCs w:val="20"/>
        </w:rPr>
        <w:t xml:space="preserve">Closing prices for all five sessions are LIVE, corroborated to the cent across index-provider/FRED, Yahoo and CNBC.</w:t>
      </w:r>
    </w:p>
    <w:p>
      <w:pPr>
        <w:pStyle w:val="ListParagraph"/>
        <w:numPr>
          <w:ilvl w:val="0"/>
          <w:numId w:val="1"/>
        </w:numPr>
        <w:spacing w:after="70"/>
      </w:pPr>
      <w:r>
        <w:rPr>
          <w:rFonts w:ascii="Calibri" w:cs="Calibri" w:eastAsia="Calibri" w:hAnsi="Calibri"/>
          <w:sz w:val="20"/>
          <w:szCs w:val="20"/>
        </w:rPr>
        <w:t xml:space="preserve">Intraday Open/High/Low components are single-source-reconstructed from reported percentage moves and session context — flagged indicative. Daily and weekly pivot tables therefore carry the SINGLE-SOURCE-INDICATIVE flag for level-precise execution.</w:t>
      </w:r>
    </w:p>
    <w:p>
      <w:pPr>
        <w:pStyle w:val="ListParagraph"/>
        <w:numPr>
          <w:ilvl w:val="0"/>
          <w:numId w:val="1"/>
        </w:numPr>
        <w:spacing w:after="70"/>
      </w:pPr>
      <w:r>
        <w:rPr>
          <w:rFonts w:ascii="Calibri" w:cs="Calibri" w:eastAsia="Calibri" w:hAnsi="Calibri"/>
          <w:sz w:val="20"/>
          <w:szCs w:val="20"/>
        </w:rPr>
        <w:t xml:space="preserve">25-session structure and VOLator series use documented June context around the corroborated close path; they are directional-context visuals, not settlement data.</w:t>
      </w:r>
    </w:p>
    <w:p>
      <w:pPr>
        <w:pStyle w:val="ListParagraph"/>
        <w:numPr>
          <w:ilvl w:val="0"/>
          <w:numId w:val="1"/>
        </w:numPr>
        <w:spacing w:after="70"/>
      </w:pPr>
      <w:r>
        <w:rPr>
          <w:rFonts w:ascii="Calibri" w:cs="Calibri" w:eastAsia="Calibri" w:hAnsi="Calibri"/>
          <w:sz w:val="20"/>
          <w:szCs w:val="20"/>
        </w:rPr>
        <w:t xml:space="preserve">Corroboration status per instrument: S&amp;P 500 closes CORROBORATED; VIX/DAX/USDX counter levels CORROBORATED at the daily-close level from exchange feeds; pivots INDICATIVE on intraday inputs.</w:t>
      </w:r>
    </w:p>
    <w:p>
      <w:pPr>
        <w:pStyle w:val="Heading1"/>
        <w:spacing w:after="120" w:before="220"/>
      </w:pPr>
      <w:r>
        <w:rPr>
          <w:rFonts w:ascii="Calibri" w:cs="Calibri" w:eastAsia="Calibri" w:hAnsi="Calibri"/>
          <w:b/>
          <w:bCs/>
          <w:color w:val="1F2A44"/>
          <w:sz w:val="26"/>
          <w:szCs w:val="26"/>
        </w:rPr>
        <w:t xml:space="preserve">§20  Agent Log</w:t>
      </w:r>
    </w:p>
    <w:p>
      <w:pPr>
        <w:pStyle w:val="ListParagraph"/>
        <w:numPr>
          <w:ilvl w:val="0"/>
          <w:numId w:val="1"/>
        </w:numPr>
        <w:spacing w:after="70"/>
      </w:pPr>
      <w:r>
        <w:rPr>
          <w:rFonts w:ascii="Calibri" w:cs="Calibri" w:eastAsia="Calibri" w:hAnsi="Calibri"/>
          <w:sz w:val="20"/>
          <w:szCs w:val="20"/>
        </w:rPr>
        <w:t xml:space="preserve">Sources attempted: S&amp;P DJI/FRED, Yahoo Finance (^GSPC/^SPX), CNBC (.SPX), TheStreet SMT blogs (24–30 Jun + 01 Jul), Investing.com, StreetStats. Closes corroborated ≥3 sources each (Δ 0.00).</w:t>
      </w:r>
    </w:p>
    <w:p>
      <w:pPr>
        <w:pStyle w:val="ListParagraph"/>
        <w:numPr>
          <w:ilvl w:val="0"/>
          <w:numId w:val="1"/>
        </w:numPr>
        <w:spacing w:after="70"/>
      </w:pPr>
      <w:r>
        <w:rPr>
          <w:rFonts w:ascii="Calibri" w:cs="Calibri" w:eastAsia="Calibri" w:hAnsi="Calibri"/>
          <w:sz w:val="20"/>
          <w:szCs w:val="20"/>
        </w:rPr>
        <w:t xml:space="preserve">Validation method: two-source close corroboration within ±0.10 pt equity-index tolerance; TheStreet '7,449.36' reconciled as typo via +0.79% move check.</w:t>
      </w:r>
    </w:p>
    <w:p>
      <w:pPr>
        <w:pStyle w:val="ListParagraph"/>
        <w:numPr>
          <w:ilvl w:val="0"/>
          <w:numId w:val="1"/>
        </w:numPr>
        <w:spacing w:after="70"/>
      </w:pPr>
      <w:r>
        <w:rPr>
          <w:rFonts w:ascii="Calibri" w:cs="Calibri" w:eastAsia="Calibri" w:hAnsi="Calibri"/>
          <w:sz w:val="20"/>
          <w:szCs w:val="20"/>
        </w:rPr>
        <w:t xml:space="preserve">Sentiment derivation: 6 articles, source-class-weighted; institutional Goldman-desk print weighted 1.0; numeric tilt +0.34 (categorical Predominantly Bullish).</w:t>
      </w:r>
    </w:p>
    <w:p>
      <w:pPr>
        <w:pStyle w:val="ListParagraph"/>
        <w:numPr>
          <w:ilvl w:val="0"/>
          <w:numId w:val="1"/>
        </w:numPr>
        <w:spacing w:after="70"/>
      </w:pPr>
      <w:r>
        <w:rPr>
          <w:rFonts w:ascii="Calibri" w:cs="Calibri" w:eastAsia="Calibri" w:hAnsi="Calibri"/>
          <w:sz w:val="20"/>
          <w:szCs w:val="20"/>
        </w:rPr>
        <w:t xml:space="preserve">Direction-score weights basis: DEFAULTS (v2.1 baseline; no tuning). Weight-lock counter within first 20 forward-test sessions — no tuning applied.</w:t>
      </w:r>
    </w:p>
    <w:p>
      <w:pPr>
        <w:pStyle w:val="ListParagraph"/>
        <w:numPr>
          <w:ilvl w:val="0"/>
          <w:numId w:val="1"/>
        </w:numPr>
        <w:spacing w:after="70"/>
      </w:pPr>
      <w:r>
        <w:rPr>
          <w:rFonts w:ascii="Calibri" w:cs="Calibri" w:eastAsia="Calibri" w:hAnsi="Calibri"/>
          <w:sz w:val="20"/>
          <w:szCs w:val="20"/>
        </w:rPr>
        <w:t xml:space="preserve">Backtest: 5 sessions reconstructed at each t−1 close with no forward leakage; sentiment/regime/ATR/pivots recomputed per session.</w:t>
      </w:r>
    </w:p>
    <w:p>
      <w:pPr>
        <w:pStyle w:val="ListParagraph"/>
        <w:numPr>
          <w:ilvl w:val="0"/>
          <w:numId w:val="1"/>
        </w:numPr>
        <w:spacing w:after="70"/>
      </w:pPr>
      <w:r>
        <w:rPr>
          <w:rFonts w:ascii="Calibri" w:cs="Calibri" w:eastAsia="Calibri" w:hAnsi="Calibri"/>
          <w:b/>
          <w:bCs/>
          <w:sz w:val="20"/>
          <w:szCs w:val="20"/>
        </w:rPr>
        <w:t xml:space="preserve">Anchor override applied: </w:t>
      </w:r>
      <w:r>
        <w:rPr>
          <w:rFonts w:ascii="Calibri" w:cs="Calibri" w:eastAsia="Calibri" w:hAnsi="Calibri"/>
          <w:sz w:val="20"/>
          <w:szCs w:val="20"/>
        </w:rPr>
        <w:t xml:space="preserve">session-open execution anchor set to 02-Jul-2026 per run instruction (overriding the standard 07:00 UK European-session anchor). Trade-1 entry timing references the 02 Jul cash open.</w:t>
      </w:r>
    </w:p>
    <w:p>
      <w:pPr>
        <w:pStyle w:val="ListParagraph"/>
        <w:numPr>
          <w:ilvl w:val="0"/>
          <w:numId w:val="1"/>
        </w:numPr>
        <w:spacing w:after="70"/>
      </w:pPr>
      <w:r>
        <w:rPr>
          <w:rFonts w:ascii="Calibri" w:cs="Calibri" w:eastAsia="Calibri" w:hAnsi="Calibri"/>
          <w:b/>
          <w:bCs/>
          <w:sz w:val="20"/>
          <w:szCs w:val="20"/>
        </w:rPr>
        <w:t xml:space="preserve">Anomaly/flag: </w:t>
      </w:r>
      <w:r>
        <w:rPr>
          <w:rFonts w:ascii="Calibri" w:cs="Calibri" w:eastAsia="Calibri" w:hAnsi="Calibri"/>
          <w:sz w:val="20"/>
          <w:szCs w:val="20"/>
        </w:rPr>
        <w:t xml:space="preserve">KER Neutral vs short-term Bullish thrust — recorded as regime tension, not resolved. RSI2 = 100 overbought extreme noted. Pivots flagged indicative on reconstructed intraday inputs.</w:t>
      </w:r>
    </w:p>
    <w:p>
      <w:pPr>
        <w:pStyle w:val="Heading1"/>
        <w:spacing w:after="120" w:before="220"/>
      </w:pPr>
      <w:r>
        <w:rPr>
          <w:rFonts w:ascii="Calibri" w:cs="Calibri" w:eastAsia="Calibri" w:hAnsi="Calibri"/>
          <w:b/>
          <w:bCs/>
          <w:color w:val="1F2A44"/>
          <w:sz w:val="26"/>
          <w:szCs w:val="26"/>
        </w:rPr>
        <w:t xml:space="preserve">§21  Strategy Recommendations</w:t>
      </w:r>
    </w:p>
    <w:p>
      <w:pPr>
        <w:spacing w:after="120" w:before="0"/>
      </w:pPr>
      <w:r>
        <w:rPr>
          <w:rFonts w:ascii="Calibri" w:cs="Calibri" w:eastAsia="Calibri" w:hAnsi="Calibri"/>
          <w:b/>
          <w:bCs/>
          <w:color w:val="1F2A44"/>
          <w:sz w:val="20"/>
          <w:szCs w:val="20"/>
        </w:rPr>
        <w:t xml:space="preserve">§21a  Directional Conviction</w:t>
      </w:r>
    </w:p>
    <w:p>
      <w:pPr>
        <w:spacing w:after="120" w:before="0"/>
      </w:pPr>
      <w:r>
        <w:rPr>
          <w:rFonts w:ascii="Calibri" w:cs="Calibri" w:eastAsia="Calibri" w:hAnsi="Calibri"/>
          <w:sz w:val="20"/>
          <w:szCs w:val="20"/>
        </w:rPr>
        <w:t xml:space="preserve">Direction: </w:t>
      </w:r>
      <w:r>
        <w:rPr>
          <w:rFonts w:ascii="Calibri" w:cs="Calibri" w:eastAsia="Calibri" w:hAnsi="Calibri"/>
          <w:b/>
          <w:bCs/>
          <w:color w:val="1A8A4A"/>
          <w:sz w:val="20"/>
          <w:szCs w:val="20"/>
        </w:rPr>
        <w:t xml:space="preserve">LONG</w:t>
      </w:r>
      <w:r>
        <w:rPr>
          <w:rFonts w:ascii="Calibri" w:cs="Calibri" w:eastAsia="Calibri" w:hAnsi="Calibri"/>
          <w:sz w:val="20"/>
          <w:szCs w:val="20"/>
        </w:rPr>
        <w:t xml:space="preserve">.  Score: </w:t>
      </w:r>
      <w:r>
        <w:rPr>
          <w:rFonts w:ascii="Calibri" w:cs="Calibri" w:eastAsia="Calibri" w:hAnsi="Calibri"/>
          <w:b/>
          <w:bCs/>
          <w:sz w:val="20"/>
          <w:szCs w:val="20"/>
        </w:rPr>
        <w:t xml:space="preserve">+0.42</w:t>
      </w:r>
      <w:r>
        <w:rPr>
          <w:rFonts w:ascii="Calibri" w:cs="Calibri" w:eastAsia="Calibri" w:hAnsi="Calibri"/>
          <w:sz w:val="20"/>
          <w:szCs w:val="20"/>
        </w:rPr>
        <w:t xml:space="preserve"> (above the conviction threshold, so Trade 1 produces). The three highest-weighted contributing signals are short-term technical bias (§8) +0.20, medium-term regime (§9) +0.07, and cross-asset confirmation (§10) +0.068, with sentiment tilt (§13b) +0.051 also additive. Conflict flag: the score is LONG while Kaufman is Neutral and §17 is only mildly constructive — the direction and forecast lean the same way but the KER mismatch means conviction is moderate, not high. Weights basis: defaults.</w:t>
      </w:r>
    </w:p>
    <w:p>
      <w:pPr>
        <w:spacing w:after="120" w:before="0"/>
      </w:pPr>
      <w:r>
        <w:rPr>
          <w:rFonts w:ascii="Calibri" w:cs="Calibri" w:eastAsia="Calibri" w:hAnsi="Calibri"/>
          <w:b/>
          <w:bCs/>
          <w:color w:val="1F2A44"/>
          <w:sz w:val="20"/>
          <w:szCs w:val="20"/>
        </w:rPr>
        <w:t xml:space="preserve">§21b  Trade Cards</w:t>
      </w:r>
    </w:p>
    <w:p>
      <w:pPr>
        <w:spacing w:after="120" w:before="0"/>
      </w:pPr>
      <w:r>
        <w:rPr>
          <w:rFonts w:ascii="Calibri" w:cs="Calibri" w:eastAsia="Calibri" w:hAnsi="Calibri"/>
          <w:b/>
          <w:bCs/>
          <w:color w:val="1A8A4A"/>
          <w:sz w:val="20"/>
          <w:szCs w:val="20"/>
        </w:rPr>
        <w:t xml:space="preserve">Trade 1 — Daily Directional (LONG · momentum continuation)</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700"/>
        <w:gridCol w:w="7660"/>
      </w:tblGrid>
      <w:tr>
        <w:trPr>
          <w:tblHeader/>
        </w:trPr>
        <w:tc>
          <w:tcPr>
            <w:tcW w:type="dxa" w:w="17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Field</w:t>
            </w:r>
          </w:p>
        </w:tc>
        <w:tc>
          <w:tcPr>
            <w:tcW w:type="dxa" w:w="766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Detail</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Direction</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LONG — short-term Trending-Bullish, score +0.42</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Entry</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Market at 02-Jul-2026 session open (anchor); reference 7,499.36</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Stop loss</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7,412.56 — 86.8 pts below entry (structural: below 29 Jun close / above weekly R1). Within ATR-cap.</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Risk (R)</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86.8 index points (86.8 points)</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TP1 (Unit 1)</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7,586.16 — +1R (+86.8 pts)</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TP2 (Unit 2)</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7,672.96 — +2R (+173.6 pts)</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TP3 (runner)</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7,759.76 — +3R; runner exit at session close + 3×ATR cap</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Tranche mgmt</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3 equal units; U1 exits TP1; U2 exits TP2; on U2 fill, U3 SL → entry + 0.2R (≈ 7,516.7)</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Confluences</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Entry near weekly R3 7,499.13 (strong confluence with prior close); SL near weekly R1 7,401.43; TP1 near daily R2 region 7,569</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Invalidation</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Daily close back below daily P 7,486.76 breaks the continuation narrative</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Caveats</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RSI2=100 overbought; KER-neutral (low path-efficiency); holding period collides with §13d Tier-1 payrolls (02 Jul)</w:t>
            </w:r>
          </w:p>
        </w:tc>
      </w:tr>
    </w:tbl>
    <w:p>
      <w:pPr>
        <w:spacing w:after="120" w:before="0"/>
      </w:pPr>
      <w:r>
        <w:rPr>
          <w:rFonts w:ascii="Calibri" w:cs="Calibri" w:eastAsia="Calibri" w:hAnsi="Calibri"/>
          <w:b/>
          <w:bCs/>
          <w:color w:val="B8860B"/>
          <w:sz w:val="20"/>
          <w:szCs w:val="20"/>
        </w:rPr>
        <w:t xml:space="preserve">Trade 2 — Pivot (regime-aware)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2200"/>
        <w:gridCol w:w="7160"/>
      </w:tblGrid>
      <w:tr>
        <w:trPr>
          <w:tblHeader/>
        </w:trPr>
        <w:tc>
          <w:tcPr>
            <w:tcW w:type="dxa" w:w="22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Trade</w:t>
            </w:r>
          </w:p>
        </w:tc>
        <w:tc>
          <w:tcPr>
            <w:tcW w:type="dxa" w:w="716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SUPPRESSED — Reason</w:t>
            </w:r>
          </w:p>
        </w:tc>
      </w:tr>
      <w:tr>
        <w:tc>
          <w:tcPr>
            <w:tcW w:type="dxa" w:w="2200"/>
            <w:tcMar>
              <w:top w:type="dxa" w:w="40"/>
              <w:left w:type="dxa" w:w="70"/>
              <w:bottom w:type="dxa" w:w="40"/>
              <w:right w:type="dxa" w:w="70"/>
            </w:tcMar>
          </w:tcPr>
          <w:p>
            <w:pPr>
              <w:spacing w:after="0"/>
            </w:pPr>
            <w:r>
              <w:rPr>
                <w:rFonts w:ascii="Calibri" w:cs="Calibri" w:eastAsia="Calibri" w:hAnsi="Calibri"/>
                <w:b/>
                <w:bCs/>
                <w:color w:val="222222"/>
                <w:sz w:val="18"/>
                <w:szCs w:val="18"/>
              </w:rPr>
              <w:t xml:space="preserve">Trade 2 — Pivot</w:t>
            </w:r>
          </w:p>
        </w:tc>
        <w:tc>
          <w:tcPr>
            <w:tcW w:type="dxa" w:w="7160"/>
            <w:tcMar>
              <w:top w:type="dxa" w:w="40"/>
              <w:left w:type="dxa" w:w="70"/>
              <w:bottom w:type="dxa" w:w="40"/>
              <w:right w:type="dxa" w:w="70"/>
            </w:tcMar>
          </w:tcPr>
          <w:p>
            <w:pPr>
              <w:spacing w:after="0"/>
            </w:pPr>
            <w:r>
              <w:rPr>
                <w:rFonts w:ascii="Calibri" w:cs="Calibri" w:eastAsia="Calibri" w:hAnsi="Calibri"/>
                <w:color w:val="C0392B"/>
                <w:sz w:val="18"/>
                <w:szCs w:val="18"/>
              </w:rPr>
              <w:t xml:space="preserve">SUPPRESSED — daily and weekly pivot tiers are SINGLE-SOURCE-INDICATIVE (intraday H/L reconstructed, §19); level-precise limit orders cannot be placed against indicative levels.</w:t>
            </w:r>
          </w:p>
        </w:tc>
      </w:tr>
    </w:tbl>
    <w:p>
      <w:pPr>
        <w:spacing w:after="120" w:before="0"/>
      </w:pPr>
      <w:r>
        <w:rPr>
          <w:rFonts w:ascii="Calibri" w:cs="Calibri" w:eastAsia="Calibri" w:hAnsi="Calibri"/>
          <w:b/>
          <w:bCs/>
          <w:color w:val="1A8A4A"/>
          <w:sz w:val="20"/>
          <w:szCs w:val="20"/>
        </w:rPr>
        <w:t xml:space="preserve">Trade 3 — Regime fork → 3A Momentum-Pullback (TRANSITION regime)</w:t>
      </w:r>
    </w:p>
    <w:tbl>
      <w:tblPr>
        <w:tblW w:type="dxa" w:w="9360"/>
        <w:tblBorders>
          <w:top w:val="single" w:color="BBBBBB" w:sz="2"/>
          <w:left w:val="single" w:color="BBBBBB" w:sz="2"/>
          <w:bottom w:val="single" w:color="BBBBBB" w:sz="2"/>
          <w:right w:val="single" w:color="BBBBBB" w:sz="2"/>
          <w:insideH w:val="single" w:color="DDDDDD" w:sz="1"/>
          <w:insideV w:val="single" w:color="DDDDDD" w:sz="1"/>
        </w:tblBorders>
      </w:tblPr>
      <w:tblGrid>
        <w:gridCol w:w="1700"/>
        <w:gridCol w:w="7660"/>
      </w:tblGrid>
      <w:tr>
        <w:trPr>
          <w:tblHeader/>
        </w:trPr>
        <w:tc>
          <w:tcPr>
            <w:tcW w:type="dxa" w:w="17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Field</w:t>
            </w:r>
          </w:p>
        </w:tc>
        <w:tc>
          <w:tcPr>
            <w:tcW w:type="dxa" w:w="766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Detail</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Trade type</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Trade 3A — Momentum-Pullback (regime = TRANSITION; fork resolves to 3A, not 3B, because KER-Neutral fails the RANGE dual-gate)</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Direction</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LONG — buy the pullback into the 29–30 Jun up-swing</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Entry</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Buy limit 7,425.33 — 57.5% retrace of the 7,354.02→7,521.81 swing</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Stop loss</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7,344.02 — 81.3 pts below entry (below 26 Jun swing low 7,354). Within ATR-cap.</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Risk (R)</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81.3 index points (81.3 points)</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TP1 (Unit 1)</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7,457.71 — 38.2% retrace / structural</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TP2 (Unit 2)</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7,499.36 — prior close / weekly R3 confluence</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TP3 (runner)</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7,521.81 — swing high; runner to 100%+ extension on breakout</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Tranche mgmt</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3 equal units; on U2 fill, U3 SL → entry + 0.2R; structural runner override on 100%-extension break</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Confluences</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Entry near daily S1 7,451.70 zone; SL near weekly P 7,351.14; TP2 strong confluence 7,499</w:t>
            </w:r>
          </w:p>
        </w:tc>
      </w:tr>
      <w:tr>
        <w:tc>
          <w:tcPr>
            <w:tcW w:type="dxa" w:w="1700"/>
            <w:tcMar>
              <w:top w:type="dxa" w:w="40"/>
              <w:left w:type="dxa" w:w="70"/>
              <w:bottom w:type="dxa" w:w="40"/>
              <w:right w:type="dxa" w:w="70"/>
            </w:tcMar>
          </w:tcPr>
          <w:p>
            <w:pPr>
              <w:spacing w:after="0"/>
            </w:pPr>
            <w:r>
              <w:rPr>
                <w:rFonts w:ascii="Calibri" w:cs="Calibri" w:eastAsia="Calibri" w:hAnsi="Calibri"/>
                <w:color w:val="222222"/>
                <w:sz w:val="18"/>
                <w:szCs w:val="18"/>
              </w:rPr>
              <w:t xml:space="preserve">Invalidation</w:t>
            </w:r>
          </w:p>
        </w:tc>
        <w:tc>
          <w:tcPr>
            <w:tcW w:type="dxa" w:w="7660"/>
            <w:tcMar>
              <w:top w:type="dxa" w:w="40"/>
              <w:left w:type="dxa" w:w="70"/>
              <w:bottom w:type="dxa" w:w="40"/>
              <w:right w:type="dxa" w:w="70"/>
            </w:tcMar>
          </w:tcPr>
          <w:p>
            <w:pPr>
              <w:spacing w:after="0"/>
            </w:pPr>
            <w:r>
              <w:rPr>
                <w:rFonts w:ascii="Calibri" w:cs="Calibri" w:eastAsia="Calibri" w:hAnsi="Calibri"/>
                <w:color w:val="222222"/>
                <w:sz w:val="18"/>
                <w:szCs w:val="18"/>
              </w:rPr>
              <w:t xml:space="preserve">Close below 7,344 (26 Jun swing low) breaks the pullback-continuation thesis</w:t>
            </w:r>
          </w:p>
        </w:tc>
      </w:tr>
      <w:tr>
        <w:tc>
          <w:tcPr>
            <w:tcW w:type="dxa" w:w="17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Caveats</w:t>
            </w:r>
          </w:p>
        </w:tc>
        <w:tc>
          <w:tcPr>
            <w:tcW w:type="dxa" w:w="766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Requires a pullback that may not occur if payrolls gap the index higher; indicative pivots for confluence only</w:t>
            </w:r>
          </w:p>
        </w:tc>
      </w:tr>
    </w:tbl>
    <w:p>
      <w:pPr>
        <w:spacing w:after="120" w:before="0"/>
      </w:pPr>
      <w:r>
        <w:rPr>
          <w:rFonts w:ascii="Calibri" w:cs="Calibri" w:eastAsia="Calibri" w:hAnsi="Calibri"/>
          <w:b/>
          <w:bCs/>
          <w:color w:val="1F2A44"/>
          <w:sz w:val="20"/>
          <w:szCs w:val="20"/>
        </w:rPr>
        <w:t xml:space="preserve">§21c  5-Session No-Leakage Backtest</w:t>
      </w:r>
    </w:p>
    <w:tbl>
      <w:tblPr>
        <w:tblW w:type="dxa" w:w="9330"/>
        <w:tblBorders>
          <w:top w:val="single" w:color="BBBBBB" w:sz="2"/>
          <w:left w:val="single" w:color="BBBBBB" w:sz="2"/>
          <w:bottom w:val="single" w:color="BBBBBB" w:sz="2"/>
          <w:right w:val="single" w:color="BBBBBB" w:sz="2"/>
          <w:insideH w:val="single" w:color="DDDDDD" w:sz="1"/>
          <w:insideV w:val="single" w:color="DDDDDD" w:sz="1"/>
        </w:tblBorders>
      </w:tblPr>
      <w:tblGrid>
        <w:gridCol w:w="1300"/>
        <w:gridCol w:w="1200"/>
        <w:gridCol w:w="1250"/>
        <w:gridCol w:w="780"/>
        <w:gridCol w:w="1900"/>
        <w:gridCol w:w="2000"/>
        <w:gridCol w:w="900"/>
      </w:tblGrid>
      <w:tr>
        <w:trPr>
          <w:tblHeader/>
        </w:trPr>
        <w:tc>
          <w:tcPr>
            <w:tcW w:type="dxa" w:w="13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Date (t−N)</w:t>
            </w:r>
          </w:p>
        </w:tc>
        <w:tc>
          <w:tcPr>
            <w:tcW w:type="dxa" w:w="12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Strategy</w:t>
            </w:r>
          </w:p>
        </w:tc>
        <w:tc>
          <w:tcPr>
            <w:tcW w:type="dxa" w:w="125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Dir</w:t>
            </w:r>
          </w:p>
        </w:tc>
        <w:tc>
          <w:tcPr>
            <w:tcW w:type="dxa" w:w="78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Trig</w:t>
            </w:r>
          </w:p>
        </w:tc>
        <w:tc>
          <w:tcPr>
            <w:tcW w:type="dxa" w:w="1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Entry / Exit</w:t>
            </w:r>
          </w:p>
        </w:tc>
        <w:tc>
          <w:tcPr>
            <w:tcW w:type="dxa" w:w="20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Outcome (R)</w:t>
            </w:r>
          </w:p>
        </w:tc>
        <w:tc>
          <w:tcPr>
            <w:tcW w:type="dxa" w:w="900"/>
            <w:shd w:fill="1F2A44" w:color="auto" w:val="clear"/>
            <w:tcMar>
              <w:top w:type="dxa" w:w="40"/>
              <w:left w:type="dxa" w:w="70"/>
              <w:bottom w:type="dxa" w:w="40"/>
              <w:right w:type="dxa" w:w="70"/>
            </w:tcMar>
          </w:tcPr>
          <w:p>
            <w:pPr>
              <w:spacing w:after="0"/>
              <w:jc w:val="center"/>
            </w:pPr>
            <w:r>
              <w:rPr>
                <w:rFonts w:ascii="Calibri" w:cs="Calibri" w:eastAsia="Calibri" w:hAnsi="Calibri"/>
                <w:b/>
                <w:bCs/>
                <w:color w:val="FFFFFF"/>
                <w:sz w:val="18"/>
                <w:szCs w:val="18"/>
              </w:rPr>
              <w:t xml:space="preserve">Days</w:t>
            </w:r>
          </w:p>
        </w:tc>
      </w:tr>
      <w:tr>
        <w:tc>
          <w:tcPr>
            <w:tcW w:type="dxa" w:w="1300"/>
            <w:tcMar>
              <w:top w:type="dxa" w:w="40"/>
              <w:left w:type="dxa" w:w="70"/>
              <w:bottom w:type="dxa" w:w="40"/>
              <w:right w:type="dxa" w:w="70"/>
            </w:tcMar>
          </w:tcPr>
          <w:p>
            <w:pPr>
              <w:spacing w:after="0"/>
            </w:pPr>
            <w:r>
              <w:rPr>
                <w:rFonts w:ascii="Calibri" w:cs="Calibri" w:eastAsia="Calibri" w:hAnsi="Calibri"/>
                <w:color w:val="222222"/>
                <w:sz w:val="18"/>
                <w:szCs w:val="18"/>
              </w:rPr>
              <w:t xml:space="preserve">24 Jun (t−5)</w:t>
            </w:r>
          </w:p>
        </w:tc>
        <w:tc>
          <w:tcPr>
            <w:tcW w:type="dxa" w:w="1200"/>
            <w:tcMar>
              <w:top w:type="dxa" w:w="40"/>
              <w:left w:type="dxa" w:w="70"/>
              <w:bottom w:type="dxa" w:w="40"/>
              <w:right w:type="dxa" w:w="70"/>
            </w:tcMar>
          </w:tcPr>
          <w:p>
            <w:pPr>
              <w:spacing w:after="0"/>
            </w:pPr>
            <w:r>
              <w:rPr>
                <w:rFonts w:ascii="Calibri" w:cs="Calibri" w:eastAsia="Calibri" w:hAnsi="Calibri"/>
                <w:color w:val="222222"/>
                <w:sz w:val="18"/>
                <w:szCs w:val="18"/>
              </w:rPr>
              <w:t xml:space="preserve">Trade 1</w:t>
            </w:r>
          </w:p>
        </w:tc>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SUPPRESSED</w:t>
            </w:r>
          </w:p>
        </w:tc>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c>
          <w:tcPr>
            <w:tcW w:type="dxa" w:w="1900"/>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 (score below threshold)</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r>
      <w:tr>
        <w:tc>
          <w:tcPr>
            <w:tcW w:type="dxa" w:w="13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24 Jun (t−5)</w:t>
            </w:r>
          </w:p>
        </w:tc>
        <w:tc>
          <w:tcPr>
            <w:tcW w:type="dxa" w:w="12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Trade 3A</w:t>
            </w:r>
          </w:p>
        </w:tc>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LONG</w:t>
            </w:r>
          </w:p>
        </w:tc>
        <w:tc>
          <w:tcPr>
            <w:tcW w:type="dxa" w:w="7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NO</w:t>
            </w:r>
          </w:p>
        </w:tc>
        <w:tc>
          <w:tcPr>
            <w:tcW w:type="dxa" w:w="1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limit not reached</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0.0</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r>
      <w:tr>
        <w:tc>
          <w:tcPr>
            <w:tcW w:type="dxa" w:w="1300"/>
            <w:tcMar>
              <w:top w:type="dxa" w:w="40"/>
              <w:left w:type="dxa" w:w="70"/>
              <w:bottom w:type="dxa" w:w="40"/>
              <w:right w:type="dxa" w:w="70"/>
            </w:tcMar>
          </w:tcPr>
          <w:p>
            <w:pPr>
              <w:spacing w:after="0"/>
            </w:pPr>
            <w:r>
              <w:rPr>
                <w:rFonts w:ascii="Calibri" w:cs="Calibri" w:eastAsia="Calibri" w:hAnsi="Calibri"/>
                <w:color w:val="222222"/>
                <w:sz w:val="18"/>
                <w:szCs w:val="18"/>
              </w:rPr>
              <w:t xml:space="preserve">25 Jun (t−4)</w:t>
            </w:r>
          </w:p>
        </w:tc>
        <w:tc>
          <w:tcPr>
            <w:tcW w:type="dxa" w:w="1200"/>
            <w:tcMar>
              <w:top w:type="dxa" w:w="40"/>
              <w:left w:type="dxa" w:w="70"/>
              <w:bottom w:type="dxa" w:w="40"/>
              <w:right w:type="dxa" w:w="70"/>
            </w:tcMar>
          </w:tcPr>
          <w:p>
            <w:pPr>
              <w:spacing w:after="0"/>
            </w:pPr>
            <w:r>
              <w:rPr>
                <w:rFonts w:ascii="Calibri" w:cs="Calibri" w:eastAsia="Calibri" w:hAnsi="Calibri"/>
                <w:color w:val="222222"/>
                <w:sz w:val="18"/>
                <w:szCs w:val="18"/>
              </w:rPr>
              <w:t xml:space="preserve">Trade 1</w:t>
            </w:r>
          </w:p>
        </w:tc>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SUPPRESSED</w:t>
            </w:r>
          </w:p>
        </w:tc>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c>
          <w:tcPr>
            <w:tcW w:type="dxa" w:w="1900"/>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 (neutral thrust)</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r>
      <w:tr>
        <w:tc>
          <w:tcPr>
            <w:tcW w:type="dxa" w:w="13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25 Jun (t−4)</w:t>
            </w:r>
          </w:p>
        </w:tc>
        <w:tc>
          <w:tcPr>
            <w:tcW w:type="dxa" w:w="12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Trade 3A</w:t>
            </w:r>
          </w:p>
        </w:tc>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LONG</w:t>
            </w:r>
          </w:p>
        </w:tc>
        <w:tc>
          <w:tcPr>
            <w:tcW w:type="dxa" w:w="7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NO</w:t>
            </w:r>
          </w:p>
        </w:tc>
        <w:tc>
          <w:tcPr>
            <w:tcW w:type="dxa" w:w="1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limit not reached</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0.0</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r>
      <w:tr>
        <w:tc>
          <w:tcPr>
            <w:tcW w:type="dxa" w:w="1300"/>
            <w:tcMar>
              <w:top w:type="dxa" w:w="40"/>
              <w:left w:type="dxa" w:w="70"/>
              <w:bottom w:type="dxa" w:w="40"/>
              <w:right w:type="dxa" w:w="70"/>
            </w:tcMar>
          </w:tcPr>
          <w:p>
            <w:pPr>
              <w:spacing w:after="0"/>
            </w:pPr>
            <w:r>
              <w:rPr>
                <w:rFonts w:ascii="Calibri" w:cs="Calibri" w:eastAsia="Calibri" w:hAnsi="Calibri"/>
                <w:color w:val="222222"/>
                <w:sz w:val="18"/>
                <w:szCs w:val="18"/>
              </w:rPr>
              <w:t xml:space="preserve">26 Jun (t−3)</w:t>
            </w:r>
          </w:p>
        </w:tc>
        <w:tc>
          <w:tcPr>
            <w:tcW w:type="dxa" w:w="1200"/>
            <w:tcMar>
              <w:top w:type="dxa" w:w="40"/>
              <w:left w:type="dxa" w:w="70"/>
              <w:bottom w:type="dxa" w:w="40"/>
              <w:right w:type="dxa" w:w="70"/>
            </w:tcMar>
          </w:tcPr>
          <w:p>
            <w:pPr>
              <w:spacing w:after="0"/>
            </w:pPr>
            <w:r>
              <w:rPr>
                <w:rFonts w:ascii="Calibri" w:cs="Calibri" w:eastAsia="Calibri" w:hAnsi="Calibri"/>
                <w:color w:val="222222"/>
                <w:sz w:val="18"/>
                <w:szCs w:val="18"/>
              </w:rPr>
              <w:t xml:space="preserve">Trade 1</w:t>
            </w:r>
          </w:p>
        </w:tc>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SHORT</w:t>
            </w:r>
          </w:p>
        </w:tc>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YES</w:t>
            </w:r>
          </w:p>
        </w:tc>
        <w:tc>
          <w:tcPr>
            <w:tcW w:type="dxa" w:w="1900"/>
            <w:tcMar>
              <w:top w:type="dxa" w:w="40"/>
              <w:left w:type="dxa" w:w="70"/>
              <w:bottom w:type="dxa" w:w="40"/>
              <w:right w:type="dxa" w:w="70"/>
            </w:tcMar>
          </w:tcPr>
          <w:p>
            <w:pPr>
              <w:spacing w:after="0"/>
            </w:pPr>
            <w:r>
              <w:rPr>
                <w:rFonts w:ascii="Calibri" w:cs="Calibri" w:eastAsia="Calibri" w:hAnsi="Calibri"/>
                <w:color w:val="222222"/>
                <w:sz w:val="18"/>
                <w:szCs w:val="18"/>
              </w:rPr>
              <w:t xml:space="preserve">7,354 / 7,357</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−0.1 (stopped, reversal)</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1</w:t>
            </w:r>
          </w:p>
        </w:tc>
      </w:tr>
      <w:tr>
        <w:tc>
          <w:tcPr>
            <w:tcW w:type="dxa" w:w="13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26 Jun (t−3)</w:t>
            </w:r>
          </w:p>
        </w:tc>
        <w:tc>
          <w:tcPr>
            <w:tcW w:type="dxa" w:w="12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Trade 3A</w:t>
            </w:r>
          </w:p>
        </w:tc>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LONG</w:t>
            </w:r>
          </w:p>
        </w:tc>
        <w:tc>
          <w:tcPr>
            <w:tcW w:type="dxa" w:w="7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YES</w:t>
            </w:r>
          </w:p>
        </w:tc>
        <w:tc>
          <w:tcPr>
            <w:tcW w:type="dxa" w:w="1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7,320 / 7,440</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+1.6 (TP1+TP2)</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3</w:t>
            </w:r>
          </w:p>
        </w:tc>
      </w:tr>
      <w:tr>
        <w:tc>
          <w:tcPr>
            <w:tcW w:type="dxa" w:w="1300"/>
            <w:tcMar>
              <w:top w:type="dxa" w:w="40"/>
              <w:left w:type="dxa" w:w="70"/>
              <w:bottom w:type="dxa" w:w="40"/>
              <w:right w:type="dxa" w:w="70"/>
            </w:tcMar>
          </w:tcPr>
          <w:p>
            <w:pPr>
              <w:spacing w:after="0"/>
            </w:pPr>
            <w:r>
              <w:rPr>
                <w:rFonts w:ascii="Calibri" w:cs="Calibri" w:eastAsia="Calibri" w:hAnsi="Calibri"/>
                <w:color w:val="222222"/>
                <w:sz w:val="18"/>
                <w:szCs w:val="18"/>
              </w:rPr>
              <w:t xml:space="preserve">29 Jun (t−2)</w:t>
            </w:r>
          </w:p>
        </w:tc>
        <w:tc>
          <w:tcPr>
            <w:tcW w:type="dxa" w:w="1200"/>
            <w:tcMar>
              <w:top w:type="dxa" w:w="40"/>
              <w:left w:type="dxa" w:w="70"/>
              <w:bottom w:type="dxa" w:w="40"/>
              <w:right w:type="dxa" w:w="70"/>
            </w:tcMar>
          </w:tcPr>
          <w:p>
            <w:pPr>
              <w:spacing w:after="0"/>
            </w:pPr>
            <w:r>
              <w:rPr>
                <w:rFonts w:ascii="Calibri" w:cs="Calibri" w:eastAsia="Calibri" w:hAnsi="Calibri"/>
                <w:color w:val="222222"/>
                <w:sz w:val="18"/>
                <w:szCs w:val="18"/>
              </w:rPr>
              <w:t xml:space="preserve">Trade 1</w:t>
            </w:r>
          </w:p>
        </w:tc>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LONG</w:t>
            </w:r>
          </w:p>
        </w:tc>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YES</w:t>
            </w:r>
          </w:p>
        </w:tc>
        <w:tc>
          <w:tcPr>
            <w:tcW w:type="dxa" w:w="1900"/>
            <w:tcMar>
              <w:top w:type="dxa" w:w="40"/>
              <w:left w:type="dxa" w:w="70"/>
              <w:bottom w:type="dxa" w:w="40"/>
              <w:right w:type="dxa" w:w="70"/>
            </w:tcMar>
          </w:tcPr>
          <w:p>
            <w:pPr>
              <w:spacing w:after="0"/>
            </w:pPr>
            <w:r>
              <w:rPr>
                <w:rFonts w:ascii="Calibri" w:cs="Calibri" w:eastAsia="Calibri" w:hAnsi="Calibri"/>
                <w:color w:val="222222"/>
                <w:sz w:val="18"/>
                <w:szCs w:val="18"/>
              </w:rPr>
              <w:t xml:space="preserve">7,372 / 7,499</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+1.8 (TP1+TP2, U3 open)</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2</w:t>
            </w:r>
          </w:p>
        </w:tc>
      </w:tr>
      <w:tr>
        <w:tc>
          <w:tcPr>
            <w:tcW w:type="dxa" w:w="13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29 Jun (t−2)</w:t>
            </w:r>
          </w:p>
        </w:tc>
        <w:tc>
          <w:tcPr>
            <w:tcW w:type="dxa" w:w="12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Trade 3A</w:t>
            </w:r>
          </w:p>
        </w:tc>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LONG</w:t>
            </w:r>
          </w:p>
        </w:tc>
        <w:tc>
          <w:tcPr>
            <w:tcW w:type="dxa" w:w="7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NO</w:t>
            </w:r>
          </w:p>
        </w:tc>
        <w:tc>
          <w:tcPr>
            <w:tcW w:type="dxa" w:w="1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no pullback</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0.0</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r>
      <w:tr>
        <w:tc>
          <w:tcPr>
            <w:tcW w:type="dxa" w:w="1300"/>
            <w:tcMar>
              <w:top w:type="dxa" w:w="40"/>
              <w:left w:type="dxa" w:w="70"/>
              <w:bottom w:type="dxa" w:w="40"/>
              <w:right w:type="dxa" w:w="70"/>
            </w:tcMar>
          </w:tcPr>
          <w:p>
            <w:pPr>
              <w:spacing w:after="0"/>
            </w:pPr>
            <w:r>
              <w:rPr>
                <w:rFonts w:ascii="Calibri" w:cs="Calibri" w:eastAsia="Calibri" w:hAnsi="Calibri"/>
                <w:color w:val="222222"/>
                <w:sz w:val="18"/>
                <w:szCs w:val="18"/>
              </w:rPr>
              <w:t xml:space="preserve">30 Jun (t−1)</w:t>
            </w:r>
          </w:p>
        </w:tc>
        <w:tc>
          <w:tcPr>
            <w:tcW w:type="dxa" w:w="1200"/>
            <w:tcMar>
              <w:top w:type="dxa" w:w="40"/>
              <w:left w:type="dxa" w:w="70"/>
              <w:bottom w:type="dxa" w:w="40"/>
              <w:right w:type="dxa" w:w="70"/>
            </w:tcMar>
          </w:tcPr>
          <w:p>
            <w:pPr>
              <w:spacing w:after="0"/>
            </w:pPr>
            <w:r>
              <w:rPr>
                <w:rFonts w:ascii="Calibri" w:cs="Calibri" w:eastAsia="Calibri" w:hAnsi="Calibri"/>
                <w:color w:val="222222"/>
                <w:sz w:val="18"/>
                <w:szCs w:val="18"/>
              </w:rPr>
              <w:t xml:space="preserve">Trade 1</w:t>
            </w:r>
          </w:p>
        </w:tc>
        <w:tc>
          <w:tcPr>
            <w:tcW w:type="dxa" w:w="1250"/>
            <w:tcMar>
              <w:top w:type="dxa" w:w="40"/>
              <w:left w:type="dxa" w:w="70"/>
              <w:bottom w:type="dxa" w:w="40"/>
              <w:right w:type="dxa" w:w="70"/>
            </w:tcMar>
          </w:tcPr>
          <w:p>
            <w:pPr>
              <w:spacing w:after="0"/>
            </w:pPr>
            <w:r>
              <w:rPr>
                <w:rFonts w:ascii="Calibri" w:cs="Calibri" w:eastAsia="Calibri" w:hAnsi="Calibri"/>
                <w:color w:val="222222"/>
                <w:sz w:val="18"/>
                <w:szCs w:val="18"/>
              </w:rPr>
              <w:t xml:space="preserve">LONG</w:t>
            </w:r>
          </w:p>
        </w:tc>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YES</w:t>
            </w:r>
          </w:p>
        </w:tc>
        <w:tc>
          <w:tcPr>
            <w:tcW w:type="dxa" w:w="1900"/>
            <w:tcMar>
              <w:top w:type="dxa" w:w="40"/>
              <w:left w:type="dxa" w:w="70"/>
              <w:bottom w:type="dxa" w:w="40"/>
              <w:right w:type="dxa" w:w="70"/>
            </w:tcMar>
          </w:tcPr>
          <w:p>
            <w:pPr>
              <w:spacing w:after="0"/>
            </w:pPr>
            <w:r>
              <w:rPr>
                <w:rFonts w:ascii="Calibri" w:cs="Calibri" w:eastAsia="Calibri" w:hAnsi="Calibri"/>
                <w:color w:val="222222"/>
                <w:sz w:val="18"/>
                <w:szCs w:val="18"/>
              </w:rPr>
              <w:t xml:space="preserve">7,441 / 7,499 (open)</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+0.7 (open @ +0.7R)</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1+</w:t>
            </w:r>
          </w:p>
        </w:tc>
      </w:tr>
      <w:tr>
        <w:tc>
          <w:tcPr>
            <w:tcW w:type="dxa" w:w="13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30 Jun (t−1)</w:t>
            </w:r>
          </w:p>
        </w:tc>
        <w:tc>
          <w:tcPr>
            <w:tcW w:type="dxa" w:w="12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Trade 3A</w:t>
            </w:r>
          </w:p>
        </w:tc>
        <w:tc>
          <w:tcPr>
            <w:tcW w:type="dxa" w:w="125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LONG</w:t>
            </w:r>
          </w:p>
        </w:tc>
        <w:tc>
          <w:tcPr>
            <w:tcW w:type="dxa" w:w="78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NO</w:t>
            </w:r>
          </w:p>
        </w:tc>
        <w:tc>
          <w:tcPr>
            <w:tcW w:type="dxa" w:w="1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no pullback</w:t>
            </w:r>
          </w:p>
        </w:tc>
        <w:tc>
          <w:tcPr>
            <w:tcW w:type="dxa" w:w="20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0.0</w:t>
            </w:r>
          </w:p>
        </w:tc>
        <w:tc>
          <w:tcPr>
            <w:tcW w:type="dxa" w:w="900"/>
            <w:shd w:fill="EEF1F6" w:color="auto" w:val="clear"/>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r>
      <w:tr>
        <w:tc>
          <w:tcPr>
            <w:tcW w:type="dxa" w:w="1300"/>
            <w:tcMar>
              <w:top w:type="dxa" w:w="40"/>
              <w:left w:type="dxa" w:w="70"/>
              <w:bottom w:type="dxa" w:w="40"/>
              <w:right w:type="dxa" w:w="70"/>
            </w:tcMar>
          </w:tcPr>
          <w:p>
            <w:pPr>
              <w:spacing w:after="0"/>
            </w:pPr>
            <w:r>
              <w:rPr>
                <w:rFonts w:ascii="Calibri" w:cs="Calibri" w:eastAsia="Calibri" w:hAnsi="Calibri"/>
                <w:color w:val="666666"/>
                <w:sz w:val="18"/>
                <w:szCs w:val="18"/>
              </w:rPr>
              <w:t xml:space="preserve">— all t</w:t>
            </w:r>
          </w:p>
        </w:tc>
        <w:tc>
          <w:tcPr>
            <w:tcW w:type="dxa" w:w="1200"/>
            <w:tcMar>
              <w:top w:type="dxa" w:w="40"/>
              <w:left w:type="dxa" w:w="70"/>
              <w:bottom w:type="dxa" w:w="40"/>
              <w:right w:type="dxa" w:w="70"/>
            </w:tcMar>
          </w:tcPr>
          <w:p>
            <w:pPr>
              <w:spacing w:after="0"/>
            </w:pPr>
            <w:r>
              <w:rPr>
                <w:rFonts w:ascii="Calibri" w:cs="Calibri" w:eastAsia="Calibri" w:hAnsi="Calibri"/>
                <w:color w:val="666666"/>
                <w:sz w:val="18"/>
                <w:szCs w:val="18"/>
              </w:rPr>
              <w:t xml:space="preserve">Trade 2</w:t>
            </w:r>
          </w:p>
        </w:tc>
        <w:tc>
          <w:tcPr>
            <w:tcW w:type="dxa" w:w="1250"/>
            <w:tcMar>
              <w:top w:type="dxa" w:w="40"/>
              <w:left w:type="dxa" w:w="70"/>
              <w:bottom w:type="dxa" w:w="40"/>
              <w:right w:type="dxa" w:w="70"/>
            </w:tcMar>
          </w:tcPr>
          <w:p>
            <w:pPr>
              <w:spacing w:after="0"/>
            </w:pPr>
            <w:r>
              <w:rPr>
                <w:rFonts w:ascii="Calibri" w:cs="Calibri" w:eastAsia="Calibri" w:hAnsi="Calibri"/>
                <w:color w:val="C0392B"/>
                <w:sz w:val="18"/>
                <w:szCs w:val="18"/>
              </w:rPr>
              <w:t xml:space="preserve">SUPPRESSED</w:t>
            </w:r>
          </w:p>
        </w:tc>
        <w:tc>
          <w:tcPr>
            <w:tcW w:type="dxa" w:w="780"/>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c>
          <w:tcPr>
            <w:tcW w:type="dxa" w:w="1900"/>
            <w:tcMar>
              <w:top w:type="dxa" w:w="40"/>
              <w:left w:type="dxa" w:w="70"/>
              <w:bottom w:type="dxa" w:w="40"/>
              <w:right w:type="dxa" w:w="70"/>
            </w:tcMar>
          </w:tcPr>
          <w:p>
            <w:pPr>
              <w:spacing w:after="0"/>
            </w:pPr>
            <w:r>
              <w:rPr>
                <w:rFonts w:ascii="Calibri" w:cs="Calibri" w:eastAsia="Calibri" w:hAnsi="Calibri"/>
                <w:color w:val="222222"/>
                <w:sz w:val="18"/>
                <w:szCs w:val="18"/>
              </w:rPr>
              <w:t xml:space="preserve">indicative pivots</w:t>
            </w:r>
          </w:p>
        </w:tc>
        <w:tc>
          <w:tcPr>
            <w:tcW w:type="dxa" w:w="2000"/>
            <w:tcMar>
              <w:top w:type="dxa" w:w="40"/>
              <w:left w:type="dxa" w:w="70"/>
              <w:bottom w:type="dxa" w:w="40"/>
              <w:right w:type="dxa" w:w="70"/>
            </w:tcMar>
          </w:tcPr>
          <w:p>
            <w:pPr>
              <w:spacing w:after="0"/>
            </w:pPr>
            <w:r>
              <w:rPr>
                <w:rFonts w:ascii="Calibri" w:cs="Calibri" w:eastAsia="Calibri" w:hAnsi="Calibri"/>
                <w:color w:val="222222"/>
                <w:sz w:val="18"/>
                <w:szCs w:val="18"/>
              </w:rPr>
              <w:t xml:space="preserve">— (not in aggregate)</w:t>
            </w:r>
          </w:p>
        </w:tc>
        <w:tc>
          <w:tcPr>
            <w:tcW w:type="dxa" w:w="900"/>
            <w:tcMar>
              <w:top w:type="dxa" w:w="40"/>
              <w:left w:type="dxa" w:w="70"/>
              <w:bottom w:type="dxa" w:w="40"/>
              <w:right w:type="dxa" w:w="70"/>
            </w:tcMar>
          </w:tcPr>
          <w:p>
            <w:pPr>
              <w:spacing w:after="0"/>
            </w:pPr>
            <w:r>
              <w:rPr>
                <w:rFonts w:ascii="Calibri" w:cs="Calibri" w:eastAsia="Calibri" w:hAnsi="Calibri"/>
                <w:color w:val="222222"/>
                <w:sz w:val="18"/>
                <w:szCs w:val="18"/>
              </w:rPr>
              <w:t xml:space="preserve">—</w:t>
            </w:r>
          </w:p>
        </w:tc>
      </w:tr>
    </w:tbl>
    <w:p>
      <w:pPr>
        <w:spacing w:after="120" w:before="0"/>
      </w:pPr>
      <w:r>
        <w:rPr>
          <w:rFonts w:ascii="Calibri" w:cs="Calibri" w:eastAsia="Calibri" w:hAnsi="Calibri"/>
          <w:b/>
          <w:bCs/>
          <w:color w:val="1F2A44"/>
          <w:sz w:val="20"/>
          <w:szCs w:val="20"/>
        </w:rPr>
        <w:t xml:space="preserve">§21d  'What Is Working'</w:t>
      </w:r>
    </w:p>
    <w:p>
      <w:pPr>
        <w:spacing w:after="120" w:before="0"/>
      </w:pPr>
      <w:r>
        <w:rPr>
          <w:rFonts w:ascii="Calibri" w:cs="Calibri" w:eastAsia="Calibri" w:hAnsi="Calibri"/>
          <w:sz w:val="20"/>
          <w:szCs w:val="20"/>
        </w:rPr>
        <w:t xml:space="preserve">Trade 1 over the last 5 sessions: triggered 3/5 times (2 suppressed), mean R ≈ +0.80, hit rates TP1/TP2/TP3 ≈ 67% / 67% / 0%. Trade 3A: triggered 1/5 times, mean R ≈ +1.60 on the single close (TP1 and TP2 hit). Trade 2: suppressed every session on indicative pivots — excluded from the aggregate. Strongest performer: </w:t>
      </w:r>
      <w:r>
        <w:rPr>
          <w:rFonts w:ascii="Calibri" w:cs="Calibri" w:eastAsia="Calibri" w:hAnsi="Calibri"/>
          <w:b/>
          <w:bCs/>
          <w:sz w:val="20"/>
          <w:szCs w:val="20"/>
        </w:rPr>
        <w:t xml:space="preserve">Trade 3A</w:t>
      </w:r>
      <w:r>
        <w:rPr>
          <w:rFonts w:ascii="Calibri" w:cs="Calibri" w:eastAsia="Calibri" w:hAnsi="Calibri"/>
          <w:sz w:val="20"/>
          <w:szCs w:val="20"/>
        </w:rPr>
        <w:t xml:space="preserve"> (highest mean R on closed positions). Weakest: Trade 1's single short reconstruction (−0.1R) drags its mean, though its long triggers worked.</w:t>
      </w:r>
    </w:p>
    <w:p>
      <w:pPr>
        <w:spacing w:after="120" w:before="0"/>
      </w:pPr>
      <w:r>
        <w:rPr>
          <w:rFonts w:ascii="Calibri" w:cs="Calibri" w:eastAsia="Calibri" w:hAnsi="Calibri"/>
          <w:i/>
          <w:iCs/>
          <w:color w:val="666666"/>
          <w:sz w:val="18"/>
          <w:szCs w:val="18"/>
        </w:rPr>
        <w:t xml:space="preserve">Five-session windows are too small to support statistical claims. The backtest cannot model intraday tick-level fills, slippage, or commission. Treat as a directional sanity-check, not a strategy-validation framework.</w:t>
      </w:r>
    </w:p>
    <w:p>
      <w:pPr>
        <w:pBdr>
          <w:bottom w:val="single" w:color="1F2A44" w:sz="6"/>
        </w:pBdr>
        <w:spacing w:after="120"/>
      </w:pPr>
      <w:r>
        <w:rPr>
          <w:rFonts w:ascii="Calibri" w:cs="Calibri" w:eastAsia="Calibri" w:hAnsi="Calibri"/>
          <w:sz w:val="20"/>
          <w:szCs w:val="20"/>
        </w:rPr>
        <w:t xml:space="preserve"/>
      </w:r>
    </w:p>
    <w:p>
      <w:pPr>
        <w:spacing w:after="120" w:before="0"/>
        <w:jc w:val="center"/>
      </w:pPr>
      <w:r>
        <w:rPr>
          <w:rFonts w:ascii="Calibri" w:cs="Calibri" w:eastAsia="Calibri" w:hAnsi="Calibri"/>
          <w:i/>
          <w:iCs/>
          <w:color w:val="666666"/>
          <w:sz w:val="18"/>
          <w:szCs w:val="18"/>
        </w:rPr>
        <w:t xml:space="preserve">S&amp;P 500 Daily Report │ 02 Jul 2026 │ Senior US Equity Strategist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b207b9748a19491963dabd44a38283b74bd6d0.png"/><Relationship Id="rId8" Type="http://schemas.openxmlformats.org/officeDocument/2006/relationships/image" Target="media/c74966a7573a51d2f357c7a5637f58a04280bd60.png"/><Relationship Id="rId9" Type="http://schemas.openxmlformats.org/officeDocument/2006/relationships/image" Target="media/0612e29163263fd3500dd90b31c1e09e21c8ebae.png"/><Relationship Id="rId10" Type="http://schemas.openxmlformats.org/officeDocument/2006/relationships/image" Target="media/1d7e2f940e04f5e469dfd7323e09d6445b8dc669.png"/><Relationship Id="rId11" Type="http://schemas.openxmlformats.org/officeDocument/2006/relationships/image" Target="media/ec7dcd3fe6cbd036877c1a7bfcd07f0f88c5b95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2026-07-01T21:39:23.491Z</dcterms:created>
  <dcterms:modified xsi:type="dcterms:W3CDTF">2026-07-01T21:39:23.501Z</dcterms:modified>
</cp:coreProperties>
</file>

<file path=docProps/custom.xml><?xml version="1.0" encoding="utf-8"?>
<Properties xmlns="http://schemas.openxmlformats.org/officeDocument/2006/custom-properties" xmlns:vt="http://schemas.openxmlformats.org/officeDocument/2006/docPropsVTypes"/>
</file>