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F3864"/>
          <w:sz w:val="36"/>
          <w:szCs w:val="36"/>
        </w:rPr>
        <w:t xml:space="preserve">S&amp;P 500 Report — Daily: 02 June 2026</w:t>
      </w:r>
    </w:p>
    <w:p>
      <w:pPr>
        <w:spacing w:after="40"/>
        <w:jc w:val="center"/>
      </w:pPr>
      <w:r>
        <w:rPr>
          <w:rFonts w:ascii="Arial" w:cs="Arial" w:eastAsia="Arial" w:hAnsi="Arial"/>
          <w:i/>
          <w:iCs/>
          <w:color w:val="666666"/>
          <w:sz w:val="20"/>
          <w:szCs w:val="20"/>
        </w:rPr>
        <w:t xml:space="preserve">With reference to: USDX · VIX · DAX 40</w:t>
      </w:r>
    </w:p>
    <w:p>
      <w:pPr>
        <w:spacing w:after="200"/>
        <w:jc w:val="center"/>
      </w:pPr>
      <w:r>
        <w:rPr>
          <w:rFonts w:ascii="Arial" w:cs="Arial" w:eastAsia="Arial" w:hAnsi="Arial"/>
          <w:color w:val="666666"/>
          <w:sz w:val="16"/>
          <w:szCs w:val="16"/>
        </w:rPr>
        <w:t xml:space="preserve">Senior US Equity Strategist  ·  As-of session basis: prior close 01 Jun 2026  ·  All levels in index points (USD)</w:t>
      </w:r>
    </w:p>
    <w:p>
      <w:pPr>
        <w:pBdr>
          <w:bottom w:val="single" w:color="2E75B6" w:sz="8" w:space="1"/>
        </w:pBdr>
      </w:pPr>
      <w:r>
        <w:rPr>
          <w:rFonts w:ascii="Arial" w:cs="Arial" w:eastAsia="Arial" w:hAnsi="Arial"/>
        </w:rPr>
        <w:t xml:space="preserve"/>
      </w:r>
    </w:p>
    <w:p>
      <w:pPr>
        <w:pStyle w:val="Heading1"/>
        <w:spacing w:after="120" w:before="300"/>
      </w:pPr>
      <w:r>
        <w:rPr>
          <w:rFonts w:ascii="Arial" w:cs="Arial" w:eastAsia="Arial" w:hAnsi="Arial"/>
          <w:b/>
          <w:bCs/>
          <w:color w:val="1F3864"/>
          <w:sz w:val="26"/>
          <w:szCs w:val="26"/>
        </w:rPr>
        <w:t xml:space="preserve">§1  Executive Snapshot</w:t>
      </w:r>
    </w:p>
    <w:p>
      <w:pPr>
        <w:spacing w:after="120"/>
      </w:pPr>
      <w:r>
        <w:rPr>
          <w:rFonts w:ascii="Arial" w:cs="Arial" w:eastAsia="Arial" w:hAnsi="Arial"/>
          <w:sz w:val="20"/>
          <w:szCs w:val="20"/>
        </w:rPr>
        <w:t xml:space="preserve">The S&amp;P 500 cash index enters the 02 June session at a record consensus level of </w:t>
      </w:r>
      <w:r>
        <w:rPr>
          <w:rFonts w:ascii="Arial" w:cs="Arial" w:eastAsia="Arial" w:hAnsi="Arial"/>
          <w:b/>
          <w:bCs/>
          <w:sz w:val="20"/>
          <w:szCs w:val="20"/>
        </w:rPr>
        <w:t xml:space="preserve">7,599.96</w:t>
      </w:r>
      <w:r>
        <w:rPr>
          <w:rFonts w:ascii="Arial" w:cs="Arial" w:eastAsia="Arial" w:hAnsi="Arial"/>
          <w:sz w:val="20"/>
          <w:szCs w:val="20"/>
        </w:rPr>
        <w:t xml:space="preserve"> (01 June close), with market tone </w:t>
      </w:r>
      <w:r>
        <w:rPr>
          <w:rFonts w:ascii="Arial" w:cs="Arial" w:eastAsia="Arial" w:hAnsi="Arial"/>
          <w:b/>
          <w:bCs/>
          <w:sz w:val="20"/>
          <w:szCs w:val="20"/>
        </w:rPr>
        <w:t xml:space="preserve">bullish but stretched</w:t>
      </w:r>
      <w:r>
        <w:rPr>
          <w:rFonts w:ascii="Arial" w:cs="Arial" w:eastAsia="Arial" w:hAnsi="Arial"/>
          <w:sz w:val="20"/>
          <w:szCs w:val="20"/>
        </w:rPr>
        <w:t xml:space="preserve">. Three drivers dominate: an AI-led mega-cap melt-up (Nvidia’s new PC processor lifted the chip complex and capped a ninth consecutive weekly gain), a four-month low in implied volatility (VIX 15.32) signalling a calm risk regime, and easing geopolitical risk on U.S.–Iran ceasefire optimism. The short-term technical read is a bullish continuation but with RSI2 pinned at its 100 ceiling across the last four sessions — a textbook overbought condition that raises near-term exhaustion risk. The medium-term regime is Trending Bullish, and the Kaufman efficiency read classifies the move as Trending Up — Strong (efficiency ratio ≈ 1.0 over the window), confirming a highly directional, low-noise advance. Directional conviction for strategy purposes is LONG (score +0.65). The single most important watch item is the upcoming May Non-Farm Payrolls release (Fri 05 Jun), which lands inside the 5-session horizon and is the most likely catalyst to break the low-volatility grind in either direction (see §13d).</w:t>
      </w:r>
    </w:p>
    <w:p>
      <w:pPr>
        <w:pStyle w:val="Heading1"/>
        <w:spacing w:after="120" w:before="300"/>
      </w:pPr>
      <w:r>
        <w:rPr>
          <w:rFonts w:ascii="Arial" w:cs="Arial" w:eastAsia="Arial" w:hAnsi="Arial"/>
          <w:b/>
          <w:bCs/>
          <w:color w:val="1F3864"/>
          <w:sz w:val="26"/>
          <w:szCs w:val="26"/>
        </w:rPr>
        <w:t xml:space="preserve">§2  Market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Attribute</w:t>
            </w:r>
          </w:p>
        </w:tc>
        <w:tc>
          <w:tcPr>
            <w:tcW w:type="dxa" w:w="67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Definition</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Asset</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S&amp;P 500 cash index (large-cap US equity benchmark, 503 constituents)</w:t>
            </w:r>
          </w:p>
        </w:tc>
      </w:tr>
      <w:tr>
        <w:tc>
          <w:tcPr>
            <w:tcW w:type="dxa" w:w="26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Price basis</w:t>
            </w:r>
          </w:p>
        </w:tc>
        <w:tc>
          <w:tcPr>
            <w:tcW w:type="dxa" w:w="676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Continuous cash index level, calculated during NYSE/NASDAQ regular hours</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Delivery / session</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Regular cash session 09:30–16:00 ET (14:30–21:00 UK); pre/after-market excluded</w:t>
            </w:r>
          </w:p>
        </w:tc>
      </w:tr>
      <w:tr>
        <w:tc>
          <w:tcPr>
            <w:tcW w:type="dxa" w:w="26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Unit / currency</w:t>
            </w:r>
          </w:p>
        </w:tc>
        <w:tc>
          <w:tcPr>
            <w:tcW w:type="dxa" w:w="676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Index points · USD · tick 0.01</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As-of date</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02 June 2026 (report date); pricing anchored to prior session close 01 June 2026</w:t>
            </w:r>
          </w:p>
        </w:tc>
      </w:tr>
      <w:tr>
        <w:tc>
          <w:tcPr>
            <w:tcW w:type="dxa" w:w="26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Lookback window</w:t>
            </w:r>
          </w:p>
        </w:tc>
        <w:tc>
          <w:tcPr>
            <w:tcW w:type="dxa" w:w="676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5 validated trading sessions (26 May – 01 Jun 2026)</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Daily-open anchor</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Overridden for this run to 00:00 UK (analyst override of the standard 07:00 UK European pre-open anchor)</w:t>
            </w:r>
          </w:p>
        </w:tc>
      </w:tr>
    </w:tbl>
    <w:p>
      <w:pPr>
        <w:spacing w:after="120"/>
      </w:pPr>
      <w:r>
        <w:rPr>
          <w:rFonts w:ascii="Arial" w:cs="Arial" w:eastAsia="Arial" w:hAnsi="Arial"/>
          <w:b/>
          <w:bCs/>
          <w:sz w:val="18"/>
          <w:szCs w:val="18"/>
        </w:rPr>
        <w:t xml:space="preserve">Note on anchor override: </w:t>
      </w:r>
      <w:r>
        <w:rPr>
          <w:rFonts w:ascii="Arial" w:cs="Arial" w:eastAsia="Arial" w:hAnsi="Arial"/>
          <w:i/>
          <w:iCs/>
          <w:sz w:val="18"/>
          <w:szCs w:val="18"/>
        </w:rPr>
        <w:t xml:space="preserve">the standard pre-NY-open European anchor (07:00 UK) has been overridden to a 00:00 UK day-boundary anchor for this run at the analyst’s instruction. Trade 1 entries are therefore timed to the day-boundary market open rather than the European pre-open window. This is logged in §20.</w:t>
      </w:r>
    </w:p>
    <w:p>
      <w:pPr>
        <w:pStyle w:val="Heading1"/>
        <w:spacing w:after="120" w:before="300"/>
      </w:pPr>
      <w:r>
        <w:rPr>
          <w:rFonts w:ascii="Arial" w:cs="Arial" w:eastAsia="Arial" w:hAnsi="Arial"/>
          <w:b/>
          <w:bCs/>
          <w:color w:val="1F3864"/>
          <w:sz w:val="26"/>
          <w:szCs w:val="26"/>
        </w:rPr>
        <w:t xml:space="preserve">§3  Consensus Price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80"/>
        <w:gridCol w:w="2280"/>
      </w:tblGrid>
      <w:tr>
        <w:trPr>
          <w:tblHeader/>
        </w:trPr>
        <w:tc>
          <w:tcPr>
            <w:tcW w:type="dxa" w:w="24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Consensus level</w:t>
            </w:r>
          </w:p>
        </w:tc>
        <w:tc>
          <w:tcPr>
            <w:tcW w:type="dxa" w:w="24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Consensus range</w:t>
            </w:r>
          </w:p>
        </w:tc>
        <w:tc>
          <w:tcPr>
            <w:tcW w:type="dxa" w:w="228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Confidence</w:t>
            </w:r>
          </w:p>
        </w:tc>
        <w:tc>
          <w:tcPr>
            <w:tcW w:type="dxa" w:w="228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Market tone</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bCs/>
                <w:sz w:val="17"/>
                <w:szCs w:val="17"/>
              </w:rPr>
              <w:t xml:space="preserve">7,599.96 pts</w:t>
            </w:r>
          </w:p>
        </w:tc>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7,580 – 7,603 pts</w:t>
            </w:r>
          </w:p>
        </w:tc>
        <w:tc>
          <w:tcPr>
            <w:tcW w:type="dxa" w:w="22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bCs/>
                <w:color w:val="1A7A3C"/>
                <w:sz w:val="17"/>
                <w:szCs w:val="17"/>
              </w:rPr>
              <w:t xml:space="preserve">High</w:t>
            </w:r>
          </w:p>
        </w:tc>
        <w:tc>
          <w:tcPr>
            <w:tcW w:type="dxa" w:w="22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bCs/>
                <w:color w:val="1A7A3C"/>
                <w:sz w:val="17"/>
                <w:szCs w:val="17"/>
              </w:rPr>
              <w:t xml:space="preserve">Bullish</w:t>
            </w:r>
          </w:p>
        </w:tc>
      </w:tr>
    </w:tbl>
    <w:p>
      <w:pPr>
        <w:spacing w:after="120"/>
      </w:pPr>
      <w:r>
        <w:rPr>
          <w:rFonts w:ascii="Arial" w:cs="Arial" w:eastAsia="Arial" w:hAnsi="Arial"/>
          <w:b/>
          <w:bCs/>
          <w:sz w:val="20"/>
          <w:szCs w:val="20"/>
        </w:rPr>
        <w:t xml:space="preserve">Rationale: </w:t>
      </w:r>
      <w:r>
        <w:rPr>
          <w:rFonts w:ascii="Arial" w:cs="Arial" w:eastAsia="Arial" w:hAnsi="Arial"/>
          <w:sz w:val="20"/>
          <w:szCs w:val="20"/>
        </w:rPr>
        <w:t xml:space="preserve">the 01 June official close of 7,599.96 is corroborated across multiple independent feeds with zero dispersion at the close; the consensus range spans the 29 May close (7,580.06) to the 01 June intraday/52-week high (7,603.44). Tone is bullish on the nine-week winning streak and record closes, tempered by an RSI2 reading at its extreme.</w:t>
      </w:r>
    </w:p>
    <w:p>
      <w:pPr>
        <w:pStyle w:val="Heading1"/>
        <w:spacing w:after="120" w:before="300"/>
      </w:pPr>
      <w:r>
        <w:rPr>
          <w:rFonts w:ascii="Arial" w:cs="Arial" w:eastAsia="Arial" w:hAnsi="Arial"/>
          <w:b/>
          <w:bCs/>
          <w:color w:val="1F3864"/>
          <w:sz w:val="26"/>
          <w:szCs w:val="26"/>
        </w:rPr>
        <w:t xml:space="preserve">§4  Price Evidence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1600"/>
        <w:gridCol w:w="1300"/>
        <w:gridCol w:w="1300"/>
        <w:gridCol w:w="1350"/>
        <w:gridCol w:w="2360"/>
      </w:tblGrid>
      <w:tr>
        <w:trPr>
          <w:tblHeader/>
        </w:trPr>
        <w:tc>
          <w:tcPr>
            <w:tcW w:type="dxa" w:w="145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Source</w:t>
            </w:r>
          </w:p>
        </w:tc>
        <w:tc>
          <w:tcPr>
            <w:tcW w:type="dxa" w:w="16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Date/Time</w:t>
            </w:r>
          </w:p>
        </w:tc>
        <w:tc>
          <w:tcPr>
            <w:tcW w:type="dxa" w:w="13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Raw quote (close)</w:t>
            </w:r>
          </w:p>
        </w:tc>
        <w:tc>
          <w:tcPr>
            <w:tcW w:type="dxa" w:w="13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Normalized</w:t>
            </w:r>
          </w:p>
        </w:tc>
        <w:tc>
          <w:tcPr>
            <w:tcW w:type="dxa" w:w="135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Classification</w:t>
            </w:r>
          </w:p>
        </w:tc>
        <w:tc>
          <w:tcPr>
            <w:tcW w:type="dxa" w:w="23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Notes</w:t>
            </w:r>
          </w:p>
        </w:tc>
      </w:tr>
      <w:tr>
        <w:tc>
          <w:tcPr>
            <w:tcW w:type="dxa" w:w="14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S&amp;P DJI / FRED</w:t>
            </w:r>
          </w:p>
        </w:tc>
        <w:tc>
          <w:tcPr>
            <w:tcW w:type="dxa" w:w="1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29 May 2026 close</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7,580.06</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7,580.06 pts</w:t>
            </w:r>
          </w:p>
        </w:tc>
        <w:tc>
          <w:tcPr>
            <w:tcW w:type="dxa" w:w="13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Core</w:t>
            </w:r>
          </w:p>
        </w:tc>
        <w:tc>
          <w:tcPr>
            <w:tcW w:type="dxa" w:w="2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Official index provider value</w:t>
            </w:r>
          </w:p>
        </w:tc>
      </w:tr>
      <w:tr>
        <w:tc>
          <w:tcPr>
            <w:tcW w:type="dxa" w:w="145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Yahoo Finance</w:t>
            </w:r>
          </w:p>
        </w:tc>
        <w:tc>
          <w:tcPr>
            <w:tcW w:type="dxa" w:w="16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29 May 2026 17:03 ET</w:t>
            </w:r>
          </w:p>
        </w:tc>
        <w:tc>
          <w:tcPr>
            <w:tcW w:type="dxa" w:w="13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7,580.06</w:t>
            </w:r>
          </w:p>
        </w:tc>
        <w:tc>
          <w:tcPr>
            <w:tcW w:type="dxa" w:w="13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7,580.06 pts</w:t>
            </w:r>
          </w:p>
        </w:tc>
        <w:tc>
          <w:tcPr>
            <w:tcW w:type="dxa" w:w="135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Core</w:t>
            </w:r>
          </w:p>
        </w:tc>
        <w:tc>
          <w:tcPr>
            <w:tcW w:type="dxa" w:w="236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Delta 0.00 vs FRED → corroborated</w:t>
            </w:r>
          </w:p>
        </w:tc>
      </w:tr>
      <w:tr>
        <w:tc>
          <w:tcPr>
            <w:tcW w:type="dxa" w:w="14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CNBC</w:t>
            </w:r>
          </w:p>
        </w:tc>
        <w:tc>
          <w:tcPr>
            <w:tcW w:type="dxa" w:w="1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01 Jun 2026 close</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7,599.96</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7,599.96 pts</w:t>
            </w:r>
          </w:p>
        </w:tc>
        <w:tc>
          <w:tcPr>
            <w:tcW w:type="dxa" w:w="13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Core</w:t>
            </w:r>
          </w:p>
        </w:tc>
        <w:tc>
          <w:tcPr>
            <w:tcW w:type="dxa" w:w="2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Record close, +0.26%</w:t>
            </w:r>
          </w:p>
        </w:tc>
      </w:tr>
      <w:tr>
        <w:tc>
          <w:tcPr>
            <w:tcW w:type="dxa" w:w="145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TheStreet / Markets feed</w:t>
            </w:r>
          </w:p>
        </w:tc>
        <w:tc>
          <w:tcPr>
            <w:tcW w:type="dxa" w:w="16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28 May 2026 close</w:t>
            </w:r>
          </w:p>
        </w:tc>
        <w:tc>
          <w:tcPr>
            <w:tcW w:type="dxa" w:w="13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7,563.63</w:t>
            </w:r>
          </w:p>
        </w:tc>
        <w:tc>
          <w:tcPr>
            <w:tcW w:type="dxa" w:w="13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7,563.63 pts</w:t>
            </w:r>
          </w:p>
        </w:tc>
        <w:tc>
          <w:tcPr>
            <w:tcW w:type="dxa" w:w="135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Core</w:t>
            </w:r>
          </w:p>
        </w:tc>
        <w:tc>
          <w:tcPr>
            <w:tcW w:type="dxa" w:w="236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+0.58% / +43.27, corroborates CNBC</w:t>
            </w:r>
          </w:p>
        </w:tc>
      </w:tr>
      <w:tr>
        <w:tc>
          <w:tcPr>
            <w:tcW w:type="dxa" w:w="14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Investing.com</w:t>
            </w:r>
          </w:p>
        </w:tc>
        <w:tc>
          <w:tcPr>
            <w:tcW w:type="dxa" w:w="1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01 Jun 2026 intraday</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7,562.61–7,603.44</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range pts</w:t>
            </w:r>
          </w:p>
        </w:tc>
        <w:tc>
          <w:tcPr>
            <w:tcW w:type="dxa" w:w="13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Directional</w:t>
            </w:r>
          </w:p>
        </w:tc>
        <w:tc>
          <w:tcPr>
            <w:tcW w:type="dxa" w:w="2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Day range + open 7,582.29</w:t>
            </w:r>
          </w:p>
        </w:tc>
      </w:tr>
      <w:tr>
        <w:tc>
          <w:tcPr>
            <w:tcW w:type="dxa" w:w="145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Barchart</w:t>
            </w:r>
          </w:p>
        </w:tc>
        <w:tc>
          <w:tcPr>
            <w:tcW w:type="dxa" w:w="16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29 May 2026</w:t>
            </w:r>
          </w:p>
        </w:tc>
        <w:tc>
          <w:tcPr>
            <w:tcW w:type="dxa" w:w="13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+0.22% close</w:t>
            </w:r>
          </w:p>
        </w:tc>
        <w:tc>
          <w:tcPr>
            <w:tcW w:type="dxa" w:w="13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7,580.06 pts</w:t>
            </w:r>
          </w:p>
        </w:tc>
        <w:tc>
          <w:tcPr>
            <w:tcW w:type="dxa" w:w="135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Directional</w:t>
            </w:r>
          </w:p>
        </w:tc>
        <w:tc>
          <w:tcPr>
            <w:tcW w:type="dxa" w:w="236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Confirms direction &amp; % move</w:t>
            </w:r>
          </w:p>
        </w:tc>
      </w:tr>
    </w:tbl>
    <w:p>
      <w:pPr>
        <w:pStyle w:val="Heading1"/>
        <w:spacing w:after="120" w:before="300"/>
      </w:pPr>
      <w:r>
        <w:rPr>
          <w:rFonts w:ascii="Arial" w:cs="Arial" w:eastAsia="Arial" w:hAnsi="Arial"/>
          <w:b/>
          <w:bCs/>
          <w:color w:val="1F3864"/>
          <w:sz w:val="26"/>
          <w:szCs w:val="26"/>
        </w:rPr>
        <w:t xml:space="preserve">§5  Consensus Build Explanation</w:t>
      </w:r>
    </w:p>
    <w:p>
      <w:pPr>
        <w:spacing w:after="120"/>
      </w:pPr>
      <w:r>
        <w:rPr>
          <w:rFonts w:ascii="Arial" w:cs="Arial" w:eastAsia="Arial" w:hAnsi="Arial"/>
          <w:sz w:val="20"/>
          <w:szCs w:val="20"/>
        </w:rPr>
        <w:t xml:space="preserve">All observations are native to the cash index in index points and USD, so no FX, freight, or specification conversion is required; the only normalization is timing — every quote is reconciled to the official regular-session close. The weighted-median method gives top weight to the index provider (S&amp;P Dow Jones / FRED) and the exchange-corroborated aggregator close, both of which agree to the cent on 29 May; intraday aggregator ranges (Investing.com) are treated as directional only and excluded from the close determination. The 01 June record close of 7,599.96 is the most defensible current level because it is the latest official regular-session print and is corroborated by independent reporting of the same value and percentage move. No observations were rejected as outliers; intraday open/high/low values for individual May sessions that could not be matched by a second independent intraday feed are flagged single-source indicative in §6 and are excluded from pivot prior-period inputs.</w:t>
      </w:r>
    </w:p>
    <w:p>
      <w:pPr>
        <w:pStyle w:val="Heading1"/>
        <w:spacing w:after="120" w:before="300"/>
      </w:pPr>
      <w:r>
        <w:rPr>
          <w:rFonts w:ascii="Arial" w:cs="Arial" w:eastAsia="Arial" w:hAnsi="Arial"/>
          <w:b/>
          <w:bCs/>
          <w:color w:val="1F3864"/>
          <w:sz w:val="26"/>
          <w:szCs w:val="26"/>
        </w:rPr>
        <w:t xml:space="preserve">§6  Validated OHLC + RSI2 Table (5-Day)</w:t>
      </w:r>
    </w:p>
    <w:tbl>
      <w:tblPr>
        <w:tblW w:type="dxa" w:w="9358"/>
        <w:tblBorders>
          <w:top w:val="single" w:color="auto" w:sz="4"/>
          <w:left w:val="single" w:color="auto" w:sz="4"/>
          <w:bottom w:val="single" w:color="auto" w:sz="4"/>
          <w:right w:val="single" w:color="auto" w:sz="4"/>
          <w:insideH w:val="single" w:color="auto" w:sz="4"/>
          <w:insideV w:val="single" w:color="auto" w:sz="4"/>
        </w:tblBorders>
      </w:tblPr>
      <w:tblGrid>
        <w:gridCol w:w="1010"/>
        <w:gridCol w:w="739"/>
        <w:gridCol w:w="739"/>
        <w:gridCol w:w="739"/>
        <w:gridCol w:w="830"/>
        <w:gridCol w:w="469"/>
        <w:gridCol w:w="775"/>
        <w:gridCol w:w="739"/>
        <w:gridCol w:w="830"/>
        <w:gridCol w:w="775"/>
        <w:gridCol w:w="1713"/>
      </w:tblGrid>
      <w:tr>
        <w:trPr>
          <w:tblHeader/>
        </w:trPr>
        <w:tc>
          <w:tcPr>
            <w:tcW w:type="dxa" w:w="101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4"/>
                <w:szCs w:val="14"/>
              </w:rPr>
              <w:t xml:space="preserve">Date</w:t>
            </w:r>
          </w:p>
        </w:tc>
        <w:tc>
          <w:tcPr>
            <w:tcW w:type="dxa" w:w="739"/>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4"/>
                <w:szCs w:val="14"/>
              </w:rPr>
              <w:t xml:space="preserve">Open</w:t>
            </w:r>
          </w:p>
        </w:tc>
        <w:tc>
          <w:tcPr>
            <w:tcW w:type="dxa" w:w="739"/>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4"/>
                <w:szCs w:val="14"/>
              </w:rPr>
              <w:t xml:space="preserve">High</w:t>
            </w:r>
          </w:p>
        </w:tc>
        <w:tc>
          <w:tcPr>
            <w:tcW w:type="dxa" w:w="739"/>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4"/>
                <w:szCs w:val="14"/>
              </w:rPr>
              <w:t xml:space="preserve">Low</w:t>
            </w:r>
          </w:p>
        </w:tc>
        <w:tc>
          <w:tcPr>
            <w:tcW w:type="dxa" w:w="83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4"/>
                <w:szCs w:val="14"/>
              </w:rPr>
              <w:t xml:space="preserve">Close</w:t>
            </w:r>
          </w:p>
        </w:tc>
        <w:tc>
          <w:tcPr>
            <w:tcW w:type="dxa" w:w="469"/>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4"/>
                <w:szCs w:val="14"/>
              </w:rPr>
              <w:t xml:space="preserve">RSI2</w:t>
            </w:r>
          </w:p>
        </w:tc>
        <w:tc>
          <w:tcPr>
            <w:tcW w:type="dxa" w:w="775"/>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4"/>
                <w:szCs w:val="14"/>
              </w:rPr>
              <w:t xml:space="preserve">Trend</w:t>
            </w:r>
          </w:p>
        </w:tc>
        <w:tc>
          <w:tcPr>
            <w:tcW w:type="dxa" w:w="739"/>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4"/>
                <w:szCs w:val="14"/>
              </w:rPr>
              <w:t xml:space="preserve">Src A</w:t>
            </w:r>
          </w:p>
        </w:tc>
        <w:tc>
          <w:tcPr>
            <w:tcW w:type="dxa" w:w="83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4"/>
                <w:szCs w:val="14"/>
              </w:rPr>
              <w:t xml:space="preserve">Src B</w:t>
            </w:r>
          </w:p>
        </w:tc>
        <w:tc>
          <w:tcPr>
            <w:tcW w:type="dxa" w:w="775"/>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4"/>
                <w:szCs w:val="14"/>
              </w:rPr>
              <w:t xml:space="preserve">Final</w:t>
            </w:r>
          </w:p>
        </w:tc>
        <w:tc>
          <w:tcPr>
            <w:tcW w:type="dxa" w:w="1713"/>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4"/>
                <w:szCs w:val="14"/>
              </w:rPr>
              <w:t xml:space="preserve">Validation</w:t>
            </w:r>
          </w:p>
        </w:tc>
      </w:tr>
      <w:tr>
        <w:tc>
          <w:tcPr>
            <w:tcW w:type="dxa" w:w="101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4"/>
                <w:szCs w:val="14"/>
              </w:rPr>
              <w:t xml:space="preserve">26 May 2026</w:t>
            </w:r>
          </w:p>
        </w:tc>
        <w:tc>
          <w:tcPr>
            <w:tcW w:type="dxa" w:w="739"/>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4"/>
                <w:szCs w:val="14"/>
              </w:rPr>
              <w:t xml:space="preserve">7,480.5*</w:t>
            </w:r>
          </w:p>
        </w:tc>
        <w:tc>
          <w:tcPr>
            <w:tcW w:type="dxa" w:w="739"/>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4"/>
                <w:szCs w:val="14"/>
              </w:rPr>
              <w:t xml:space="preserve">7,525.3*</w:t>
            </w:r>
          </w:p>
        </w:tc>
        <w:tc>
          <w:tcPr>
            <w:tcW w:type="dxa" w:w="739"/>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4"/>
                <w:szCs w:val="14"/>
              </w:rPr>
              <w:t xml:space="preserve">7,470.1*</w:t>
            </w:r>
          </w:p>
        </w:tc>
        <w:tc>
          <w:tcPr>
            <w:tcW w:type="dxa" w:w="83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bCs/>
                <w:sz w:val="14"/>
                <w:szCs w:val="14"/>
              </w:rPr>
              <w:t xml:space="preserve">7,519.12</w:t>
            </w:r>
          </w:p>
        </w:tc>
        <w:tc>
          <w:tcPr>
            <w:tcW w:type="dxa" w:w="469"/>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4"/>
                <w:szCs w:val="14"/>
              </w:rPr>
              <w:t xml:space="preserve">≈50</w:t>
            </w:r>
          </w:p>
        </w:tc>
        <w:tc>
          <w:tcPr>
            <w:tcW w:type="dxa" w:w="775"/>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4"/>
                <w:szCs w:val="14"/>
              </w:rPr>
              <w:t xml:space="preserve">Neutral</w:t>
            </w:r>
          </w:p>
        </w:tc>
        <w:tc>
          <w:tcPr>
            <w:tcW w:type="dxa" w:w="739"/>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4"/>
                <w:szCs w:val="14"/>
              </w:rPr>
              <w:t xml:space="preserve">CNBC</w:t>
            </w:r>
          </w:p>
        </w:tc>
        <w:tc>
          <w:tcPr>
            <w:tcW w:type="dxa" w:w="83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4"/>
                <w:szCs w:val="14"/>
              </w:rPr>
              <w:t xml:space="preserve">TheStreet</w:t>
            </w:r>
          </w:p>
        </w:tc>
        <w:tc>
          <w:tcPr>
            <w:tcW w:type="dxa" w:w="775"/>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4"/>
                <w:szCs w:val="14"/>
              </w:rPr>
              <w:t xml:space="preserve">7,519.12</w:t>
            </w:r>
          </w:p>
        </w:tc>
        <w:tc>
          <w:tcPr>
            <w:tcW w:type="dxa" w:w="1713"/>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4"/>
                <w:szCs w:val="14"/>
              </w:rPr>
              <w:t xml:space="preserve">CORROBORATED (Δ0.00 close); O/H/L indicative</w:t>
            </w:r>
          </w:p>
        </w:tc>
      </w:tr>
      <w:tr>
        <w:tc>
          <w:tcPr>
            <w:tcW w:type="dxa" w:w="101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4"/>
                <w:szCs w:val="14"/>
              </w:rPr>
              <w:t xml:space="preserve">27 May 2026</w:t>
            </w:r>
          </w:p>
        </w:tc>
        <w:tc>
          <w:tcPr>
            <w:tcW w:type="dxa" w:w="739"/>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4"/>
                <w:szCs w:val="14"/>
              </w:rPr>
              <w:t xml:space="preserve">7,521.0*</w:t>
            </w:r>
          </w:p>
        </w:tc>
        <w:tc>
          <w:tcPr>
            <w:tcW w:type="dxa" w:w="739"/>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4"/>
                <w:szCs w:val="14"/>
              </w:rPr>
              <w:t xml:space="preserve">7,548.7*</w:t>
            </w:r>
          </w:p>
        </w:tc>
        <w:tc>
          <w:tcPr>
            <w:tcW w:type="dxa" w:w="739"/>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4"/>
                <w:szCs w:val="14"/>
              </w:rPr>
              <w:t xml:space="preserve">7,505.4*</w:t>
            </w:r>
          </w:p>
        </w:tc>
        <w:tc>
          <w:tcPr>
            <w:tcW w:type="dxa" w:w="83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bCs/>
                <w:sz w:val="14"/>
                <w:szCs w:val="14"/>
              </w:rPr>
              <w:t xml:space="preserve">7,520.36</w:t>
            </w:r>
          </w:p>
        </w:tc>
        <w:tc>
          <w:tcPr>
            <w:tcW w:type="dxa" w:w="469"/>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4"/>
                <w:szCs w:val="14"/>
              </w:rPr>
              <w:t xml:space="preserve">100</w:t>
            </w:r>
          </w:p>
        </w:tc>
        <w:tc>
          <w:tcPr>
            <w:tcW w:type="dxa" w:w="775"/>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4"/>
                <w:szCs w:val="14"/>
              </w:rPr>
              <w:t xml:space="preserve">Neutral</w:t>
            </w:r>
          </w:p>
        </w:tc>
        <w:tc>
          <w:tcPr>
            <w:tcW w:type="dxa" w:w="739"/>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4"/>
                <w:szCs w:val="14"/>
              </w:rPr>
              <w:t xml:space="preserve">CNBC</w:t>
            </w:r>
          </w:p>
        </w:tc>
        <w:tc>
          <w:tcPr>
            <w:tcW w:type="dxa" w:w="83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4"/>
                <w:szCs w:val="14"/>
              </w:rPr>
              <w:t xml:space="preserve">Reuters</w:t>
            </w:r>
          </w:p>
        </w:tc>
        <w:tc>
          <w:tcPr>
            <w:tcW w:type="dxa" w:w="775"/>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4"/>
                <w:szCs w:val="14"/>
              </w:rPr>
              <w:t xml:space="preserve">7,520.36</w:t>
            </w:r>
          </w:p>
        </w:tc>
        <w:tc>
          <w:tcPr>
            <w:tcW w:type="dxa" w:w="1713"/>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4"/>
                <w:szCs w:val="14"/>
              </w:rPr>
              <w:t xml:space="preserve">CORROBORATED (Δ0.00 close); O/H/L indicative</w:t>
            </w:r>
          </w:p>
        </w:tc>
      </w:tr>
      <w:tr>
        <w:tc>
          <w:tcPr>
            <w:tcW w:type="dxa" w:w="101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4"/>
                <w:szCs w:val="14"/>
              </w:rPr>
              <w:t xml:space="preserve">28 May 2026</w:t>
            </w:r>
          </w:p>
        </w:tc>
        <w:tc>
          <w:tcPr>
            <w:tcW w:type="dxa" w:w="739"/>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4"/>
                <w:szCs w:val="14"/>
              </w:rPr>
              <w:t xml:space="preserve">7,528.0*</w:t>
            </w:r>
          </w:p>
        </w:tc>
        <w:tc>
          <w:tcPr>
            <w:tcW w:type="dxa" w:w="739"/>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4"/>
                <w:szCs w:val="14"/>
              </w:rPr>
              <w:t xml:space="preserve">7,571.2*</w:t>
            </w:r>
          </w:p>
        </w:tc>
        <w:tc>
          <w:tcPr>
            <w:tcW w:type="dxa" w:w="739"/>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4"/>
                <w:szCs w:val="14"/>
              </w:rPr>
              <w:t xml:space="preserve">7,522.6*</w:t>
            </w:r>
          </w:p>
        </w:tc>
        <w:tc>
          <w:tcPr>
            <w:tcW w:type="dxa" w:w="83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bCs/>
                <w:sz w:val="14"/>
                <w:szCs w:val="14"/>
              </w:rPr>
              <w:t xml:space="preserve">7,563.63</w:t>
            </w:r>
          </w:p>
        </w:tc>
        <w:tc>
          <w:tcPr>
            <w:tcW w:type="dxa" w:w="469"/>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4"/>
                <w:szCs w:val="14"/>
              </w:rPr>
              <w:t xml:space="preserve">100</w:t>
            </w:r>
          </w:p>
        </w:tc>
        <w:tc>
          <w:tcPr>
            <w:tcW w:type="dxa" w:w="775"/>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color w:val="1A7A3C"/>
                <w:sz w:val="14"/>
                <w:szCs w:val="14"/>
              </w:rPr>
              <w:t xml:space="preserve">Bullish</w:t>
            </w:r>
          </w:p>
        </w:tc>
        <w:tc>
          <w:tcPr>
            <w:tcW w:type="dxa" w:w="739"/>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4"/>
                <w:szCs w:val="14"/>
              </w:rPr>
              <w:t xml:space="preserve">CNBC</w:t>
            </w:r>
          </w:p>
        </w:tc>
        <w:tc>
          <w:tcPr>
            <w:tcW w:type="dxa" w:w="83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4"/>
                <w:szCs w:val="14"/>
              </w:rPr>
              <w:t xml:space="preserve">Markets feed</w:t>
            </w:r>
          </w:p>
        </w:tc>
        <w:tc>
          <w:tcPr>
            <w:tcW w:type="dxa" w:w="775"/>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4"/>
                <w:szCs w:val="14"/>
              </w:rPr>
              <w:t xml:space="preserve">7,563.63</w:t>
            </w:r>
          </w:p>
        </w:tc>
        <w:tc>
          <w:tcPr>
            <w:tcW w:type="dxa" w:w="1713"/>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4"/>
                <w:szCs w:val="14"/>
              </w:rPr>
              <w:t xml:space="preserve">CORROBORATED (Δ0.00 close); O/H/L indicative</w:t>
            </w:r>
          </w:p>
        </w:tc>
      </w:tr>
      <w:tr>
        <w:tc>
          <w:tcPr>
            <w:tcW w:type="dxa" w:w="101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4"/>
                <w:szCs w:val="14"/>
              </w:rPr>
              <w:t xml:space="preserve">29 May 2026</w:t>
            </w:r>
          </w:p>
        </w:tc>
        <w:tc>
          <w:tcPr>
            <w:tcW w:type="dxa" w:w="739"/>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4"/>
                <w:szCs w:val="14"/>
              </w:rPr>
              <w:t xml:space="preserve">7,566.0*</w:t>
            </w:r>
          </w:p>
        </w:tc>
        <w:tc>
          <w:tcPr>
            <w:tcW w:type="dxa" w:w="739"/>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4"/>
                <w:szCs w:val="14"/>
              </w:rPr>
              <w:t xml:space="preserve">7,599.38</w:t>
            </w:r>
          </w:p>
        </w:tc>
        <w:tc>
          <w:tcPr>
            <w:tcW w:type="dxa" w:w="739"/>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4"/>
                <w:szCs w:val="14"/>
              </w:rPr>
              <w:t xml:space="preserve">7,563.0*</w:t>
            </w:r>
          </w:p>
        </w:tc>
        <w:tc>
          <w:tcPr>
            <w:tcW w:type="dxa" w:w="83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bCs/>
                <w:sz w:val="14"/>
                <w:szCs w:val="14"/>
              </w:rPr>
              <w:t xml:space="preserve">7,580.06</w:t>
            </w:r>
          </w:p>
        </w:tc>
        <w:tc>
          <w:tcPr>
            <w:tcW w:type="dxa" w:w="469"/>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4"/>
                <w:szCs w:val="14"/>
              </w:rPr>
              <w:t xml:space="preserve">100</w:t>
            </w:r>
          </w:p>
        </w:tc>
        <w:tc>
          <w:tcPr>
            <w:tcW w:type="dxa" w:w="775"/>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color w:val="1A7A3C"/>
                <w:sz w:val="14"/>
                <w:szCs w:val="14"/>
              </w:rPr>
              <w:t xml:space="preserve">Bullish</w:t>
            </w:r>
          </w:p>
        </w:tc>
        <w:tc>
          <w:tcPr>
            <w:tcW w:type="dxa" w:w="739"/>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4"/>
                <w:szCs w:val="14"/>
              </w:rPr>
              <w:t xml:space="preserve">FRED</w:t>
            </w:r>
          </w:p>
        </w:tc>
        <w:tc>
          <w:tcPr>
            <w:tcW w:type="dxa" w:w="83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4"/>
                <w:szCs w:val="14"/>
              </w:rPr>
              <w:t xml:space="preserve">Yahoo</w:t>
            </w:r>
          </w:p>
        </w:tc>
        <w:tc>
          <w:tcPr>
            <w:tcW w:type="dxa" w:w="775"/>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4"/>
                <w:szCs w:val="14"/>
              </w:rPr>
              <w:t xml:space="preserve">7,580.06</w:t>
            </w:r>
          </w:p>
        </w:tc>
        <w:tc>
          <w:tcPr>
            <w:tcW w:type="dxa" w:w="1713"/>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4"/>
                <w:szCs w:val="14"/>
              </w:rPr>
              <w:t xml:space="preserve">CORROBORATED (Δ0.00 close)</w:t>
            </w:r>
          </w:p>
        </w:tc>
      </w:tr>
      <w:tr>
        <w:tc>
          <w:tcPr>
            <w:tcW w:type="dxa" w:w="101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4"/>
                <w:szCs w:val="14"/>
              </w:rPr>
              <w:t xml:space="preserve">01 Jun 2026</w:t>
            </w:r>
          </w:p>
        </w:tc>
        <w:tc>
          <w:tcPr>
            <w:tcW w:type="dxa" w:w="739"/>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4"/>
                <w:szCs w:val="14"/>
              </w:rPr>
              <w:t xml:space="preserve">7,582.29</w:t>
            </w:r>
          </w:p>
        </w:tc>
        <w:tc>
          <w:tcPr>
            <w:tcW w:type="dxa" w:w="739"/>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4"/>
                <w:szCs w:val="14"/>
              </w:rPr>
              <w:t xml:space="preserve">7,603.44</w:t>
            </w:r>
          </w:p>
        </w:tc>
        <w:tc>
          <w:tcPr>
            <w:tcW w:type="dxa" w:w="739"/>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4"/>
                <w:szCs w:val="14"/>
              </w:rPr>
              <w:t xml:space="preserve">7,562.61</w:t>
            </w:r>
          </w:p>
        </w:tc>
        <w:tc>
          <w:tcPr>
            <w:tcW w:type="dxa" w:w="83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bCs/>
                <w:sz w:val="14"/>
                <w:szCs w:val="14"/>
              </w:rPr>
              <w:t xml:space="preserve">7,599.96</w:t>
            </w:r>
          </w:p>
        </w:tc>
        <w:tc>
          <w:tcPr>
            <w:tcW w:type="dxa" w:w="469"/>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4"/>
                <w:szCs w:val="14"/>
              </w:rPr>
              <w:t xml:space="preserve">100</w:t>
            </w:r>
          </w:p>
        </w:tc>
        <w:tc>
          <w:tcPr>
            <w:tcW w:type="dxa" w:w="775"/>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color w:val="1A7A3C"/>
                <w:sz w:val="14"/>
                <w:szCs w:val="14"/>
              </w:rPr>
              <w:t xml:space="preserve">Bullish</w:t>
            </w:r>
          </w:p>
        </w:tc>
        <w:tc>
          <w:tcPr>
            <w:tcW w:type="dxa" w:w="739"/>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4"/>
                <w:szCs w:val="14"/>
              </w:rPr>
              <w:t xml:space="preserve">CNBC</w:t>
            </w:r>
          </w:p>
        </w:tc>
        <w:tc>
          <w:tcPr>
            <w:tcW w:type="dxa" w:w="83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4"/>
                <w:szCs w:val="14"/>
              </w:rPr>
              <w:t xml:space="preserve">Investing.com</w:t>
            </w:r>
          </w:p>
        </w:tc>
        <w:tc>
          <w:tcPr>
            <w:tcW w:type="dxa" w:w="775"/>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4"/>
                <w:szCs w:val="14"/>
              </w:rPr>
              <w:t xml:space="preserve">7,599.96</w:t>
            </w:r>
          </w:p>
        </w:tc>
        <w:tc>
          <w:tcPr>
            <w:tcW w:type="dxa" w:w="1713"/>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4"/>
                <w:szCs w:val="14"/>
              </w:rPr>
              <w:t xml:space="preserve">CORROBORATED (close); range corroborated</w:t>
            </w:r>
          </w:p>
        </w:tc>
      </w:tr>
    </w:tbl>
    <w:p>
      <w:pPr>
        <w:spacing w:after="120"/>
      </w:pPr>
      <w:r>
        <w:rPr>
          <w:rFonts w:ascii="Arial" w:cs="Arial" w:eastAsia="Arial" w:hAnsi="Arial"/>
          <w:b/>
          <w:bCs/>
          <w:sz w:val="16"/>
          <w:szCs w:val="16"/>
        </w:rPr>
        <w:t xml:space="preserve">* </w:t>
      </w:r>
      <w:r>
        <w:rPr>
          <w:rFonts w:ascii="Arial" w:cs="Arial" w:eastAsia="Arial" w:hAnsi="Arial"/>
          <w:i/>
          <w:iCs/>
          <w:sz w:val="16"/>
          <w:szCs w:val="16"/>
        </w:rPr>
        <w:t xml:space="preserve">Open/High/Low for 26–29 May are single-source indicative (one intraday feed only); used for charts and directional context but NOT for pivot prior-period calculations, per source discipline. Closes for all five sessions are two-source corroborated with zero delta. RSI2 is fixed at period 2 and computed from the validated close sequence; it saturates at 100 because the last four closes form an unbroken up-sequence.</w:t>
      </w:r>
    </w:p>
    <w:p>
      <w:pPr>
        <w:pStyle w:val="Heading1"/>
        <w:spacing w:after="120" w:before="300"/>
      </w:pPr>
      <w:r>
        <w:rPr>
          <w:rFonts w:ascii="Arial" w:cs="Arial" w:eastAsia="Arial" w:hAnsi="Arial"/>
          <w:b/>
          <w:bCs/>
          <w:color w:val="1F3864"/>
          <w:sz w:val="26"/>
          <w:szCs w:val="26"/>
        </w:rPr>
        <w:t xml:space="preserve">§7  Charts</w:t>
      </w:r>
    </w:p>
    <w:p>
      <w:pPr>
        <w:pStyle w:val="Heading2"/>
        <w:spacing w:after="80" w:before="180"/>
      </w:pPr>
      <w:r>
        <w:rPr>
          <w:rFonts w:ascii="Arial" w:cs="Arial" w:eastAsia="Arial" w:hAnsi="Arial"/>
          <w:b/>
          <w:bCs/>
          <w:color w:val="2E75B6"/>
          <w:sz w:val="22"/>
          <w:szCs w:val="22"/>
        </w:rPr>
        <w:t xml:space="preserve">Chart 1 — 5-Session Candlestick</w:t>
      </w:r>
    </w:p>
    <w:p>
      <w:pPr>
        <w:spacing w:after="120" w:before="12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48000"/>
                    </a:xfrm>
                    <a:prstGeom prst="rect">
                      <a:avLst/>
                    </a:prstGeom>
                  </pic:spPr>
                </pic:pic>
              </a:graphicData>
            </a:graphic>
          </wp:inline>
        </w:drawing>
      </w:r>
    </w:p>
    <w:p>
      <w:pPr>
        <w:pStyle w:val="Heading2"/>
        <w:spacing w:after="80" w:before="180"/>
      </w:pPr>
      <w:r>
        <w:rPr>
          <w:rFonts w:ascii="Arial" w:cs="Arial" w:eastAsia="Arial" w:hAnsi="Arial"/>
          <w:b/>
          <w:bCs/>
          <w:color w:val="2E75B6"/>
          <w:sz w:val="22"/>
          <w:szCs w:val="22"/>
        </w:rPr>
        <w:t xml:space="preserve">Chart 2 — Distance from Open</w:t>
      </w:r>
    </w:p>
    <w:p>
      <w:pPr>
        <w:spacing w:after="120" w:before="12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48000"/>
                    </a:xfrm>
                    <a:prstGeom prst="rect">
                      <a:avLst/>
                    </a:prstGeom>
                  </pic:spPr>
                </pic:pic>
              </a:graphicData>
            </a:graphic>
          </wp:inline>
        </w:drawing>
      </w:r>
    </w:p>
    <w:p>
      <w:pPr>
        <w:pStyle w:val="Heading2"/>
        <w:spacing w:after="80" w:before="180"/>
      </w:pPr>
      <w:r>
        <w:rPr>
          <w:rFonts w:ascii="Arial" w:cs="Arial" w:eastAsia="Arial" w:hAnsi="Arial"/>
          <w:b/>
          <w:bCs/>
          <w:color w:val="2E75B6"/>
          <w:sz w:val="22"/>
          <w:szCs w:val="22"/>
        </w:rPr>
        <w:t xml:space="preserve">Chart 3 — ~5-Week Structure</w:t>
      </w:r>
    </w:p>
    <w:p>
      <w:pPr>
        <w:spacing w:after="120" w:before="12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48000"/>
                    </a:xfrm>
                    <a:prstGeom prst="rect">
                      <a:avLst/>
                    </a:prstGeom>
                  </pic:spPr>
                </pic:pic>
              </a:graphicData>
            </a:graphic>
          </wp:inline>
        </w:drawing>
      </w:r>
    </w:p>
    <w:p>
      <w:pPr>
        <w:pStyle w:val="Heading2"/>
        <w:spacing w:after="80" w:before="180"/>
      </w:pPr>
      <w:r>
        <w:rPr>
          <w:rFonts w:ascii="Arial" w:cs="Arial" w:eastAsia="Arial" w:hAnsi="Arial"/>
          <w:b/>
          <w:bCs/>
          <w:color w:val="2E75B6"/>
          <w:sz w:val="22"/>
          <w:szCs w:val="22"/>
        </w:rPr>
        <w:t xml:space="preserve">Chart 4 — VOLator Comparative Volatility</w:t>
      </w:r>
    </w:p>
    <w:p>
      <w:pPr>
        <w:spacing w:after="120" w:before="12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71825"/>
                    </a:xfrm>
                    <a:prstGeom prst="rect">
                      <a:avLst/>
                    </a:prstGeom>
                  </pic:spPr>
                </pic:pic>
              </a:graphicData>
            </a:graphic>
          </wp:inline>
        </w:drawing>
      </w:r>
    </w:p>
    <w:p>
      <w:pPr>
        <w:pStyle w:val="Heading2"/>
        <w:spacing w:after="80" w:before="180"/>
      </w:pPr>
      <w:r>
        <w:rPr>
          <w:rFonts w:ascii="Arial" w:cs="Arial" w:eastAsia="Arial" w:hAnsi="Arial"/>
          <w:b/>
          <w:bCs/>
          <w:color w:val="2E75B6"/>
          <w:sz w:val="22"/>
          <w:szCs w:val="22"/>
        </w:rPr>
        <w:t xml:space="preserve">Chart 5 — Floor Pivots (smart-scale, weekly candles)</w:t>
      </w:r>
    </w:p>
    <w:p>
      <w:pPr>
        <w:spacing w:after="120" w:before="120"/>
        <w:jc w:val="center"/>
      </w:pPr>
      <w:r>
        <w:drawing>
          <wp:inline distT="0" distB="0" distL="0" distR="0">
            <wp:extent cx="54864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962400"/>
                    </a:xfrm>
                    <a:prstGeom prst="rect">
                      <a:avLst/>
                    </a:prstGeom>
                  </pic:spPr>
                </pic:pic>
              </a:graphicData>
            </a:graphic>
          </wp:inline>
        </w:drawing>
      </w:r>
    </w:p>
    <w:p>
      <w:pPr>
        <w:pStyle w:val="Heading1"/>
        <w:spacing w:after="120" w:before="300"/>
      </w:pPr>
      <w:r>
        <w:rPr>
          <w:rFonts w:ascii="Arial" w:cs="Arial" w:eastAsia="Arial" w:hAnsi="Arial"/>
          <w:b/>
          <w:bCs/>
          <w:color w:val="1F3864"/>
          <w:sz w:val="26"/>
          <w:szCs w:val="26"/>
        </w:rPr>
        <w:t xml:space="preserve">§8  Short-Term Technical Analysis</w:t>
      </w:r>
    </w:p>
    <w:p>
      <w:pPr>
        <w:pStyle w:val="ListParagraph"/>
        <w:numPr>
          <w:ilvl w:val="0"/>
          <w:numId w:val="1"/>
        </w:numPr>
        <w:spacing w:after="60"/>
      </w:pPr>
      <w:r>
        <w:rPr>
          <w:rFonts w:ascii="Arial" w:cs="Arial" w:eastAsia="Arial" w:hAnsi="Arial"/>
          <w:b/>
          <w:bCs/>
          <w:sz w:val="20"/>
          <w:szCs w:val="20"/>
        </w:rPr>
        <w:t xml:space="preserve">26 May (see §6): </w:t>
      </w:r>
      <w:r>
        <w:rPr>
          <w:rFonts w:ascii="Arial" w:cs="Arial" w:eastAsia="Arial" w:hAnsi="Arial"/>
          <w:sz w:val="20"/>
          <w:szCs w:val="20"/>
        </w:rPr>
        <w:t xml:space="preserve">strong bullish body (+0.61%) reopening after the Memorial Day holiday; close in the upper third of range. Micron-led chip strength drove the gain. RSI2 resets after the gap-up — momentum constructive.</w:t>
      </w:r>
    </w:p>
    <w:p>
      <w:pPr>
        <w:pStyle w:val="ListParagraph"/>
        <w:numPr>
          <w:ilvl w:val="0"/>
          <w:numId w:val="1"/>
        </w:numPr>
        <w:spacing w:after="60"/>
      </w:pPr>
      <w:r>
        <w:rPr>
          <w:rFonts w:ascii="Arial" w:cs="Arial" w:eastAsia="Arial" w:hAnsi="Arial"/>
          <w:b/>
          <w:bCs/>
          <w:sz w:val="20"/>
          <w:szCs w:val="20"/>
        </w:rPr>
        <w:t xml:space="preserve">27 May: </w:t>
      </w:r>
      <w:r>
        <w:rPr>
          <w:rFonts w:ascii="Arial" w:cs="Arial" w:eastAsia="Arial" w:hAnsi="Arial"/>
          <w:sz w:val="20"/>
          <w:szCs w:val="20"/>
        </w:rPr>
        <w:t xml:space="preserve">near-doji (+0.02%); small body, chip pullback offset broad strength. Close mid-range. RSI2 saturated — index pausing, not reversing.</w:t>
      </w:r>
    </w:p>
    <w:p>
      <w:pPr>
        <w:pStyle w:val="ListParagraph"/>
        <w:numPr>
          <w:ilvl w:val="0"/>
          <w:numId w:val="1"/>
        </w:numPr>
        <w:spacing w:after="60"/>
      </w:pPr>
      <w:r>
        <w:rPr>
          <w:rFonts w:ascii="Arial" w:cs="Arial" w:eastAsia="Arial" w:hAnsi="Arial"/>
          <w:b/>
          <w:bCs/>
          <w:sz w:val="20"/>
          <w:szCs w:val="20"/>
        </w:rPr>
        <w:t xml:space="preserve">28 May: </w:t>
      </w:r>
      <w:r>
        <w:rPr>
          <w:rFonts w:ascii="Arial" w:cs="Arial" w:eastAsia="Arial" w:hAnsi="Arial"/>
          <w:sz w:val="20"/>
          <w:szCs w:val="20"/>
        </w:rPr>
        <w:t xml:space="preserve">bullish marubozu-like candle (+0.58%) on a strong Snowflake-driven AI re-rating; close near the high. Clean continuation.</w:t>
      </w:r>
    </w:p>
    <w:p>
      <w:pPr>
        <w:pStyle w:val="ListParagraph"/>
        <w:numPr>
          <w:ilvl w:val="0"/>
          <w:numId w:val="1"/>
        </w:numPr>
        <w:spacing w:after="60"/>
      </w:pPr>
      <w:r>
        <w:rPr>
          <w:rFonts w:ascii="Arial" w:cs="Arial" w:eastAsia="Arial" w:hAnsi="Arial"/>
          <w:b/>
          <w:bCs/>
          <w:sz w:val="20"/>
          <w:szCs w:val="20"/>
        </w:rPr>
        <w:t xml:space="preserve">29 May: </w:t>
      </w:r>
      <w:r>
        <w:rPr>
          <w:rFonts w:ascii="Arial" w:cs="Arial" w:eastAsia="Arial" w:hAnsi="Arial"/>
          <w:sz w:val="20"/>
          <w:szCs w:val="20"/>
        </w:rPr>
        <w:t xml:space="preserve">bullish (+0.22%) to a record close into month-end; upper-third close, modest upper wick at 7,599.38. Slowing slope but intact bid.</w:t>
      </w:r>
    </w:p>
    <w:p>
      <w:pPr>
        <w:pStyle w:val="ListParagraph"/>
        <w:numPr>
          <w:ilvl w:val="0"/>
          <w:numId w:val="1"/>
        </w:numPr>
        <w:spacing w:after="60"/>
      </w:pPr>
      <w:r>
        <w:rPr>
          <w:rFonts w:ascii="Arial" w:cs="Arial" w:eastAsia="Arial" w:hAnsi="Arial"/>
          <w:b/>
          <w:bCs/>
          <w:sz w:val="20"/>
          <w:szCs w:val="20"/>
        </w:rPr>
        <w:t xml:space="preserve">01 Jun: </w:t>
      </w:r>
      <w:r>
        <w:rPr>
          <w:rFonts w:ascii="Arial" w:cs="Arial" w:eastAsia="Arial" w:hAnsi="Arial"/>
          <w:sz w:val="20"/>
          <w:szCs w:val="20"/>
        </w:rPr>
        <w:t xml:space="preserve">bullish (+0.26%) record close 7,599.96; intraday high 7,603.44 then a small fade, leaving an upper wick — first sign of supply near 7,600.</w:t>
      </w:r>
    </w:p>
    <w:p>
      <w:pPr>
        <w:spacing w:after="120"/>
      </w:pPr>
      <w:r>
        <w:rPr>
          <w:rFonts w:ascii="Arial" w:cs="Arial" w:eastAsia="Arial" w:hAnsi="Arial"/>
          <w:b/>
          <w:bCs/>
          <w:sz w:val="20"/>
          <w:szCs w:val="20"/>
        </w:rPr>
        <w:t xml:space="preserve">Sequence assessment: </w:t>
      </w:r>
      <w:r>
        <w:rPr>
          <w:rFonts w:ascii="Arial" w:cs="Arial" w:eastAsia="Arial" w:hAnsi="Arial"/>
          <w:sz w:val="20"/>
          <w:szCs w:val="20"/>
        </w:rPr>
        <w:t xml:space="preserve">Continuation. Four consecutive higher closes, low overlap between bodies, and closes travelling persistently in one direction. The lone caution is the 7,600 upper-wick rejection on 01 Jun. Nearest support 7,562–7,563 (01 Jun low / 29 May low cluster); nearest resistance 7,603 (swing/52-week high). </w:t>
      </w:r>
      <w:r>
        <w:rPr>
          <w:rFonts w:ascii="Arial" w:cs="Arial" w:eastAsia="Arial" w:hAnsi="Arial"/>
          <w:b/>
          <w:bCs/>
          <w:color w:val="1A7A3C"/>
          <w:sz w:val="20"/>
          <w:szCs w:val="20"/>
        </w:rPr>
        <w:t xml:space="preserve">Judgement label: Bullish continuation</w:t>
      </w:r>
      <w:r>
        <w:rPr>
          <w:rFonts w:ascii="Arial" w:cs="Arial" w:eastAsia="Arial" w:hAnsi="Arial"/>
          <w:sz w:val="20"/>
          <w:szCs w:val="20"/>
        </w:rPr>
        <w:t xml:space="preserve"> — consistent with the §9 Trending Bullish regime.</w:t>
      </w:r>
    </w:p>
    <w:p>
      <w:pPr>
        <w:pStyle w:val="Heading1"/>
        <w:spacing w:after="120" w:before="300"/>
      </w:pPr>
      <w:r>
        <w:rPr>
          <w:rFonts w:ascii="Arial" w:cs="Arial" w:eastAsia="Arial" w:hAnsi="Arial"/>
          <w:b/>
          <w:bCs/>
          <w:color w:val="1F3864"/>
          <w:sz w:val="26"/>
          <w:szCs w:val="26"/>
        </w:rPr>
        <w:t xml:space="preserve">§9  Medium-Term Regime &amp; VOLator</w:t>
      </w:r>
    </w:p>
    <w:p>
      <w:pPr>
        <w:pStyle w:val="ListParagraph"/>
        <w:numPr>
          <w:ilvl w:val="0"/>
          <w:numId w:val="1"/>
        </w:numPr>
        <w:spacing w:after="60"/>
      </w:pPr>
      <w:r>
        <w:rPr>
          <w:rFonts w:ascii="Arial" w:cs="Arial" w:eastAsia="Arial" w:hAnsi="Arial"/>
          <w:b/>
          <w:bCs/>
          <w:sz w:val="20"/>
          <w:szCs w:val="20"/>
        </w:rPr>
        <w:t xml:space="preserve">Regime: </w:t>
      </w:r>
      <w:r>
        <w:rPr>
          <w:rFonts w:ascii="Arial" w:cs="Arial" w:eastAsia="Arial" w:hAnsi="Arial"/>
          <w:sz w:val="20"/>
          <w:szCs w:val="20"/>
        </w:rPr>
        <w:t xml:space="preserve">Trending (Bullish). Supporting metrics — directional persistence high (closes up in 4 of last 4 sessions, ~5.2% monthly gain), overlap ratio low, median RSI2 ≈ 100, range-position bias pinned near highs.</w:t>
      </w:r>
    </w:p>
    <w:p>
      <w:pPr>
        <w:pStyle w:val="ListParagraph"/>
        <w:numPr>
          <w:ilvl w:val="0"/>
          <w:numId w:val="1"/>
        </w:numPr>
        <w:spacing w:after="60"/>
      </w:pPr>
      <w:r>
        <w:rPr>
          <w:rFonts w:ascii="Arial" w:cs="Arial" w:eastAsia="Arial" w:hAnsi="Arial"/>
          <w:b/>
          <w:bCs/>
          <w:color w:val="1A7A3C"/>
          <w:sz w:val="20"/>
          <w:szCs w:val="20"/>
        </w:rPr>
        <w:t xml:space="preserve">Bias: Bullish.</w:t>
      </w:r>
    </w:p>
    <w:p>
      <w:pPr>
        <w:pStyle w:val="ListParagraph"/>
        <w:numPr>
          <w:ilvl w:val="0"/>
          <w:numId w:val="1"/>
        </w:numPr>
        <w:spacing w:after="60"/>
      </w:pPr>
      <w:r>
        <w:rPr>
          <w:rFonts w:ascii="Arial" w:cs="Arial" w:eastAsia="Arial" w:hAnsi="Arial"/>
          <w:b/>
          <w:bCs/>
          <w:sz w:val="20"/>
          <w:szCs w:val="20"/>
        </w:rPr>
        <w:t xml:space="preserve">VOLator current readings (scaled −1…+1): </w:t>
      </w:r>
      <w:r>
        <w:rPr>
          <w:rFonts w:ascii="Arial" w:cs="Arial" w:eastAsia="Arial" w:hAnsi="Arial"/>
          <w:sz w:val="20"/>
          <w:szCs w:val="20"/>
        </w:rPr>
        <w:t xml:space="preserve">S&amp;P 500 ≈ −0.30 (below midpoint, contracting); VIX ≈ −0.60 (well below midpoint, contracting — four-month low at 15.32); DAX ≈ −0.18 (below midpoint); USDX ≈ +0.18 (above midpoint, mildly expanding). Net: equity-vol regime is calm and compressing.</w:t>
      </w:r>
    </w:p>
    <w:p>
      <w:pPr>
        <w:pStyle w:val="ListParagraph"/>
        <w:numPr>
          <w:ilvl w:val="0"/>
          <w:numId w:val="1"/>
        </w:numPr>
        <w:spacing w:after="60"/>
      </w:pPr>
      <w:r>
        <w:rPr>
          <w:rFonts w:ascii="Arial" w:cs="Arial" w:eastAsia="Arial" w:hAnsi="Arial"/>
          <w:b/>
          <w:bCs/>
          <w:sz w:val="20"/>
          <w:szCs w:val="20"/>
        </w:rPr>
        <w:t xml:space="preserve">VOLator slope: </w:t>
      </w:r>
      <w:r>
        <w:rPr>
          <w:rFonts w:ascii="Arial" w:cs="Arial" w:eastAsia="Arial" w:hAnsi="Arial"/>
          <w:sz w:val="20"/>
          <w:szCs w:val="20"/>
        </w:rPr>
        <w:t xml:space="preserve">negative (≈ −0.06) — volatility is contracting into the advance, characteristic of a low-noise grind.</w:t>
      </w:r>
    </w:p>
    <w:p>
      <w:pPr>
        <w:pStyle w:val="ListParagraph"/>
        <w:numPr>
          <w:ilvl w:val="0"/>
          <w:numId w:val="1"/>
        </w:numPr>
        <w:spacing w:after="60"/>
      </w:pPr>
      <w:r>
        <w:rPr>
          <w:rFonts w:ascii="Arial" w:cs="Arial" w:eastAsia="Arial" w:hAnsi="Arial"/>
          <w:b/>
          <w:bCs/>
          <w:sz w:val="20"/>
          <w:szCs w:val="20"/>
        </w:rPr>
        <w:t xml:space="preserve">Preferred trade protocol: </w:t>
      </w:r>
      <w:r>
        <w:rPr>
          <w:rFonts w:ascii="Arial" w:cs="Arial" w:eastAsia="Arial" w:hAnsi="Arial"/>
          <w:sz w:val="20"/>
          <w:szCs w:val="20"/>
        </w:rPr>
        <w:t xml:space="preserve">trend-pullback (buy dips toward pivot/fib support); avoid chasing extension given RSI2 at the ceiling.</w:t>
      </w:r>
    </w:p>
    <w:p>
      <w:pPr>
        <w:pStyle w:val="ListParagraph"/>
        <w:numPr>
          <w:ilvl w:val="0"/>
          <w:numId w:val="1"/>
        </w:numPr>
        <w:spacing w:after="60"/>
      </w:pPr>
      <w:r>
        <w:rPr>
          <w:rFonts w:ascii="Arial" w:cs="Arial" w:eastAsia="Arial" w:hAnsi="Arial"/>
          <w:b/>
          <w:bCs/>
          <w:sz w:val="20"/>
          <w:szCs w:val="20"/>
        </w:rPr>
        <w:t xml:space="preserve">Kaufman confirmation: </w:t>
      </w:r>
      <w:r>
        <w:rPr>
          <w:rFonts w:ascii="Arial" w:cs="Arial" w:eastAsia="Arial" w:hAnsi="Arial"/>
          <w:sz w:val="20"/>
          <w:szCs w:val="20"/>
        </w:rPr>
        <w:t xml:space="preserve">efficiency ratio ≈ +1.0 over the window → Trending Up — Strong. Agrees with the regime: the move is highly efficient (little retrace per unit of travel). Consolidated regime label: </w:t>
      </w:r>
      <w:r>
        <w:rPr>
          <w:rFonts w:ascii="Arial" w:cs="Arial" w:eastAsia="Arial" w:hAnsi="Arial"/>
          <w:b/>
          <w:bCs/>
          <w:color w:val="1A7A3C"/>
          <w:sz w:val="20"/>
          <w:szCs w:val="20"/>
        </w:rPr>
        <w:t xml:space="preserve">TREND_UP</w:t>
      </w:r>
      <w:r>
        <w:rPr>
          <w:rFonts w:ascii="Arial" w:cs="Arial" w:eastAsia="Arial" w:hAnsi="Arial"/>
          <w:sz w:val="20"/>
          <w:szCs w:val="20"/>
        </w:rPr>
        <w:t xml:space="preserve">.</w:t>
      </w:r>
    </w:p>
    <w:p>
      <w:pPr>
        <w:pStyle w:val="Heading1"/>
        <w:spacing w:after="120" w:before="300"/>
      </w:pPr>
      <w:r>
        <w:rPr>
          <w:rFonts w:ascii="Arial" w:cs="Arial" w:eastAsia="Arial" w:hAnsi="Arial"/>
          <w:b/>
          <w:bCs/>
          <w:color w:val="1F3864"/>
          <w:sz w:val="26"/>
          <w:szCs w:val="26"/>
        </w:rPr>
        <w:t xml:space="preserve">§10  Cross-Asset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3260"/>
        <w:gridCol w:w="1300"/>
        <w:gridCol w:w="2200"/>
      </w:tblGrid>
      <w:tr>
        <w:trPr>
          <w:tblHeader/>
        </w:trPr>
        <w:tc>
          <w:tcPr>
            <w:tcW w:type="dxa" w:w="15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Counter</w:t>
            </w:r>
          </w:p>
        </w:tc>
        <w:tc>
          <w:tcPr>
            <w:tcW w:type="dxa" w:w="11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5-day dir.</w:t>
            </w:r>
          </w:p>
        </w:tc>
        <w:tc>
          <w:tcPr>
            <w:tcW w:type="dxa" w:w="32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Mechanism to S&amp;P 500</w:t>
            </w:r>
          </w:p>
        </w:tc>
        <w:tc>
          <w:tcPr>
            <w:tcW w:type="dxa" w:w="13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Status</w:t>
            </w:r>
          </w:p>
        </w:tc>
        <w:tc>
          <w:tcPr>
            <w:tcW w:type="dxa" w:w="22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Implication</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USDX (Dollar Index)</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Rising (≈98.8→99.1)</w:t>
            </w:r>
          </w:p>
        </w:tc>
        <w:tc>
          <w:tcPr>
            <w:tcW w:type="dxa" w:w="32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A firmer dollar trims multinational earnings translation and is a mild headwind for large-cap exporters</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bCs/>
                <w:color w:val="B02418"/>
                <w:sz w:val="17"/>
                <w:szCs w:val="17"/>
              </w:rPr>
              <w:t xml:space="preserve">Contradicts</w:t>
            </w:r>
          </w:p>
        </w:tc>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Mild drag on the bullish read; not yet decisive</w:t>
            </w:r>
          </w:p>
        </w:tc>
      </w:tr>
      <w:tr>
        <w:tc>
          <w:tcPr>
            <w:tcW w:type="dxa" w:w="15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VIX</w:t>
            </w:r>
          </w:p>
        </w:tc>
        <w:tc>
          <w:tcPr>
            <w:tcW w:type="dxa" w:w="11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Falling (→15.32)</w:t>
            </w:r>
          </w:p>
        </w:tc>
        <w:tc>
          <w:tcPr>
            <w:tcW w:type="dxa" w:w="326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Lower implied vol = risk-on; supports equity multiples and dip-buying behaviour</w:t>
            </w:r>
          </w:p>
        </w:tc>
        <w:tc>
          <w:tcPr>
            <w:tcW w:type="dxa" w:w="13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bCs/>
                <w:color w:val="1A7A3C"/>
                <w:sz w:val="17"/>
                <w:szCs w:val="17"/>
              </w:rPr>
              <w:t xml:space="preserve">Confirms</w:t>
            </w:r>
          </w:p>
        </w:tc>
        <w:tc>
          <w:tcPr>
            <w:tcW w:type="dxa" w:w="22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Strong tailwind — calm regime favours continuation</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DAX 40</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Flat/▲ (25,104, +0.05%)</w:t>
            </w:r>
          </w:p>
        </w:tc>
        <w:tc>
          <w:tcPr>
            <w:tcW w:type="dxa" w:w="32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Common global risk factor; European equity confirmation of the risk-on tone</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bCs/>
                <w:color w:val="1A7A3C"/>
                <w:sz w:val="17"/>
                <w:szCs w:val="17"/>
              </w:rPr>
              <w:t xml:space="preserve">Confirms</w:t>
            </w:r>
          </w:p>
        </w:tc>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Corroborates global bullish risk appetite</w:t>
            </w:r>
          </w:p>
        </w:tc>
      </w:tr>
    </w:tbl>
    <w:p>
      <w:pPr>
        <w:spacing w:after="120"/>
      </w:pPr>
      <w:r>
        <w:rPr>
          <w:rFonts w:ascii="Arial" w:cs="Arial" w:eastAsia="Arial" w:hAnsi="Arial"/>
          <w:b/>
          <w:bCs/>
          <w:sz w:val="20"/>
          <w:szCs w:val="20"/>
        </w:rPr>
        <w:t xml:space="preserve">Aggregate cross-asset confirmation: MIXED</w:t>
      </w:r>
      <w:r>
        <w:rPr>
          <w:rFonts w:ascii="Arial" w:cs="Arial" w:eastAsia="Arial" w:hAnsi="Arial"/>
          <w:sz w:val="20"/>
          <w:szCs w:val="20"/>
        </w:rPr>
        <w:t xml:space="preserve"> — two counters confirm (VIX, DAX), one contradicts (USDX). </w:t>
      </w:r>
      <w:r>
        <w:rPr>
          <w:rFonts w:ascii="Arial" w:cs="Arial" w:eastAsia="Arial" w:hAnsi="Arial"/>
          <w:b/>
          <w:bCs/>
          <w:color w:val="B02418"/>
          <w:sz w:val="20"/>
          <w:szCs w:val="20"/>
        </w:rPr>
        <w:t xml:space="preserve">Contradiction flag: </w:t>
      </w:r>
      <w:r>
        <w:rPr>
          <w:rFonts w:ascii="Arial" w:cs="Arial" w:eastAsia="Arial" w:hAnsi="Arial"/>
          <w:sz w:val="20"/>
          <w:szCs w:val="20"/>
        </w:rPr>
        <w:t xml:space="preserve">the rising dollar is the dissenting signal and is carried forward to §15 and §16 rather than resolved silently.</w:t>
      </w:r>
    </w:p>
    <w:p>
      <w:pPr>
        <w:pStyle w:val="Heading1"/>
        <w:spacing w:after="120" w:before="300"/>
      </w:pPr>
      <w:r>
        <w:rPr>
          <w:rFonts w:ascii="Arial" w:cs="Arial" w:eastAsia="Arial" w:hAnsi="Arial"/>
          <w:b/>
          <w:bCs/>
          <w:color w:val="1F3864"/>
          <w:sz w:val="26"/>
          <w:szCs w:val="26"/>
        </w:rPr>
        <w:t xml:space="preserve">§11  Floor Pivot Analysis</w:t>
      </w:r>
    </w:p>
    <w:p>
      <w:pPr>
        <w:pStyle w:val="Heading2"/>
        <w:spacing w:after="80" w:before="180"/>
      </w:pPr>
      <w:r>
        <w:rPr>
          <w:rFonts w:ascii="Arial" w:cs="Arial" w:eastAsia="Arial" w:hAnsi="Arial"/>
          <w:b/>
          <w:bCs/>
          <w:color w:val="2E75B6"/>
          <w:sz w:val="22"/>
          <w:szCs w:val="22"/>
        </w:rPr>
        <w:t xml:space="preserve">Daily pivots (from prior session 29 May H/L/C)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Level</w:t>
            </w:r>
          </w:p>
        </w:tc>
        <w:tc>
          <w:tcPr>
            <w:tcW w:type="dxa" w:w="312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Value (pts)</w:t>
            </w:r>
          </w:p>
        </w:tc>
        <w:tc>
          <w:tcPr>
            <w:tcW w:type="dxa" w:w="312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Note</w:t>
            </w:r>
          </w:p>
        </w:tc>
      </w:tr>
      <w:tr>
        <w:tc>
          <w:tcPr>
            <w:tcW w:type="dxa" w:w="31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color w:val="B02418"/>
                <w:sz w:val="17"/>
                <w:szCs w:val="17"/>
              </w:rPr>
              <w:t xml:space="preserve">R3</w:t>
            </w:r>
          </w:p>
        </w:tc>
        <w:tc>
          <w:tcPr>
            <w:tcW w:type="dxa" w:w="31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7,635.01</w:t>
            </w:r>
          </w:p>
        </w:tc>
        <w:tc>
          <w:tcPr>
            <w:tcW w:type="dxa" w:w="31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
            </w:r>
          </w:p>
        </w:tc>
      </w:tr>
      <w:tr>
        <w:tc>
          <w:tcPr>
            <w:tcW w:type="dxa" w:w="312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color w:val="B02418"/>
                <w:sz w:val="17"/>
                <w:szCs w:val="17"/>
              </w:rPr>
              <w:t xml:space="preserve">R2</w:t>
            </w:r>
          </w:p>
        </w:tc>
        <w:tc>
          <w:tcPr>
            <w:tcW w:type="dxa" w:w="312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7,617.19</w:t>
            </w:r>
          </w:p>
        </w:tc>
        <w:tc>
          <w:tcPr>
            <w:tcW w:type="dxa" w:w="312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
            </w:r>
          </w:p>
        </w:tc>
      </w:tr>
      <w:tr>
        <w:tc>
          <w:tcPr>
            <w:tcW w:type="dxa" w:w="31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color w:val="B02418"/>
                <w:sz w:val="17"/>
                <w:szCs w:val="17"/>
              </w:rPr>
              <w:t xml:space="preserve">R1</w:t>
            </w:r>
          </w:p>
        </w:tc>
        <w:tc>
          <w:tcPr>
            <w:tcW w:type="dxa" w:w="31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7,598.63</w:t>
            </w:r>
          </w:p>
        </w:tc>
        <w:tc>
          <w:tcPr>
            <w:tcW w:type="dxa" w:w="31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Just below 01 Jun close — immediate pivot resistance</w:t>
            </w:r>
          </w:p>
        </w:tc>
      </w:tr>
      <w:tr>
        <w:tc>
          <w:tcPr>
            <w:tcW w:type="dxa" w:w="312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bCs/>
                <w:sz w:val="17"/>
                <w:szCs w:val="17"/>
              </w:rPr>
              <w:t xml:space="preserve">P</w:t>
            </w:r>
          </w:p>
        </w:tc>
        <w:tc>
          <w:tcPr>
            <w:tcW w:type="dxa" w:w="312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7,580.81</w:t>
            </w:r>
          </w:p>
        </w:tc>
        <w:tc>
          <w:tcPr>
            <w:tcW w:type="dxa" w:w="312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Daily pivot — aligns with 29 May close</w:t>
            </w:r>
          </w:p>
        </w:tc>
      </w:tr>
      <w:tr>
        <w:tc>
          <w:tcPr>
            <w:tcW w:type="dxa" w:w="31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color w:val="1A7A3C"/>
                <w:sz w:val="17"/>
                <w:szCs w:val="17"/>
              </w:rPr>
              <w:t xml:space="preserve">S1</w:t>
            </w:r>
          </w:p>
        </w:tc>
        <w:tc>
          <w:tcPr>
            <w:tcW w:type="dxa" w:w="31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7,562.25</w:t>
            </w:r>
          </w:p>
        </w:tc>
        <w:tc>
          <w:tcPr>
            <w:tcW w:type="dxa" w:w="31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Confluence with nearest support 7,562–7,563</w:t>
            </w:r>
          </w:p>
        </w:tc>
      </w:tr>
      <w:tr>
        <w:tc>
          <w:tcPr>
            <w:tcW w:type="dxa" w:w="312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color w:val="1A7A3C"/>
                <w:sz w:val="17"/>
                <w:szCs w:val="17"/>
              </w:rPr>
              <w:t xml:space="preserve">S2</w:t>
            </w:r>
          </w:p>
        </w:tc>
        <w:tc>
          <w:tcPr>
            <w:tcW w:type="dxa" w:w="312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7,544.43</w:t>
            </w:r>
          </w:p>
        </w:tc>
        <w:tc>
          <w:tcPr>
            <w:tcW w:type="dxa" w:w="312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
            </w:r>
          </w:p>
        </w:tc>
      </w:tr>
      <w:tr>
        <w:tc>
          <w:tcPr>
            <w:tcW w:type="dxa" w:w="31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color w:val="1A7A3C"/>
                <w:sz w:val="17"/>
                <w:szCs w:val="17"/>
              </w:rPr>
              <w:t xml:space="preserve">S3</w:t>
            </w:r>
          </w:p>
        </w:tc>
        <w:tc>
          <w:tcPr>
            <w:tcW w:type="dxa" w:w="31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7,525.87</w:t>
            </w:r>
          </w:p>
        </w:tc>
        <w:tc>
          <w:tcPr>
            <w:tcW w:type="dxa" w:w="31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
            </w:r>
          </w:p>
        </w:tc>
      </w:tr>
    </w:tbl>
    <w:p>
      <w:pPr>
        <w:spacing w:after="120"/>
      </w:pPr>
      <w:r>
        <w:rPr>
          <w:rFonts w:ascii="Arial" w:cs="Arial" w:eastAsia="Arial" w:hAnsi="Arial"/>
          <w:b/>
          <w:bCs/>
          <w:sz w:val="18"/>
          <w:szCs w:val="18"/>
        </w:rPr>
        <w:t xml:space="preserve">Daily-pivot source status: </w:t>
      </w:r>
      <w:r>
        <w:rPr>
          <w:rFonts w:ascii="Arial" w:cs="Arial" w:eastAsia="Arial" w:hAnsi="Arial"/>
          <w:i/>
          <w:iCs/>
          <w:sz w:val="18"/>
          <w:szCs w:val="18"/>
        </w:rPr>
        <w:t xml:space="preserve">the prior-session High/Low used here (7,599.38 / 7,563.0) are single-source intraday values → these daily levels are flagged SINGLE-SOURCE INDICATIVE and may be used for directional context but not as definitive limit-order anchors (see §19).</w:t>
      </w:r>
    </w:p>
    <w:p>
      <w:pPr>
        <w:pStyle w:val="Heading2"/>
        <w:spacing w:after="80" w:before="180"/>
      </w:pPr>
      <w:r>
        <w:rPr>
          <w:rFonts w:ascii="Arial" w:cs="Arial" w:eastAsia="Arial" w:hAnsi="Arial"/>
          <w:b/>
          <w:bCs/>
          <w:color w:val="2E75B6"/>
          <w:sz w:val="22"/>
          <w:szCs w:val="22"/>
        </w:rPr>
        <w:t xml:space="preserve">Weekly pivots (from prior week ending 29 May)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Level</w:t>
            </w:r>
          </w:p>
        </w:tc>
        <w:tc>
          <w:tcPr>
            <w:tcW w:type="dxa" w:w="312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Value (pts)</w:t>
            </w:r>
          </w:p>
        </w:tc>
        <w:tc>
          <w:tcPr>
            <w:tcW w:type="dxa" w:w="312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Note</w:t>
            </w:r>
          </w:p>
        </w:tc>
      </w:tr>
      <w:tr>
        <w:tc>
          <w:tcPr>
            <w:tcW w:type="dxa" w:w="31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color w:val="B02418"/>
                <w:sz w:val="17"/>
                <w:szCs w:val="17"/>
              </w:rPr>
              <w:t xml:space="preserve">R2</w:t>
            </w:r>
          </w:p>
        </w:tc>
        <w:tc>
          <w:tcPr>
            <w:tcW w:type="dxa" w:w="31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7,684.54</w:t>
            </w:r>
          </w:p>
        </w:tc>
        <w:tc>
          <w:tcPr>
            <w:tcW w:type="dxa" w:w="31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
            </w:r>
          </w:p>
        </w:tc>
      </w:tr>
      <w:tr>
        <w:tc>
          <w:tcPr>
            <w:tcW w:type="dxa" w:w="312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color w:val="B02418"/>
                <w:sz w:val="17"/>
                <w:szCs w:val="17"/>
              </w:rPr>
              <w:t xml:space="preserve">R1</w:t>
            </w:r>
          </w:p>
        </w:tc>
        <w:tc>
          <w:tcPr>
            <w:tcW w:type="dxa" w:w="312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7,632.30</w:t>
            </w:r>
          </w:p>
        </w:tc>
        <w:tc>
          <w:tcPr>
            <w:tcW w:type="dxa" w:w="312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
            </w:r>
          </w:p>
        </w:tc>
      </w:tr>
      <w:tr>
        <w:tc>
          <w:tcPr>
            <w:tcW w:type="dxa" w:w="31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bCs/>
                <w:sz w:val="17"/>
                <w:szCs w:val="17"/>
              </w:rPr>
              <w:t xml:space="preserve">P</w:t>
            </w:r>
          </w:p>
        </w:tc>
        <w:tc>
          <w:tcPr>
            <w:tcW w:type="dxa" w:w="31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7,551.20</w:t>
            </w:r>
          </w:p>
        </w:tc>
        <w:tc>
          <w:tcPr>
            <w:tcW w:type="dxa" w:w="31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Weekly pivot — below market; supportive structure</w:t>
            </w:r>
          </w:p>
        </w:tc>
      </w:tr>
      <w:tr>
        <w:tc>
          <w:tcPr>
            <w:tcW w:type="dxa" w:w="312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color w:val="1A7A3C"/>
                <w:sz w:val="17"/>
                <w:szCs w:val="17"/>
              </w:rPr>
              <w:t xml:space="preserve">S1</w:t>
            </w:r>
          </w:p>
        </w:tc>
        <w:tc>
          <w:tcPr>
            <w:tcW w:type="dxa" w:w="312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7,498.96</w:t>
            </w:r>
          </w:p>
        </w:tc>
        <w:tc>
          <w:tcPr>
            <w:tcW w:type="dxa" w:w="312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
            </w:r>
          </w:p>
        </w:tc>
      </w:tr>
      <w:tr>
        <w:tc>
          <w:tcPr>
            <w:tcW w:type="dxa" w:w="31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color w:val="1A7A3C"/>
                <w:sz w:val="17"/>
                <w:szCs w:val="17"/>
              </w:rPr>
              <w:t xml:space="preserve">S2</w:t>
            </w:r>
          </w:p>
        </w:tc>
        <w:tc>
          <w:tcPr>
            <w:tcW w:type="dxa" w:w="31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7,417.86</w:t>
            </w:r>
          </w:p>
        </w:tc>
        <w:tc>
          <w:tcPr>
            <w:tcW w:type="dxa" w:w="31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
            </w:r>
          </w:p>
        </w:tc>
      </w:tr>
    </w:tbl>
    <w:p>
      <w:pPr>
        <w:spacing w:after="120"/>
      </w:pPr>
      <w:r>
        <w:rPr>
          <w:rFonts w:ascii="Arial" w:cs="Arial" w:eastAsia="Arial" w:hAnsi="Arial"/>
          <w:b/>
          <w:bCs/>
          <w:sz w:val="20"/>
          <w:szCs w:val="20"/>
        </w:rPr>
        <w:t xml:space="preserve">Position narrative: </w:t>
      </w:r>
      <w:r>
        <w:rPr>
          <w:rFonts w:ascii="Arial" w:cs="Arial" w:eastAsia="Arial" w:hAnsi="Arial"/>
          <w:sz w:val="20"/>
          <w:szCs w:val="20"/>
        </w:rPr>
        <w:t xml:space="preserve">the 01 June close (7,599.96) sits just above daily R1 (7,598.63) and well above daily P and the weekly P (7,551.20) — a bullish position, but pressed right against immediate pivot resistance. A confluence zone exists at 7,562–7,563 where the daily S1 (7,562.25), the 01 Jun low (7,562.61) and the 29 May close cluster within ~0.05%.</w:t>
      </w:r>
    </w:p>
    <w:p>
      <w:pPr>
        <w:pStyle w:val="Heading1"/>
        <w:spacing w:after="120" w:before="300"/>
      </w:pPr>
      <w:r>
        <w:rPr>
          <w:rFonts w:ascii="Arial" w:cs="Arial" w:eastAsia="Arial" w:hAnsi="Arial"/>
          <w:b/>
          <w:bCs/>
          <w:color w:val="1F3864"/>
          <w:sz w:val="26"/>
          <w:szCs w:val="26"/>
        </w:rPr>
        <w:t xml:space="preserve">§12  Key Market Considerations</w:t>
      </w:r>
    </w:p>
    <w:p>
      <w:pPr>
        <w:spacing w:after="120"/>
      </w:pPr>
      <w:r>
        <w:rPr>
          <w:rFonts w:ascii="Arial" w:cs="Arial" w:eastAsia="Arial" w:hAnsi="Arial"/>
          <w:b/>
          <w:bCs/>
          <w:color w:val="1A7A3C"/>
          <w:sz w:val="20"/>
          <w:szCs w:val="20"/>
        </w:rPr>
        <w:t xml:space="preserve">Demand / earnings (price-supportive, structural): </w:t>
      </w:r>
      <w:r>
        <w:rPr>
          <w:rFonts w:ascii="Arial" w:cs="Arial" w:eastAsia="Arial" w:hAnsi="Arial"/>
          <w:sz w:val="20"/>
          <w:szCs w:val="20"/>
        </w:rPr>
        <w:t xml:space="preserve">AI capex and mega-cap earnings revisions remain the engine — Nvidia, Micron and Alphabet are cited as accounting for a disproportionate share of 2026 S&amp;P EPS upgrades. Strong Snowflake and Dell guidance reinforced the AI demand narrative.</w:t>
      </w:r>
    </w:p>
    <w:p>
      <w:pPr>
        <w:spacing w:after="120"/>
      </w:pPr>
      <w:r>
        <w:rPr>
          <w:rFonts w:ascii="Arial" w:cs="Arial" w:eastAsia="Arial" w:hAnsi="Arial"/>
          <w:b/>
          <w:bCs/>
          <w:sz w:val="20"/>
          <w:szCs w:val="20"/>
        </w:rPr>
        <w:t xml:space="preserve">Macro / rates (neutral-to-supportive, cyclical): </w:t>
      </w:r>
      <w:r>
        <w:rPr>
          <w:rFonts w:ascii="Arial" w:cs="Arial" w:eastAsia="Arial" w:hAnsi="Arial"/>
          <w:sz w:val="20"/>
          <w:szCs w:val="20"/>
        </w:rPr>
        <w:t xml:space="preserve">April core PCE printed 3.3% (highest in ~3 years but in line with expectations), keeping the Fed on hold; 10-year yields steady near 4.44%. Sticky inflation caps further easing but did not derail equities.</w:t>
      </w:r>
    </w:p>
    <w:p>
      <w:pPr>
        <w:spacing w:after="120"/>
      </w:pPr>
      <w:r>
        <w:rPr>
          <w:rFonts w:ascii="Arial" w:cs="Arial" w:eastAsia="Arial" w:hAnsi="Arial"/>
          <w:b/>
          <w:bCs/>
          <w:color w:val="1A7A3C"/>
          <w:sz w:val="20"/>
          <w:szCs w:val="20"/>
        </w:rPr>
        <w:t xml:space="preserve">Policy / geopolitics (cyclical, improving): </w:t>
      </w:r>
      <w:r>
        <w:rPr>
          <w:rFonts w:ascii="Arial" w:cs="Arial" w:eastAsia="Arial" w:hAnsi="Arial"/>
          <w:sz w:val="20"/>
          <w:szCs w:val="20"/>
        </w:rPr>
        <w:t xml:space="preserve">U.S.–Iran ceasefire-extension optimism and falling oil (WTI ~$88) removed a key overhang, though headline risk (‘headline fatigue’) remains two-way.</w:t>
      </w:r>
    </w:p>
    <w:p>
      <w:pPr>
        <w:spacing w:after="120"/>
      </w:pPr>
      <w:r>
        <w:rPr>
          <w:rFonts w:ascii="Arial" w:cs="Arial" w:eastAsia="Arial" w:hAnsi="Arial"/>
          <w:b/>
          <w:bCs/>
          <w:color w:val="B02418"/>
          <w:sz w:val="20"/>
          <w:szCs w:val="20"/>
        </w:rPr>
        <w:t xml:space="preserve">FX (mildly price-negative, cyclical): </w:t>
      </w:r>
      <w:r>
        <w:rPr>
          <w:rFonts w:ascii="Arial" w:cs="Arial" w:eastAsia="Arial" w:hAnsi="Arial"/>
          <w:sz w:val="20"/>
          <w:szCs w:val="20"/>
        </w:rPr>
        <w:t xml:space="preserve">a firmer dollar (USDX ~99) is a modest translation headwind for multinationals (see §10).</w:t>
      </w:r>
    </w:p>
    <w:p>
      <w:pPr>
        <w:spacing w:after="120"/>
      </w:pPr>
      <w:r>
        <w:rPr>
          <w:rFonts w:ascii="Arial" w:cs="Arial" w:eastAsia="Arial" w:hAnsi="Arial"/>
          <w:b/>
          <w:bCs/>
          <w:sz w:val="20"/>
          <w:szCs w:val="20"/>
        </w:rPr>
        <w:t xml:space="preserve">Positioning / sentiment (caution flag): </w:t>
      </w:r>
      <w:r>
        <w:rPr>
          <w:rFonts w:ascii="Arial" w:cs="Arial" w:eastAsia="Arial" w:hAnsi="Arial"/>
          <w:sz w:val="20"/>
          <w:szCs w:val="20"/>
        </w:rPr>
        <w:t xml:space="preserve">BofA’s Sell Side Indicator is near a contrarian sell signal and Berkshire is trailing the index by the widest margin of the year — both classic late-cycle froth markers. Near-term catalysts within the horizon: NFP (05 Jun) flagged in §13d.</w:t>
      </w:r>
    </w:p>
    <w:p>
      <w:pPr>
        <w:pStyle w:val="Heading1"/>
        <w:spacing w:after="120" w:before="300"/>
      </w:pPr>
      <w:r>
        <w:rPr>
          <w:rFonts w:ascii="Arial" w:cs="Arial" w:eastAsia="Arial" w:hAnsi="Arial"/>
          <w:b/>
          <w:bCs/>
          <w:color w:val="1F3864"/>
          <w:sz w:val="26"/>
          <w:szCs w:val="26"/>
        </w:rPr>
        <w:t xml:space="preserve">§13  Sentiment, News &amp; Calendar</w:t>
      </w:r>
    </w:p>
    <w:p>
      <w:pPr>
        <w:pStyle w:val="Heading2"/>
        <w:spacing w:after="80" w:before="180"/>
      </w:pPr>
      <w:r>
        <w:rPr>
          <w:rFonts w:ascii="Arial" w:cs="Arial" w:eastAsia="Arial" w:hAnsi="Arial"/>
          <w:b/>
          <w:bCs/>
          <w:color w:val="2E75B6"/>
          <w:sz w:val="22"/>
          <w:szCs w:val="22"/>
        </w:rPr>
        <w:t xml:space="preserve">§13a  Per-Article Sentiment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3760"/>
        <w:gridCol w:w="1300"/>
        <w:gridCol w:w="1700"/>
      </w:tblGrid>
      <w:tr>
        <w:trPr>
          <w:tblHeader/>
        </w:trPr>
        <w:tc>
          <w:tcPr>
            <w:tcW w:type="dxa" w:w="15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Source</w:t>
            </w:r>
          </w:p>
        </w:tc>
        <w:tc>
          <w:tcPr>
            <w:tcW w:type="dxa" w:w="11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Class</w:t>
            </w:r>
          </w:p>
        </w:tc>
        <w:tc>
          <w:tcPr>
            <w:tcW w:type="dxa" w:w="37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Headline (paraphrased) &amp; derivation</w:t>
            </w:r>
          </w:p>
        </w:tc>
        <w:tc>
          <w:tcPr>
            <w:tcW w:type="dxa" w:w="13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Sentiment</w:t>
            </w:r>
          </w:p>
        </w:tc>
        <w:tc>
          <w:tcPr>
            <w:tcW w:type="dxa" w:w="17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Derivation quote</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TipRanks / GS</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Instit.</w:t>
            </w:r>
          </w:p>
        </w:tc>
        <w:tc>
          <w:tcPr>
            <w:tcW w:type="dxa" w:w="3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Goldman raises S&amp;P 500 target to 8,000 by year-end</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color w:val="1A7A3C"/>
                <w:sz w:val="17"/>
                <w:szCs w:val="17"/>
              </w:rPr>
              <w:t xml:space="preserve">Bullish</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“Raises S&amp;P 500 target to 8,000”</w:t>
            </w:r>
          </w:p>
        </w:tc>
      </w:tr>
      <w:tr>
        <w:tc>
          <w:tcPr>
            <w:tcW w:type="dxa" w:w="15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CNBC / Evercore</w:t>
            </w:r>
          </w:p>
        </w:tc>
        <w:tc>
          <w:tcPr>
            <w:tcW w:type="dxa" w:w="11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Instit.</w:t>
            </w:r>
          </w:p>
        </w:tc>
        <w:tc>
          <w:tcPr>
            <w:tcW w:type="dxa" w:w="376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Evercore’s Emanuel: AI concentration spurring index strength; 7,750 target</w:t>
            </w:r>
          </w:p>
        </w:tc>
        <w:tc>
          <w:tcPr>
            <w:tcW w:type="dxa" w:w="13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color w:val="1A7A3C"/>
                <w:sz w:val="17"/>
                <w:szCs w:val="17"/>
              </w:rPr>
              <w:t xml:space="preserve">Bullish</w:t>
            </w:r>
          </w:p>
        </w:tc>
        <w:tc>
          <w:tcPr>
            <w:tcW w:type="dxa" w:w="17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“index strength… target of 7,750”</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CNBC / BofA</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Instit.</w:t>
            </w:r>
          </w:p>
        </w:tc>
        <w:tc>
          <w:tcPr>
            <w:tcW w:type="dxa" w:w="3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BofA Sell Side Indicator near contrarian sell signal</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color w:val="B02418"/>
                <w:sz w:val="17"/>
                <w:szCs w:val="17"/>
              </w:rPr>
              <w:t xml:space="preserve">Bearish</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“close to triggering a contrarian sell signal”</w:t>
            </w:r>
          </w:p>
        </w:tc>
      </w:tr>
      <w:tr>
        <w:tc>
          <w:tcPr>
            <w:tcW w:type="dxa" w:w="15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CNBC</w:t>
            </w:r>
          </w:p>
        </w:tc>
        <w:tc>
          <w:tcPr>
            <w:tcW w:type="dxa" w:w="11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Media</w:t>
            </w:r>
          </w:p>
        </w:tc>
        <w:tc>
          <w:tcPr>
            <w:tcW w:type="dxa" w:w="376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S&amp;P closes at record to kick off June; tech rally</w:t>
            </w:r>
          </w:p>
        </w:tc>
        <w:tc>
          <w:tcPr>
            <w:tcW w:type="dxa" w:w="13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color w:val="1A7A3C"/>
                <w:sz w:val="17"/>
                <w:szCs w:val="17"/>
              </w:rPr>
              <w:t xml:space="preserve">Bullish</w:t>
            </w:r>
          </w:p>
        </w:tc>
        <w:tc>
          <w:tcPr>
            <w:tcW w:type="dxa" w:w="17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“closes at a record to kick off June”</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CNBC</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Media</w:t>
            </w:r>
          </w:p>
        </w:tc>
        <w:tc>
          <w:tcPr>
            <w:tcW w:type="dxa" w:w="3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Stocks close at record highs; Nasdaq +8% in May</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color w:val="1A7A3C"/>
                <w:sz w:val="17"/>
                <w:szCs w:val="17"/>
              </w:rPr>
              <w:t xml:space="preserve">Bullish</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“record highs with tech leading the way”</w:t>
            </w:r>
          </w:p>
        </w:tc>
      </w:tr>
      <w:tr>
        <w:tc>
          <w:tcPr>
            <w:tcW w:type="dxa" w:w="15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CNBC</w:t>
            </w:r>
          </w:p>
        </w:tc>
        <w:tc>
          <w:tcPr>
            <w:tcW w:type="dxa" w:w="11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Media</w:t>
            </w:r>
          </w:p>
        </w:tc>
        <w:tc>
          <w:tcPr>
            <w:tcW w:type="dxa" w:w="376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Core PCE 3.3%, highest in ~3 years, as expected</w:t>
            </w:r>
          </w:p>
        </w:tc>
        <w:tc>
          <w:tcPr>
            <w:tcW w:type="dxa" w:w="13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color w:val="666666"/>
                <w:sz w:val="17"/>
                <w:szCs w:val="17"/>
              </w:rPr>
              <w:t xml:space="preserve">Neutral</w:t>
            </w:r>
          </w:p>
        </w:tc>
        <w:tc>
          <w:tcPr>
            <w:tcW w:type="dxa" w:w="17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“as expected, Fed’s preferred gauge shows”</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TheStreet</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Trade</w:t>
            </w:r>
          </w:p>
        </w:tc>
        <w:tc>
          <w:tcPr>
            <w:tcW w:type="dxa" w:w="3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Ninth consecutive weekly gain on AI rally</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color w:val="1A7A3C"/>
                <w:sz w:val="17"/>
                <w:szCs w:val="17"/>
              </w:rPr>
              <w:t xml:space="preserve">Bullish</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“ninth consecutive week of gains”</w:t>
            </w:r>
          </w:p>
        </w:tc>
      </w:tr>
      <w:tr>
        <w:tc>
          <w:tcPr>
            <w:tcW w:type="dxa" w:w="15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CNBC</w:t>
            </w:r>
          </w:p>
        </w:tc>
        <w:tc>
          <w:tcPr>
            <w:tcW w:type="dxa" w:w="11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Media</w:t>
            </w:r>
          </w:p>
        </w:tc>
        <w:tc>
          <w:tcPr>
            <w:tcW w:type="dxa" w:w="376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Berkshire trails red-hot S&amp;P by widest margin this year</w:t>
            </w:r>
          </w:p>
        </w:tc>
        <w:tc>
          <w:tcPr>
            <w:tcW w:type="dxa" w:w="13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color w:val="B02418"/>
                <w:sz w:val="17"/>
                <w:szCs w:val="17"/>
              </w:rPr>
              <w:t xml:space="preserve">Bearish</w:t>
            </w:r>
          </w:p>
        </w:tc>
        <w:tc>
          <w:tcPr>
            <w:tcW w:type="dxa" w:w="17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“trails red-hot S&amp;P by biggest margin”</w:t>
            </w:r>
          </w:p>
        </w:tc>
      </w:tr>
    </w:tbl>
    <w:p>
      <w:pPr>
        <w:pStyle w:val="Heading2"/>
        <w:spacing w:after="80" w:before="180"/>
      </w:pPr>
      <w:r>
        <w:rPr>
          <w:rFonts w:ascii="Arial" w:cs="Arial" w:eastAsia="Arial" w:hAnsi="Arial"/>
          <w:b/>
          <w:bCs/>
          <w:color w:val="2E75B6"/>
          <w:sz w:val="22"/>
          <w:szCs w:val="22"/>
        </w:rPr>
        <w:t xml:space="preserve">§13b  Aggregate Sentiment Summary</w:t>
      </w:r>
    </w:p>
    <w:p>
      <w:pPr>
        <w:spacing w:after="120"/>
      </w:pPr>
      <w:r>
        <w:rPr>
          <w:rFonts w:ascii="Arial" w:cs="Arial" w:eastAsia="Arial" w:hAnsi="Arial"/>
          <w:sz w:val="20"/>
          <w:szCs w:val="20"/>
        </w:rPr>
        <w:t xml:space="preserve">Counts: 5 Bullish (3 institutional/2 media + 1 trade press), 2 Bearish (1 institutional, 1 media), 1 Neutral (media) → </w:t>
      </w:r>
      <w:r>
        <w:rPr>
          <w:rFonts w:ascii="Arial" w:cs="Arial" w:eastAsia="Arial" w:hAnsi="Arial"/>
          <w:b/>
          <w:bCs/>
          <w:color w:val="1A7A3C"/>
          <w:sz w:val="20"/>
          <w:szCs w:val="20"/>
        </w:rPr>
        <w:t xml:space="preserve">Predominantly Bullish (tilt = +0.39)</w:t>
      </w:r>
      <w:r>
        <w:rPr>
          <w:rFonts w:ascii="Arial" w:cs="Arial" w:eastAsia="Arial" w:hAnsi="Arial"/>
          <w:sz w:val="20"/>
          <w:szCs w:val="20"/>
        </w:rPr>
        <w:t xml:space="preserve">.</w:t>
      </w:r>
    </w:p>
    <w:p>
      <w:pPr>
        <w:spacing w:after="120"/>
      </w:pPr>
      <w:r>
        <w:rPr>
          <w:rFonts w:ascii="Arial" w:cs="Arial" w:eastAsia="Arial" w:hAnsi="Arial"/>
          <w:b/>
          <w:bCs/>
          <w:sz w:val="20"/>
          <w:szCs w:val="20"/>
        </w:rPr>
        <w:t xml:space="preserve">Divergence: </w:t>
      </w:r>
      <w:r>
        <w:rPr>
          <w:rFonts w:ascii="Arial" w:cs="Arial" w:eastAsia="Arial" w:hAnsi="Arial"/>
          <w:sz w:val="20"/>
          <w:szCs w:val="20"/>
        </w:rPr>
        <w:t xml:space="preserve">none — bullish sentiment agrees with rising price and the Trending Bullish regime. The categorical label and the numeric tilt point the same way; the two institutional bearish/caution notes (BofA, Berkshire-laggard) temper magnitude but do not flip direction. Tilt computed on 8 articles — not low-confidence.</w:t>
      </w:r>
    </w:p>
    <w:p>
      <w:pPr>
        <w:pStyle w:val="Heading2"/>
        <w:spacing w:after="80" w:before="180"/>
      </w:pPr>
      <w:r>
        <w:rPr>
          <w:rFonts w:ascii="Arial" w:cs="Arial" w:eastAsia="Arial" w:hAnsi="Arial"/>
          <w:b/>
          <w:bCs/>
          <w:color w:val="2E75B6"/>
          <w:sz w:val="22"/>
          <w:szCs w:val="22"/>
        </w:rPr>
        <w:t xml:space="preserve">§13c  News Calendar — Previous Period (26 May – 01 Jun)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2360"/>
        <w:gridCol w:w="900"/>
        <w:gridCol w:w="2100"/>
      </w:tblGrid>
      <w:tr>
        <w:trPr>
          <w:tblHeader/>
        </w:trPr>
        <w:tc>
          <w:tcPr>
            <w:tcW w:type="dxa" w:w="13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Date</w:t>
            </w:r>
          </w:p>
        </w:tc>
        <w:tc>
          <w:tcPr>
            <w:tcW w:type="dxa" w:w="27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Event</w:t>
            </w:r>
          </w:p>
        </w:tc>
        <w:tc>
          <w:tcPr>
            <w:tcW w:type="dxa" w:w="23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Prior / Context</w:t>
            </w:r>
          </w:p>
        </w:tc>
        <w:tc>
          <w:tcPr>
            <w:tcW w:type="dxa" w:w="9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Impact</w:t>
            </w:r>
          </w:p>
        </w:tc>
        <w:tc>
          <w:tcPr>
            <w:tcW w:type="dxa" w:w="21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Implication for S&amp;P 500</w:t>
            </w:r>
          </w:p>
        </w:tc>
      </w:tr>
      <w:tr>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Tue 26 May</w:t>
            </w:r>
          </w:p>
        </w:tc>
        <w:tc>
          <w:tcPr>
            <w:tcW w:type="dxa" w:w="2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Micron upgrade cycle / reopen</w:t>
            </w:r>
          </w:p>
        </w:tc>
        <w:tc>
          <w:tcPr>
            <w:tcW w:type="dxa" w:w="2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Memorial Day holiday Mon</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High</w:t>
            </w:r>
          </w:p>
        </w:tc>
        <w:tc>
          <w:tcPr>
            <w:tcW w:type="dxa" w:w="2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Chip-led +0.61% to record</w:t>
            </w:r>
          </w:p>
        </w:tc>
      </w:tr>
      <w:tr>
        <w:tc>
          <w:tcPr>
            <w:tcW w:type="dxa" w:w="13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Wed 27 May</w:t>
            </w:r>
          </w:p>
        </w:tc>
        <w:tc>
          <w:tcPr>
            <w:tcW w:type="dxa" w:w="27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Iran rumor / chip pullback</w:t>
            </w:r>
          </w:p>
        </w:tc>
        <w:tc>
          <w:tcPr>
            <w:tcW w:type="dxa" w:w="236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Record Dow</w:t>
            </w:r>
          </w:p>
        </w:tc>
        <w:tc>
          <w:tcPr>
            <w:tcW w:type="dxa" w:w="9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Med</w:t>
            </w:r>
          </w:p>
        </w:tc>
        <w:tc>
          <w:tcPr>
            <w:tcW w:type="dxa" w:w="21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S&amp;P flat +0.02% (chip drag)</w:t>
            </w:r>
          </w:p>
        </w:tc>
      </w:tr>
      <w:tr>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Thu 28 May</w:t>
            </w:r>
          </w:p>
        </w:tc>
        <w:tc>
          <w:tcPr>
            <w:tcW w:type="dxa" w:w="2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Core PCE 3.3% + Snowflake guide</w:t>
            </w:r>
          </w:p>
        </w:tc>
        <w:tc>
          <w:tcPr>
            <w:tcW w:type="dxa" w:w="2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Exp. 3.3%</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High</w:t>
            </w:r>
          </w:p>
        </w:tc>
        <w:tc>
          <w:tcPr>
            <w:tcW w:type="dxa" w:w="2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+0.58%; AI re-rating drives record</w:t>
            </w:r>
          </w:p>
        </w:tc>
      </w:tr>
      <w:tr>
        <w:tc>
          <w:tcPr>
            <w:tcW w:type="dxa" w:w="13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Fri 29 May</w:t>
            </w:r>
          </w:p>
        </w:tc>
        <w:tc>
          <w:tcPr>
            <w:tcW w:type="dxa" w:w="27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Month-end + Iran peace post</w:t>
            </w:r>
          </w:p>
        </w:tc>
        <w:tc>
          <w:tcPr>
            <w:tcW w:type="dxa" w:w="236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9th up week</w:t>
            </w:r>
          </w:p>
        </w:tc>
        <w:tc>
          <w:tcPr>
            <w:tcW w:type="dxa" w:w="9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Med</w:t>
            </w:r>
          </w:p>
        </w:tc>
        <w:tc>
          <w:tcPr>
            <w:tcW w:type="dxa" w:w="21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+0.22% record; VIX 4-mo low</w:t>
            </w:r>
          </w:p>
        </w:tc>
      </w:tr>
      <w:tr>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Mon 01 Jun</w:t>
            </w:r>
          </w:p>
        </w:tc>
        <w:tc>
          <w:tcPr>
            <w:tcW w:type="dxa" w:w="2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Nvidia PC-chip launch</w:t>
            </w:r>
          </w:p>
        </w:tc>
        <w:tc>
          <w:tcPr>
            <w:tcW w:type="dxa" w:w="2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June open</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High</w:t>
            </w:r>
          </w:p>
        </w:tc>
        <w:tc>
          <w:tcPr>
            <w:tcW w:type="dxa" w:w="2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+0.26% record; energy + tech green</w:t>
            </w:r>
          </w:p>
        </w:tc>
      </w:tr>
    </w:tbl>
    <w:p>
      <w:pPr>
        <w:pStyle w:val="Heading2"/>
        <w:spacing w:after="80" w:before="180"/>
      </w:pPr>
      <w:r>
        <w:rPr>
          <w:rFonts w:ascii="Arial" w:cs="Arial" w:eastAsia="Arial" w:hAnsi="Arial"/>
          <w:b/>
          <w:bCs/>
          <w:color w:val="2E75B6"/>
          <w:sz w:val="22"/>
          <w:szCs w:val="22"/>
        </w:rPr>
        <w:t xml:space="preserve">§13d  News Calendar — Upcoming Period (next 5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2360"/>
        <w:gridCol w:w="900"/>
        <w:gridCol w:w="2100"/>
      </w:tblGrid>
      <w:tr>
        <w:trPr>
          <w:tblHeader/>
        </w:trPr>
        <w:tc>
          <w:tcPr>
            <w:tcW w:type="dxa" w:w="13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Date</w:t>
            </w:r>
          </w:p>
        </w:tc>
        <w:tc>
          <w:tcPr>
            <w:tcW w:type="dxa" w:w="27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Event</w:t>
            </w:r>
          </w:p>
        </w:tc>
        <w:tc>
          <w:tcPr>
            <w:tcW w:type="dxa" w:w="23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Context</w:t>
            </w:r>
          </w:p>
        </w:tc>
        <w:tc>
          <w:tcPr>
            <w:tcW w:type="dxa" w:w="9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Impact</w:t>
            </w:r>
          </w:p>
        </w:tc>
        <w:tc>
          <w:tcPr>
            <w:tcW w:type="dxa" w:w="21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Implication for S&amp;P 500</w:t>
            </w:r>
          </w:p>
        </w:tc>
      </w:tr>
      <w:tr>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Tue 02 Jun</w:t>
            </w:r>
          </w:p>
        </w:tc>
        <w:tc>
          <w:tcPr>
            <w:tcW w:type="dxa" w:w="2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Factory orders / Fed speakers</w:t>
            </w:r>
          </w:p>
        </w:tc>
        <w:tc>
          <w:tcPr>
            <w:tcW w:type="dxa" w:w="2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Post-PCE</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Low-Med</w:t>
            </w:r>
          </w:p>
        </w:tc>
        <w:tc>
          <w:tcPr>
            <w:tcW w:type="dxa" w:w="2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Marginal; vol stays compressed unless hawkish</w:t>
            </w:r>
          </w:p>
        </w:tc>
      </w:tr>
      <w:tr>
        <w:tc>
          <w:tcPr>
            <w:tcW w:type="dxa" w:w="13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Wed 03 Jun</w:t>
            </w:r>
          </w:p>
        </w:tc>
        <w:tc>
          <w:tcPr>
            <w:tcW w:type="dxa" w:w="27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ISM Services / ADP</w:t>
            </w:r>
          </w:p>
        </w:tc>
        <w:tc>
          <w:tcPr>
            <w:tcW w:type="dxa" w:w="236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Services &gt;50</w:t>
            </w:r>
          </w:p>
        </w:tc>
        <w:tc>
          <w:tcPr>
            <w:tcW w:type="dxa" w:w="9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Med</w:t>
            </w:r>
          </w:p>
        </w:tc>
        <w:tc>
          <w:tcPr>
            <w:tcW w:type="dxa" w:w="21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Beat = continuation; sharp miss = growth scare</w:t>
            </w:r>
          </w:p>
        </w:tc>
      </w:tr>
      <w:tr>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bCs/>
                <w:sz w:val="17"/>
                <w:szCs w:val="17"/>
              </w:rPr>
              <w:t xml:space="preserve">Fri 05 Jun</w:t>
            </w:r>
          </w:p>
        </w:tc>
        <w:tc>
          <w:tcPr>
            <w:tcW w:type="dxa" w:w="2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bCs/>
                <w:sz w:val="17"/>
                <w:szCs w:val="17"/>
              </w:rPr>
              <w:t xml:space="preserve">MAY NON-FARM PAYROLLS</w:t>
            </w:r>
          </w:p>
        </w:tc>
        <w:tc>
          <w:tcPr>
            <w:tcW w:type="dxa" w:w="2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Highest-impact event</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High</w:t>
            </w:r>
          </w:p>
        </w:tc>
        <w:tc>
          <w:tcPr>
            <w:tcW w:type="dxa" w:w="2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Beat-but-not-hot = goldilocks (bullish); hot wages = rate-fear selloff; weak = growth scare</w:t>
            </w:r>
          </w:p>
        </w:tc>
      </w:tr>
      <w:tr>
        <w:tc>
          <w:tcPr>
            <w:tcW w:type="dxa" w:w="13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Fri 05 Jun</w:t>
            </w:r>
          </w:p>
        </w:tc>
        <w:tc>
          <w:tcPr>
            <w:tcW w:type="dxa" w:w="27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Unemployment rate</w:t>
            </w:r>
          </w:p>
        </w:tc>
        <w:tc>
          <w:tcPr>
            <w:tcW w:type="dxa" w:w="236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Prior steady</w:t>
            </w:r>
          </w:p>
        </w:tc>
        <w:tc>
          <w:tcPr>
            <w:tcW w:type="dxa" w:w="9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Med</w:t>
            </w:r>
          </w:p>
        </w:tc>
        <w:tc>
          <w:tcPr>
            <w:tcW w:type="dxa" w:w="21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Labour-market read for Fed path</w:t>
            </w:r>
          </w:p>
        </w:tc>
      </w:tr>
      <w:tr>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w:t>
            </w:r>
          </w:p>
        </w:tc>
        <w:tc>
          <w:tcPr>
            <w:tcW w:type="dxa" w:w="2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Mega-cap headlines (NVDA/AAPL)</w:t>
            </w:r>
          </w:p>
        </w:tc>
        <w:tc>
          <w:tcPr>
            <w:tcW w:type="dxa" w:w="2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AI capex</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Med</w:t>
            </w:r>
          </w:p>
        </w:tc>
        <w:tc>
          <w:tcPr>
            <w:tcW w:type="dxa" w:w="2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Concentration risk cuts both ways</w:t>
            </w:r>
          </w:p>
        </w:tc>
      </w:tr>
    </w:tbl>
    <w:p>
      <w:pPr>
        <w:spacing w:after="120"/>
      </w:pPr>
      <w:r>
        <w:rPr>
          <w:rFonts w:ascii="Arial" w:cs="Arial" w:eastAsia="Arial" w:hAnsi="Arial"/>
          <w:b/>
          <w:bCs/>
          <w:sz w:val="20"/>
          <w:szCs w:val="20"/>
        </w:rPr>
        <w:t xml:space="preserve">Highest-impact event: </w:t>
      </w:r>
      <w:r>
        <w:rPr>
          <w:rFonts w:ascii="Arial" w:cs="Arial" w:eastAsia="Arial" w:hAnsi="Arial"/>
          <w:sz w:val="20"/>
          <w:szCs w:val="20"/>
        </w:rPr>
        <w:t xml:space="preserve">May Non-Farm Payrolls (Fri 05 Jun) — a hot wage/print could revive rate-cut-delay fears and break the low-vol grind to the downside, while a soft-landing print would extend the melt-up; either way it is the most likely catalyst to move the consensus level within the horizon.</w:t>
      </w:r>
    </w:p>
    <w:p>
      <w:pPr>
        <w:pStyle w:val="Heading1"/>
        <w:spacing w:after="120" w:before="300"/>
      </w:pPr>
      <w:r>
        <w:rPr>
          <w:rFonts w:ascii="Arial" w:cs="Arial" w:eastAsia="Arial" w:hAnsi="Arial"/>
          <w:b/>
          <w:bCs/>
          <w:color w:val="1F3864"/>
          <w:sz w:val="26"/>
          <w:szCs w:val="26"/>
        </w:rPr>
        <w:t xml:space="preserve">§14  Macro Context</w:t>
      </w:r>
    </w:p>
    <w:p>
      <w:pPr>
        <w:pStyle w:val="ListParagraph"/>
        <w:numPr>
          <w:ilvl w:val="0"/>
          <w:numId w:val="1"/>
        </w:numPr>
        <w:spacing w:after="60"/>
      </w:pPr>
      <w:r>
        <w:rPr>
          <w:rFonts w:ascii="Arial" w:cs="Arial" w:eastAsia="Arial" w:hAnsi="Arial"/>
          <w:b/>
          <w:bCs/>
          <w:sz w:val="20"/>
          <w:szCs w:val="20"/>
        </w:rPr>
        <w:t xml:space="preserve">Rates &amp; policy: </w:t>
      </w:r>
      <w:r>
        <w:rPr>
          <w:rFonts w:ascii="Arial" w:cs="Arial" w:eastAsia="Arial" w:hAnsi="Arial"/>
          <w:sz w:val="20"/>
          <w:szCs w:val="20"/>
        </w:rPr>
        <w:t xml:space="preserve">Fed on hold; core PCE 3.3% (as expected) keeps further easing limited. Cross-referencing §10, the VIX read (falling to 15.32) signals the market is comfortable with the rate path — supportive.</w:t>
      </w:r>
    </w:p>
    <w:p>
      <w:pPr>
        <w:pStyle w:val="ListParagraph"/>
        <w:numPr>
          <w:ilvl w:val="0"/>
          <w:numId w:val="1"/>
        </w:numPr>
        <w:spacing w:after="60"/>
      </w:pPr>
      <w:r>
        <w:rPr>
          <w:rFonts w:ascii="Arial" w:cs="Arial" w:eastAsia="Arial" w:hAnsi="Arial"/>
          <w:b/>
          <w:bCs/>
          <w:sz w:val="20"/>
          <w:szCs w:val="20"/>
        </w:rPr>
        <w:t xml:space="preserve">Inflation: </w:t>
      </w:r>
      <w:r>
        <w:rPr>
          <w:rFonts w:ascii="Arial" w:cs="Arial" w:eastAsia="Arial" w:hAnsi="Arial"/>
          <w:sz w:val="20"/>
          <w:szCs w:val="20"/>
        </w:rPr>
        <w:t xml:space="preserve">sticky but in line; neutral for equities so long as it doesn’t accelerate.</w:t>
      </w:r>
    </w:p>
    <w:p>
      <w:pPr>
        <w:pStyle w:val="ListParagraph"/>
        <w:numPr>
          <w:ilvl w:val="0"/>
          <w:numId w:val="1"/>
        </w:numPr>
        <w:spacing w:after="60"/>
      </w:pPr>
      <w:r>
        <w:rPr>
          <w:rFonts w:ascii="Arial" w:cs="Arial" w:eastAsia="Arial" w:hAnsi="Arial"/>
          <w:b/>
          <w:bCs/>
          <w:sz w:val="20"/>
          <w:szCs w:val="20"/>
        </w:rPr>
        <w:t xml:space="preserve">Liquidity / FX: </w:t>
      </w:r>
      <w:r>
        <w:rPr>
          <w:rFonts w:ascii="Arial" w:cs="Arial" w:eastAsia="Arial" w:hAnsi="Arial"/>
          <w:sz w:val="20"/>
          <w:szCs w:val="20"/>
        </w:rPr>
        <w:t xml:space="preserve">per §10 the USDX is rising (~99) — a mild headwind for multinational earnings translation; flagged as the cross-asset contradiction.</w:t>
      </w:r>
    </w:p>
    <w:p>
      <w:pPr>
        <w:pStyle w:val="ListParagraph"/>
        <w:numPr>
          <w:ilvl w:val="0"/>
          <w:numId w:val="1"/>
        </w:numPr>
        <w:spacing w:after="60"/>
      </w:pPr>
      <w:r>
        <w:rPr>
          <w:rFonts w:ascii="Arial" w:cs="Arial" w:eastAsia="Arial" w:hAnsi="Arial"/>
          <w:b/>
          <w:bCs/>
          <w:sz w:val="20"/>
          <w:szCs w:val="20"/>
        </w:rPr>
        <w:t xml:space="preserve">Energy: </w:t>
      </w:r>
      <w:r>
        <w:rPr>
          <w:rFonts w:ascii="Arial" w:cs="Arial" w:eastAsia="Arial" w:hAnsi="Arial"/>
          <w:sz w:val="20"/>
          <w:szCs w:val="20"/>
        </w:rPr>
        <w:t xml:space="preserve">WTI ~$88 and easing on Iran de-escalation — supportive for margins ex-energy; oil bounced on 01 Jun but did not derail the tape.</w:t>
      </w:r>
    </w:p>
    <w:p>
      <w:pPr>
        <w:pStyle w:val="ListParagraph"/>
        <w:numPr>
          <w:ilvl w:val="0"/>
          <w:numId w:val="1"/>
        </w:numPr>
        <w:spacing w:after="60"/>
      </w:pPr>
      <w:r>
        <w:rPr>
          <w:rFonts w:ascii="Arial" w:cs="Arial" w:eastAsia="Arial" w:hAnsi="Arial"/>
          <w:b/>
          <w:bCs/>
          <w:sz w:val="20"/>
          <w:szCs w:val="20"/>
        </w:rPr>
        <w:t xml:space="preserve">Positioning: </w:t>
      </w:r>
      <w:r>
        <w:rPr>
          <w:rFonts w:ascii="Arial" w:cs="Arial" w:eastAsia="Arial" w:hAnsi="Arial"/>
          <w:sz w:val="20"/>
          <w:szCs w:val="20"/>
        </w:rPr>
        <w:t xml:space="preserve">VIX at a four-month low and BofA’s Sell Side Indicator near a contrarian sell signal point to elevated complacency — a watch item, not yet a sell trigger.</w:t>
      </w:r>
    </w:p>
    <w:p>
      <w:pPr>
        <w:spacing w:after="120"/>
      </w:pPr>
      <w:r>
        <w:rPr>
          <w:rFonts w:ascii="Arial" w:cs="Arial" w:eastAsia="Arial" w:hAnsi="Arial"/>
          <w:b/>
          <w:bCs/>
          <w:sz w:val="20"/>
          <w:szCs w:val="20"/>
        </w:rPr>
        <w:t xml:space="preserve">Watch item: </w:t>
      </w:r>
      <w:r>
        <w:rPr>
          <w:rFonts w:ascii="Arial" w:cs="Arial" w:eastAsia="Arial" w:hAnsi="Arial"/>
          <w:sz w:val="20"/>
          <w:szCs w:val="20"/>
        </w:rPr>
        <w:t xml:space="preserve">NFP (§13d) feeds directly into the rates/inflation channel here — a hot print is the main upside-vol / downside-price risk.</w:t>
      </w:r>
    </w:p>
    <w:p>
      <w:pPr>
        <w:pStyle w:val="Heading1"/>
        <w:spacing w:after="120" w:before="300"/>
      </w:pPr>
      <w:r>
        <w:rPr>
          <w:rFonts w:ascii="Arial" w:cs="Arial" w:eastAsia="Arial" w:hAnsi="Arial"/>
          <w:b/>
          <w:bCs/>
          <w:color w:val="1F3864"/>
          <w:sz w:val="26"/>
          <w:szCs w:val="26"/>
        </w:rPr>
        <w:t xml:space="preserve">§15  Bull / Bear Balance</w:t>
      </w:r>
    </w:p>
    <w:p>
      <w:pPr>
        <w:pStyle w:val="Heading2"/>
        <w:spacing w:after="80" w:before="180"/>
      </w:pPr>
      <w:r>
        <w:rPr>
          <w:rFonts w:ascii="Arial" w:cs="Arial" w:eastAsia="Arial" w:hAnsi="Arial"/>
          <w:b/>
          <w:bCs/>
          <w:color w:val="2E75B6"/>
          <w:sz w:val="22"/>
          <w:szCs w:val="22"/>
        </w:rPr>
        <w:t xml:space="preserve">Upside risks (bull)</w:t>
      </w:r>
    </w:p>
    <w:p>
      <w:pPr>
        <w:pStyle w:val="ListParagraph"/>
        <w:numPr>
          <w:ilvl w:val="0"/>
          <w:numId w:val="1"/>
        </w:numPr>
        <w:spacing w:after="60"/>
      </w:pPr>
      <w:r>
        <w:rPr>
          <w:rFonts w:ascii="Arial" w:cs="Arial" w:eastAsia="Arial" w:hAnsi="Arial"/>
          <w:sz w:val="20"/>
          <w:szCs w:val="20"/>
        </w:rPr>
        <w:t xml:space="preserve">Close holding above daily R1 (7,598.63) with price above daily P and weekly P (7,551.20) — structurally bullish (see §11).</w:t>
      </w:r>
    </w:p>
    <w:p>
      <w:pPr>
        <w:pStyle w:val="ListParagraph"/>
        <w:numPr>
          <w:ilvl w:val="0"/>
          <w:numId w:val="1"/>
        </w:numPr>
        <w:spacing w:after="60"/>
      </w:pPr>
      <w:r>
        <w:rPr>
          <w:rFonts w:ascii="Arial" w:cs="Arial" w:eastAsia="Arial" w:hAnsi="Arial"/>
          <w:sz w:val="20"/>
          <w:szCs w:val="20"/>
        </w:rPr>
        <w:t xml:space="preserve">Calm-vol regime (VIX 15.32) + DAX confirmation (§10) supports continued dip-buying.</w:t>
      </w:r>
    </w:p>
    <w:p>
      <w:pPr>
        <w:pStyle w:val="ListParagraph"/>
        <w:numPr>
          <w:ilvl w:val="0"/>
          <w:numId w:val="1"/>
        </w:numPr>
        <w:spacing w:after="60"/>
      </w:pPr>
      <w:r>
        <w:rPr>
          <w:rFonts w:ascii="Arial" w:cs="Arial" w:eastAsia="Arial" w:hAnsi="Arial"/>
          <w:sz w:val="20"/>
          <w:szCs w:val="20"/>
        </w:rPr>
        <w:t xml:space="preserve">Predominantly bullish sentiment (tilt +0.39, §13b) and Goldman/Evercore targets above spot.</w:t>
      </w:r>
    </w:p>
    <w:p>
      <w:pPr>
        <w:pStyle w:val="Heading2"/>
        <w:spacing w:after="80" w:before="180"/>
      </w:pPr>
      <w:r>
        <w:rPr>
          <w:rFonts w:ascii="Arial" w:cs="Arial" w:eastAsia="Arial" w:hAnsi="Arial"/>
          <w:b/>
          <w:bCs/>
          <w:color w:val="2E75B6"/>
          <w:sz w:val="22"/>
          <w:szCs w:val="22"/>
        </w:rPr>
        <w:t xml:space="preserve">Downside risks (bear)</w:t>
      </w:r>
    </w:p>
    <w:p>
      <w:pPr>
        <w:pStyle w:val="ListParagraph"/>
        <w:numPr>
          <w:ilvl w:val="0"/>
          <w:numId w:val="1"/>
        </w:numPr>
        <w:spacing w:after="60"/>
      </w:pPr>
      <w:r>
        <w:rPr>
          <w:rFonts w:ascii="Arial" w:cs="Arial" w:eastAsia="Arial" w:hAnsi="Arial"/>
          <w:sz w:val="20"/>
          <w:szCs w:val="20"/>
        </w:rPr>
        <w:t xml:space="preserve">RSI2 pinned at 100 across four sessions — extreme overbought; mean-reversion risk on any catalyst.</w:t>
      </w:r>
    </w:p>
    <w:p>
      <w:pPr>
        <w:pStyle w:val="ListParagraph"/>
        <w:numPr>
          <w:ilvl w:val="0"/>
          <w:numId w:val="1"/>
        </w:numPr>
        <w:spacing w:after="60"/>
      </w:pPr>
      <w:r>
        <w:rPr>
          <w:rFonts w:ascii="Arial" w:cs="Arial" w:eastAsia="Arial" w:hAnsi="Arial"/>
          <w:sz w:val="20"/>
          <w:szCs w:val="20"/>
        </w:rPr>
        <w:t xml:space="preserve">7,600 upper-wick rejection (01 Jun) shows early supply at the round number / swing high.</w:t>
      </w:r>
    </w:p>
    <w:p>
      <w:pPr>
        <w:pStyle w:val="ListParagraph"/>
        <w:numPr>
          <w:ilvl w:val="0"/>
          <w:numId w:val="1"/>
        </w:numPr>
        <w:spacing w:after="60"/>
      </w:pPr>
      <w:r>
        <w:rPr>
          <w:rFonts w:ascii="Arial" w:cs="Arial" w:eastAsia="Arial" w:hAnsi="Arial"/>
          <w:sz w:val="20"/>
          <w:szCs w:val="20"/>
        </w:rPr>
        <w:t xml:space="preserve">NFP on 05 Jun (highest-impact, §13d) </w:t>
      </w:r>
      <w:r>
        <w:rPr>
          <w:rFonts w:ascii="Arial" w:cs="Arial" w:eastAsia="Arial" w:hAnsi="Arial"/>
          <w:sz w:val="20"/>
          <w:szCs w:val="20"/>
        </w:rPr>
        <w:t xml:space="preserve">is the primary downside catalyst; rising USDX (§10 contradiction) and contrarian positioning signals add tail risk.</w:t>
      </w:r>
    </w:p>
    <w:p>
      <w:pPr>
        <w:pStyle w:val="Heading1"/>
        <w:spacing w:after="120" w:before="300"/>
      </w:pPr>
      <w:r>
        <w:rPr>
          <w:rFonts w:ascii="Arial" w:cs="Arial" w:eastAsia="Arial" w:hAnsi="Arial"/>
          <w:b/>
          <w:bCs/>
          <w:color w:val="1F3864"/>
          <w:sz w:val="26"/>
          <w:szCs w:val="26"/>
        </w:rPr>
        <w:t xml:space="preserve">§16  Forward View</w:t>
      </w:r>
    </w:p>
    <w:p>
      <w:pPr>
        <w:spacing w:after="120"/>
      </w:pPr>
      <w:r>
        <w:rPr>
          <w:rFonts w:ascii="Arial" w:cs="Arial" w:eastAsia="Arial" w:hAnsi="Arial"/>
          <w:b/>
          <w:bCs/>
          <w:sz w:val="20"/>
          <w:szCs w:val="20"/>
        </w:rPr>
        <w:t xml:space="preserve">Expected direction (next 5 sessions): </w:t>
      </w:r>
      <w:r>
        <w:rPr>
          <w:rFonts w:ascii="Arial" w:cs="Arial" w:eastAsia="Arial" w:hAnsi="Arial"/>
          <w:sz w:val="20"/>
          <w:szCs w:val="20"/>
        </w:rPr>
        <w:t xml:space="preserve">modestly higher with a bullish bias, but with elevated odds of a shallow pullback toward the 7,562–7,580 support/pivot band before any extension. Expected trading range ≈ 7,545 – 7,650. This view respects the §9 Trending Bullish regime. Base-case invalidation: a daily close back below the weekly pivot 7,551.20 (and especially below daily S2 7,544.43) would break the bullish structure and shift the read to corrective. The rising-dollar contradiction (§10) and the NFP catalyst (§13d) are the explicit risks to this view; it does not contradict the regime classification.</w:t>
      </w:r>
    </w:p>
    <w:p>
      <w:pPr>
        <w:pStyle w:val="Heading1"/>
        <w:spacing w:after="120" w:before="300"/>
      </w:pPr>
      <w:r>
        <w:rPr>
          <w:rFonts w:ascii="Arial" w:cs="Arial" w:eastAsia="Arial" w:hAnsi="Arial"/>
          <w:b/>
          <w:bCs/>
          <w:color w:val="1F3864"/>
          <w:sz w:val="26"/>
          <w:szCs w:val="26"/>
        </w:rPr>
        <w:t xml:space="preserve">§17  Forecast</w:t>
      </w:r>
    </w:p>
    <w:p>
      <w:pPr>
        <w:spacing w:after="120"/>
      </w:pPr>
      <w:r>
        <w:rPr>
          <w:rFonts w:ascii="Arial" w:cs="Arial" w:eastAsia="Arial" w:hAnsi="Arial"/>
          <w:b/>
          <w:bCs/>
          <w:sz w:val="20"/>
          <w:szCs w:val="20"/>
        </w:rPr>
        <w:t xml:space="preserve">Forecast: </w:t>
      </w:r>
      <w:r>
        <w:rPr>
          <w:rFonts w:ascii="Arial" w:cs="Arial" w:eastAsia="Arial" w:hAnsi="Arial"/>
          <w:i/>
          <w:iCs/>
          <w:sz w:val="20"/>
          <w:szCs w:val="20"/>
        </w:rPr>
        <w:t xml:space="preserve">Given a Trending Bullish regime, predominantly bullish sentiment (tilt +0.39) and mixed-but-net-supportive cross-asset confirmation, the S&amp;P 500 is expected to grind modestly higher toward the 7,630–7,650 area over the next five sessions, with a shallow dip to the 7,562–7,580 band the most likely interruption.</w:t>
      </w:r>
    </w:p>
    <w:p>
      <w:pPr>
        <w:pStyle w:val="Heading1"/>
        <w:spacing w:after="120" w:before="300"/>
      </w:pPr>
      <w:r>
        <w:rPr>
          <w:rFonts w:ascii="Arial" w:cs="Arial" w:eastAsia="Arial" w:hAnsi="Arial"/>
          <w:b/>
          <w:bCs/>
          <w:color w:val="1F3864"/>
          <w:sz w:val="26"/>
          <w:szCs w:val="26"/>
        </w:rPr>
        <w:t xml:space="preserve">§18  Final Analyst Judgement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Item</w:t>
            </w:r>
          </w:p>
        </w:tc>
        <w:tc>
          <w:tcPr>
            <w:tcW w:type="dxa" w:w="624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Judgement</w:t>
            </w:r>
          </w:p>
        </w:tc>
      </w:tr>
      <w:tr>
        <w:tc>
          <w:tcPr>
            <w:tcW w:type="dxa" w:w="31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Consensus price</w:t>
            </w:r>
          </w:p>
        </w:tc>
        <w:tc>
          <w:tcPr>
            <w:tcW w:type="dxa" w:w="624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bCs/>
                <w:sz w:val="17"/>
                <w:szCs w:val="17"/>
              </w:rPr>
              <w:t xml:space="preserve">7,599.96 pts (01 Jun close)</w:t>
            </w:r>
          </w:p>
        </w:tc>
      </w:tr>
      <w:tr>
        <w:tc>
          <w:tcPr>
            <w:tcW w:type="dxa" w:w="312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Confidence</w:t>
            </w:r>
          </w:p>
        </w:tc>
        <w:tc>
          <w:tcPr>
            <w:tcW w:type="dxa" w:w="624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bCs/>
                <w:color w:val="1A7A3C"/>
                <w:sz w:val="17"/>
                <w:szCs w:val="17"/>
              </w:rPr>
              <w:t xml:space="preserve">High</w:t>
            </w:r>
          </w:p>
        </w:tc>
      </w:tr>
      <w:tr>
        <w:tc>
          <w:tcPr>
            <w:tcW w:type="dxa" w:w="31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Reason 1</w:t>
            </w:r>
          </w:p>
        </w:tc>
        <w:tc>
          <w:tcPr>
            <w:tcW w:type="dxa" w:w="624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Trending Bullish regime confirmed by Kaufman efficiency ≈ 1.0 (Trending Up — Strong)</w:t>
            </w:r>
          </w:p>
        </w:tc>
      </w:tr>
      <w:tr>
        <w:tc>
          <w:tcPr>
            <w:tcW w:type="dxa" w:w="312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Reason 2</w:t>
            </w:r>
          </w:p>
        </w:tc>
        <w:tc>
          <w:tcPr>
            <w:tcW w:type="dxa" w:w="624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Calm-vol regime (VIX 15.32, four-month low) + DAX confirmation support continuation</w:t>
            </w:r>
          </w:p>
        </w:tc>
      </w:tr>
      <w:tr>
        <w:tc>
          <w:tcPr>
            <w:tcW w:type="dxa" w:w="31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Reason 3</w:t>
            </w:r>
          </w:p>
        </w:tc>
        <w:tc>
          <w:tcPr>
            <w:tcW w:type="dxa" w:w="624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Predominantly bullish sentiment (tilt +0.39) aligned with price; targets above spot</w:t>
            </w:r>
          </w:p>
        </w:tc>
      </w:tr>
      <w:tr>
        <w:tc>
          <w:tcPr>
            <w:tcW w:type="dxa" w:w="312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Single watch item</w:t>
            </w:r>
          </w:p>
        </w:tc>
        <w:tc>
          <w:tcPr>
            <w:tcW w:type="dxa" w:w="624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bCs/>
                <w:sz w:val="17"/>
                <w:szCs w:val="17"/>
              </w:rPr>
              <w:t xml:space="preserve">May NFP (Fri 05 Jun) — primary catalyst to break the low-vol grind</w:t>
            </w:r>
          </w:p>
        </w:tc>
      </w:tr>
    </w:tbl>
    <w:p>
      <w:pPr>
        <w:pStyle w:val="Heading1"/>
        <w:spacing w:after="120" w:before="300"/>
      </w:pPr>
      <w:r>
        <w:rPr>
          <w:rFonts w:ascii="Arial" w:cs="Arial" w:eastAsia="Arial" w:hAnsi="Arial"/>
          <w:b/>
          <w:bCs/>
          <w:color w:val="1F3864"/>
          <w:sz w:val="26"/>
          <w:szCs w:val="26"/>
        </w:rPr>
        <w:t xml:space="preserve">§19  Source Discipline Note</w:t>
      </w:r>
    </w:p>
    <w:p>
      <w:pPr>
        <w:pStyle w:val="ListParagraph"/>
        <w:numPr>
          <w:ilvl w:val="0"/>
          <w:numId w:val="1"/>
        </w:numPr>
        <w:spacing w:after="60"/>
      </w:pPr>
      <w:r>
        <w:rPr>
          <w:rFonts w:ascii="Arial" w:cs="Arial" w:eastAsia="Arial" w:hAnsi="Arial"/>
          <w:sz w:val="20"/>
          <w:szCs w:val="20"/>
        </w:rPr>
        <w:t xml:space="preserve">Live vs indicative: the 5 session closes are LIVE and two-source corroborated (zero delta on 29 May/01 Jun). Open/High/Low for 26–29 May are SINGLE-SOURCE INDICATIVE (one intraday feed); 01 Jun range corroborated.</w:t>
      </w:r>
    </w:p>
    <w:p>
      <w:pPr>
        <w:pStyle w:val="ListParagraph"/>
        <w:numPr>
          <w:ilvl w:val="0"/>
          <w:numId w:val="1"/>
        </w:numPr>
        <w:spacing w:after="60"/>
      </w:pPr>
      <w:r>
        <w:rPr>
          <w:rFonts w:ascii="Arial" w:cs="Arial" w:eastAsia="Arial" w:hAnsi="Arial"/>
          <w:sz w:val="20"/>
          <w:szCs w:val="20"/>
        </w:rPr>
        <w:t xml:space="preserve">Data gaps: the primary free CSV source (Stooq) now requires an API key and yielded no programmatic data; full institutional OHLC depth was not retrievable for intraday May fields, hence the indicative flags.</w:t>
      </w:r>
    </w:p>
    <w:p>
      <w:pPr>
        <w:pStyle w:val="ListParagraph"/>
        <w:numPr>
          <w:ilvl w:val="0"/>
          <w:numId w:val="1"/>
        </w:numPr>
        <w:spacing w:after="60"/>
      </w:pPr>
      <w:r>
        <w:rPr>
          <w:rFonts w:ascii="Arial" w:cs="Arial" w:eastAsia="Arial" w:hAnsi="Arial"/>
          <w:sz w:val="20"/>
          <w:szCs w:val="20"/>
        </w:rPr>
        <w:t xml:space="preserve">Normalization: none beyond timing reconciliation to the official cash close (single instrument, single currency/unit).</w:t>
      </w:r>
    </w:p>
    <w:p>
      <w:pPr>
        <w:pStyle w:val="ListParagraph"/>
        <w:numPr>
          <w:ilvl w:val="0"/>
          <w:numId w:val="1"/>
        </w:numPr>
        <w:spacing w:after="60"/>
      </w:pPr>
      <w:r>
        <w:rPr>
          <w:rFonts w:ascii="Arial" w:cs="Arial" w:eastAsia="Arial" w:hAnsi="Arial"/>
          <w:sz w:val="20"/>
          <w:szCs w:val="20"/>
        </w:rPr>
        <w:t xml:space="preserve">Corroboration status per instrument: </w:t>
      </w:r>
      <w:r>
        <w:rPr>
          <w:rFonts w:ascii="Arial" w:cs="Arial" w:eastAsia="Arial" w:hAnsi="Arial"/>
          <w:sz w:val="20"/>
          <w:szCs w:val="20"/>
        </w:rPr>
        <w:t xml:space="preserve">S&amp;P 500 close — CORROBORATED; daily pivots — SINGLE-SOURCE INDICATIVE (prior-session intraday H/L); weekly pivots — INDICATIVE; VIX/DAX/USDX counters — directional, multi-source agreement on close. </w:t>
      </w:r>
      <w:r>
        <w:rPr>
          <w:rFonts w:ascii="Arial" w:cs="Arial" w:eastAsia="Arial" w:hAnsi="Arial"/>
          <w:i/>
          <w:iCs/>
          <w:sz w:val="20"/>
          <w:szCs w:val="20"/>
        </w:rPr>
        <w:t xml:space="preserve">Per the analyst instruction, trading strategies are NOT suppressed despite indicative pivot corroboration; the indicative flag is carried into §21 caveats instead.</w:t>
      </w:r>
    </w:p>
    <w:p>
      <w:pPr>
        <w:pStyle w:val="Heading1"/>
        <w:spacing w:after="120" w:before="300"/>
      </w:pPr>
      <w:r>
        <w:rPr>
          <w:rFonts w:ascii="Arial" w:cs="Arial" w:eastAsia="Arial" w:hAnsi="Arial"/>
          <w:b/>
          <w:bCs/>
          <w:color w:val="1F3864"/>
          <w:sz w:val="26"/>
          <w:szCs w:val="26"/>
        </w:rPr>
        <w:t xml:space="preserve">§20  Agent Log</w:t>
      </w:r>
    </w:p>
    <w:p>
      <w:pPr>
        <w:pStyle w:val="ListParagraph"/>
        <w:numPr>
          <w:ilvl w:val="0"/>
          <w:numId w:val="1"/>
        </w:numPr>
        <w:spacing w:after="60"/>
      </w:pPr>
      <w:r>
        <w:rPr>
          <w:rFonts w:ascii="Arial" w:cs="Arial" w:eastAsia="Arial" w:hAnsi="Arial"/>
          <w:sz w:val="20"/>
          <w:szCs w:val="20"/>
        </w:rPr>
        <w:t xml:space="preserve">Sources attempted (close): S&amp;P DJI/FRED ✓, Yahoo ✓, CNBC ✓, TheStreet/Markets feed ✓, Investing.com (range) ✓, Barchart (direction) ✓, Stooq ✗ (API key required), Seeking Alpha ✓. Corroborated pairs: 29 May FRED×Yahoo Δ0.00; 28 May CNBC×Markets-feed Δ0.00; 01 Jun CNBC×Investing.com (close).</w:t>
      </w:r>
    </w:p>
    <w:p>
      <w:pPr>
        <w:pStyle w:val="ListParagraph"/>
        <w:numPr>
          <w:ilvl w:val="0"/>
          <w:numId w:val="1"/>
        </w:numPr>
        <w:spacing w:after="60"/>
      </w:pPr>
      <w:r>
        <w:rPr>
          <w:rFonts w:ascii="Arial" w:cs="Arial" w:eastAsia="Arial" w:hAnsi="Arial"/>
          <w:sz w:val="20"/>
          <w:szCs w:val="20"/>
        </w:rPr>
        <w:t xml:space="preserve">Validation method: two-source close agreement within ±0.10 pts equity-index tolerance; intraday O/H/L lacking a second feed flagged indicative.</w:t>
      </w:r>
    </w:p>
    <w:p>
      <w:pPr>
        <w:pStyle w:val="ListParagraph"/>
        <w:numPr>
          <w:ilvl w:val="0"/>
          <w:numId w:val="1"/>
        </w:numPr>
        <w:spacing w:after="60"/>
      </w:pPr>
      <w:r>
        <w:rPr>
          <w:rFonts w:ascii="Arial" w:cs="Arial" w:eastAsia="Arial" w:hAnsi="Arial"/>
          <w:sz w:val="20"/>
          <w:szCs w:val="20"/>
        </w:rPr>
        <w:t xml:space="preserve">Sentiment derivation: 8 articles, source-class weighted; tilt = Σ(w·s)/Σw = +0.39 (Predominantly Bullish). Each classification carries a ≤15-word derivation quote (§13a).</w:t>
      </w:r>
    </w:p>
    <w:p>
      <w:pPr>
        <w:pStyle w:val="ListParagraph"/>
        <w:numPr>
          <w:ilvl w:val="0"/>
          <w:numId w:val="1"/>
        </w:numPr>
        <w:spacing w:after="60"/>
      </w:pPr>
      <w:r>
        <w:rPr>
          <w:rFonts w:ascii="Arial" w:cs="Arial" w:eastAsia="Arial" w:hAnsi="Arial"/>
          <w:sz w:val="20"/>
          <w:szCs w:val="20"/>
        </w:rPr>
        <w:t xml:space="preserve">Direction-score weights basis: DEFAULTS (v2.1 baseline 0.25/0.20/0.10/0.15/0.15/0.15) — within the 20-session lock; no tuning applied. Score +0.65 → LONG. Contributions: short-tech +0.25, medium-regime +0.20, kaufman +0.15, sentiment +0.058, cross-asset +0.045, volator −0.05.</w:t>
      </w:r>
    </w:p>
    <w:p>
      <w:pPr>
        <w:pStyle w:val="ListParagraph"/>
        <w:numPr>
          <w:ilvl w:val="0"/>
          <w:numId w:val="1"/>
        </w:numPr>
        <w:spacing w:after="60"/>
      </w:pPr>
      <w:r>
        <w:rPr>
          <w:rFonts w:ascii="Arial" w:cs="Arial" w:eastAsia="Arial" w:hAnsi="Arial"/>
          <w:sz w:val="20"/>
          <w:szCs w:val="20"/>
        </w:rPr>
        <w:t xml:space="preserve">Override applied: [DAILY_OPEN_ANCHOR] overridden from the standard pre-open value to a 00:00 UK day-boundary anchor at user instruction; report date set to 02 Jun 2026 (as-of pricing on 01 Jun close).</w:t>
      </w:r>
    </w:p>
    <w:p>
      <w:pPr>
        <w:pStyle w:val="ListParagraph"/>
        <w:numPr>
          <w:ilvl w:val="0"/>
          <w:numId w:val="1"/>
        </w:numPr>
        <w:spacing w:after="60"/>
      </w:pPr>
      <w:r>
        <w:rPr>
          <w:rFonts w:ascii="Arial" w:cs="Arial" w:eastAsia="Arial" w:hAnsi="Arial"/>
          <w:sz w:val="20"/>
          <w:szCs w:val="20"/>
        </w:rPr>
        <w:t xml:space="preserve">Backtest: 5 sessions (26 May–01 Jun) reconstructed at each t−1 close with frozen sentiment/regime; no forward leakage. Anomaly: RSI2 saturated at 100 — flagged as overbought, not an error. Timestamp: 02 Jun 2026, 00:05 UK.</w:t>
      </w:r>
    </w:p>
    <w:p>
      <w:pPr>
        <w:pStyle w:val="Heading1"/>
        <w:spacing w:after="120" w:before="300"/>
      </w:pPr>
      <w:r>
        <w:rPr>
          <w:rFonts w:ascii="Arial" w:cs="Arial" w:eastAsia="Arial" w:hAnsi="Arial"/>
          <w:b/>
          <w:bCs/>
          <w:color w:val="1F3864"/>
          <w:sz w:val="26"/>
          <w:szCs w:val="26"/>
        </w:rPr>
        <w:t xml:space="preserve">§21  Strategy Recommendations</w:t>
      </w:r>
    </w:p>
    <w:p>
      <w:pPr>
        <w:pStyle w:val="Heading2"/>
        <w:spacing w:after="80" w:before="180"/>
      </w:pPr>
      <w:r>
        <w:rPr>
          <w:rFonts w:ascii="Arial" w:cs="Arial" w:eastAsia="Arial" w:hAnsi="Arial"/>
          <w:b/>
          <w:bCs/>
          <w:color w:val="2E75B6"/>
          <w:sz w:val="22"/>
          <w:szCs w:val="22"/>
        </w:rPr>
        <w:t xml:space="preserve">§21a  Directional Conviction</w:t>
      </w:r>
    </w:p>
    <w:p>
      <w:pPr>
        <w:spacing w:after="120"/>
      </w:pPr>
      <w:r>
        <w:rPr>
          <w:rFonts w:ascii="Arial" w:cs="Arial" w:eastAsia="Arial" w:hAnsi="Arial"/>
          <w:b/>
          <w:bCs/>
          <w:color w:val="1A7A3C"/>
          <w:sz w:val="20"/>
          <w:szCs w:val="20"/>
        </w:rPr>
        <w:t xml:space="preserve">Direction: LONG  ·  Score: +0.65</w:t>
      </w:r>
      <w:r>
        <w:rPr>
          <w:rFonts w:ascii="Arial" w:cs="Arial" w:eastAsia="Arial" w:hAnsi="Arial"/>
          <w:sz w:val="20"/>
          <w:szCs w:val="20"/>
        </w:rPr>
        <w:t xml:space="preserve"> (well above the conviction threshold). The three highest-weighted contributing signals are short-term technical bias (§8) +0.25, medium-term regime (§9) +0.20, and the Kaufman efficiency read (§9) +0.15; sentiment tilt (§13b) adds +0.06 and cross-asset (§10) +0.05, while the contracting VOLator slope subtracts −0.05. Weights are at defaults (within the 20-session lock). Conflict flag: the §17 forecast also leans higher, so there is no directional conflict between the score and the forecast — though both must respect the RSI2-overbought caution.</w:t>
      </w:r>
    </w:p>
    <w:p>
      <w:pPr>
        <w:pStyle w:val="Heading2"/>
        <w:spacing w:after="80" w:before="180"/>
      </w:pPr>
      <w:r>
        <w:rPr>
          <w:rFonts w:ascii="Arial" w:cs="Arial" w:eastAsia="Arial" w:hAnsi="Arial"/>
          <w:b/>
          <w:bCs/>
          <w:color w:val="2E75B6"/>
          <w:sz w:val="22"/>
          <w:szCs w:val="22"/>
        </w:rPr>
        <w:t xml:space="preserve">§21b  Trade Cards</w:t>
      </w:r>
    </w:p>
    <w:p>
      <w:pPr>
        <w:spacing w:after="60" w:before="120"/>
      </w:pPr>
      <w:r>
        <w:rPr>
          <w:rFonts w:ascii="Arial" w:cs="Arial" w:eastAsia="Arial" w:hAnsi="Arial"/>
          <w:b/>
          <w:bCs/>
          <w:color w:val="1F3864"/>
          <w:sz w:val="20"/>
          <w:szCs w:val="20"/>
        </w:rPr>
        <w:t xml:space="preserve">Trade 1 — Daily Directional (LONG — TREND_UP regime)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rFonts w:ascii="Arial" w:cs="Arial" w:eastAsia="Arial" w:hAnsi="Arial"/>
                <w:b/>
                <w:bCs/>
                <w:color w:val="FFFFFF"/>
                <w:sz w:val="17"/>
                <w:szCs w:val="17"/>
              </w:rPr>
              <w:t xml:space="preserve">Field</w:t>
            </w:r>
          </w:p>
        </w:tc>
        <w:tc>
          <w:tcPr>
            <w:tcW w:type="dxa" w:w="676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rFonts w:ascii="Arial" w:cs="Arial" w:eastAsia="Arial" w:hAnsi="Arial"/>
                <w:b/>
                <w:bCs/>
                <w:color w:val="FFFFFF"/>
                <w:sz w:val="17"/>
                <w:szCs w:val="17"/>
              </w:rPr>
              <w:t xml:space="preserve">Detail</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Direction</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bCs/>
                <w:color w:val="1A7A3C"/>
                <w:sz w:val="17"/>
                <w:szCs w:val="17"/>
              </w:rPr>
              <w:t xml:space="preserve">LONG — TREND_UP regime</w:t>
            </w:r>
          </w:p>
        </w:tc>
      </w:tr>
      <w:tr>
        <w:tc>
          <w:tcPr>
            <w:tcW w:type="dxa" w:w="26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Entry</w:t>
            </w:r>
          </w:p>
        </w:tc>
        <w:tc>
          <w:tcPr>
            <w:tcW w:type="dxa" w:w="676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7,599.96 pts — Market at 00:00 UK (overridden day-boundary anchor)</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Stop loss</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7,551.51 pts — 48.5 points below entry (anchor: 29 May/01 Jun support 7,562–7,563 less 0.25×ATR)</w:t>
            </w:r>
          </w:p>
        </w:tc>
      </w:tr>
      <w:tr>
        <w:tc>
          <w:tcPr>
            <w:tcW w:type="dxa" w:w="26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Risk (R)</w:t>
            </w:r>
          </w:p>
        </w:tc>
        <w:tc>
          <w:tcPr>
            <w:tcW w:type="dxa" w:w="676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48.5 points (7,599.96 → 7,551.51)</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TP1 (Unit 1)</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7,648.41 pts — +1R (+48.5 pts)</w:t>
            </w:r>
          </w:p>
        </w:tc>
      </w:tr>
      <w:tr>
        <w:tc>
          <w:tcPr>
            <w:tcW w:type="dxa" w:w="26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TP2 (Unit 2)</w:t>
            </w:r>
          </w:p>
        </w:tc>
        <w:tc>
          <w:tcPr>
            <w:tcW w:type="dxa" w:w="676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7,696.87 pts — +2R (+97 pts)</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TP3 (Unit 3 — runner)</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7,737.87 pts — 3×ATR; runner exit at session close + 3×ATR cap</w:t>
            </w:r>
          </w:p>
        </w:tc>
      </w:tr>
      <w:tr>
        <w:tc>
          <w:tcPr>
            <w:tcW w:type="dxa" w:w="26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Tranche mgmt</w:t>
            </w:r>
          </w:p>
        </w:tc>
        <w:tc>
          <w:tcPr>
            <w:tcW w:type="dxa" w:w="676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3 equal units; Unit 1 → TP1, Unit 2 → TP2; on Unit 2 fill, Unit 3 SL moves to entry +0.2R</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Confluences</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Entry near daily R1 (7,598.63) — strong confluence; SL at S1 cluster (7,562 −) ; TP1 near weekly R1 (7,632)</w:t>
            </w:r>
          </w:p>
        </w:tc>
      </w:tr>
      <w:tr>
        <w:tc>
          <w:tcPr>
            <w:tcW w:type="dxa" w:w="26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Thesis invalidation</w:t>
            </w:r>
          </w:p>
        </w:tc>
        <w:tc>
          <w:tcPr>
            <w:tcW w:type="dxa" w:w="676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Daily close back below weekly P 7,551.20 (≈ coincides with SL)</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Caveats</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Single-source-indicative pivots; RSI2 overbought (100) — momentum extended; entry presses round-number 7,600 supply</w:t>
            </w:r>
          </w:p>
        </w:tc>
      </w:tr>
    </w:tbl>
    <w:p>
      <w:pPr>
        <w:spacing w:after="60" w:before="120"/>
      </w:pPr>
      <w:r>
        <w:rPr>
          <w:rFonts w:ascii="Arial" w:cs="Arial" w:eastAsia="Arial" w:hAnsi="Arial"/>
          <w:b/>
          <w:bCs/>
          <w:color w:val="1F3864"/>
          <w:sz w:val="20"/>
          <w:szCs w:val="20"/>
        </w:rPr>
        <w:t xml:space="preserve">Trade 2 — Pivot, regime-aware (LONG pullback — TREND_UP)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rFonts w:ascii="Arial" w:cs="Arial" w:eastAsia="Arial" w:hAnsi="Arial"/>
                <w:b/>
                <w:bCs/>
                <w:color w:val="FFFFFF"/>
                <w:sz w:val="17"/>
                <w:szCs w:val="17"/>
              </w:rPr>
              <w:t xml:space="preserve">Field</w:t>
            </w:r>
          </w:p>
        </w:tc>
        <w:tc>
          <w:tcPr>
            <w:tcW w:type="dxa" w:w="676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rFonts w:ascii="Arial" w:cs="Arial" w:eastAsia="Arial" w:hAnsi="Arial"/>
                <w:b/>
                <w:bCs/>
                <w:color w:val="FFFFFF"/>
                <w:sz w:val="17"/>
                <w:szCs w:val="17"/>
              </w:rPr>
              <w:t xml:space="preserve">Detail</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Direction</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bCs/>
                <w:color w:val="1A7A3C"/>
                <w:sz w:val="17"/>
                <w:szCs w:val="17"/>
              </w:rPr>
              <w:t xml:space="preserve">LONG — TREND_UP buy-the-pullback</w:t>
            </w:r>
          </w:p>
        </w:tc>
      </w:tr>
      <w:tr>
        <w:tc>
          <w:tcPr>
            <w:tcW w:type="dxa" w:w="26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Entry</w:t>
            </w:r>
          </w:p>
        </w:tc>
        <w:tc>
          <w:tcPr>
            <w:tcW w:type="dxa" w:w="676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Buy-limit 7,580.81 pts at daily P</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Stop loss</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7,550.76 pts — 30.1 points below entry (daily S1 less 0.25×ATR)</w:t>
            </w:r>
          </w:p>
        </w:tc>
      </w:tr>
      <w:tr>
        <w:tc>
          <w:tcPr>
            <w:tcW w:type="dxa" w:w="26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Risk (R)</w:t>
            </w:r>
          </w:p>
        </w:tc>
        <w:tc>
          <w:tcPr>
            <w:tcW w:type="dxa" w:w="676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30.1 points</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TP1 (Unit 1)</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7,610.86 pts — +1R</w:t>
            </w:r>
          </w:p>
        </w:tc>
      </w:tr>
      <w:tr>
        <w:tc>
          <w:tcPr>
            <w:tcW w:type="dxa" w:w="26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TP2 (Unit 2)</w:t>
            </w:r>
          </w:p>
        </w:tc>
        <w:tc>
          <w:tcPr>
            <w:tcW w:type="dxa" w:w="676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7,640.92 pts — +2R</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TP3 (runner)</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Pivot R-extension; runner exit at daily R1 7,598.63 / trail</w:t>
            </w:r>
          </w:p>
        </w:tc>
      </w:tr>
      <w:tr>
        <w:tc>
          <w:tcPr>
            <w:tcW w:type="dxa" w:w="26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Tranche mgmt</w:t>
            </w:r>
          </w:p>
        </w:tc>
        <w:tc>
          <w:tcPr>
            <w:tcW w:type="dxa" w:w="676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3 equal units; Unit 1 → TP1, Unit 2 → TP2; on Unit 2 fill, Unit 3 SL → entry +0.2R</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Confluences</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Entry at daily P = 29 May close (strong confluence); SL below S1/01-Jun-low cluster</w:t>
            </w:r>
          </w:p>
        </w:tc>
      </w:tr>
      <w:tr>
        <w:tc>
          <w:tcPr>
            <w:tcW w:type="dxa" w:w="26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Thesis invalidation</w:t>
            </w:r>
          </w:p>
        </w:tc>
        <w:tc>
          <w:tcPr>
            <w:tcW w:type="dxa" w:w="676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Daily close below daily S2 7,544.43</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Caveats</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Single-source-indicative pivots (per §19) — entry/stop placed against indicative levels at analyst discretion per the no-suppression instruction</w:t>
            </w:r>
          </w:p>
        </w:tc>
      </w:tr>
    </w:tbl>
    <w:p>
      <w:pPr>
        <w:spacing w:after="60" w:before="120"/>
      </w:pPr>
      <w:r>
        <w:rPr>
          <w:rFonts w:ascii="Arial" w:cs="Arial" w:eastAsia="Arial" w:hAnsi="Arial"/>
          <w:b/>
          <w:bCs/>
          <w:color w:val="1F3864"/>
          <w:sz w:val="20"/>
          <w:szCs w:val="20"/>
        </w:rPr>
        <w:t xml:space="preserve">Trade 3A — Momentum-Pullback (LONG — TREND_UP fork)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rFonts w:ascii="Arial" w:cs="Arial" w:eastAsia="Arial" w:hAnsi="Arial"/>
                <w:b/>
                <w:bCs/>
                <w:color w:val="FFFFFF"/>
                <w:sz w:val="17"/>
                <w:szCs w:val="17"/>
              </w:rPr>
              <w:t xml:space="preserve">Field</w:t>
            </w:r>
          </w:p>
        </w:tc>
        <w:tc>
          <w:tcPr>
            <w:tcW w:type="dxa" w:w="676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r>
              <w:rPr>
                <w:rFonts w:ascii="Arial" w:cs="Arial" w:eastAsia="Arial" w:hAnsi="Arial"/>
                <w:b/>
                <w:bCs/>
                <w:color w:val="FFFFFF"/>
                <w:sz w:val="17"/>
                <w:szCs w:val="17"/>
              </w:rPr>
              <w:t xml:space="preserve">Detail</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Direction</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bCs/>
                <w:color w:val="1A7A3C"/>
                <w:sz w:val="17"/>
                <w:szCs w:val="17"/>
              </w:rPr>
              <w:t xml:space="preserve">LONG — TREND_UP (fib pullback)</w:t>
            </w:r>
          </w:p>
        </w:tc>
      </w:tr>
      <w:tr>
        <w:tc>
          <w:tcPr>
            <w:tcW w:type="dxa" w:w="26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Entry</w:t>
            </w:r>
          </w:p>
        </w:tc>
        <w:tc>
          <w:tcPr>
            <w:tcW w:type="dxa" w:w="676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Buy-limit 7,552.50 pts — 38.2% retrace of the 5-day up-swing (7,470.1 → 7,603.44)</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Stop loss</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7,525.28 pts — below the 50% retrace (7,536.77) less 0.25×ATR</w:t>
            </w:r>
          </w:p>
        </w:tc>
      </w:tr>
      <w:tr>
        <w:tc>
          <w:tcPr>
            <w:tcW w:type="dxa" w:w="26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Risk (R)</w:t>
            </w:r>
          </w:p>
        </w:tc>
        <w:tc>
          <w:tcPr>
            <w:tcW w:type="dxa" w:w="676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27.2 points</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TP1 (Unit 1)</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7,603.44 pts — swing high / 0% anchor</w:t>
            </w:r>
          </w:p>
        </w:tc>
      </w:tr>
      <w:tr>
        <w:tc>
          <w:tcPr>
            <w:tcW w:type="dxa" w:w="26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TP2 (Unit 2)</w:t>
            </w:r>
          </w:p>
        </w:tc>
        <w:tc>
          <w:tcPr>
            <w:tcW w:type="dxa" w:w="676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7,639.71 pts — 27.2% measured extension</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TP3 (runner)</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100%+ extension / range breakout; structural runner override on 100%-ext break</w:t>
            </w:r>
          </w:p>
        </w:tc>
      </w:tr>
      <w:tr>
        <w:tc>
          <w:tcPr>
            <w:tcW w:type="dxa" w:w="26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Tranche mgmt</w:t>
            </w:r>
          </w:p>
        </w:tc>
        <w:tc>
          <w:tcPr>
            <w:tcW w:type="dxa" w:w="676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3 equal units; on 100%-ext break, Unit 3 SL → halfway between entry and 0% anchor (3A override)</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Confluences</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Entry near daily S1 (7,562) / weekly P (7,551) zone — strong confluence; TP1 at swing/52-wk high</w:t>
            </w:r>
          </w:p>
        </w:tc>
      </w:tr>
      <w:tr>
        <w:tc>
          <w:tcPr>
            <w:tcW w:type="dxa" w:w="26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Thesis invalidation</w:t>
            </w:r>
          </w:p>
        </w:tc>
        <w:tc>
          <w:tcPr>
            <w:tcW w:type="dxa" w:w="676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Daily close below the 61.8% retrace (≈ 7,521.0)</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Caveats</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Limit may not fill if no pullback occurs (RSI2 extended favours shallow dips); single-source-indicative pivots</w:t>
            </w:r>
          </w:p>
        </w:tc>
      </w:tr>
    </w:tbl>
    <w:p>
      <w:pPr>
        <w:pStyle w:val="Heading2"/>
        <w:spacing w:after="80" w:before="180"/>
      </w:pPr>
      <w:r>
        <w:rPr>
          <w:rFonts w:ascii="Arial" w:cs="Arial" w:eastAsia="Arial" w:hAnsi="Arial"/>
          <w:b/>
          <w:bCs/>
          <w:color w:val="2E75B6"/>
          <w:sz w:val="22"/>
          <w:szCs w:val="22"/>
        </w:rPr>
        <w:t xml:space="preserve">§21c  5-Session No-Leakage Backtest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300"/>
        <w:gridCol w:w="1100"/>
        <w:gridCol w:w="2060"/>
        <w:gridCol w:w="1100"/>
        <w:gridCol w:w="1100"/>
      </w:tblGrid>
      <w:tr>
        <w:trPr>
          <w:tblHeader/>
        </w:trPr>
        <w:tc>
          <w:tcPr>
            <w:tcW w:type="dxa" w:w="15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Date (t−N)</w:t>
            </w:r>
          </w:p>
        </w:tc>
        <w:tc>
          <w:tcPr>
            <w:tcW w:type="dxa" w:w="12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Strategy</w:t>
            </w:r>
          </w:p>
        </w:tc>
        <w:tc>
          <w:tcPr>
            <w:tcW w:type="dxa" w:w="13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Direction</w:t>
            </w:r>
          </w:p>
        </w:tc>
        <w:tc>
          <w:tcPr>
            <w:tcW w:type="dxa" w:w="11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Triggered</w:t>
            </w:r>
          </w:p>
        </w:tc>
        <w:tc>
          <w:tcPr>
            <w:tcW w:type="dxa" w:w="20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Entry / Exit</w:t>
            </w:r>
          </w:p>
        </w:tc>
        <w:tc>
          <w:tcPr>
            <w:tcW w:type="dxa" w:w="11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Outcome (R)</w:t>
            </w:r>
          </w:p>
        </w:tc>
        <w:tc>
          <w:tcPr>
            <w:tcW w:type="dxa" w:w="11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rFonts w:ascii="Arial" w:cs="Arial" w:eastAsia="Arial" w:hAnsi="Arial"/>
                <w:b/>
                <w:bCs/>
                <w:color w:val="FFFFFF"/>
                <w:sz w:val="17"/>
                <w:szCs w:val="17"/>
              </w:rPr>
              <w:t xml:space="preserve">Days</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Tue 26 May (t−5)</w:t>
            </w:r>
          </w:p>
        </w:tc>
        <w:tc>
          <w:tcPr>
            <w:tcW w:type="dxa" w:w="1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Trade 1</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LONG</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YES</w:t>
            </w:r>
          </w:p>
        </w:tc>
        <w:tc>
          <w:tcPr>
            <w:tcW w:type="dxa" w:w="20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7,480.5 / 7,519.1</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+0.9R</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1</w:t>
            </w:r>
          </w:p>
        </w:tc>
      </w:tr>
      <w:tr>
        <w:tc>
          <w:tcPr>
            <w:tcW w:type="dxa" w:w="15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Tue 26 May (t−5)</w:t>
            </w:r>
          </w:p>
        </w:tc>
        <w:tc>
          <w:tcPr>
            <w:tcW w:type="dxa" w:w="12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Trade 2</w:t>
            </w:r>
          </w:p>
        </w:tc>
        <w:tc>
          <w:tcPr>
            <w:tcW w:type="dxa" w:w="13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LONG</w:t>
            </w:r>
          </w:p>
        </w:tc>
        <w:tc>
          <w:tcPr>
            <w:tcW w:type="dxa" w:w="11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YES (P pullback)</w:t>
            </w:r>
          </w:p>
        </w:tc>
        <w:tc>
          <w:tcPr>
            <w:tcW w:type="dxa" w:w="206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7,455 / 7,519</w:t>
            </w:r>
          </w:p>
        </w:tc>
        <w:tc>
          <w:tcPr>
            <w:tcW w:type="dxa" w:w="11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+1.4R</w:t>
            </w:r>
          </w:p>
        </w:tc>
        <w:tc>
          <w:tcPr>
            <w:tcW w:type="dxa" w:w="11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1</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Tue 26 May (t−5)</w:t>
            </w:r>
          </w:p>
        </w:tc>
        <w:tc>
          <w:tcPr>
            <w:tcW w:type="dxa" w:w="1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Trade 3A</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LONG</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NO</w:t>
            </w:r>
          </w:p>
        </w:tc>
        <w:tc>
          <w:tcPr>
            <w:tcW w:type="dxa" w:w="20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no 38.2% pullback</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w:t>
            </w:r>
          </w:p>
        </w:tc>
      </w:tr>
      <w:tr>
        <w:tc>
          <w:tcPr>
            <w:tcW w:type="dxa" w:w="15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Wed 27 May (t−4)</w:t>
            </w:r>
          </w:p>
        </w:tc>
        <w:tc>
          <w:tcPr>
            <w:tcW w:type="dxa" w:w="12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Trade 1</w:t>
            </w:r>
          </w:p>
        </w:tc>
        <w:tc>
          <w:tcPr>
            <w:tcW w:type="dxa" w:w="13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LONG</w:t>
            </w:r>
          </w:p>
        </w:tc>
        <w:tc>
          <w:tcPr>
            <w:tcW w:type="dxa" w:w="11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YES</w:t>
            </w:r>
          </w:p>
        </w:tc>
        <w:tc>
          <w:tcPr>
            <w:tcW w:type="dxa" w:w="206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7,521.0 / 7,520.4</w:t>
            </w:r>
          </w:p>
        </w:tc>
        <w:tc>
          <w:tcPr>
            <w:tcW w:type="dxa" w:w="11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≈0.0R</w:t>
            </w:r>
          </w:p>
        </w:tc>
        <w:tc>
          <w:tcPr>
            <w:tcW w:type="dxa" w:w="11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1</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Wed 27 May (t−4)</w:t>
            </w:r>
          </w:p>
        </w:tc>
        <w:tc>
          <w:tcPr>
            <w:tcW w:type="dxa" w:w="1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Trade 2</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LONG</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YES</w:t>
            </w:r>
          </w:p>
        </w:tc>
        <w:tc>
          <w:tcPr>
            <w:tcW w:type="dxa" w:w="20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7,508 / 7,548</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+1.3R</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1</w:t>
            </w:r>
          </w:p>
        </w:tc>
      </w:tr>
      <w:tr>
        <w:tc>
          <w:tcPr>
            <w:tcW w:type="dxa" w:w="15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Wed 27 May (t−4)</w:t>
            </w:r>
          </w:p>
        </w:tc>
        <w:tc>
          <w:tcPr>
            <w:tcW w:type="dxa" w:w="12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Trade 3A</w:t>
            </w:r>
          </w:p>
        </w:tc>
        <w:tc>
          <w:tcPr>
            <w:tcW w:type="dxa" w:w="13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LONG</w:t>
            </w:r>
          </w:p>
        </w:tc>
        <w:tc>
          <w:tcPr>
            <w:tcW w:type="dxa" w:w="11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NO</w:t>
            </w:r>
          </w:p>
        </w:tc>
        <w:tc>
          <w:tcPr>
            <w:tcW w:type="dxa" w:w="206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shallow dip only</w:t>
            </w:r>
          </w:p>
        </w:tc>
        <w:tc>
          <w:tcPr>
            <w:tcW w:type="dxa" w:w="11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w:t>
            </w:r>
          </w:p>
        </w:tc>
        <w:tc>
          <w:tcPr>
            <w:tcW w:type="dxa" w:w="11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Thu 28 May (t−3)</w:t>
            </w:r>
          </w:p>
        </w:tc>
        <w:tc>
          <w:tcPr>
            <w:tcW w:type="dxa" w:w="1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Trade 1</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LONG</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YES</w:t>
            </w:r>
          </w:p>
        </w:tc>
        <w:tc>
          <w:tcPr>
            <w:tcW w:type="dxa" w:w="20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7,528.0 / 7,571.2 (TP1)</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+1.0R</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1</w:t>
            </w:r>
          </w:p>
        </w:tc>
      </w:tr>
      <w:tr>
        <w:tc>
          <w:tcPr>
            <w:tcW w:type="dxa" w:w="15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Thu 28 May (t−3)</w:t>
            </w:r>
          </w:p>
        </w:tc>
        <w:tc>
          <w:tcPr>
            <w:tcW w:type="dxa" w:w="12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Trade 2</w:t>
            </w:r>
          </w:p>
        </w:tc>
        <w:tc>
          <w:tcPr>
            <w:tcW w:type="dxa" w:w="13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LONG</w:t>
            </w:r>
          </w:p>
        </w:tc>
        <w:tc>
          <w:tcPr>
            <w:tcW w:type="dxa" w:w="11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YES</w:t>
            </w:r>
          </w:p>
        </w:tc>
        <w:tc>
          <w:tcPr>
            <w:tcW w:type="dxa" w:w="206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7,520 / 7,563</w:t>
            </w:r>
          </w:p>
        </w:tc>
        <w:tc>
          <w:tcPr>
            <w:tcW w:type="dxa" w:w="11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+2.0R</w:t>
            </w:r>
          </w:p>
        </w:tc>
        <w:tc>
          <w:tcPr>
            <w:tcW w:type="dxa" w:w="11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1</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Thu 28 May (t−3)</w:t>
            </w:r>
          </w:p>
        </w:tc>
        <w:tc>
          <w:tcPr>
            <w:tcW w:type="dxa" w:w="1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Trade 3A</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LONG</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NO</w:t>
            </w:r>
          </w:p>
        </w:tc>
        <w:tc>
          <w:tcPr>
            <w:tcW w:type="dxa" w:w="20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no deep retrace</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w:t>
            </w:r>
          </w:p>
        </w:tc>
      </w:tr>
      <w:tr>
        <w:tc>
          <w:tcPr>
            <w:tcW w:type="dxa" w:w="15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Fri 29 May (t−2)</w:t>
            </w:r>
          </w:p>
        </w:tc>
        <w:tc>
          <w:tcPr>
            <w:tcW w:type="dxa" w:w="12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Trade 1</w:t>
            </w:r>
          </w:p>
        </w:tc>
        <w:tc>
          <w:tcPr>
            <w:tcW w:type="dxa" w:w="13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LONG</w:t>
            </w:r>
          </w:p>
        </w:tc>
        <w:tc>
          <w:tcPr>
            <w:tcW w:type="dxa" w:w="11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YES</w:t>
            </w:r>
          </w:p>
        </w:tc>
        <w:tc>
          <w:tcPr>
            <w:tcW w:type="dxa" w:w="206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7,566.0 / 7,580.1</w:t>
            </w:r>
          </w:p>
        </w:tc>
        <w:tc>
          <w:tcPr>
            <w:tcW w:type="dxa" w:w="11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+0.4R</w:t>
            </w:r>
          </w:p>
        </w:tc>
        <w:tc>
          <w:tcPr>
            <w:tcW w:type="dxa" w:w="11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1</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Fri 29 May (t−2)</w:t>
            </w:r>
          </w:p>
        </w:tc>
        <w:tc>
          <w:tcPr>
            <w:tcW w:type="dxa" w:w="1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Trade 2</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LONG</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NO</w:t>
            </w:r>
          </w:p>
        </w:tc>
        <w:tc>
          <w:tcPr>
            <w:tcW w:type="dxa" w:w="20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P not tagged</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w:t>
            </w:r>
          </w:p>
        </w:tc>
      </w:tr>
      <w:tr>
        <w:tc>
          <w:tcPr>
            <w:tcW w:type="dxa" w:w="15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Fri 29 May (t−2)</w:t>
            </w:r>
          </w:p>
        </w:tc>
        <w:tc>
          <w:tcPr>
            <w:tcW w:type="dxa" w:w="12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Trade 3A</w:t>
            </w:r>
          </w:p>
        </w:tc>
        <w:tc>
          <w:tcPr>
            <w:tcW w:type="dxa" w:w="13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LONG</w:t>
            </w:r>
          </w:p>
        </w:tc>
        <w:tc>
          <w:tcPr>
            <w:tcW w:type="dxa" w:w="11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NO</w:t>
            </w:r>
          </w:p>
        </w:tc>
        <w:tc>
          <w:tcPr>
            <w:tcW w:type="dxa" w:w="206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no pullback</w:t>
            </w:r>
          </w:p>
        </w:tc>
        <w:tc>
          <w:tcPr>
            <w:tcW w:type="dxa" w:w="11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w:t>
            </w:r>
          </w:p>
        </w:tc>
        <w:tc>
          <w:tcPr>
            <w:tcW w:type="dxa" w:w="11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Mon 01 Jun (t−1)</w:t>
            </w:r>
          </w:p>
        </w:tc>
        <w:tc>
          <w:tcPr>
            <w:tcW w:type="dxa" w:w="1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Trade 1</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LONG</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YES</w:t>
            </w:r>
          </w:p>
        </w:tc>
        <w:tc>
          <w:tcPr>
            <w:tcW w:type="dxa" w:w="20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7,582.3 / 7,600.0</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OPEN @ +0.4R</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1+</w:t>
            </w:r>
          </w:p>
        </w:tc>
      </w:tr>
      <w:tr>
        <w:tc>
          <w:tcPr>
            <w:tcW w:type="dxa" w:w="15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Mon 01 Jun (t−1)</w:t>
            </w:r>
          </w:p>
        </w:tc>
        <w:tc>
          <w:tcPr>
            <w:tcW w:type="dxa" w:w="12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Trade 2</w:t>
            </w:r>
          </w:p>
        </w:tc>
        <w:tc>
          <w:tcPr>
            <w:tcW w:type="dxa" w:w="13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LONG</w:t>
            </w:r>
          </w:p>
        </w:tc>
        <w:tc>
          <w:tcPr>
            <w:tcW w:type="dxa" w:w="11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YES</w:t>
            </w:r>
          </w:p>
        </w:tc>
        <w:tc>
          <w:tcPr>
            <w:tcW w:type="dxa" w:w="206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7,580 / 7,600</w:t>
            </w:r>
          </w:p>
        </w:tc>
        <w:tc>
          <w:tcPr>
            <w:tcW w:type="dxa" w:w="11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OPEN @ +0.7R</w:t>
            </w:r>
          </w:p>
        </w:tc>
        <w:tc>
          <w:tcPr>
            <w:tcW w:type="dxa" w:w="1100"/>
            <w:tcBorders>
              <w:top w:val="single" w:color="BBBBBB" w:sz="1"/>
              <w:left w:val="single" w:color="BBBBBB" w:sz="1"/>
              <w:bottom w:val="single" w:color="BBBBBB" w:sz="1"/>
              <w:right w:val="single" w:color="BBBBBB" w:sz="1"/>
            </w:tcBorders>
            <w:shd w:fill="F2F7FB" w:val="clear"/>
            <w:tcMar>
              <w:top w:type="dxa" w:w="60"/>
              <w:left w:type="dxa" w:w="90"/>
              <w:bottom w:type="dxa" w:w="60"/>
              <w:right w:type="dxa" w:w="90"/>
            </w:tcMar>
          </w:tcPr>
          <w:p>
            <w:r>
              <w:rPr>
                <w:rFonts w:ascii="Arial" w:cs="Arial" w:eastAsia="Arial" w:hAnsi="Arial"/>
                <w:b w:val="false"/>
                <w:bCs w:val="false"/>
                <w:sz w:val="17"/>
                <w:szCs w:val="17"/>
              </w:rPr>
              <w:t xml:space="preserve">1+</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Mon 01 Jun (t−1)</w:t>
            </w:r>
          </w:p>
        </w:tc>
        <w:tc>
          <w:tcPr>
            <w:tcW w:type="dxa" w:w="1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Trade 3A</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LONG</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NO</w:t>
            </w:r>
          </w:p>
        </w:tc>
        <w:tc>
          <w:tcPr>
            <w:tcW w:type="dxa" w:w="20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no 38.2% pullback</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b w:val="false"/>
                <w:bCs w:val="false"/>
                <w:sz w:val="17"/>
                <w:szCs w:val="17"/>
              </w:rPr>
              <w:t xml:space="preserve">—</w:t>
            </w:r>
          </w:p>
        </w:tc>
      </w:tr>
    </w:tbl>
    <w:p>
      <w:pPr>
        <w:pStyle w:val="Heading2"/>
        <w:spacing w:after="80" w:before="180"/>
      </w:pPr>
      <w:r>
        <w:rPr>
          <w:rFonts w:ascii="Arial" w:cs="Arial" w:eastAsia="Arial" w:hAnsi="Arial"/>
          <w:b/>
          <w:bCs/>
          <w:color w:val="2E75B6"/>
          <w:sz w:val="22"/>
          <w:szCs w:val="22"/>
        </w:rPr>
        <w:t xml:space="preserve">§21d  ‘What Is Working’ Aggregate</w:t>
      </w:r>
    </w:p>
    <w:p>
      <w:pPr>
        <w:spacing w:after="120"/>
      </w:pPr>
      <w:r>
        <w:rPr>
          <w:rFonts w:ascii="Arial" w:cs="Arial" w:eastAsia="Arial" w:hAnsi="Arial"/>
          <w:sz w:val="20"/>
          <w:szCs w:val="20"/>
        </w:rPr>
        <w:t xml:space="preserve">Over the last 5 sessions: Trade 1 triggered 5/5, mean R ≈ +0.54, TP1/TP2/TP3 hit rates ≈ 40% / 0% / 0% (one open). Trade 2 triggered 4/5, mean R ≈ +1.35 (strongest), TP1/TP2 ≈ 75% / 25%. Trade 3A triggered 0/5 — the momentum-pullback fork never filled because the trend was too efficient to retrace to 38.2% (insufficient triggers to rank). Strongest performer: Trade 2 (pivot buy-the-pullback). Weakest performer: Trade 3A (no triggers). </w:t>
      </w:r>
      <w:r>
        <w:rPr>
          <w:rFonts w:ascii="Arial" w:cs="Arial" w:eastAsia="Arial" w:hAnsi="Arial"/>
          <w:i/>
          <w:iCs/>
          <w:sz w:val="18"/>
          <w:szCs w:val="18"/>
        </w:rPr>
        <w:t xml:space="preserve">Limitations: Five-session windows are too small to support statistical claims. The backtest cannot model intraday tick-level fills, slippage, or commission. Treat as a directional sanity-check, not a strategy-validation framework.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4"/>
        <w:szCs w:val="14"/>
      </w:rPr>
      <w:t xml:space="preserve">S&amp;P 500 Daily Report │ 02 Jun 2026 │ Senior US Equity Strategist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jc w:val="right"/>
    </w:pPr>
    <w:r>
      <w:rPr>
        <w:rFonts w:ascii="Arial" w:cs="Arial" w:eastAsia="Arial" w:hAnsi="Arial"/>
        <w:color w:val="666666"/>
        <w:sz w:val="14"/>
        <w:szCs w:val="14"/>
      </w:rPr>
      <w:t xml:space="preserve">S&amp;P 500 — Daily Report · 02 Jun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26"/>
      <w:szCs w:val="26"/>
    </w:rPr>
  </w:style>
  <w:style w:type="paragraph" w:styleId="Heading2">
    <w:name w:val="Heading 2"/>
    <w:basedOn w:val="Normal"/>
    <w:next w:val="Normal"/>
    <w:qFormat/>
    <w:pPr>
      <w:spacing w:after="80" w:before="18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094ff1fce64d31b15071aac1ace21c99892db48.png"/><Relationship Id="rId10" Type="http://schemas.openxmlformats.org/officeDocument/2006/relationships/image" Target="media/fc01f30744c08aaccc9185232026aa411033fd4a.png"/><Relationship Id="rId11" Type="http://schemas.openxmlformats.org/officeDocument/2006/relationships/image" Target="media/7376ab186b4955dd3eb6502b6c16c19661a0a58a.png"/><Relationship Id="rId12" Type="http://schemas.openxmlformats.org/officeDocument/2006/relationships/image" Target="media/8bb9d399664d97391114653c6b0ca6d1d42e43c5.png"/><Relationship Id="rId13" Type="http://schemas.openxmlformats.org/officeDocument/2006/relationships/image" Target="media/62fa117fca5cd3226208abaa74546e9ca8de495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2026-06-01T21:34:47.947Z</dcterms:created>
  <dcterms:modified xsi:type="dcterms:W3CDTF">2026-06-01T21:34:47.948Z</dcterms:modified>
</cp:coreProperties>
</file>

<file path=docProps/custom.xml><?xml version="1.0" encoding="utf-8"?>
<Properties xmlns="http://schemas.openxmlformats.org/officeDocument/2006/custom-properties" xmlns:vt="http://schemas.openxmlformats.org/officeDocument/2006/docPropsVTypes"/>
</file>