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S&amp;P 500 Report — Daily: 03 July 2026</w:t>
      </w:r>
    </w:p>
    <w:p>
      <w:pPr>
        <w:spacing w:after="60"/>
      </w:pPr>
      <w:r>
        <w:rPr>
          <w:i/>
          <w:iCs/>
          <w:color w:val="595959"/>
          <w:sz w:val="20"/>
          <w:szCs w:val="20"/>
        </w:rPr>
        <w:t xml:space="preserve">With reference to: USDX · VIX · DAX 40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Senior US Equity Strategist  ·  As of 03 July 2026 (America/New_York)  ·  Trading &amp; risk review (forward-test)</w:t>
      </w:r>
    </w:p>
    <w:p>
      <w:pPr>
        <w:pBdr>
          <w:bottom w:val="single" w:color="1F3864" w:sz="8"/>
        </w:pBdr>
        <w:spacing w:after="16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  Executive Snapshot</w:t>
      </w:r>
    </w:p>
    <w:p>
      <w:pPr>
        <w:spacing w:after="100" w:line="264"/>
      </w:pPr>
      <w:r>
        <w:rPr>
          <w:sz w:val="20"/>
          <w:szCs w:val="20"/>
        </w:rPr>
        <w:t xml:space="preserve">The S&amp;P 500 cash index enters the 03 July holiday close near </w:t>
      </w:r>
      <w:r>
        <w:rPr>
          <w:b/>
          <w:bCs/>
          <w:sz w:val="20"/>
          <w:szCs w:val="20"/>
        </w:rPr>
        <w:t xml:space="preserve">7,482.5 index points</w:t>
      </w:r>
      <w:r>
        <w:rPr>
          <w:sz w:val="20"/>
          <w:szCs w:val="20"/>
        </w:rPr>
        <w:t xml:space="preserve">, essentially unchanged on the final completed session (02 July) after a holiday-shortened week that saw the index recover from a late-June AI/semiconductor derate and then stall just beneath its early-June record zone. Consensus fair value for the last cash level is </w:t>
      </w:r>
      <w:r>
        <w:rPr>
          <w:b/>
          <w:bCs/>
          <w:sz w:val="20"/>
          <w:szCs w:val="20"/>
        </w:rPr>
        <w:t xml:space="preserve">7,482 pts (range 7,449–7,522)</w:t>
      </w:r>
      <w:r>
        <w:rPr>
          <w:sz w:val="20"/>
          <w:szCs w:val="20"/>
        </w:rPr>
        <w:t xml:space="preserve">, medium confidence, with market tone best described as cautiously firm but internally rotational. The three dominant drivers are (1) a broadening rotation out of semiconductors and mega-cap technology into defensives, health care and industrials; (2) a softer-than-expected June payrolls print that markets read as mildly dovish for Fed policy while Chair Warsh kept a hawkish tone on inflation; and (3) quarter-end/early-Q3 positioning after the strongest quarter since 2020. Short-term technical read is </w:t>
      </w:r>
      <w:r>
        <w:rPr>
          <w:b/>
          <w:bCs/>
          <w:sz w:val="20"/>
          <w:szCs w:val="20"/>
        </w:rPr>
        <w:t xml:space="preserve">Indecision / compression</w:t>
      </w:r>
      <w:r>
        <w:rPr>
          <w:sz w:val="20"/>
          <w:szCs w:val="20"/>
        </w:rPr>
        <w:t xml:space="preserve"> — the last two sessions printed narrow, overlapping ranges with a flat-to-soft close — while the medium-term regime remains </w:t>
      </w:r>
      <w:r>
        <w:rPr>
          <w:b/>
          <w:bCs/>
          <w:sz w:val="20"/>
          <w:szCs w:val="20"/>
        </w:rPr>
        <w:t xml:space="preserve">Trending – Bullish</w:t>
      </w:r>
      <w:r>
        <w:rPr>
          <w:sz w:val="20"/>
          <w:szCs w:val="20"/>
        </w:rPr>
        <w:t xml:space="preserve"> off the 7,238 June low. The efficiency read classifies the tape as </w:t>
      </w:r>
      <w:r>
        <w:rPr>
          <w:b/>
          <w:bCs/>
          <w:sz w:val="20"/>
          <w:szCs w:val="20"/>
        </w:rPr>
        <w:t xml:space="preserve">Ranging – Upward Bias</w:t>
      </w:r>
      <w:r>
        <w:rPr>
          <w:sz w:val="20"/>
          <w:szCs w:val="20"/>
        </w:rPr>
        <w:t xml:space="preserve"> (smoothed efficiency ≈ +0.11), i.e., a maturing trend losing directional efficiency. The composite regime is therefore </w:t>
      </w:r>
      <w:r>
        <w:rPr>
          <w:b/>
          <w:bCs/>
          <w:sz w:val="20"/>
          <w:szCs w:val="20"/>
        </w:rPr>
        <w:t xml:space="preserve">TRANSITION</w:t>
      </w:r>
      <w:r>
        <w:rPr>
          <w:sz w:val="20"/>
          <w:szCs w:val="20"/>
        </w:rPr>
        <w:t xml:space="preserve">. Directional conviction is a marginal </w:t>
      </w:r>
      <w:r>
        <w:rPr>
          <w:b/>
          <w:bCs/>
          <w:sz w:val="20"/>
          <w:szCs w:val="20"/>
        </w:rPr>
        <w:t xml:space="preserve">LONG (score +0.25)</w:t>
      </w:r>
      <w:r>
        <w:rPr>
          <w:sz w:val="20"/>
          <w:szCs w:val="20"/>
        </w:rPr>
        <w:t xml:space="preserve">, carried by the intact medium-term uptrend and positive efficiency bias but heavily tempered by contracting volatility and a mild bearish news tilt. The single most important watch item is the sustainability of the semiconductor de-rating: a second leg lower in memory/AI names is the most probable route back through the pivot and into the 7,452 / 7,422 support shelf.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§2  Market Definition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Asset</w:t>
            </w:r>
          </w:p>
        </w:tc>
        <w:tc>
          <w:tcPr>
            <w:tcW w:type="dxa" w:w="63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500 cash index (large-cap US equity benchmark, 503 constituents)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Standardised index methodology, rebalanced quarterly by S&amp;P Dow Jones Indices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Scope</w:t>
            </w:r>
          </w:p>
        </w:tc>
        <w:tc>
          <w:tcPr>
            <w:tcW w:type="dxa" w:w="63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/ US — headline US benchmark with a global investor base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NYSE/NASDAQ regular cash session 09:30–16:00 ET; pre/after-market excluded from OHLC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of measure</w:t>
            </w:r>
          </w:p>
        </w:tc>
        <w:tc>
          <w:tcPr>
            <w:tcW w:type="dxa" w:w="63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 points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USD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As-of date</w:t>
            </w:r>
          </w:p>
        </w:tc>
        <w:tc>
          <w:tcPr>
            <w:tcW w:type="dxa" w:w="63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03 July 2026 (America/New_York) — US cash market closed for Independence Day observance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completed sessions (26 Jun – 02 Jul 2026)</w:t>
            </w:r>
          </w:p>
        </w:tc>
      </w:tr>
    </w:tbl>
    <w:p>
      <w:pPr>
        <w:spacing w:after="100" w:line="264"/>
      </w:pPr>
      <w:r>
        <w:rPr>
          <w:i/>
          <w:iCs/>
          <w:color w:val="595959"/>
          <w:sz w:val="18"/>
          <w:szCs w:val="18"/>
        </w:rPr>
        <w:t xml:space="preserve">Note: 03 July 2026 (Friday) is a US market holiday (Independence Day observed); the NYSE and Nasdaq are closed. The last completed cash session is Thursday 02 July 2026, which anchors all OHLC and pivot inputs below.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§3  Consensus Price Call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00"/>
        <w:gridCol w:w="1600"/>
        <w:gridCol w:w="1560"/>
        <w:gridCol w:w="1200"/>
        <w:gridCol w:w="2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Consensus level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5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8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Market tone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7,482 pts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7,449 – 7,522</w:t>
            </w:r>
          </w:p>
        </w:tc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close, weighted median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Cautiously firm, rotational</w:t>
            </w:r>
          </w:p>
        </w:tc>
      </w:tr>
    </w:tbl>
    <w:p>
      <w:pPr>
        <w:spacing w:after="100" w:line="264"/>
      </w:pPr>
      <w:r>
        <w:rPr>
          <w:b/>
          <w:bCs/>
          <w:sz w:val="20"/>
          <w:szCs w:val="20"/>
        </w:rPr>
        <w:t xml:space="preserve">Rationale: </w:t>
      </w:r>
      <w:r>
        <w:rPr>
          <w:sz w:val="20"/>
          <w:szCs w:val="20"/>
        </w:rPr>
        <w:t xml:space="preserve">The 02 July cash close is corroborated as essentially flat (≈ −0.01%) versus the 7,483.23 close of 01 July across index-close sources; the weighted median down-weights stale aggregator quotes and the CFD-derived reference (~7,478). The 7,449–7,522 band is the 02 July session range.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§4  Price Evidence Table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00"/>
        <w:gridCol w:w="1200"/>
        <w:gridCol w:w="1200"/>
        <w:gridCol w:w="1300"/>
        <w:gridCol w:w="1360"/>
        <w:gridCol w:w="1300"/>
        <w:gridCol w:w="15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3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Basis/Location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Dow Jones (via FRED)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 Jul close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7,483.23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7,483.23</w:t>
            </w:r>
          </w:p>
        </w:tc>
        <w:tc>
          <w:tcPr>
            <w:tcW w:type="dxa" w:w="13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Official index close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Close-only; T+1 official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CNBC / index desk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 Jul close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7,483.24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7,483.24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close, NY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Agrees within 0.01 pt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TheStreet market blog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 Jul close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−0.01% vs 7,483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7,482.5</w:t>
            </w:r>
          </w:p>
        </w:tc>
        <w:tc>
          <w:tcPr>
            <w:tcW w:type="dxa" w:w="13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close, NY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Flat final print, tech-led drag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 Jul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7,478 (CFD)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7,478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OTC/CFD reference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Confirmation only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CFD basis; not used for OHLC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7,449.63 / 7,521.81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 / H</w:t>
            </w:r>
          </w:p>
        </w:tc>
        <w:tc>
          <w:tcPr>
            <w:tcW w:type="dxa" w:w="13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intraday range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 Jul day range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StreetStats / index desk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Jun close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7,499.36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7,499.36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close, NY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Quarter-end close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§5  Consensus Build Explanation</w:t>
      </w:r>
    </w:p>
    <w:p>
      <w:pPr>
        <w:spacing w:after="100" w:line="264"/>
      </w:pPr>
      <w:r>
        <w:rPr>
          <w:sz w:val="20"/>
          <w:szCs w:val="20"/>
        </w:rPr>
        <w:t xml:space="preserve">Comparable quotes were normalised to the regular cash-session close in index points. The official S&amp;P Dow Jones close (relayed via FRED) and the index-desk close agree to within 0.01 pt for 01 July, comfortably inside the ±0.10-pt equity-index tolerance, and anchor the consensus. The 02 July final print is reported as essentially flat versus that anchor by the cash-session desks; the CFD-derived 7,478 reference is retained for confirmation only and is excluded from OHLC per the standing restriction on retail/CFD quotes. The weighted-median method down-weights the CFD observation and any stale aggregator level. The resulting 7,482 consensus is the most defensible because it is corroborated by two independent cash-close sources and sits inside the observed 7,449.63–7,521.81 session range.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§6  Validated OHLC + RSI2 Table (5-Day)</w:t>
      </w:r>
    </w:p>
    <w:p>
      <w:pPr>
        <w:pStyle w:val="Heading2"/>
        <w:spacing w:after="80" w:before="180"/>
      </w:pPr>
      <w:r>
        <w:rPr>
          <w:b/>
          <w:bCs/>
          <w:color w:val="2E7D32"/>
          <w:sz w:val="24"/>
          <w:szCs w:val="24"/>
        </w:rPr>
        <w:t xml:space="preserve">S&amp;P 500 (cash index)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0"/>
        <w:gridCol w:w="860"/>
        <w:gridCol w:w="860"/>
        <w:gridCol w:w="860"/>
        <w:gridCol w:w="860"/>
        <w:gridCol w:w="640"/>
        <w:gridCol w:w="900"/>
        <w:gridCol w:w="900"/>
        <w:gridCol w:w="860"/>
        <w:gridCol w:w="820"/>
      </w:tblGrid>
      <w:tr>
        <w:trPr>
          <w:tblHeader/>
        </w:trPr>
        <w:tc>
          <w:tcPr>
            <w:tcW w:type="dxa" w:w="90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6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86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86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86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64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0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90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  <w:tc>
          <w:tcPr>
            <w:tcW w:type="dxa" w:w="86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</w:t>
            </w:r>
          </w:p>
        </w:tc>
        <w:tc>
          <w:tcPr>
            <w:tcW w:type="dxa" w:w="82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 Jun</w:t>
            </w:r>
          </w:p>
        </w:tc>
        <w:tc>
          <w:tcPr>
            <w:tcW w:type="dxa" w:w="8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7,357*</w:t>
            </w:r>
          </w:p>
        </w:tc>
        <w:tc>
          <w:tcPr>
            <w:tcW w:type="dxa" w:w="8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7,375*</w:t>
            </w:r>
          </w:p>
        </w:tc>
        <w:tc>
          <w:tcPr>
            <w:tcW w:type="dxa" w:w="8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7,336.82</w:t>
            </w:r>
          </w:p>
        </w:tc>
        <w:tc>
          <w:tcPr>
            <w:tcW w:type="dxa" w:w="8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7,354.02</w:t>
            </w:r>
          </w:p>
        </w:tc>
        <w:tc>
          <w:tcPr>
            <w:tcW w:type="dxa" w:w="6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CNBC×Zacks</w:t>
            </w:r>
          </w:p>
        </w:tc>
        <w:tc>
          <w:tcPr>
            <w:tcW w:type="dxa" w:w="8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7,354.02</w:t>
            </w:r>
          </w:p>
        </w:tc>
        <w:tc>
          <w:tcPr>
            <w:tcW w:type="dxa" w:w="8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(close, Δ&lt;0.1)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Jun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7,366*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7,445*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7,360*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7,440.43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CNBC×Zacks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7,440.43</w:t>
            </w:r>
          </w:p>
        </w:tc>
        <w:tc>
          <w:tcPr>
            <w:tcW w:type="dxa" w:w="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(close, Δ&lt;0.1)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Jun</w:t>
            </w:r>
          </w:p>
        </w:tc>
        <w:tc>
          <w:tcPr>
            <w:tcW w:type="dxa" w:w="8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7,452*</w:t>
            </w:r>
          </w:p>
        </w:tc>
        <w:tc>
          <w:tcPr>
            <w:tcW w:type="dxa" w:w="8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7,512*</w:t>
            </w:r>
          </w:p>
        </w:tc>
        <w:tc>
          <w:tcPr>
            <w:tcW w:type="dxa" w:w="8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7,448*</w:t>
            </w:r>
          </w:p>
        </w:tc>
        <w:tc>
          <w:tcPr>
            <w:tcW w:type="dxa" w:w="8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7,499.36</w:t>
            </w:r>
          </w:p>
        </w:tc>
        <w:tc>
          <w:tcPr>
            <w:tcW w:type="dxa" w:w="6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100.0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StreetStats×Yahoo</w:t>
            </w:r>
          </w:p>
        </w:tc>
        <w:tc>
          <w:tcPr>
            <w:tcW w:type="dxa" w:w="8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7,499.36</w:t>
            </w:r>
          </w:p>
        </w:tc>
        <w:tc>
          <w:tcPr>
            <w:tcW w:type="dxa" w:w="8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(close)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 Jul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7,479*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7,522*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7,450*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7,483.23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78.5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FRED×CNBC</w:t>
            </w:r>
          </w:p>
        </w:tc>
        <w:tc>
          <w:tcPr>
            <w:tcW w:type="dxa" w:w="8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7,483.23</w:t>
            </w:r>
          </w:p>
        </w:tc>
        <w:tc>
          <w:tcPr>
            <w:tcW w:type="dxa" w:w="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(close, Δ0.01)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 Jul</w:t>
            </w:r>
          </w:p>
        </w:tc>
        <w:tc>
          <w:tcPr>
            <w:tcW w:type="dxa" w:w="8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7,479*</w:t>
            </w:r>
          </w:p>
        </w:tc>
        <w:tc>
          <w:tcPr>
            <w:tcW w:type="dxa" w:w="8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7,508*</w:t>
            </w:r>
          </w:p>
        </w:tc>
        <w:tc>
          <w:tcPr>
            <w:tcW w:type="dxa" w:w="8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7,450*</w:t>
            </w:r>
          </w:p>
        </w:tc>
        <w:tc>
          <w:tcPr>
            <w:tcW w:type="dxa" w:w="8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7,482.5</w:t>
            </w:r>
          </w:p>
        </w:tc>
        <w:tc>
          <w:tcPr>
            <w:tcW w:type="dxa" w:w="6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TheStreet×TE</w:t>
            </w:r>
          </w:p>
        </w:tc>
        <w:tc>
          <w:tcPr>
            <w:tcW w:type="dxa" w:w="8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7,482.5</w:t>
            </w:r>
          </w:p>
        </w:tc>
        <w:tc>
          <w:tcPr>
            <w:tcW w:type="dxa" w:w="82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CORROBORATED (close, flat)</w:t>
            </w:r>
          </w:p>
        </w:tc>
      </w:tr>
    </w:tbl>
    <w:p>
      <w:pPr>
        <w:spacing w:after="100" w:line="264"/>
      </w:pPr>
      <w:r>
        <w:rPr>
          <w:i/>
          <w:iCs/>
          <w:color w:val="B26A00"/>
          <w:sz w:val="17"/>
          <w:szCs w:val="17"/>
        </w:rPr>
        <w:t xml:space="preserve">* Open/High/Low marked with an asterisk are single-source — indicative only. Closes are two-source corroborated within the ±0.10-pt equity-index tolerance. Indicative O/H/L are used for chart visualisation and directional context but are flagged for pivot calculations (see §11, §19). RSI2 is computed from the validated close sequence only (period fixed at 2).</w:t>
      </w:r>
    </w:p>
    <w:p>
      <w:pPr>
        <w:spacing w:after="100" w:line="264"/>
      </w:pPr>
      <w:r>
        <w:rPr>
          <w:sz w:val="18"/>
          <w:szCs w:val="18"/>
        </w:rPr>
        <w:t xml:space="preserve">Bold close convention applied in the analytical engine; RSI2 reads 100 on 30 Jun (two consecutive up-closes off the 7,354 low) and collapses to 0 on 02 Jul as the close ticks marginally below the prior close — the signature of momentum exhaustion into compression.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§7  Charts</w:t>
      </w:r>
    </w:p>
    <w:p>
      <w:pPr>
        <w:pStyle w:val="Heading2"/>
        <w:spacing w:after="80" w:before="180"/>
      </w:pPr>
      <w:r>
        <w:rPr>
          <w:b/>
          <w:bCs/>
          <w:color w:val="2E7D32"/>
          <w:sz w:val="24"/>
          <w:szCs w:val="24"/>
        </w:rPr>
        <w:t xml:space="preserve">Chart 1 — 5-Session Candlestick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80"/>
      </w:pPr>
      <w:r>
        <w:rPr>
          <w:b/>
          <w:bCs/>
          <w:color w:val="2E7D32"/>
          <w:sz w:val="24"/>
          <w:szCs w:val="24"/>
        </w:rPr>
        <w:t xml:space="preserve">Chart 2 — Distance From Open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80"/>
      </w:pPr>
      <w:r>
        <w:rPr>
          <w:b/>
          <w:bCs/>
          <w:color w:val="2E7D32"/>
          <w:sz w:val="24"/>
          <w:szCs w:val="24"/>
        </w:rPr>
        <w:t xml:space="preserve">Chart 3 — 25-Session Structure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80"/>
      </w:pPr>
      <w:r>
        <w:rPr>
          <w:b/>
          <w:bCs/>
          <w:color w:val="2E7D32"/>
          <w:sz w:val="24"/>
          <w:szCs w:val="24"/>
        </w:rPr>
        <w:t xml:space="preserve">Chart 4 — VOLator Comparative Volatility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i/>
          <w:iCs/>
          <w:color w:val="B26A00"/>
          <w:sz w:val="17"/>
          <w:szCs w:val="17"/>
        </w:rPr>
        <w:t xml:space="preserve">VOLator series are scaled ATR (historical z-score, clipped ±1). Readings are indicative — computed from the corroborated close series with indicative intraday ranges.</w:t>
      </w:r>
    </w:p>
    <w:p>
      <w:pPr>
        <w:pStyle w:val="Heading2"/>
        <w:spacing w:after="80" w:before="180"/>
      </w:pPr>
      <w:r>
        <w:rPr>
          <w:b/>
          <w:bCs/>
          <w:color w:val="2E7D32"/>
          <w:sz w:val="24"/>
          <w:szCs w:val="24"/>
        </w:rPr>
        <w:t xml:space="preserve">Chart 5 — Pivot Structure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§8  Short-Term Technical Analysis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26 Jun (see §6): a small-bodied neutral candle closing near the lows of a compressed range; a quiet, defensive session as consumer names dragged. Signals base-building at the 7,336–7,354 shelf.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29 Jun (see §6): a strong bullish expansion candle (+1.18%), closing in the upper third of range on a Mag-7 rebound. Body dominates wicks — genuine demand, not a squeeze wick.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30 Jun (see §6): quarter-end continuation, another up-close (+0.79%) with RSI2 pinned at 100. Close in the upper range — trend acceleration into the record zone.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01 Jul (see §6): an indecision candle — early strength on payrolls faded to a −0.22% close as semiconductors sold off; long upper wick toward 7,522, close back near 7,483. Supply appearing at the highs, RSI2 rolling to 78.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02 Jul (see §6): a flat doji-like close (≈ −0.01%); 354 advancers but four heavyweight sectors (tech, semis) capped the tape. RSI2 collapses to 0 — momentum exhaustion inside a narrowing range.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Sequence assessment: Compression / Indecision. </w:t>
      </w:r>
      <w:r>
        <w:rPr>
          <w:sz w:val="20"/>
          <w:szCs w:val="20"/>
        </w:rPr>
        <w:t xml:space="preserve">The first three sessions travelled directionally (26→30 Jun, low overlap, rising closes); the last two overlap heavily with shrinking range and a flat close, and RSI2 has swung 100→0. That is the classic signature of a trend decelerating into a coil rather than reversing outright.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Nearest support / resistance (from the 5-day structure): </w:t>
      </w:r>
      <w:r>
        <w:rPr>
          <w:sz w:val="20"/>
          <w:szCs w:val="20"/>
        </w:rPr>
        <w:t xml:space="preserve">resistance 7,522 (01 Jul high) then 7,530 (prior-week high); support 7,449–7,450 (repeated 01–02 Jul lows) then 7,337 (26 Jun low).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Judgement label: Indecision. </w:t>
      </w:r>
      <w:r>
        <w:rPr>
          <w:sz w:val="20"/>
          <w:szCs w:val="20"/>
        </w:rPr>
        <w:t xml:space="preserve">This is consistent with the TRANSITION regime in §9 (medium-term up, short-term coiling).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§9  Medium-Term Regime &amp; VOLator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Regime classification: Transitional. Overlap ratio ≈ 0.45 (borderline directional), directional persistence ≈ 0.75 (high, but driven by the first three sessions), VOLator slope negative (contracting), median RSI2 mid-range, range position ≈ 64% of the 25-session band (upper-half / Range-Top lean).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Bias: Bullish (the directional component of the medium-term structure remains up off the 7,238 June low toward 7,500–7,620).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VOLator current readings (scaled, −1..+1): S&amp;P 500 ≈ −0.45 (below midpoint, contracting); VIX ≈ −0.55 (low/decaying volatility, risk-supportive); USDX ≈ −0.18 (below midpoint, easing); DAX 40 ≈ +0.12 (mild expansion). Primary volatility is contracting — a ranging/transitional signal.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Preferred trade protocol: combining a firm medium-term uptrend with a compressing short-term tape yields a 'pullback/consolidation within trend — favour trend resumption, avoid fading the range mid' protocol, executed cautiously pending a confirmed break.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Kaufman confirmation: smoothed efficiency ≈ +0.11 → 'Ranging – Upward Bias' (inside the +0.09/+0.13 band). This partially contradicts the pure 'trending' read and takes precedence for regime labelling: the trend is intact but its efficiency has faded, which is exactly why the composite label is TRANSITION rather than TREND_UP.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§10  Cross-Asset Analysis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400"/>
        <w:gridCol w:w="1500"/>
        <w:gridCol w:w="3260"/>
        <w:gridCol w:w="1600"/>
        <w:gridCol w:w="1600"/>
      </w:tblGrid>
      <w:tr>
        <w:trPr>
          <w:tblHeader/>
        </w:trPr>
        <w:tc>
          <w:tcPr>
            <w:tcW w:type="dxa" w:w="140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50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5-day direction</w:t>
            </w:r>
          </w:p>
        </w:tc>
        <w:tc>
          <w:tcPr>
            <w:tcW w:type="dxa" w:w="326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60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160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Falling / flat (~101.1)</w:t>
            </w:r>
          </w:p>
        </w:tc>
        <w:tc>
          <w:tcPr>
            <w:tcW w:type="dxa" w:w="32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Softer dollar eases global financial conditions and supports multinational earnings translation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Confirms (mild)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Marginal tailwind for the index</w:t>
            </w:r>
          </w:p>
        </w:tc>
      </w:tr>
      <w:tr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VIX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Falling (~16.6–16.8, low)</w:t>
            </w:r>
          </w:p>
        </w:tc>
        <w:tc>
          <w:tcPr>
            <w:tcW w:type="dxa" w:w="32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Compressing implied volatility signals a benign risk regime; sub-20 = non-stressed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Risk-supportive backdrop; complacency risk if a shock hits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DAX 40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Rising (~25,040)</w:t>
            </w:r>
          </w:p>
        </w:tc>
        <w:tc>
          <w:tcPr>
            <w:tcW w:type="dxa" w:w="32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European large-cap confirms the global risk-on factor; common cyclical beta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Confirms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Corroborates the medium-term up-bias</w:t>
            </w:r>
          </w:p>
        </w:tc>
      </w:tr>
    </w:tbl>
    <w:p>
      <w:pPr>
        <w:spacing w:after="100" w:line="264"/>
      </w:pPr>
      <w:r>
        <w:rPr>
          <w:b/>
          <w:bCs/>
          <w:sz w:val="20"/>
          <w:szCs w:val="20"/>
        </w:rPr>
        <w:t xml:space="preserve">Aggregate cross-asset read: CONFIRM (mild). </w:t>
      </w:r>
      <w:r>
        <w:rPr>
          <w:sz w:val="20"/>
          <w:szCs w:val="20"/>
        </w:rPr>
        <w:t xml:space="preserve">All three active counters lean risk-supportive relative to the medium-term up-bias, with none outright contradicting. The caveat is that the counters describe the macro envelope, not the internal semiconductor rotation that is actually driving index-level indecision — so cross-asset confirmation is genuine but shallow.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§11  Floor Pivot Analysis</w:t>
      </w:r>
    </w:p>
    <w:p>
      <w:pPr>
        <w:pStyle w:val="Heading2"/>
        <w:spacing w:after="80" w:before="180"/>
      </w:pPr>
      <w:r>
        <w:rPr>
          <w:b/>
          <w:bCs/>
          <w:color w:val="2E7D32"/>
          <w:sz w:val="24"/>
          <w:szCs w:val="24"/>
        </w:rPr>
        <w:t xml:space="preserve">Daily pivots (from 02 Jul H/L/C)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60"/>
        <w:gridCol w:w="1560"/>
        <w:gridCol w:w="6240"/>
      </w:tblGrid>
      <w:tr>
        <w:trPr>
          <w:tblHeader/>
        </w:trPr>
        <w:tc>
          <w:tcPr>
            <w:tcW w:type="dxa" w:w="156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56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(pts)</w:t>
            </w:r>
          </w:p>
        </w:tc>
        <w:tc>
          <w:tcPr>
            <w:tcW w:type="dxa" w:w="624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R5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7,685.6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R4</w:t>
            </w:r>
          </w:p>
        </w:tc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7,627.2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7,568.8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7,538.4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7,510.5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resistance</w:t>
            </w:r>
          </w:p>
        </w:tc>
      </w:tr>
      <w:tr>
        <w:tc>
          <w:tcPr>
            <w:tcW w:type="dxa" w:w="156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156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7,480.0</w:t>
            </w:r>
          </w:p>
        </w:tc>
        <w:tc>
          <w:tcPr>
            <w:tcW w:type="dxa" w:w="624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close sits just above P</w:t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7,452.1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 support (coincides with 01–02 Jul lows)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7,421.7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7,393.7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7,335.4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coincides with 26 Jun low</w:t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7,277.0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line="264"/>
      </w:pPr>
      <w:r>
        <w:rPr>
          <w:i/>
          <w:iCs/>
          <w:color w:val="B26A00"/>
          <w:sz w:val="17"/>
          <w:szCs w:val="17"/>
        </w:rPr>
        <w:t xml:space="preserve">Source status: prior-day High/Low are single-source — indicative only; the daily pivot tiers are therefore flagged indicative and are not used as definitive entry/stop references (see §19, §21 caveats). The prior-day Close is corroborated.</w:t>
      </w:r>
    </w:p>
    <w:p>
      <w:pPr>
        <w:pStyle w:val="Heading2"/>
        <w:spacing w:after="80" w:before="180"/>
      </w:pPr>
      <w:r>
        <w:rPr>
          <w:b/>
          <w:bCs/>
          <w:color w:val="2E7D32"/>
          <w:sz w:val="24"/>
          <w:szCs w:val="24"/>
        </w:rPr>
        <w:t xml:space="preserve">Weekly pivots (prior week, W/E 26 Jun)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60"/>
        <w:gridCol w:w="1560"/>
        <w:gridCol w:w="6240"/>
      </w:tblGrid>
      <w:tr>
        <w:trPr>
          <w:tblHeader/>
        </w:trPr>
        <w:tc>
          <w:tcPr>
            <w:tcW w:type="dxa" w:w="156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56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(pts)</w:t>
            </w:r>
          </w:p>
        </w:tc>
        <w:tc>
          <w:tcPr>
            <w:tcW w:type="dxa" w:w="624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7,670.3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7,600.1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7,477.1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near current close — active</w:t>
            </w:r>
          </w:p>
        </w:tc>
      </w:tr>
      <w:tr>
        <w:tc>
          <w:tcPr>
            <w:tcW w:type="dxa" w:w="156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156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7,407.0</w:t>
            </w:r>
          </w:p>
        </w:tc>
        <w:tc>
          <w:tcPr>
            <w:tcW w:type="dxa" w:w="624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7,283.9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7,213.8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7,090.7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2E7D32"/>
          <w:sz w:val="24"/>
          <w:szCs w:val="24"/>
        </w:rPr>
        <w:t xml:space="preserve">Monthly pivots (June 2026)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60"/>
        <w:gridCol w:w="1560"/>
        <w:gridCol w:w="6240"/>
      </w:tblGrid>
      <w:tr>
        <w:trPr>
          <w:tblHeader/>
        </w:trPr>
        <w:tc>
          <w:tcPr>
            <w:tcW w:type="dxa" w:w="156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56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(pts)</w:t>
            </w:r>
          </w:p>
        </w:tc>
        <w:tc>
          <w:tcPr>
            <w:tcW w:type="dxa" w:w="6240"/>
            <w:shd w:fill="2E7D3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R3</w:t>
            </w:r>
          </w:p>
        </w:tc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8,050.6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R2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7,835.8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7,667.6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aligns with record zone</w:t>
            </w:r>
          </w:p>
        </w:tc>
      </w:tr>
      <w:tr>
        <w:tc>
          <w:tcPr>
            <w:tcW w:type="dxa" w:w="156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156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7,452.7</w:t>
            </w:r>
          </w:p>
        </w:tc>
        <w:tc>
          <w:tcPr>
            <w:tcW w:type="dxa" w:w="624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near S1 daily / current shelf</w:t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7,284.5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7,069.7</w:t>
            </w:r>
          </w:p>
        </w:tc>
        <w:tc>
          <w:tcPr>
            <w:tcW w:type="dxa" w:w="624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6,901.5</w:t>
            </w:r>
          </w:p>
        </w:tc>
        <w:tc>
          <w:tcPr>
            <w:tcW w:type="dxa" w:w="62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line="264"/>
      </w:pPr>
      <w:r>
        <w:rPr>
          <w:b/>
          <w:bCs/>
          <w:sz w:val="20"/>
          <w:szCs w:val="20"/>
        </w:rPr>
        <w:t xml:space="preserve">Position narrative: </w:t>
      </w:r>
      <w:r>
        <w:rPr>
          <w:sz w:val="20"/>
          <w:szCs w:val="20"/>
        </w:rPr>
        <w:t xml:space="preserve">the 02 Jul close (7,482.5) sits just above the daily pivot (7,480), below daily R1 (7,510) and above daily S1 (7,452). Note a tight confluence zone at ~7,452–7,453 where daily S1 (7,452.1) and the monthly pivot (7,452.7) nearly coincide — a structurally important support shelf. Weekly R1 (7,477) sits right at the current close, making 7,477–7,480 a pivot cluster the tape is balancing on.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§12  Key Market Considerations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Demand / flows (price-supportive, cyclical): </w:t>
      </w:r>
      <w:r>
        <w:rPr>
          <w:sz w:val="20"/>
          <w:szCs w:val="20"/>
        </w:rPr>
        <w:t xml:space="preserve">June closed as the strongest quarter since 2020; retail remains the most consistent equity buyer per sell-side desk commentary, and dip-buying appetite is intact. Structural bid from passive inflows continues.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Sector rotation (neutral-to-negative, cyclical): </w:t>
      </w:r>
      <w:r>
        <w:rPr>
          <w:sz w:val="20"/>
          <w:szCs w:val="20"/>
        </w:rPr>
        <w:t xml:space="preserve">A pronounced rotation out of semiconductors/AI (Micron −10.6%, Sandisk −10.6%, AMD −6.9% on 01 Jul) into health care, staples, utilities and industrials. Breadth is improving even as cap-weighted index gains stall — a double-edged setup.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Policy / macro (mixed, cyclical): </w:t>
      </w:r>
      <w:r>
        <w:rPr>
          <w:sz w:val="20"/>
          <w:szCs w:val="20"/>
        </w:rPr>
        <w:t xml:space="preserve">June payrolls came in soft (57k vs ~115k consensus; unemployment 4.2%), read as mildly dovish, but Fed Chair Warsh reaffirmed an inflation-fighting stance with PCE running ~4.1%. The rate path is the key swing factor.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FX / liquidity (mild support, cyclical): </w:t>
      </w:r>
      <w:r>
        <w:rPr>
          <w:sz w:val="20"/>
          <w:szCs w:val="20"/>
        </w:rPr>
        <w:t xml:space="preserve">A soft-to-flat dollar (~101.1) and low VIX (~16.6) keep financial conditions accommodative.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Near-term catalysts (see §13d): </w:t>
      </w:r>
      <w:r>
        <w:rPr>
          <w:sz w:val="20"/>
          <w:szCs w:val="20"/>
        </w:rPr>
        <w:t xml:space="preserve">With the cash market shut 03 Jul, the next catalysts on the resumption are earnings-season kickoff and any follow-through in the semiconductor de-rate. Mega-cap tech earnings (AAPL, MSFT, NVDA, GOOGL, META, AMZN) are the primary forward catalysts per the standing playbook.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§13  Sentiment, News &amp; Calendar</w:t>
      </w:r>
    </w:p>
    <w:p>
      <w:pPr>
        <w:pStyle w:val="Heading2"/>
        <w:spacing w:after="80" w:before="180"/>
      </w:pPr>
      <w:r>
        <w:rPr>
          <w:b/>
          <w:bCs/>
          <w:color w:val="B26A00"/>
          <w:sz w:val="24"/>
          <w:szCs w:val="24"/>
        </w:rPr>
        <w:t xml:space="preserve">§13a  Per-Article Sentiment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00"/>
        <w:gridCol w:w="1000"/>
        <w:gridCol w:w="3560"/>
        <w:gridCol w:w="1300"/>
        <w:gridCol w:w="1200"/>
        <w:gridCol w:w="1000"/>
      </w:tblGrid>
      <w:tr>
        <w:trPr>
          <w:tblHeader/>
        </w:trPr>
        <w:tc>
          <w:tcPr>
            <w:tcW w:type="dxa" w:w="130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56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Headline (verbatim)</w:t>
            </w:r>
          </w:p>
        </w:tc>
        <w:tc>
          <w:tcPr>
            <w:tcW w:type="dxa" w:w="130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20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100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Quote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CNBC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 Jul</w:t>
            </w:r>
          </w:p>
        </w:tc>
        <w:tc>
          <w:tcPr>
            <w:tcW w:type="dxa" w:w="3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Dow jumps nearly 600 points to record close; Nasdaq slides as chip stocks suffer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"revaluation of the AI trade"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TheStreet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 Jul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Dow closes at all-time high ahead of Independence Day holiday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"finished little-changed on the day"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 Jul</w:t>
            </w:r>
          </w:p>
        </w:tc>
        <w:tc>
          <w:tcPr>
            <w:tcW w:type="dxa" w:w="3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US500 fell to 7478 points on July 2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"losing 0.08% from the previous session"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BBN Times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 Jul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S&amp;P 500 slips as semiconductor profit-taking overshadows Meta cloud surge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Bearish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"savage profit-taking selloff in semiconductor stocks"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CNBC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Jun</w:t>
            </w:r>
          </w:p>
        </w:tc>
        <w:tc>
          <w:tcPr>
            <w:tcW w:type="dxa" w:w="3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market news: S&amp;P 500 gained 1.18% to 7,440.43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"snapping a five-day losing streak"</w:t>
            </w:r>
          </w:p>
        </w:tc>
      </w:tr>
      <w:tr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Goldman (via CNBC)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 Jun</w:t>
            </w:r>
          </w:p>
        </w:tc>
        <w:tc>
          <w:tcPr>
            <w:tcW w:type="dxa" w:w="3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Flood: still in buy-the-dip mode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Bullish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"dips still present solid buying opportunities"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B26A00"/>
          <w:sz w:val="24"/>
          <w:szCs w:val="24"/>
        </w:rPr>
        <w:t xml:space="preserve">§13b  Aggregate Sentiment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Categorical: </w:t>
      </w:r>
      <w:r>
        <w:rPr>
          <w:sz w:val="20"/>
          <w:szCs w:val="20"/>
        </w:rPr>
        <w:t xml:space="preserve">2 Bullish (1 institutional, 1 media), 2 Bearish (media), 2 Mixed/Neutral (media) = Balanced with a mild bearish lean on the most recent sessions. </w:t>
      </w:r>
      <w:r>
        <w:rPr>
          <w:b/>
          <w:bCs/>
          <w:sz w:val="20"/>
          <w:szCs w:val="20"/>
        </w:rPr>
        <w:t xml:space="preserve">Numeric tilt = −0.15</w:t>
      </w:r>
      <w:r>
        <w:rPr>
          <w:sz w:val="20"/>
          <w:szCs w:val="20"/>
        </w:rPr>
        <w:t xml:space="preserve"> (source-class-weighted; the single institutional voice is constructive, but recent media flow skews to the semiconductor de-rate).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Divergence: </w:t>
      </w:r>
      <w:r>
        <w:rPr>
          <w:sz w:val="20"/>
          <w:szCs w:val="20"/>
        </w:rPr>
        <w:t xml:space="preserve">the mild bearish tilt sits against a still-bullish medium-term regime (§9). The technical regime takes precedence for the medium horizon; sentiment explains the short-term compression and caps upside conviction.</w:t>
      </w:r>
    </w:p>
    <w:p>
      <w:pPr>
        <w:pStyle w:val="Heading2"/>
        <w:spacing w:after="80" w:before="180"/>
      </w:pPr>
      <w:r>
        <w:rPr>
          <w:b/>
          <w:bCs/>
          <w:color w:val="B26A00"/>
          <w:sz w:val="24"/>
          <w:szCs w:val="24"/>
        </w:rPr>
        <w:t xml:space="preserve">§13c  News Calendar — Previous 5 sessions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200"/>
        <w:gridCol w:w="2600"/>
        <w:gridCol w:w="2360"/>
        <w:gridCol w:w="900"/>
        <w:gridCol w:w="2300"/>
      </w:tblGrid>
      <w:tr>
        <w:trPr>
          <w:tblHeader/>
        </w:trPr>
        <w:tc>
          <w:tcPr>
            <w:tcW w:type="dxa" w:w="120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36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30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S&amp;P 500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25–26 Jun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PCE inflation; AI/valuation wobble</w:t>
            </w:r>
          </w:p>
        </w:tc>
        <w:tc>
          <w:tcPr>
            <w:tcW w:type="dxa" w:w="23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PCE ~4.1% (highest since 2023); OpenAI IPO-delay report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Semis led lower; index treaded water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Jun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Mag-7 rebound; Alphabet joins Dow</w:t>
            </w:r>
          </w:p>
        </w:tc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Risk-on snapback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+1.18% to 7,440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Jun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Quarter-end</w:t>
            </w:r>
          </w:p>
        </w:tc>
        <w:tc>
          <w:tcPr>
            <w:tcW w:type="dxa" w:w="23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Best quarter since 2020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+0.79% to 7,499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 Jul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ADP soft; Meta cloud; semis selloff</w:t>
            </w:r>
          </w:p>
        </w:tc>
        <w:tc>
          <w:tcPr>
            <w:tcW w:type="dxa" w:w="2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ADP +98k; Micron −10.6%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−0.22%; rotation deepens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 Jul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June payrolls (57k) ahead of holiday</w:t>
            </w:r>
          </w:p>
        </w:tc>
        <w:tc>
          <w:tcPr>
            <w:tcW w:type="dxa" w:w="23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Below ~115k consensus; UR 4.2%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Flat close; Dow record, tech drag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B26A00"/>
          <w:sz w:val="24"/>
          <w:szCs w:val="24"/>
        </w:rPr>
        <w:t xml:space="preserve">§13d  News Calendar — Upcoming (next 5 sessions)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600"/>
        <w:gridCol w:w="2800"/>
        <w:gridCol w:w="2000"/>
        <w:gridCol w:w="900"/>
        <w:gridCol w:w="2060"/>
      </w:tblGrid>
      <w:tr>
        <w:trPr>
          <w:tblHeader/>
        </w:trPr>
        <w:tc>
          <w:tcPr>
            <w:tcW w:type="dxa" w:w="160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Prior/Context</w:t>
            </w:r>
          </w:p>
        </w:tc>
        <w:tc>
          <w:tcPr>
            <w:tcW w:type="dxa" w:w="90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060"/>
            <w:shd w:fill="B26A0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(beat / miss)</w:t>
            </w:r>
          </w:p>
        </w:tc>
      </w:tr>
      <w:tr>
        <w:tc>
          <w:tcPr>
            <w:tcW w:type="dxa" w:w="160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03 Jul</w:t>
            </w:r>
          </w:p>
        </w:tc>
        <w:tc>
          <w:tcPr>
            <w:tcW w:type="dxa" w:w="280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US CASH MARKET CLOSED — Independence Day</w:t>
            </w:r>
          </w:p>
        </w:tc>
        <w:tc>
          <w:tcPr>
            <w:tcW w:type="dxa" w:w="200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Holiday</w:t>
            </w:r>
          </w:p>
        </w:tc>
        <w:tc>
          <w:tcPr>
            <w:tcW w:type="dxa" w:w="90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60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cash trade; futures/global only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 Jul (Mon)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Cash session resumes; semis follow-through watch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Post-holiday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Second semis leg lower → test 7,452/7,422; stabilisation → retest 7,510/7,522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w/o 06 Jul</w:t>
            </w:r>
          </w:p>
        </w:tc>
        <w:tc>
          <w:tcPr>
            <w:tcW w:type="dxa" w:w="28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Q2 earnings-season ramp begins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Mega-cap tech ahead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Beat-and-raise from AI names could re-accelerate trend; guidance cuts extend the derate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w/o 06 Jul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Fed speakers / CPI watch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Warsh hawkish; PCE 4.1%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Hot inflation = rate-path risk, index-negative</w:t>
            </w:r>
          </w:p>
        </w:tc>
      </w:tr>
    </w:tbl>
    <w:p>
      <w:pPr>
        <w:spacing w:after="100" w:line="264"/>
      </w:pPr>
      <w:r>
        <w:rPr>
          <w:b/>
          <w:bCs/>
          <w:sz w:val="20"/>
          <w:szCs w:val="20"/>
        </w:rPr>
        <w:t xml:space="preserve">Highest-impact upcoming event: </w:t>
      </w:r>
      <w:r>
        <w:rPr>
          <w:b/>
          <w:bCs/>
          <w:sz w:val="20"/>
          <w:szCs w:val="20"/>
        </w:rPr>
        <w:t xml:space="preserve">the 06 July resumption and whether the semiconductor de-rating extends. </w:t>
      </w:r>
      <w:r>
        <w:rPr>
          <w:sz w:val="20"/>
          <w:szCs w:val="20"/>
        </w:rPr>
        <w:t xml:space="preserve">A second leg lower in memory/AI names would most likely drag the cap-weighted index back through the 7,480 pivot into the 7,452/7,422 shelf and flip short-term momentum bearish.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§14  Macro Context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Rates &amp; policy: soft June payrolls (57k) nudge the market toward a patient Fed, but Chair Warsh's hawkish inflation stance (PCE ~4.1%) keeps a two-sided rate path. Cross-referencing §10, the low VIX says markets are pricing calm — a hot CPI on resumption is the main tail risk.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Inflation: PCE at multi-year highs is the key price-negative macro variable; it caps multiple expansion and keeps the front end of the curve firm.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Liquidity &amp; FX: per §10, a soft-to-flat USDX (~101.1) eases conditions and supports multinational earnings translation — a mild positive for the index.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Positioning: VIX ~16.6 (low) and a strong prior quarter imply crowded, complacent longs — favourable while calm holds, but it raises gap risk into the earnings-season catalysts flagged in §13d.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§15  Bull / Bear Balance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Main upside risks</w:t>
            </w:r>
          </w:p>
        </w:tc>
        <w:tc>
          <w:tcPr>
            <w:tcW w:type="dxa" w:w="46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Main downside risks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Medium-term uptrend intact (§9); price above daily &amp; monthly pivots (§11); low VIX and soft dollar (§10, §14); broadening breadth into defensives/industrials; institutional 'buy-the-dip' stance (§13a).</w:t>
            </w:r>
          </w:p>
        </w:tc>
        <w:tc>
          <w:tcPr>
            <w:tcW w:type="dxa" w:w="468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Semiconductor/AI de-rating extends (§12, §13d — the flagged Tier-1 event); efficiency fading to 'Ranging – Upward Bias' (§9); RSI2 exhaustion 100→0 (§8); PCE at multi-year highs and a hawkish Fed (§14); complacent positioning / gap risk at the highs.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§16  Forward View</w:t>
      </w:r>
    </w:p>
    <w:p>
      <w:pPr>
        <w:spacing w:after="100" w:line="264"/>
      </w:pPr>
      <w:r>
        <w:rPr>
          <w:sz w:val="20"/>
          <w:szCs w:val="20"/>
        </w:rPr>
        <w:t xml:space="preserve">Base case over the next five sessions: a </w:t>
      </w:r>
      <w:r>
        <w:rPr>
          <w:b/>
          <w:bCs/>
          <w:sz w:val="20"/>
          <w:szCs w:val="20"/>
        </w:rPr>
        <w:t xml:space="preserve">consolidation-with-upside-bias</w:t>
      </w:r>
      <w:r>
        <w:rPr>
          <w:sz w:val="20"/>
          <w:szCs w:val="20"/>
        </w:rPr>
        <w:t xml:space="preserve"> — the index balances on the 7,477–7,480 pivot cluster and works a 7,452–7,522 range while the semiconductor rotation resolves. Expected trading range </w:t>
      </w:r>
      <w:r>
        <w:rPr>
          <w:b/>
          <w:bCs/>
          <w:sz w:val="20"/>
          <w:szCs w:val="20"/>
        </w:rPr>
        <w:t xml:space="preserve">7,452 – 7,530 pts</w:t>
      </w:r>
      <w:r>
        <w:rPr>
          <w:sz w:val="20"/>
          <w:szCs w:val="20"/>
        </w:rPr>
        <w:t xml:space="preserve">, with a stretch objective at 7,568 (daily R3) if the 7,522 high is reclaimed and monthly R1 at 7,668 only on a fresh trend leg. This respects the medium-term bullish regime (§9) while acknowledging the short-term Indecision label (§8). </w:t>
      </w:r>
      <w:r>
        <w:rPr>
          <w:b/>
          <w:bCs/>
          <w:sz w:val="20"/>
          <w:szCs w:val="20"/>
        </w:rPr>
        <w:t xml:space="preserve">Base-case invalidation: </w:t>
      </w:r>
      <w:r>
        <w:rPr>
          <w:sz w:val="20"/>
          <w:szCs w:val="20"/>
        </w:rPr>
        <w:t xml:space="preserve">a daily close back through the 7,452/7,422 confluence shelf (§11) flips the near-term structure bearish and opens 7,394 then the 7,337 June-low retest. This view references the §13d resumption/earnings calendar as the primary swing factor and does not contradict the regime read.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§17  Forecast</w:t>
      </w:r>
    </w:p>
    <w:p>
      <w:pPr>
        <w:spacing w:after="100" w:line="264"/>
      </w:pPr>
      <w:r>
        <w:rPr>
          <w:b/>
          <w:bCs/>
          <w:sz w:val="22"/>
          <w:szCs w:val="22"/>
        </w:rPr>
        <w:t xml:space="preserve">The S&amp;P 500 holds its 7,452–7,480 pivot shelf and grinds modestly higher toward 7,510–7,530 over the coming sessions, provided the semiconductor de-rating does not extend into a second leg.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§18  Final Analyst Judgement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Consensus price call: 7,482 pts (range 7,449–7,522), medium confidence. </w:t>
      </w:r>
      <w:r>
        <w:rPr>
          <w:sz w:val="20"/>
          <w:szCs w:val="20"/>
        </w:rPr>
        <w:t xml:space="preserve">Three most important reasons: (1) the medium-term uptrend and cross-asset backdrop remain constructive (§9, §10); (2) short-term momentum is exhausted and compressing, capping conviction (§8); (3) the semiconductor rotation is the dominant unresolved driver (§12). </w:t>
      </w:r>
      <w:r>
        <w:rPr>
          <w:b/>
          <w:bCs/>
          <w:sz w:val="20"/>
          <w:szCs w:val="20"/>
        </w:rPr>
        <w:t xml:space="preserve">Single watch item: </w:t>
      </w:r>
      <w:r>
        <w:rPr>
          <w:sz w:val="20"/>
          <w:szCs w:val="20"/>
        </w:rPr>
        <w:t xml:space="preserve">the 06 July resumption and whether AI/semiconductor selling extends through the 7,452/7,422 support shelf.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§19  Source Discipline Note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Live vs indicative: session closes for all five days are two-source corroborated within the ±0.10-pt equity-index tolerance (index-close providers + desks). Intraday Open/High/Low for the recent sessions are single-source — indicative only, because free historical OHLC feeds were cache-lagged or access-restricted at run time.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Corroboration status per instrument: S&amp;P 500 closes CORROBORATED; S&amp;P 500 intraday O/H/L INDICATIVE. Counters (USDX, VIX, DAX) directional-only, single-source indicative levels.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color w:val="B26A00"/>
          <w:sz w:val="20"/>
          <w:szCs w:val="20"/>
        </w:rPr>
        <w:t xml:space="preserve">Data gaps: because prior-period High/Low used for pivots are indicative, ALL daily/weekly/monthly pivot tiers carry a SINGLE-SOURCE-INDICATIVE flag. The strategy section below was still produced per instruction, with corroboration leniency explicitly applied and every level-based trade flagged accordingly.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Normalization: CFD-derived quote (7,478) retained for confirmation only and excluded from OHLC.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§20  Agent Log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Sources attempted (OHLC/close): Investing.com (cache-lagged to 24 Jun), Stooq (blocked at fetch), FRED (close-only, corroborator), CNBC (bot-blocked on live blog; snippet used), TheStreet, Trading Economics (CFD), StreetStats, Zacks/Yahoo relay. Corroboration achieved on closes via CNBC×Zacks, FRED×CNBC, StreetStats×Yahoo back-calculation.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Validation method: two-source close corroboration within ±0.10 pt; intraday O/H/L accepted as single-source indicative and flagged. RSI2 period fixed at 2, computed from validated closes.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Sentiment derivation: 6 articles, source-class weighted → tilt −0.15 (mild bearish), balanced categorical.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Strategy trace: direction-scoring weights at v2.1 defaults (weights basis: defaults; locked). Signal contributions — medium-term regime +1.0 (w 0.20), efficiency +0.84 (w 0.15), short-term technical 0.0 (w 0.25), volatility −0.5 (w 0.10), sentiment −0.15 (w 0.15), cross-asset 0.0 (w 0.15). Aggregate score +0.25 → LONG (marginal, at threshold). Composite regime label TRANSITION → Trade 3 forks to Momentum-Breakout variant.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color w:val="B26A00"/>
          <w:sz w:val="20"/>
          <w:szCs w:val="20"/>
        </w:rPr>
        <w:t xml:space="preserve">Override applied per operator instruction: the daily-open anchor was overridden from the 07:00 UK European-session anchor to a 00:00 UK anchor for this run, and the as-of date was set to 03 July 2026. This is a configuration change flagged here for traceability.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sz w:val="20"/>
          <w:szCs w:val="20"/>
        </w:rPr>
        <w:t xml:space="preserve">Backtest reconstruction: 5 sessions (26 Jun–02 Jul) replayed at each t−1 close; sentiment frozen at t−1; pivots/ATR/regime recomputed with no forward leakage. Anomaly: 03 Jul is a market holiday, so resolution windows roll to the 06 Jul resumption. Timestamp: 03 Jul 2026.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§21  Strategy Recommendations</w:t>
      </w:r>
    </w:p>
    <w:p>
      <w:pPr>
        <w:spacing w:after="100" w:line="264"/>
      </w:pPr>
      <w:r>
        <w:rPr>
          <w:i/>
          <w:iCs/>
          <w:color w:val="595959"/>
          <w:sz w:val="18"/>
          <w:szCs w:val="18"/>
        </w:rPr>
        <w:t xml:space="preserve">Native execution unit: index points (1 point = 1.0 index unit; tick 0.01). All stops/targets shown in points; R stated in points.</w:t>
      </w:r>
    </w:p>
    <w:p>
      <w:pPr>
        <w:pStyle w:val="Heading2"/>
        <w:spacing w:after="80" w:before="180"/>
      </w:pPr>
      <w:r>
        <w:rPr>
          <w:b/>
          <w:bCs/>
          <w:color w:val="AD1457"/>
          <w:sz w:val="24"/>
          <w:szCs w:val="24"/>
        </w:rPr>
        <w:t xml:space="preserve">§21a  Directional Conviction</w:t>
      </w:r>
    </w:p>
    <w:p>
      <w:pPr>
        <w:spacing w:after="100" w:line="264"/>
      </w:pPr>
      <w:r>
        <w:rPr>
          <w:sz w:val="20"/>
          <w:szCs w:val="20"/>
        </w:rPr>
        <w:t xml:space="preserve">Direction: </w:t>
      </w:r>
      <w:r>
        <w:rPr>
          <w:b/>
          <w:bCs/>
          <w:sz w:val="20"/>
          <w:szCs w:val="20"/>
        </w:rPr>
        <w:t xml:space="preserve">LONG</w:t>
      </w:r>
      <w:r>
        <w:rPr>
          <w:sz w:val="20"/>
          <w:szCs w:val="20"/>
        </w:rPr>
        <w:t xml:space="preserve">, score </w:t>
      </w:r>
      <w:r>
        <w:rPr>
          <w:b/>
          <w:bCs/>
          <w:sz w:val="20"/>
          <w:szCs w:val="20"/>
        </w:rPr>
        <w:t xml:space="preserve">+0.25</w:t>
      </w:r>
      <w:r>
        <w:rPr>
          <w:sz w:val="20"/>
          <w:szCs w:val="20"/>
        </w:rPr>
        <w:t xml:space="preserve"> (at the conviction threshold — a marginal long). The three highest-weighted contributing signals are the medium-term uptrend (§9) at +1.0 weighted, short-term technical bias (§8) at 0.0 weighted (the drag on conviction), and the efficiency/Kaufman upward bias (§9) at +0.84 weighted; sentiment (§13b) contributes −0.15 and cross-asset (§10) is neutral-to-confirming. Weights basis: defaults. </w:t>
      </w:r>
      <w:r>
        <w:rPr>
          <w:b/>
          <w:bCs/>
          <w:sz w:val="20"/>
          <w:szCs w:val="20"/>
        </w:rPr>
        <w:t xml:space="preserve">Conflict flag: </w:t>
      </w:r>
      <w:r>
        <w:rPr>
          <w:sz w:val="20"/>
          <w:szCs w:val="20"/>
        </w:rPr>
        <w:t xml:space="preserve">§17 leans mildly constructive and the directional score is LONG, so there is no directional conflict; both are explicitly low-conviction given the compression. Regime label is TRANSITION, so Trade 3 is built as a Momentum-Breakout.</w:t>
      </w:r>
    </w:p>
    <w:p>
      <w:pPr>
        <w:pStyle w:val="Heading2"/>
        <w:spacing w:after="80" w:before="180"/>
      </w:pPr>
      <w:r>
        <w:rPr>
          <w:b/>
          <w:bCs/>
          <w:color w:val="AD1457"/>
          <w:sz w:val="24"/>
          <w:szCs w:val="24"/>
        </w:rPr>
        <w:t xml:space="preserve">§21b  Trade Cards</w:t>
      </w:r>
    </w:p>
    <w:p>
      <w:pPr>
        <w:spacing w:after="100" w:line="264"/>
      </w:pPr>
      <w:r>
        <w:rPr>
          <w:b/>
          <w:bCs/>
          <w:color w:val="AD1457"/>
          <w:sz w:val="21"/>
          <w:szCs w:val="21"/>
        </w:rPr>
        <w:t xml:space="preserve">Trade 1 — Daily Directional (LONG, marginal-conviction)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AD145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shd w:fill="AD145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 — marginal conviction at threshold (score +0.25); intact medium-term uptrend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 at 00:00 UK (overridden daily-open anchor) ≈ 7,482.5 pts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7,428 pts — 54.5 pts below entry. Anchor: below the 7,452/7,450 support shelf + buffer; within the 3.5×ATR cap (ATR≈86 pts, cap≈300 pts)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 (R)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54.5 points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7,537 pts — +1R (+54.5 pts). Confluence: daily R2 (7,538)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7,591 pts — +2R (+109 pts). On fill, Unit 3 stop → entry +0.2R (7,493)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TP3 (Unit 3 — runner)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Time-stop at session close, or +3×ATR (~7,740) cap, whichever first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equal units; U1 exits TP1; U2 exits TP2; on U2 fill U3 stop → entry +0.2R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 at weekly R1 (7,477) / daily P (7,480) cluster — strong confluence; SL just under daily S1/monthly P (7,452) shelf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close back through 7,452 (below the S1/monthly-P shelf) — breaks the long narrative; sits above the 7,428 stop ('stop ahead of invalidation')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Caveats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26A00"/>
                <w:sz w:val="18"/>
                <w:szCs w:val="18"/>
              </w:rPr>
              <w:t xml:space="preserve">Marginal conviction (score at threshold); wide-stop flag (1R&gt;1×ATR is false here, 54.5&lt;86, OK); low-confidence sentiment tilt; holding period collides with the 06 Jul resumption / semis follow-through (§13d).</w:t>
            </w:r>
          </w:p>
        </w:tc>
      </w:tr>
    </w:tbl>
    <w:p>
      <w:pPr>
        <w:spacing w:after="100" w:line="264"/>
      </w:pPr>
      <w:r>
        <w:rPr>
          <w:b/>
          <w:bCs/>
          <w:color w:val="AD1457"/>
          <w:sz w:val="21"/>
          <w:szCs w:val="21"/>
        </w:rPr>
        <w:t xml:space="preserve">Trade 2 — Pivot (TRANSITION: breakout side only)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AD145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shd w:fill="AD145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shd w:fill="FDEC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shd w:fill="FDECE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SUPPRESSED — all accessible pivot tiers are SINGLE-SOURCE-INDICATIVE per §19 (prior-period High/Low are indicative). Level-based limit/stop orders cannot be placed against indicative pivots.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Had it produced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 TRANSITION, only the breakout side is allowed (upside): a stop-entry above daily R1 7,510 toward R1.5/R2 (7,524/7,538), targeting R2/R3. Shown for context only — not actionable given the indicative flag.</w:t>
            </w:r>
          </w:p>
        </w:tc>
      </w:tr>
    </w:tbl>
    <w:p>
      <w:pPr>
        <w:spacing w:after="100" w:line="264"/>
      </w:pPr>
      <w:r>
        <w:rPr>
          <w:b/>
          <w:bCs/>
          <w:color w:val="AD1457"/>
          <w:sz w:val="21"/>
          <w:szCs w:val="21"/>
        </w:rPr>
        <w:t xml:space="preserve">Trade 3 — Momentum-Breakout (3C, TRANSITION regime)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AD145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shd w:fill="AD145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type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3C — Momentum-Breakout (post-compression, generous structural stop)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Range definition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25-session range: high 7,620.9 / low 7,237.85 (width 383.05 pts)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 trigger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Upside — recent failed retests at the upper zone with low VIX and DAX confirming risk-on (§10); long on a confirmed break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 break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close above 7,620.9 by ≥ 0.25×ATR (~21 pts), i.e. a close above ~7,642. NOT YET MET — trade is conditional/eligible-on-break only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 confirmed breakout, at the breakout candle close (or next session open)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7,391 pts — inside range at low + 0.40×width (7,237.85 + 153.2). Generous post-compression stop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Measured move: 7,620.9 + 1.0×width = 8,004 pts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1.5×MM: 7,620.9 + 1.5×width ≈ 8,195 pts. On fill, U3 stop → broken boundary (7,621)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TP3 (Unit 3 — runner)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Discretionary trail beyond 1.5×MM, anchored to subsequent swing structure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equal units; universal tranching; on U2 fill U3 stop → 7,621 (tighter than the 0.2R trail)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 level aligns with the early-June record zone (7,620) and monthly R1 (7,668) overhead as first hurdle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close back inside the range past the midpoint (~7,429)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Caveats</w:t>
            </w:r>
          </w:p>
        </w:tc>
        <w:tc>
          <w:tcPr>
            <w:tcW w:type="dxa" w:w="69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26A00"/>
                <w:sz w:val="18"/>
                <w:szCs w:val="18"/>
              </w:rPr>
              <w:t xml:space="preserve">Conditional — not triggered until a confirmed close above ~7,642; single-source-indicative range boundaries; collides with 06 Jul resumption/earnings (§13d); measured-move targets are structural, not forecasts.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AD1457"/>
          <w:sz w:val="24"/>
          <w:szCs w:val="24"/>
        </w:rPr>
        <w:t xml:space="preserve">§21c  5-Session No-Leakage Backtest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60"/>
        <w:gridCol w:w="1200"/>
        <w:gridCol w:w="1200"/>
        <w:gridCol w:w="1100"/>
        <w:gridCol w:w="1600"/>
        <w:gridCol w:w="1400"/>
        <w:gridCol w:w="1300"/>
      </w:tblGrid>
      <w:tr>
        <w:trPr>
          <w:tblHeader/>
        </w:trPr>
        <w:tc>
          <w:tcPr>
            <w:tcW w:type="dxa" w:w="1560"/>
            <w:shd w:fill="AD145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200"/>
            <w:shd w:fill="AD145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200"/>
            <w:shd w:fill="AD145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100"/>
            <w:shd w:fill="AD145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600"/>
            <w:shd w:fill="AD145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400"/>
            <w:shd w:fill="AD145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300"/>
            <w:shd w:fill="AD145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 Jun (t−5)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1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NEUTRAL/SUPPRESSED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 Jun (t−4)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7,366 / +TP1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+1.0R (partial +2R U2)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Jun (t−3)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1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7,452 / +TP1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+1.0R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01 Jul (t−2)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1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7,479 / stop-out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−1.0R (reversed intraday)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02 Jul (t−1)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1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NEUTRAL/SUPPRESSED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 Jun–02 Jul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2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SUPPRESSED (indicative pivots)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 Jun–02 Jul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 3C</w:t>
            </w:r>
          </w:p>
        </w:tc>
        <w:tc>
          <w:tcPr>
            <w:tcW w:type="dxa" w:w="12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 (conditional)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(no confirmed break)</w:t>
            </w:r>
          </w:p>
        </w:tc>
        <w:tc>
          <w:tcPr>
            <w:tcW w:type="dxa" w:w="16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line="264"/>
      </w:pPr>
      <w:r>
        <w:rPr>
          <w:i/>
          <w:iCs/>
          <w:color w:val="B26A00"/>
          <w:sz w:val="17"/>
          <w:szCs w:val="17"/>
        </w:rPr>
        <w:t xml:space="preserve">Reconstruction uses indicative intraday levels; treat R-outcomes as a directional sanity-check only, not validated fills.</w:t>
      </w:r>
    </w:p>
    <w:p>
      <w:pPr>
        <w:pStyle w:val="Heading2"/>
        <w:spacing w:after="80" w:before="180"/>
      </w:pPr>
      <w:r>
        <w:rPr>
          <w:b/>
          <w:bCs/>
          <w:color w:val="AD1457"/>
          <w:sz w:val="24"/>
          <w:szCs w:val="24"/>
        </w:rPr>
        <w:t xml:space="preserve">§21d  What Is Working</w:t>
      </w:r>
    </w:p>
    <w:p>
      <w:pPr>
        <w:spacing w:after="100" w:line="264"/>
      </w:pPr>
      <w:r>
        <w:rPr>
          <w:b/>
          <w:bCs/>
          <w:sz w:val="20"/>
          <w:szCs w:val="20"/>
        </w:rPr>
        <w:t xml:space="preserve">Trade 1 over the last 5 sessions: </w:t>
      </w:r>
      <w:r>
        <w:rPr>
          <w:sz w:val="20"/>
          <w:szCs w:val="20"/>
        </w:rPr>
        <w:t xml:space="preserve">triggered 3/5 times, mean R ≈ +0.33, hit rates TP1/TP2/TP3 ≈ 67% / 33% / 0%. Trade 2 suppressed all sessions (indicative pivots). Trade 3C never triggered (no confirmed range break). Strongest performer: Trade 1 (only strategy with closed positions). Weakest performer: insufficient triggers to rank Trades 2 and 3C.</w:t>
      </w:r>
    </w:p>
    <w:p>
      <w:pPr>
        <w:spacing w:after="100" w:line="264"/>
      </w:pPr>
      <w:r>
        <w:rPr>
          <w:i/>
          <w:iCs/>
          <w:sz w:val="18"/>
          <w:szCs w:val="18"/>
        </w:rPr>
        <w:t xml:space="preserve">Limitations: 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BFBFBF" w:sz="4"/>
        </w:pBdr>
        <w:spacing w:before="200"/>
      </w:pPr>
      <w:r>
        <w:rPr>
          <w:i/>
          <w:iCs/>
          <w:color w:val="595959"/>
          <w:sz w:val="16"/>
          <w:szCs w:val="16"/>
        </w:rPr>
        <w:t xml:space="preserve">This report is a forward-test analytical exercise, not investment advice. Data corroboration limitations are documented in §19. Not a recommendation to buy or sell any security.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S&amp;P 500 Daily Report │ 03 July 2026 │ Senior US Equity Strategist      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934e701ed822c42633d63f5e258d6aa63f6ef8.png"/><Relationship Id="rId9" Type="http://schemas.openxmlformats.org/officeDocument/2006/relationships/image" Target="media/c25b8675b05a6f31159f067d5565504f6365c7e4.png"/><Relationship Id="rId10" Type="http://schemas.openxmlformats.org/officeDocument/2006/relationships/image" Target="media/8bba1c6038f38518ef00edc7b1bb36b1c2ad93d9.png"/><Relationship Id="rId11" Type="http://schemas.openxmlformats.org/officeDocument/2006/relationships/image" Target="media/d3cb7d812b38f06604d7faf1eeecabb6003b0c6e.png"/><Relationship Id="rId12" Type="http://schemas.openxmlformats.org/officeDocument/2006/relationships/image" Target="media/f9860cde2783f05010aae81f4a0800a167cc21a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S&amp;P 500 Report — Daily 03 July 2026</dc:title>
  <dc:creator>Senior US Equity Strategist</dc:creator>
  <cp:lastModifiedBy>Un-named</cp:lastModifiedBy>
  <cp:revision>1</cp:revision>
  <dcterms:created xsi:type="dcterms:W3CDTF">2026-07-02T21:46:17.867Z</dcterms:created>
  <dcterms:modified xsi:type="dcterms:W3CDTF">2026-07-02T21:46:17.881Z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