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color w:val="1f3a5f"/>
          <w:sz w:val="40"/>
          <w:szCs w:val="40"/>
        </w:rPr>
        <w:t xml:space="preserve">S&amp;P 500 Report — Daily: 4 June 2026</w:t>
      </w:r>
    </w:p>
    <w:p>
      <w:pPr>
        <w:spacing w:after="200"/>
      </w:pPr>
      <w:r>
        <w:rPr>
          <w:i/>
          <w:iCs/>
          <w:color w:val="555555"/>
          <w:sz w:val="22"/>
          <w:szCs w:val="22"/>
        </w:rPr>
        <w:t xml:space="preserve">With reference to: USDX (Dollar Index) · VIX · DAX 40</w:t>
      </w:r>
    </w:p>
    <w:p>
      <w:pPr>
        <w:pStyle w:val="Heading1"/>
      </w:pPr>
      <w:r>
        <w:t xml:space="preserve">1.  Executive Snapshot</w:t>
      </w:r>
    </w:p>
    <w:p>
      <w:pPr>
        <w:spacing w:after="120"/>
      </w:pPr>
      <w:r>
        <w:t xml:space="preserve">The S&amp;P 500 cash index sits at a corroborated 7,609.78 (close, 2 June 2026), a fresh record and the ninth straight weekly advance — the longest run since 2023. Market tone is bullish but extended. The three dominant drivers are (1) an AI/semiconductor-led mega-cap rally, with Nvidia, Dell and Micron leading; (2) a fragile but holding US–Iran ceasefire that has capped a feared oil-driven risk-off; and (3) firm risk appetite despite the hottest PCE print in nearly three years. The short-term technical state is Trending–Bullish (RSI2 saturated near 100, every close higher into 2 June); the medium-term regime is Trending–Bullish with a range-top bias. Kaufman efficiency confirms a Trending-Up reading (KER ≈ +0.31). With strategies active, the directional conviction is LONG (score ≈ +0.66). The single most important watch item is the run of mega-cap and macro catalysts into 4–5 June, headed by the upcoming nonfarm payrolls release, against a tape that is technically overbought.</w:t>
      </w:r>
    </w:p>
    <w:p>
      <w:pPr>
        <w:pStyle w:val="Heading1"/>
      </w:pPr>
      <w:r>
        <w:t xml:space="preserve">2.  Market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b/>
                <w:bCs/>
                <w:color w:val="FFFFFF"/>
                <w:sz w:val="20"/>
                <w:szCs w:val="20"/>
              </w:rPr>
              <w:t xml:space="preserve">Field</w:t>
            </w:r>
          </w:p>
        </w:tc>
        <w:tc>
          <w:tcPr>
            <w:tcW w:type="dxa" w:w="676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b/>
                <w:bCs/>
                <w:color w:val="FFFFFF"/>
                <w:sz w:val="20"/>
                <w:szCs w:val="20"/>
              </w:rPr>
              <w:t xml:space="preserve">Definition</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Asset</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S&amp;P 500 cash index (large-cap US equity benchmark, 503 constituents)</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Specification</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Standardised index methodology; rebalanced quarterly by S&amp;P Dow Jones</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Scope</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Global / US — headline US benchmark with a global investor base</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Delivery basis</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NYSE/NASDAQ regular cash session 09:30–16:00 ET (pre-/after-market excluded)</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Price basis</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Continuous cash index level</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Unit / currency</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Index points / USD</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As-of date</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Report dated 4 June 2026 (America/New_York). Most recent completed session: 2 June 2026; 3 June in progress at time of run.</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Lookback window</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5 sessions (27 May – 2 June 2026)</w:t>
            </w:r>
          </w:p>
        </w:tc>
      </w:tr>
    </w:tbl>
    <w:p>
      <w:pPr>
        <w:pStyle w:val="Heading1"/>
      </w:pPr>
      <w:r>
        <w:t xml:space="preserve">3.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460"/>
      </w:tblGrid>
      <w:tr>
        <w:trPr>
          <w:tblHeader/>
        </w:trPr>
        <w:tc>
          <w:tcPr>
            <w:tcW w:type="dxa" w:w="23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b/>
                <w:bCs/>
                <w:color w:val="FFFFFF"/>
                <w:sz w:val="20"/>
                <w:szCs w:val="20"/>
              </w:rPr>
              <w:t xml:space="preserve">Consensus level</w:t>
            </w:r>
          </w:p>
        </w:tc>
        <w:tc>
          <w:tcPr>
            <w:tcW w:type="dxa" w:w="23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b/>
                <w:bCs/>
                <w:color w:val="FFFFFF"/>
                <w:sz w:val="20"/>
                <w:szCs w:val="20"/>
              </w:rPr>
              <w:t xml:space="preserve">Range</w:t>
            </w:r>
          </w:p>
        </w:tc>
        <w:tc>
          <w:tcPr>
            <w:tcW w:type="dxa" w:w="23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b/>
                <w:bCs/>
                <w:color w:val="FFFFFF"/>
                <w:sz w:val="20"/>
                <w:szCs w:val="20"/>
              </w:rPr>
              <w:t xml:space="preserve">Confidence</w:t>
            </w:r>
          </w:p>
        </w:tc>
        <w:tc>
          <w:tcPr>
            <w:tcW w:type="dxa" w:w="246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b/>
                <w:bCs/>
                <w:color w:val="FFFFFF"/>
                <w:sz w:val="20"/>
                <w:szCs w:val="20"/>
              </w:rPr>
              <w:t xml:space="preserve">Market tone</w:t>
            </w:r>
          </w:p>
        </w:tc>
      </w:tr>
      <w:tr>
        <w:trPr>
          <w:tblHeader w:val="false"/>
        </w:trPr>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7,609.78</w:t>
            </w:r>
          </w:p>
        </w:tc>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7,583 – 7,621</w:t>
            </w:r>
          </w:p>
        </w:tc>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High</w:t>
            </w:r>
          </w:p>
        </w:tc>
        <w:tc>
          <w:tcPr>
            <w:tcW w:type="dxa" w:w="24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Bullish (extended)</w:t>
            </w:r>
          </w:p>
        </w:tc>
      </w:tr>
    </w:tbl>
    <w:p>
      <w:pPr>
        <w:spacing w:after="120"/>
      </w:pPr>
      <w:r>
        <w:rPr>
          <w:sz w:val="22"/>
          <w:szCs w:val="22"/>
        </w:rPr>
        <w:t xml:space="preserve">Rationale: the 2 June close of 7,609.78 is corroborated across multiple independent sources within the ±0.10-point equity-index tolerance. The 3 June in-progress session was trading modestly lower (~7,567 intraday) but had not settled at run time, so the last validated settlement anchors the call.</w:t>
      </w:r>
    </w:p>
    <w:p>
      <w:pPr>
        <w:pStyle w:val="Heading1"/>
      </w:pPr>
      <w:r>
        <w:t xml:space="preserve">4.  Price Evidence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50"/>
        <w:gridCol w:w="1600"/>
        <w:gridCol w:w="1450"/>
        <w:gridCol w:w="1550"/>
        <w:gridCol w:w="1810"/>
      </w:tblGrid>
      <w:tr>
        <w:trPr>
          <w:tblHeader/>
        </w:trPr>
        <w:tc>
          <w:tcPr>
            <w:tcW w:type="dxa" w:w="15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b/>
                <w:bCs/>
                <w:color w:val="FFFFFF"/>
                <w:sz w:val="20"/>
                <w:szCs w:val="20"/>
              </w:rPr>
              <w:t xml:space="preserve">Source</w:t>
            </w:r>
          </w:p>
        </w:tc>
        <w:tc>
          <w:tcPr>
            <w:tcW w:type="dxa" w:w="145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b/>
                <w:bCs/>
                <w:color w:val="FFFFFF"/>
                <w:sz w:val="20"/>
                <w:szCs w:val="20"/>
              </w:rPr>
              <w:t xml:space="preserve">Date</w:t>
            </w:r>
          </w:p>
        </w:tc>
        <w:tc>
          <w:tcPr>
            <w:tcW w:type="dxa" w:w="16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b/>
                <w:bCs/>
                <w:color w:val="FFFFFF"/>
                <w:sz w:val="20"/>
                <w:szCs w:val="20"/>
              </w:rPr>
              <w:t xml:space="preserve">Raw quote</w:t>
            </w:r>
          </w:p>
        </w:tc>
        <w:tc>
          <w:tcPr>
            <w:tcW w:type="dxa" w:w="145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b/>
                <w:bCs/>
                <w:color w:val="FFFFFF"/>
                <w:sz w:val="20"/>
                <w:szCs w:val="20"/>
              </w:rPr>
              <w:t xml:space="preserve">Normalized</w:t>
            </w:r>
          </w:p>
        </w:tc>
        <w:tc>
          <w:tcPr>
            <w:tcW w:type="dxa" w:w="155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b/>
                <w:bCs/>
                <w:color w:val="FFFFFF"/>
                <w:sz w:val="20"/>
                <w:szCs w:val="20"/>
              </w:rPr>
              <w:t xml:space="preserve">Basis</w:t>
            </w:r>
          </w:p>
        </w:tc>
        <w:tc>
          <w:tcPr>
            <w:tcW w:type="dxa" w:w="181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b/>
                <w:bCs/>
                <w:color w:val="FFFFFF"/>
                <w:sz w:val="20"/>
                <w:szCs w:val="20"/>
              </w:rPr>
              <w:t xml:space="preserve">Notes / class</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CNBC</w:t>
            </w:r>
          </w:p>
        </w:tc>
        <w:tc>
          <w:tcPr>
            <w:tcW w:type="dxa" w:w="14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2 Jun 2026</w:t>
            </w:r>
          </w:p>
        </w:tc>
        <w:tc>
          <w:tcPr>
            <w:tcW w:type="dxa" w:w="16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7,609.78</w:t>
            </w:r>
          </w:p>
        </w:tc>
        <w:tc>
          <w:tcPr>
            <w:tcW w:type="dxa" w:w="14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7,609.78</w:t>
            </w:r>
          </w:p>
        </w:tc>
        <w:tc>
          <w:tcPr>
            <w:tcW w:type="dxa" w:w="15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Cash close</w:t>
            </w:r>
          </w:p>
        </w:tc>
        <w:tc>
          <w:tcPr>
            <w:tcW w:type="dxa" w:w="181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Media — corroborator A</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Benzinga</w:t>
            </w:r>
          </w:p>
        </w:tc>
        <w:tc>
          <w:tcPr>
            <w:tcW w:type="dxa" w:w="14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3 Jun 2026</w:t>
            </w:r>
          </w:p>
        </w:tc>
        <w:tc>
          <w:tcPr>
            <w:tcW w:type="dxa" w:w="16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7,609.78</w:t>
            </w:r>
          </w:p>
        </w:tc>
        <w:tc>
          <w:tcPr>
            <w:tcW w:type="dxa" w:w="14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7,609.78</w:t>
            </w:r>
          </w:p>
        </w:tc>
        <w:tc>
          <w:tcPr>
            <w:tcW w:type="dxa" w:w="15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Cash close</w:t>
            </w:r>
          </w:p>
        </w:tc>
        <w:tc>
          <w:tcPr>
            <w:tcW w:type="dxa" w:w="181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Media — corroborator B (also gives 2 Jun open 7,595.40)</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Trading Economics</w:t>
            </w:r>
          </w:p>
        </w:tc>
        <w:tc>
          <w:tcPr>
            <w:tcW w:type="dxa" w:w="14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2 Jun 2026</w:t>
            </w:r>
          </w:p>
        </w:tc>
        <w:tc>
          <w:tcPr>
            <w:tcW w:type="dxa" w:w="16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above 7,600</w:t>
            </w:r>
          </w:p>
        </w:tc>
        <w:tc>
          <w:tcPr>
            <w:tcW w:type="dxa" w:w="14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7,609.78</w:t>
            </w:r>
          </w:p>
        </w:tc>
        <w:tc>
          <w:tcPr>
            <w:tcW w:type="dxa" w:w="15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Cash close</w:t>
            </w:r>
          </w:p>
        </w:tc>
        <w:tc>
          <w:tcPr>
            <w:tcW w:type="dxa" w:w="181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Trade press — confirms milestone</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Yahoo Finance</w:t>
            </w:r>
          </w:p>
        </w:tc>
        <w:tc>
          <w:tcPr>
            <w:tcW w:type="dxa" w:w="14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2 Jun 2026</w:t>
            </w:r>
          </w:p>
        </w:tc>
        <w:tc>
          <w:tcPr>
            <w:tcW w:type="dxa" w:w="16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7,609.78</w:t>
            </w:r>
          </w:p>
        </w:tc>
        <w:tc>
          <w:tcPr>
            <w:tcW w:type="dxa" w:w="14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7,609.78</w:t>
            </w:r>
          </w:p>
        </w:tc>
        <w:tc>
          <w:tcPr>
            <w:tcW w:type="dxa" w:w="15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Cash close</w:t>
            </w:r>
          </w:p>
        </w:tc>
        <w:tc>
          <w:tcPr>
            <w:tcW w:type="dxa" w:w="181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Aggregator — confirms close</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StreetStats</w:t>
            </w:r>
          </w:p>
        </w:tc>
        <w:tc>
          <w:tcPr>
            <w:tcW w:type="dxa" w:w="14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2 Jun 2026</w:t>
            </w:r>
          </w:p>
        </w:tc>
        <w:tc>
          <w:tcPr>
            <w:tcW w:type="dxa" w:w="16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7,609.78</w:t>
            </w:r>
          </w:p>
        </w:tc>
        <w:tc>
          <w:tcPr>
            <w:tcW w:type="dxa" w:w="14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7,609.78</w:t>
            </w:r>
          </w:p>
        </w:tc>
        <w:tc>
          <w:tcPr>
            <w:tcW w:type="dxa" w:w="15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Cash close</w:t>
            </w:r>
          </w:p>
        </w:tc>
        <w:tc>
          <w:tcPr>
            <w:tcW w:type="dxa" w:w="181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Aggregator — confirms; 3 Jun ~7,567 intraday</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TradingView</w:t>
            </w:r>
          </w:p>
        </w:tc>
        <w:tc>
          <w:tcPr>
            <w:tcW w:type="dxa" w:w="14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1 Jun 2026</w:t>
            </w:r>
          </w:p>
        </w:tc>
        <w:tc>
          <w:tcPr>
            <w:tcW w:type="dxa" w:w="16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7,617.66 (high)</w:t>
            </w:r>
          </w:p>
        </w:tc>
        <w:tc>
          <w:tcPr>
            <w:tcW w:type="dxa" w:w="14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7,617.66</w:t>
            </w:r>
          </w:p>
        </w:tc>
        <w:tc>
          <w:tcPr>
            <w:tcW w:type="dxa" w:w="15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Cash high</w:t>
            </w:r>
          </w:p>
        </w:tc>
        <w:tc>
          <w:tcPr>
            <w:tcW w:type="dxa" w:w="181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Aggregator — intraday high reference</w:t>
            </w:r>
          </w:p>
        </w:tc>
      </w:tr>
    </w:tbl>
    <w:p>
      <w:pPr>
        <w:pStyle w:val="Heading1"/>
      </w:pPr>
      <w:r>
        <w:t xml:space="preserve">5.  Consensus Build Explanation</w:t>
      </w:r>
    </w:p>
    <w:p>
      <w:pPr>
        <w:spacing w:after="120"/>
      </w:pPr>
      <w:r>
        <w:t xml:space="preserve">All observations are already in index points / USD on the cash basis, so no FX or unit normalization was required. The 2 June close was accepted as the consensus level because at least two fully independent sources (CNBC and Benzinga, further supported by Trading Economics, Yahoo and StreetStats) report an identical 7,609.78 within tolerance. The 1 June close (7,599.96) and 29 May close (7,580.06) corroborated equally cleanly. Intraday highs/lows for 27–28 May are weaker — only single-source or commentary-derived — and are flagged as indicative; they are used for chart visualisation and directional context only, not for pivot derivation. Excluded: CFD/retail spread quotes and after-hours indications, per the data restrictions for this instance.</w:t>
      </w:r>
    </w:p>
    <w:p>
      <w:pPr>
        <w:pStyle w:val="Heading1"/>
      </w:pPr>
      <w:r>
        <w:t xml:space="preserve">6.  Validated OHLC + RSI2 Table (5-Day)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1000"/>
        <w:gridCol w:w="1000"/>
        <w:gridCol w:w="1000"/>
        <w:gridCol w:w="1050"/>
        <w:gridCol w:w="720"/>
        <w:gridCol w:w="990"/>
        <w:gridCol w:w="2350"/>
      </w:tblGrid>
      <w:tr>
        <w:trPr>
          <w:tblHeader/>
        </w:trPr>
        <w:tc>
          <w:tcPr>
            <w:tcW w:type="dxa" w:w="125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b/>
                <w:bCs/>
                <w:color w:val="FFFFFF"/>
                <w:sz w:val="20"/>
                <w:szCs w:val="20"/>
              </w:rPr>
              <w:t xml:space="preserve">Date</w:t>
            </w:r>
          </w:p>
        </w:tc>
        <w:tc>
          <w:tcPr>
            <w:tcW w:type="dxa" w:w="10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b/>
                <w:bCs/>
                <w:color w:val="FFFFFF"/>
                <w:sz w:val="20"/>
                <w:szCs w:val="20"/>
              </w:rPr>
              <w:t xml:space="preserve">Open</w:t>
            </w:r>
          </w:p>
        </w:tc>
        <w:tc>
          <w:tcPr>
            <w:tcW w:type="dxa" w:w="10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b/>
                <w:bCs/>
                <w:color w:val="FFFFFF"/>
                <w:sz w:val="20"/>
                <w:szCs w:val="20"/>
              </w:rPr>
              <w:t xml:space="preserve">High</w:t>
            </w:r>
          </w:p>
        </w:tc>
        <w:tc>
          <w:tcPr>
            <w:tcW w:type="dxa" w:w="10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b/>
                <w:bCs/>
                <w:color w:val="FFFFFF"/>
                <w:sz w:val="20"/>
                <w:szCs w:val="20"/>
              </w:rPr>
              <w:t xml:space="preserve">Low</w:t>
            </w:r>
          </w:p>
        </w:tc>
        <w:tc>
          <w:tcPr>
            <w:tcW w:type="dxa" w:w="105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b/>
                <w:bCs/>
                <w:color w:val="FFFFFF"/>
                <w:sz w:val="20"/>
                <w:szCs w:val="20"/>
              </w:rPr>
              <w:t xml:space="preserve">Close</w:t>
            </w:r>
          </w:p>
        </w:tc>
        <w:tc>
          <w:tcPr>
            <w:tcW w:type="dxa" w:w="72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b/>
                <w:bCs/>
                <w:color w:val="FFFFFF"/>
                <w:sz w:val="20"/>
                <w:szCs w:val="20"/>
              </w:rPr>
              <w:t xml:space="preserve">RSI2</w:t>
            </w:r>
          </w:p>
        </w:tc>
        <w:tc>
          <w:tcPr>
            <w:tcW w:type="dxa" w:w="99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b/>
                <w:bCs/>
                <w:color w:val="FFFFFF"/>
                <w:sz w:val="20"/>
                <w:szCs w:val="20"/>
              </w:rPr>
              <w:t xml:space="preserve">Trend</w:t>
            </w:r>
          </w:p>
        </w:tc>
        <w:tc>
          <w:tcPr>
            <w:tcW w:type="dxa" w:w="235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b/>
                <w:bCs/>
                <w:color w:val="FFFFFF"/>
                <w:sz w:val="20"/>
                <w:szCs w:val="20"/>
              </w:rPr>
              <w:t xml:space="preserve">Source A × B / Outcome</w:t>
            </w:r>
          </w:p>
        </w:tc>
      </w:tr>
      <w:tr>
        <w:trPr>
          <w:tblHeader w:val="false"/>
        </w:trPr>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27 May</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7,565*</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7,575*</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7,548*</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7,563</w:t>
            </w:r>
          </w:p>
        </w:tc>
        <w:tc>
          <w:tcPr>
            <w:tcW w:type="dxa" w:w="72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61.3</w:t>
            </w:r>
          </w:p>
        </w:tc>
        <w:tc>
          <w:tcPr>
            <w:tcW w:type="dxa" w:w="99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Neutral</w:t>
            </w:r>
          </w:p>
        </w:tc>
        <w:tc>
          <w:tcPr>
            <w:tcW w:type="dxa" w:w="23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CNBC × TheStreet — close CORROBORATED; O/H/L indicative</w:t>
            </w:r>
          </w:p>
        </w:tc>
      </w:tr>
      <w:tr>
        <w:trPr>
          <w:tblHeader w:val="false"/>
        </w:trPr>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28 May</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7,560*</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7,588*</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7,505*</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7,563</w:t>
            </w:r>
          </w:p>
        </w:tc>
        <w:tc>
          <w:tcPr>
            <w:tcW w:type="dxa" w:w="72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100</w:t>
            </w:r>
          </w:p>
        </w:tc>
        <w:tc>
          <w:tcPr>
            <w:tcW w:type="dxa" w:w="99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Bullish</w:t>
            </w:r>
          </w:p>
        </w:tc>
        <w:tc>
          <w:tcPr>
            <w:tcW w:type="dxa" w:w="23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CNBC × BBN — close CORROBORATED; O/H/L indicative</w:t>
            </w:r>
          </w:p>
        </w:tc>
      </w:tr>
      <w:tr>
        <w:trPr>
          <w:tblHeader w:val="false"/>
        </w:trPr>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29 May</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7,568*</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7,600*</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7,560*</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7,580.06</w:t>
            </w:r>
          </w:p>
        </w:tc>
        <w:tc>
          <w:tcPr>
            <w:tcW w:type="dxa" w:w="72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100</w:t>
            </w:r>
          </w:p>
        </w:tc>
        <w:tc>
          <w:tcPr>
            <w:tcW w:type="dxa" w:w="99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Bullish</w:t>
            </w:r>
          </w:p>
        </w:tc>
        <w:tc>
          <w:tcPr>
            <w:tcW w:type="dxa" w:w="23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CNBC × Yahoo — close CORROBORATED</w:t>
            </w:r>
          </w:p>
        </w:tc>
      </w:tr>
      <w:tr>
        <w:trPr>
          <w:tblHeader w:val="false"/>
        </w:trPr>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1 Jun</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7,585*</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7,617.66</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7,582.99</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7,599.96</w:t>
            </w:r>
          </w:p>
        </w:tc>
        <w:tc>
          <w:tcPr>
            <w:tcW w:type="dxa" w:w="72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100</w:t>
            </w:r>
          </w:p>
        </w:tc>
        <w:tc>
          <w:tcPr>
            <w:tcW w:type="dxa" w:w="99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Bullish</w:t>
            </w:r>
          </w:p>
        </w:tc>
        <w:tc>
          <w:tcPr>
            <w:tcW w:type="dxa" w:w="23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CNBC × TradingView — close CORROBORATED</w:t>
            </w:r>
          </w:p>
        </w:tc>
      </w:tr>
      <w:tr>
        <w:trPr>
          <w:tblHeader w:val="false"/>
        </w:trPr>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2 Jun</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7,595.40</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7,620.90</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7,582.99</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7,609.78</w:t>
            </w:r>
          </w:p>
        </w:tc>
        <w:tc>
          <w:tcPr>
            <w:tcW w:type="dxa" w:w="72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100</w:t>
            </w:r>
          </w:p>
        </w:tc>
        <w:tc>
          <w:tcPr>
            <w:tcW w:type="dxa" w:w="99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Bullish</w:t>
            </w:r>
          </w:p>
        </w:tc>
        <w:tc>
          <w:tcPr>
            <w:tcW w:type="dxa" w:w="23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CNBC × Benzinga — close CORROBORATED</w:t>
            </w:r>
          </w:p>
        </w:tc>
      </w:tr>
    </w:tbl>
    <w:p>
      <w:pPr>
        <w:spacing w:after="120"/>
      </w:pPr>
      <w:r>
        <w:rPr>
          <w:i/>
          <w:iCs/>
          <w:sz w:val="20"/>
          <w:szCs w:val="20"/>
        </w:rPr>
        <w:t xml:space="preserve">* = single-source / indicative field (intraday open/high/low not corroborated by two independent sources). RSI2 is period-2, computed from the validated close sequence; it is saturated at 100 across the last four sessions because each close printed above the prior — a genuine, but overbought, unbroken up-run.</w:t>
      </w:r>
    </w:p>
    <w:p>
      <w:pPr>
        <w:pStyle w:val="Heading1"/>
      </w:pPr>
      <w:r>
        <w:t xml:space="preserve">7.  Charts</w:t>
      </w:r>
    </w:p>
    <w:p>
      <w:pPr>
        <w:spacing w:after="120"/>
      </w:pPr>
      <w:r>
        <w:rPr>
          <w:b/>
          <w:bCs/>
          <w:sz w:val="22"/>
          <w:szCs w:val="22"/>
        </w:rPr>
        <w:t xml:space="preserve">Chart 1 — 5-session candlestick.</w:t>
      </w:r>
    </w:p>
    <w:p>
      <w:pPr>
        <w:spacing w:after="16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48000"/>
                    </a:xfrm>
                    <a:prstGeom prst="rect">
                      <a:avLst/>
                    </a:prstGeom>
                  </pic:spPr>
                </pic:pic>
              </a:graphicData>
            </a:graphic>
          </wp:inline>
        </w:drawing>
      </w:r>
    </w:p>
    <w:p>
      <w:pPr>
        <w:spacing w:after="120"/>
      </w:pPr>
      <w:r>
        <w:rPr>
          <w:b/>
          <w:bCs/>
          <w:sz w:val="22"/>
          <w:szCs w:val="22"/>
        </w:rPr>
        <w:t xml:space="preserve">Chart 2 — Distance-from-open (Open = 0).</w:t>
      </w:r>
    </w:p>
    <w:p>
      <w:pPr>
        <w:spacing w:after="16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48000"/>
                    </a:xfrm>
                    <a:prstGeom prst="rect">
                      <a:avLst/>
                    </a:prstGeom>
                  </pic:spPr>
                </pic:pic>
              </a:graphicData>
            </a:graphic>
          </wp:inline>
        </w:drawing>
      </w:r>
    </w:p>
    <w:p>
      <w:pPr>
        <w:spacing w:after="120"/>
      </w:pPr>
      <w:r>
        <w:rPr>
          <w:b/>
          <w:bCs/>
          <w:sz w:val="22"/>
          <w:szCs w:val="22"/>
        </w:rPr>
        <w:t xml:space="preserve">Chart 3 — 25-session structure with close-line overlay (pre-window sessions indicative shape; last five validated).</w:t>
      </w:r>
    </w:p>
    <w:p>
      <w:pPr>
        <w:spacing w:after="16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48000"/>
                    </a:xfrm>
                    <a:prstGeom prst="rect">
                      <a:avLst/>
                    </a:prstGeom>
                  </pic:spPr>
                </pic:pic>
              </a:graphicData>
            </a:graphic>
          </wp:inline>
        </w:drawing>
      </w:r>
    </w:p>
    <w:p>
      <w:pPr>
        <w:spacing w:after="120"/>
      </w:pPr>
      <w:r>
        <w:rPr>
          <w:b/>
          <w:bCs/>
          <w:sz w:val="22"/>
          <w:szCs w:val="22"/>
        </w:rPr>
        <w:t xml:space="preserve">Chart 4 — Comparative volatility (VOLator), ATR / historical z-score scaling.</w:t>
      </w:r>
    </w:p>
    <w:p>
      <w:pPr>
        <w:spacing w:after="16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71825"/>
                    </a:xfrm>
                    <a:prstGeom prst="rect">
                      <a:avLst/>
                    </a:prstGeom>
                  </pic:spPr>
                </pic:pic>
              </a:graphicData>
            </a:graphic>
          </wp:inline>
        </w:drawing>
      </w:r>
    </w:p>
    <w:p>
      <w:pPr>
        <w:spacing w:after="120"/>
      </w:pPr>
      <w:r>
        <w:rPr>
          <w:b/>
          <w:bCs/>
          <w:sz w:val="22"/>
          <w:szCs w:val="22"/>
        </w:rPr>
        <w:t xml:space="preserve">Chart 5 — Daily pivot structure with weekly candles.</w:t>
      </w:r>
    </w:p>
    <w:p>
      <w:pPr>
        <w:spacing w:after="160"/>
        <w:jc w:val="center"/>
      </w:pPr>
      <w:r>
        <w:drawing>
          <wp:inline distT="0" distB="0" distL="0" distR="0">
            <wp:extent cx="54864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962400"/>
                    </a:xfrm>
                    <a:prstGeom prst="rect">
                      <a:avLst/>
                    </a:prstGeom>
                  </pic:spPr>
                </pic:pic>
              </a:graphicData>
            </a:graphic>
          </wp:inline>
        </w:drawing>
      </w:r>
    </w:p>
    <w:p>
      <w:pPr>
        <w:pStyle w:val="Heading1"/>
      </w:pPr>
      <w:r>
        <w:t xml:space="preserve">8.  Short-Term Technical Analysis</w:t>
      </w:r>
    </w:p>
    <w:p>
      <w:pPr>
        <w:pStyle w:val="ListParagraph"/>
        <w:numPr>
          <w:ilvl w:val="0"/>
          <w:numId w:val="2"/>
        </w:numPr>
        <w:spacing w:after="60"/>
      </w:pPr>
      <w:r>
        <w:rPr>
          <w:sz w:val="22"/>
          <w:szCs w:val="22"/>
        </w:rPr>
        <w:t xml:space="preserve">27 May (see §6): near-doji; small body, close mid-range. RSI2 ~61 — modest. Signals indecision after the holiday-shortened start.</w:t>
      </w:r>
    </w:p>
    <w:p>
      <w:pPr>
        <w:pStyle w:val="ListParagraph"/>
        <w:numPr>
          <w:ilvl w:val="0"/>
          <w:numId w:val="2"/>
        </w:numPr>
        <w:spacing w:after="60"/>
      </w:pPr>
      <w:r>
        <w:rPr>
          <w:sz w:val="22"/>
          <w:szCs w:val="22"/>
        </w:rPr>
        <w:t xml:space="preserve">28 May (see §6): wide-range session (volatile on hot PCE and Iran headlines) closing back near the prior close; long lower wick shows demand absorbed the dip. Recovery into the close is constructive.</w:t>
      </w:r>
    </w:p>
    <w:p>
      <w:pPr>
        <w:pStyle w:val="ListParagraph"/>
        <w:numPr>
          <w:ilvl w:val="0"/>
          <w:numId w:val="2"/>
        </w:numPr>
        <w:spacing w:after="60"/>
      </w:pPr>
      <w:r>
        <w:rPr>
          <w:sz w:val="22"/>
          <w:szCs w:val="22"/>
        </w:rPr>
        <w:t xml:space="preserve">29 May (see §6): bullish body, close near the high (~50%+ of range), ninth up week sealed. RSI2 saturated — strong momentum.</w:t>
      </w:r>
    </w:p>
    <w:p>
      <w:pPr>
        <w:pStyle w:val="ListParagraph"/>
        <w:numPr>
          <w:ilvl w:val="0"/>
          <w:numId w:val="2"/>
        </w:numPr>
        <w:spacing w:after="60"/>
      </w:pPr>
      <w:r>
        <w:rPr>
          <w:sz w:val="22"/>
          <w:szCs w:val="22"/>
        </w:rPr>
        <w:t xml:space="preserve">1 Jun (see §6): bullish trend day, close 7,599.96 just under 7,600; close in the upper third of range. Continuation.</w:t>
      </w:r>
    </w:p>
    <w:p>
      <w:pPr>
        <w:pStyle w:val="ListParagraph"/>
        <w:numPr>
          <w:ilvl w:val="0"/>
          <w:numId w:val="2"/>
        </w:numPr>
        <w:spacing w:after="60"/>
      </w:pPr>
      <w:r>
        <w:rPr>
          <w:sz w:val="22"/>
          <w:szCs w:val="22"/>
        </w:rPr>
        <w:t xml:space="preserve">2 Jun (see §6): bullish, first close above 7,600 at a record 7,609.78; close near the high. Trend intact but extended.</w:t>
      </w:r>
    </w:p>
    <w:p>
      <w:pPr>
        <w:spacing w:after="120"/>
      </w:pPr>
      <w:r>
        <w:rPr>
          <w:sz w:val="22"/>
          <w:szCs w:val="22"/>
        </w:rPr>
        <w:t xml:space="preserve">Sequence assessment: Continuation — closes travel in one direction with rising lows and limited downside follow-through. Nearest support from the window: 7,582.99 (1–2 Jun lows), then the 7,560 shelf. Nearest resistance: the 7,620.90 swing high. Judgement label: Bullish continuation. This is consistent with the §9 medium-term regime.</w:t>
      </w:r>
    </w:p>
    <w:p>
      <w:pPr>
        <w:pStyle w:val="Heading1"/>
      </w:pPr>
      <w:r>
        <w:t xml:space="preserve">9.  Medium-Term Regime &amp; VOLator</w:t>
      </w:r>
    </w:p>
    <w:p>
      <w:pPr>
        <w:pStyle w:val="ListParagraph"/>
        <w:numPr>
          <w:ilvl w:val="0"/>
          <w:numId w:val="2"/>
        </w:numPr>
        <w:spacing w:after="60"/>
      </w:pPr>
      <w:r>
        <w:rPr>
          <w:sz w:val="22"/>
          <w:szCs w:val="22"/>
        </w:rPr>
        <w:t xml:space="preserve">Regime classification: Trending. Supporting metrics — directional persistence high (closes net higher 9 weeks running), overlap moderate-to-low on up-days, VOLator slope mildly positive, median RSI2 elevated, range position bias at the range top (≥67th percentile).</w:t>
      </w:r>
    </w:p>
    <w:p>
      <w:pPr>
        <w:pStyle w:val="ListParagraph"/>
        <w:numPr>
          <w:ilvl w:val="0"/>
          <w:numId w:val="2"/>
        </w:numPr>
        <w:spacing w:after="60"/>
      </w:pPr>
      <w:r>
        <w:rPr>
          <w:sz w:val="22"/>
          <w:szCs w:val="22"/>
        </w:rPr>
        <w:t xml:space="preserve">Bias: Bullish.</w:t>
      </w:r>
    </w:p>
    <w:p>
      <w:pPr>
        <w:pStyle w:val="ListParagraph"/>
        <w:numPr>
          <w:ilvl w:val="0"/>
          <w:numId w:val="2"/>
        </w:numPr>
        <w:spacing w:after="60"/>
      </w:pPr>
      <w:r>
        <w:rPr>
          <w:sz w:val="22"/>
          <w:szCs w:val="22"/>
        </w:rPr>
        <w:t xml:space="preserve">VOLator current readings (scaled −1 to +1): S&amp;P 500 ≈ +0.30 (above midpoint, expanding modestly); USDX ≈ +0.15 (above, expanding); VIX ≈ −0.45 (well below midpoint, contracting — calm); DAX ≈ +0.05 (near midpoint).</w:t>
      </w:r>
    </w:p>
    <w:p>
      <w:pPr>
        <w:pStyle w:val="ListParagraph"/>
        <w:numPr>
          <w:ilvl w:val="0"/>
          <w:numId w:val="2"/>
        </w:numPr>
        <w:spacing w:after="60"/>
      </w:pPr>
      <w:r>
        <w:rPr>
          <w:sz w:val="22"/>
          <w:szCs w:val="22"/>
        </w:rPr>
        <w:t xml:space="preserve">Preferred trade protocol: trend-pullback entries in the trend direction (high-conviction continuation matrix cell).</w:t>
      </w:r>
    </w:p>
    <w:p>
      <w:pPr>
        <w:pStyle w:val="ListParagraph"/>
        <w:numPr>
          <w:ilvl w:val="0"/>
          <w:numId w:val="2"/>
        </w:numPr>
        <w:spacing w:after="60"/>
      </w:pPr>
      <w:r>
        <w:rPr>
          <w:sz w:val="22"/>
          <w:szCs w:val="22"/>
        </w:rPr>
        <w:t xml:space="preserve">Kaufman confirmation: KER ≈ +0.31 → Trending Up — Moderate, which agrees with the regime synthesis and increases confidence.</w:t>
      </w:r>
    </w:p>
    <w:p>
      <w:pPr>
        <w:pStyle w:val="Heading1"/>
      </w:pPr>
      <w:r>
        <w:t xml:space="preserve">10.  Cross-Asset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3000"/>
        <w:gridCol w:w="1300"/>
        <w:gridCol w:w="2310"/>
      </w:tblGrid>
      <w:tr>
        <w:trPr>
          <w:tblHeader/>
        </w:trPr>
        <w:tc>
          <w:tcPr>
            <w:tcW w:type="dxa" w:w="15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b/>
                <w:bCs/>
                <w:color w:val="FFFFFF"/>
                <w:sz w:val="20"/>
                <w:szCs w:val="20"/>
              </w:rPr>
              <w:t xml:space="preserve">Counter</w:t>
            </w:r>
          </w:p>
        </w:tc>
        <w:tc>
          <w:tcPr>
            <w:tcW w:type="dxa" w:w="125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b/>
                <w:bCs/>
                <w:color w:val="FFFFFF"/>
                <w:sz w:val="20"/>
                <w:szCs w:val="20"/>
              </w:rPr>
              <w:t xml:space="preserve">5-day dir.</w:t>
            </w:r>
          </w:p>
        </w:tc>
        <w:tc>
          <w:tcPr>
            <w:tcW w:type="dxa" w:w="30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b/>
                <w:bCs/>
                <w:color w:val="FFFFFF"/>
                <w:sz w:val="20"/>
                <w:szCs w:val="20"/>
              </w:rPr>
              <w:t xml:space="preserve">Mechanism to S&amp;P 500</w:t>
            </w:r>
          </w:p>
        </w:tc>
        <w:tc>
          <w:tcPr>
            <w:tcW w:type="dxa" w:w="13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b/>
                <w:bCs/>
                <w:color w:val="FFFFFF"/>
                <w:sz w:val="20"/>
                <w:szCs w:val="20"/>
              </w:rPr>
              <w:t xml:space="preserve">Status</w:t>
            </w:r>
          </w:p>
        </w:tc>
        <w:tc>
          <w:tcPr>
            <w:tcW w:type="dxa" w:w="231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b/>
                <w:bCs/>
                <w:color w:val="FFFFFF"/>
                <w:sz w:val="20"/>
                <w:szCs w:val="20"/>
              </w:rPr>
              <w:t xml:space="preserve">Implication</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USDX</w:t>
            </w:r>
          </w:p>
        </w:tc>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Rising</w:t>
            </w:r>
          </w:p>
        </w:tc>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Stronger dollar is a translation headwind for multinational earnings; tighter global conditions</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Contradicts</w:t>
            </w:r>
          </w:p>
        </w:tc>
        <w:tc>
          <w:tcPr>
            <w:tcW w:type="dxa" w:w="231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Mild drag; watched, not yet binding while rally is tech-led</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VIX</w:t>
            </w:r>
          </w:p>
        </w:tc>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Falling</w:t>
            </w:r>
          </w:p>
        </w:tc>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Lower implied vol = risk-on; supports equity multiples</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Confirms</w:t>
            </w:r>
          </w:p>
        </w:tc>
        <w:tc>
          <w:tcPr>
            <w:tcW w:type="dxa" w:w="231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Calm regime underpins the uptrend (VIX ~16, well below the 20 stress line)</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DAX 40</w:t>
            </w:r>
          </w:p>
        </w:tc>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Falling</w:t>
            </w:r>
          </w:p>
        </w:tc>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European equity read on global risk; common risk factor</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Contradicts</w:t>
            </w:r>
          </w:p>
        </w:tc>
        <w:tc>
          <w:tcPr>
            <w:tcW w:type="dxa" w:w="231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Minor divergence — US tech leadership not shared by Europe</w:t>
            </w:r>
          </w:p>
        </w:tc>
      </w:tr>
    </w:tbl>
    <w:p>
      <w:pPr>
        <w:spacing w:after="120"/>
      </w:pPr>
      <w:r>
        <w:rPr>
          <w:b/>
          <w:bCs/>
        </w:rPr>
        <w:t xml:space="preserve">Aggregate cross-asset read: </w:t>
      </w:r>
      <w:r>
        <w:rPr>
          <w:b/>
          <w:bCs/>
          <w:color w:val="c62828"/>
        </w:rPr>
        <w:t xml:space="preserve">MIXED</w:t>
      </w:r>
      <w:r>
        <w:t xml:space="preserve"> — VIX confirms while USDX and DAX contradict. This divergence is carried forward (not resolved) into §15 and §16. The dollar and European weakness are the cracks under an otherwise risk-on tape.</w:t>
      </w:r>
    </w:p>
    <w:p>
      <w:pPr>
        <w:pStyle w:val="Heading1"/>
      </w:pPr>
      <w:r>
        <w:t xml:space="preserve">11.  Floor Pivot Analysis</w:t>
      </w:r>
    </w:p>
    <w:p>
      <w:pPr>
        <w:spacing w:after="120"/>
      </w:pPr>
      <w:r>
        <w:rPr>
          <w:sz w:val="22"/>
          <w:szCs w:val="22"/>
        </w:rPr>
        <w:t xml:space="preserve">Daily pivots (from the corroborated 2 June high/low/close — CORROBORATED). Mandatory order R5→P→S5: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b/>
                <w:bCs/>
                <w:color w:val="FFFFFF"/>
                <w:sz w:val="20"/>
                <w:szCs w:val="20"/>
              </w:rPr>
              <w:t xml:space="preserve">Level</w:t>
            </w:r>
          </w:p>
        </w:tc>
        <w:tc>
          <w:tcPr>
            <w:tcW w:type="dxa" w:w="234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b/>
                <w:bCs/>
                <w:color w:val="FFFFFF"/>
                <w:sz w:val="20"/>
                <w:szCs w:val="20"/>
              </w:rPr>
              <w:t xml:space="preserve">Points</w:t>
            </w:r>
          </w:p>
        </w:tc>
        <w:tc>
          <w:tcPr>
            <w:tcW w:type="dxa" w:w="234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b/>
                <w:bCs/>
                <w:color w:val="FFFFFF"/>
                <w:sz w:val="20"/>
                <w:szCs w:val="20"/>
              </w:rPr>
              <w:t xml:space="preserve">Level</w:t>
            </w:r>
          </w:p>
        </w:tc>
        <w:tc>
          <w:tcPr>
            <w:tcW w:type="dxa" w:w="234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b/>
                <w:bCs/>
                <w:color w:val="FFFFFF"/>
                <w:sz w:val="20"/>
                <w:szCs w:val="20"/>
              </w:rPr>
              <w:t xml:space="preserve">Points</w:t>
            </w:r>
          </w:p>
        </w:tc>
      </w:tr>
      <w:tr>
        <w:trPr>
          <w:tblHeader w:val="false"/>
        </w:trPr>
        <w:tc>
          <w:tcPr>
            <w:tcW w:type="dxa" w:w="234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R5</w:t>
            </w:r>
          </w:p>
        </w:tc>
        <w:tc>
          <w:tcPr>
            <w:tcW w:type="dxa" w:w="234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7,739.85</w:t>
            </w:r>
          </w:p>
        </w:tc>
        <w:tc>
          <w:tcPr>
            <w:tcW w:type="dxa" w:w="234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P</w:t>
            </w:r>
          </w:p>
        </w:tc>
        <w:tc>
          <w:tcPr>
            <w:tcW w:type="dxa" w:w="234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7,604.56</w:t>
            </w:r>
          </w:p>
        </w:tc>
      </w:tr>
      <w:tr>
        <w:trPr>
          <w:tblHeader w:val="false"/>
        </w:trPr>
        <w:tc>
          <w:tcPr>
            <w:tcW w:type="dxa" w:w="234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R4</w:t>
            </w:r>
          </w:p>
        </w:tc>
        <w:tc>
          <w:tcPr>
            <w:tcW w:type="dxa" w:w="234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7,701.94</w:t>
            </w:r>
          </w:p>
        </w:tc>
        <w:tc>
          <w:tcPr>
            <w:tcW w:type="dxa" w:w="234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S1</w:t>
            </w:r>
          </w:p>
        </w:tc>
        <w:tc>
          <w:tcPr>
            <w:tcW w:type="dxa" w:w="234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7,588.21</w:t>
            </w:r>
          </w:p>
        </w:tc>
      </w:tr>
      <w:tr>
        <w:trPr>
          <w:tblHeader w:val="false"/>
        </w:trPr>
        <w:tc>
          <w:tcPr>
            <w:tcW w:type="dxa" w:w="234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R3</w:t>
            </w:r>
          </w:p>
        </w:tc>
        <w:tc>
          <w:tcPr>
            <w:tcW w:type="dxa" w:w="234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7,664.03</w:t>
            </w:r>
          </w:p>
        </w:tc>
        <w:tc>
          <w:tcPr>
            <w:tcW w:type="dxa" w:w="234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S2</w:t>
            </w:r>
          </w:p>
        </w:tc>
        <w:tc>
          <w:tcPr>
            <w:tcW w:type="dxa" w:w="234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7,566.65</w:t>
            </w:r>
          </w:p>
        </w:tc>
      </w:tr>
      <w:tr>
        <w:trPr>
          <w:tblHeader w:val="false"/>
        </w:trPr>
        <w:tc>
          <w:tcPr>
            <w:tcW w:type="dxa" w:w="234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R2</w:t>
            </w:r>
          </w:p>
        </w:tc>
        <w:tc>
          <w:tcPr>
            <w:tcW w:type="dxa" w:w="234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7,642.47</w:t>
            </w:r>
          </w:p>
        </w:tc>
        <w:tc>
          <w:tcPr>
            <w:tcW w:type="dxa" w:w="234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S3</w:t>
            </w:r>
          </w:p>
        </w:tc>
        <w:tc>
          <w:tcPr>
            <w:tcW w:type="dxa" w:w="234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7,550.30</w:t>
            </w:r>
          </w:p>
        </w:tc>
      </w:tr>
      <w:tr>
        <w:trPr>
          <w:tblHeader w:val="false"/>
        </w:trPr>
        <w:tc>
          <w:tcPr>
            <w:tcW w:type="dxa" w:w="234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R1</w:t>
            </w:r>
          </w:p>
        </w:tc>
        <w:tc>
          <w:tcPr>
            <w:tcW w:type="dxa" w:w="234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7,626.12</w:t>
            </w:r>
          </w:p>
        </w:tc>
        <w:tc>
          <w:tcPr>
            <w:tcW w:type="dxa" w:w="234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S4</w:t>
            </w:r>
          </w:p>
        </w:tc>
        <w:tc>
          <w:tcPr>
            <w:tcW w:type="dxa" w:w="234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7,512.39</w:t>
            </w:r>
          </w:p>
        </w:tc>
      </w:tr>
      <w:tr>
        <w:trPr>
          <w:tblHeader w:val="false"/>
        </w:trPr>
        <w:tc>
          <w:tcPr>
            <w:tcW w:type="dxa" w:w="234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w:t>
            </w:r>
          </w:p>
        </w:tc>
        <w:tc>
          <w:tcPr>
            <w:tcW w:type="dxa" w:w="234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w:t>
            </w:r>
          </w:p>
        </w:tc>
        <w:tc>
          <w:tcPr>
            <w:tcW w:type="dxa" w:w="234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S5</w:t>
            </w:r>
          </w:p>
        </w:tc>
        <w:tc>
          <w:tcPr>
            <w:tcW w:type="dxa" w:w="234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7,474.48</w:t>
            </w:r>
          </w:p>
        </w:tc>
      </w:tr>
    </w:tbl>
    <w:p>
      <w:pPr>
        <w:spacing w:after="120"/>
      </w:pPr>
      <w:r>
        <w:rPr>
          <w:sz w:val="22"/>
          <w:szCs w:val="22"/>
        </w:rPr>
        <w:t xml:space="preserve">Position narrative: the 2 June close (7,609.78) sits just above the daily pivot P (7,604.56) and below R1 (7,626.12) — a bullish-but-near-pivot posture. Weekly and monthly pivots are enabled in configuration but rely on prior-week/prior-month H/L/C that are only single-source at this window; their levels would be flagged indicative and are therefore not used for level-based orders below. No tight daily/weekly/monthly confluence (&lt;0.05%) detected at current levels.</w:t>
      </w:r>
    </w:p>
    <w:p>
      <w:pPr>
        <w:pStyle w:val="Heading1"/>
      </w:pPr>
      <w:r>
        <w:t xml:space="preserve">12.  Key Market Considerations</w:t>
      </w:r>
    </w:p>
    <w:p>
      <w:pPr>
        <w:spacing w:after="120"/>
      </w:pPr>
      <w:r>
        <w:rPr>
          <w:b/>
          <w:bCs/>
        </w:rPr>
        <w:t xml:space="preserve">Demand / earnings (price-supportive, structural+cyclical). </w:t>
      </w:r>
      <w:r>
        <w:t xml:space="preserve">AI-infrastructure demand keeps driving mega-cap earnings; Nvidia's new PC processor, Dell's ~33% earnings pop and Micron/Qualcomm strength have led the tape. This is the primary engine of the nine-week run.</w:t>
      </w:r>
    </w:p>
    <w:p>
      <w:pPr>
        <w:spacing w:after="120"/>
      </w:pPr>
      <w:r>
        <w:rPr>
          <w:b/>
          <w:bCs/>
        </w:rPr>
        <w:t xml:space="preserve">Macro / inflation (price-negative, cyclical). </w:t>
      </w:r>
      <w:r>
        <w:t xml:space="preserve">April PCE printed ~3.8%, the hottest in nearly three years, yet equities shrugged it off — a sign of momentum but also of complacency risk if the Fed path repriced hawkishly.</w:t>
      </w:r>
    </w:p>
    <w:p>
      <w:pPr>
        <w:spacing w:after="120"/>
      </w:pPr>
      <w:r>
        <w:rPr>
          <w:b/>
          <w:bCs/>
        </w:rPr>
        <w:t xml:space="preserve">Policy / geopolitics (mixed, cyclical). </w:t>
      </w:r>
      <w:r>
        <w:t xml:space="preserve">A US–Iran ceasefire (60-day MOU) is holding but fragile; intermittent strikes and Strait-of-Hormuz tensions keep an oil-shock tail risk live. Energy was a rare non-tech green sector.</w:t>
      </w:r>
    </w:p>
    <w:p>
      <w:pPr>
        <w:spacing w:after="120"/>
      </w:pPr>
      <w:r>
        <w:rPr>
          <w:b/>
          <w:bCs/>
        </w:rPr>
        <w:t xml:space="preserve">Substitution / breadth (neutral-to-negative, cyclical). </w:t>
      </w:r>
      <w:r>
        <w:t xml:space="preserve">Leadership is narrow — on 29 May only ~206 of 503 constituents were green even as the index rose. Narrow breadth is a classic late-stage caution.</w:t>
      </w:r>
    </w:p>
    <w:p>
      <w:pPr>
        <w:spacing w:after="120"/>
      </w:pPr>
      <w:r>
        <w:rPr>
          <w:b/>
          <w:bCs/>
        </w:rPr>
        <w:t xml:space="preserve">Macro / FX (price-negative, cyclical). </w:t>
      </w:r>
      <w:r>
        <w:t xml:space="preserve">A firmer dollar (USDX rising, see §10) is a translation headwind for the multinational-heavy index.</w:t>
      </w:r>
    </w:p>
    <w:p>
      <w:pPr>
        <w:spacing w:after="120"/>
      </w:pPr>
      <w:r>
        <w:rPr>
          <w:b/>
          <w:bCs/>
        </w:rPr>
        <w:t xml:space="preserve">Near-term catalysts. </w:t>
      </w:r>
      <w:r>
        <w:t xml:space="preserve">See §13d — the upcoming jobs data and any Iran-ceasefire headline are the binding watch items within the 5-session horizon.</w:t>
      </w:r>
    </w:p>
    <w:p>
      <w:pPr>
        <w:pStyle w:val="Heading1"/>
      </w:pPr>
      <w:r>
        <w:t xml:space="preserve">13.  Sentiment, News &amp; Calendar</w:t>
      </w:r>
    </w:p>
    <w:p>
      <w:pPr>
        <w:pStyle w:val="Heading2"/>
      </w:pPr>
      <w:r>
        <w:t xml:space="preserve">13a.  Per-Article Sentiment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400"/>
        <w:gridCol w:w="950"/>
        <w:gridCol w:w="2600"/>
        <w:gridCol w:w="950"/>
        <w:gridCol w:w="1210"/>
      </w:tblGrid>
      <w:tr>
        <w:trPr>
          <w:tblHeader/>
        </w:trPr>
        <w:tc>
          <w:tcPr>
            <w:tcW w:type="dxa" w:w="125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b/>
                <w:bCs/>
                <w:color w:val="FFFFFF"/>
                <w:sz w:val="20"/>
                <w:szCs w:val="20"/>
              </w:rPr>
              <w:t xml:space="preserve">Source</w:t>
            </w:r>
          </w:p>
        </w:tc>
        <w:tc>
          <w:tcPr>
            <w:tcW w:type="dxa" w:w="24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b/>
                <w:bCs/>
                <w:color w:val="FFFFFF"/>
                <w:sz w:val="20"/>
                <w:szCs w:val="20"/>
              </w:rPr>
              <w:t xml:space="preserve">Headline (abbrev.)</w:t>
            </w:r>
          </w:p>
        </w:tc>
        <w:tc>
          <w:tcPr>
            <w:tcW w:type="dxa" w:w="95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b/>
                <w:bCs/>
                <w:color w:val="FFFFFF"/>
                <w:sz w:val="20"/>
                <w:szCs w:val="20"/>
              </w:rPr>
              <w:t xml:space="preserve">Class</w:t>
            </w:r>
          </w:p>
        </w:tc>
        <w:tc>
          <w:tcPr>
            <w:tcW w:type="dxa" w:w="26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b/>
                <w:bCs/>
                <w:color w:val="FFFFFF"/>
                <w:sz w:val="20"/>
                <w:szCs w:val="20"/>
              </w:rPr>
              <w:t xml:space="preserve">Derivation quote (≤15 words)</w:t>
            </w:r>
          </w:p>
        </w:tc>
        <w:tc>
          <w:tcPr>
            <w:tcW w:type="dxa" w:w="95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b/>
                <w:bCs/>
                <w:color w:val="FFFFFF"/>
                <w:sz w:val="20"/>
                <w:szCs w:val="20"/>
              </w:rPr>
              <w:t xml:space="preserve">Sent.</w:t>
            </w:r>
          </w:p>
        </w:tc>
        <w:tc>
          <w:tcPr>
            <w:tcW w:type="dxa" w:w="121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b/>
                <w:bCs/>
                <w:color w:val="FFFFFF"/>
                <w:sz w:val="20"/>
                <w:szCs w:val="20"/>
              </w:rPr>
              <w:t xml:space="preserve">Date</w:t>
            </w:r>
          </w:p>
        </w:tc>
      </w:tr>
      <w:tr>
        <w:trPr>
          <w:tblHeader w:val="false"/>
        </w:trPr>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CNBC</w:t>
            </w:r>
          </w:p>
        </w:tc>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Record close to kick off June as tech overpowers oil</w:t>
            </w:r>
          </w:p>
        </w:tc>
        <w:tc>
          <w:tcPr>
            <w:tcW w:type="dxa" w:w="9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Media</w:t>
            </w:r>
          </w:p>
        </w:tc>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“rose...with Nvidia leading technology higher”</w:t>
            </w:r>
          </w:p>
        </w:tc>
        <w:tc>
          <w:tcPr>
            <w:tcW w:type="dxa" w:w="9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Bullish</w:t>
            </w:r>
          </w:p>
        </w:tc>
        <w:tc>
          <w:tcPr>
            <w:tcW w:type="dxa" w:w="121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1 Jun</w:t>
            </w:r>
          </w:p>
        </w:tc>
      </w:tr>
      <w:tr>
        <w:trPr>
          <w:tblHeader w:val="false"/>
        </w:trPr>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Benzinga</w:t>
            </w:r>
          </w:p>
        </w:tc>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Will the S&amp;P 500 open up or down today?</w:t>
            </w:r>
          </w:p>
        </w:tc>
        <w:tc>
          <w:tcPr>
            <w:tcW w:type="dxa" w:w="9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Media</w:t>
            </w:r>
          </w:p>
        </w:tc>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“extending its record-setting rally”</w:t>
            </w:r>
          </w:p>
        </w:tc>
        <w:tc>
          <w:tcPr>
            <w:tcW w:type="dxa" w:w="9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Bullish</w:t>
            </w:r>
          </w:p>
        </w:tc>
        <w:tc>
          <w:tcPr>
            <w:tcW w:type="dxa" w:w="121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3 Jun</w:t>
            </w:r>
          </w:p>
        </w:tc>
      </w:tr>
      <w:tr>
        <w:trPr>
          <w:tblHeader w:val="false"/>
        </w:trPr>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Trading Economics</w:t>
            </w:r>
          </w:p>
        </w:tc>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US stocks rose to new records on AI strength</w:t>
            </w:r>
          </w:p>
        </w:tc>
        <w:tc>
          <w:tcPr>
            <w:tcW w:type="dxa" w:w="9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Trade Press</w:t>
            </w:r>
          </w:p>
        </w:tc>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“stocks rose to new records...AI economy”</w:t>
            </w:r>
          </w:p>
        </w:tc>
        <w:tc>
          <w:tcPr>
            <w:tcW w:type="dxa" w:w="9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Bullish</w:t>
            </w:r>
          </w:p>
        </w:tc>
        <w:tc>
          <w:tcPr>
            <w:tcW w:type="dxa" w:w="121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2 Jun</w:t>
            </w:r>
          </w:p>
        </w:tc>
      </w:tr>
      <w:tr>
        <w:trPr>
          <w:tblHeader w:val="false"/>
        </w:trPr>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TheStreet</w:t>
            </w:r>
          </w:p>
        </w:tc>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Nasdaq, Dow decline from records amid tech slide</w:t>
            </w:r>
          </w:p>
        </w:tc>
        <w:tc>
          <w:tcPr>
            <w:tcW w:type="dxa" w:w="9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Media</w:t>
            </w:r>
          </w:p>
        </w:tc>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“decline from recent records amid tech slide”</w:t>
            </w:r>
          </w:p>
        </w:tc>
        <w:tc>
          <w:tcPr>
            <w:tcW w:type="dxa" w:w="9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Bearish</w:t>
            </w:r>
          </w:p>
        </w:tc>
        <w:tc>
          <w:tcPr>
            <w:tcW w:type="dxa" w:w="121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3 Jun</w:t>
            </w:r>
          </w:p>
        </w:tc>
      </w:tr>
      <w:tr>
        <w:trPr>
          <w:tblHeader w:val="false"/>
        </w:trPr>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Yahoo Finance</w:t>
            </w:r>
          </w:p>
        </w:tc>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Dow, S&amp;P cap winning month with fresh records</w:t>
            </w:r>
          </w:p>
        </w:tc>
        <w:tc>
          <w:tcPr>
            <w:tcW w:type="dxa" w:w="9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Media</w:t>
            </w:r>
          </w:p>
        </w:tc>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“closed out another winning week...AI trade”</w:t>
            </w:r>
          </w:p>
        </w:tc>
        <w:tc>
          <w:tcPr>
            <w:tcW w:type="dxa" w:w="9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Bullish</w:t>
            </w:r>
          </w:p>
        </w:tc>
        <w:tc>
          <w:tcPr>
            <w:tcW w:type="dxa" w:w="121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29 May</w:t>
            </w:r>
          </w:p>
        </w:tc>
      </w:tr>
      <w:tr>
        <w:trPr>
          <w:tblHeader w:val="false"/>
        </w:trPr>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BBN Times</w:t>
            </w:r>
          </w:p>
        </w:tc>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Benchmark swings to record high on ceasefire</w:t>
            </w:r>
          </w:p>
        </w:tc>
        <w:tc>
          <w:tcPr>
            <w:tcW w:type="dxa" w:w="9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Media</w:t>
            </w:r>
          </w:p>
        </w:tc>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“swinging to a new all-time record high”</w:t>
            </w:r>
          </w:p>
        </w:tc>
        <w:tc>
          <w:tcPr>
            <w:tcW w:type="dxa" w:w="9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Bullish</w:t>
            </w:r>
          </w:p>
        </w:tc>
        <w:tc>
          <w:tcPr>
            <w:tcW w:type="dxa" w:w="121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28 May</w:t>
            </w:r>
          </w:p>
        </w:tc>
      </w:tr>
    </w:tbl>
    <w:p>
      <w:pPr>
        <w:pStyle w:val="Heading2"/>
      </w:pPr>
      <w:r>
        <w:t xml:space="preserve">13b.  Aggregate Sentiment Summary</w:t>
      </w:r>
    </w:p>
    <w:p>
      <w:pPr>
        <w:spacing w:after="120"/>
      </w:pPr>
      <w:r>
        <w:t xml:space="preserve">Counts: 5 Bullish (1 trade press, 4 media), 1 Bearish (media) = Predominantly Bullish. Numeric tilt = </w:t>
      </w:r>
      <w:r>
        <w:rPr>
          <w:b/>
          <w:bCs/>
        </w:rPr>
        <w:t xml:space="preserve">+0.40</w:t>
      </w:r>
      <w:r>
        <w:t xml:space="preserve"> (source-class-weighted mean). </w:t>
      </w:r>
      <w:r>
        <w:rPr>
          <w:i/>
          <w:iCs/>
        </w:rPr>
        <w:t xml:space="preserve">Mandatory tilt reported for strategy consumption.</w:t>
      </w:r>
    </w:p>
    <w:p>
      <w:pPr>
        <w:spacing w:after="120"/>
      </w:pPr>
      <w:r>
        <w:rPr>
          <w:sz w:val="22"/>
          <w:szCs w:val="22"/>
        </w:rPr>
        <w:t xml:space="preserve">Divergence flag: sentiment agrees with current price action and the §9 trending regime. No sentiment/price divergence. Tilt computed on six articles — not low-confidence.</w:t>
      </w:r>
    </w:p>
    <w:p>
      <w:pPr>
        <w:pStyle w:val="Heading2"/>
      </w:pPr>
      <w:r>
        <w:t xml:space="preserve">13c.  News Calendar — Previous Period (27 May – 2 Jun)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2400"/>
        <w:gridCol w:w="900"/>
        <w:gridCol w:w="2660"/>
      </w:tblGrid>
      <w:tr>
        <w:trPr>
          <w:tblHeader/>
        </w:trPr>
        <w:tc>
          <w:tcPr>
            <w:tcW w:type="dxa" w:w="11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b/>
                <w:bCs/>
                <w:color w:val="FFFFFF"/>
                <w:sz w:val="20"/>
                <w:szCs w:val="20"/>
              </w:rPr>
              <w:t xml:space="preserve">Date</w:t>
            </w:r>
          </w:p>
        </w:tc>
        <w:tc>
          <w:tcPr>
            <w:tcW w:type="dxa" w:w="23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b/>
                <w:bCs/>
                <w:color w:val="FFFFFF"/>
                <w:sz w:val="20"/>
                <w:szCs w:val="20"/>
              </w:rPr>
              <w:t xml:space="preserve">Event</w:t>
            </w:r>
          </w:p>
        </w:tc>
        <w:tc>
          <w:tcPr>
            <w:tcW w:type="dxa" w:w="24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b/>
                <w:bCs/>
                <w:color w:val="FFFFFF"/>
                <w:sz w:val="20"/>
                <w:szCs w:val="20"/>
              </w:rPr>
              <w:t xml:space="preserve">Prior / context</w:t>
            </w:r>
          </w:p>
        </w:tc>
        <w:tc>
          <w:tcPr>
            <w:tcW w:type="dxa" w:w="9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b/>
                <w:bCs/>
                <w:color w:val="FFFFFF"/>
                <w:sz w:val="20"/>
                <w:szCs w:val="20"/>
              </w:rPr>
              <w:t xml:space="preserve">Impact</w:t>
            </w:r>
          </w:p>
        </w:tc>
        <w:tc>
          <w:tcPr>
            <w:tcW w:type="dxa" w:w="266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b/>
                <w:bCs/>
                <w:color w:val="FFFFFF"/>
                <w:sz w:val="20"/>
                <w:szCs w:val="20"/>
              </w:rPr>
              <w:t xml:space="preserve">Implication for S&amp;P 500</w:t>
            </w:r>
          </w:p>
        </w:tc>
      </w:tr>
      <w:tr>
        <w:trPr>
          <w:tblHeader w:val="false"/>
        </w:trPr>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28 May</w:t>
            </w:r>
          </w:p>
        </w:tc>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April PCE</w:t>
            </w:r>
          </w:p>
        </w:tc>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~3.8% y/y, hottest in ~3 yrs</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High</w:t>
            </w:r>
          </w:p>
        </w:tc>
        <w:tc>
          <w:tcPr>
            <w:tcW w:type="dxa" w:w="26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Hot print; index still closed at record — momentum over macro</w:t>
            </w:r>
          </w:p>
        </w:tc>
      </w:tr>
      <w:tr>
        <w:trPr>
          <w:tblHeader w:val="false"/>
        </w:trPr>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28 May</w:t>
            </w:r>
          </w:p>
        </w:tc>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US–Iran ceasefire MOU</w:t>
            </w:r>
          </w:p>
        </w:tc>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60-day extension reported</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High</w:t>
            </w:r>
          </w:p>
        </w:tc>
        <w:tc>
          <w:tcPr>
            <w:tcW w:type="dxa" w:w="26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Relief rally; capped oil-driven risk-off</w:t>
            </w:r>
          </w:p>
        </w:tc>
      </w:tr>
      <w:tr>
        <w:trPr>
          <w:tblHeader w:val="false"/>
        </w:trPr>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29 May</w:t>
            </w:r>
          </w:p>
        </w:tc>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9th weekly gain / month-end</w:t>
            </w:r>
          </w:p>
        </w:tc>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+5.2% May</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Med</w:t>
            </w:r>
          </w:p>
        </w:tc>
        <w:tc>
          <w:tcPr>
            <w:tcW w:type="dxa" w:w="26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Best month since 2023; trend confirmation</w:t>
            </w:r>
          </w:p>
        </w:tc>
      </w:tr>
      <w:tr>
        <w:trPr>
          <w:tblHeader w:val="false"/>
        </w:trPr>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1 Jun</w:t>
            </w:r>
          </w:p>
        </w:tc>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Nvidia new PC chip</w:t>
            </w:r>
          </w:p>
        </w:tc>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AI cycle</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High</w:t>
            </w:r>
          </w:p>
        </w:tc>
        <w:tc>
          <w:tcPr>
            <w:tcW w:type="dxa" w:w="26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+6% Nvidia; led index above 7,600</w:t>
            </w:r>
          </w:p>
        </w:tc>
      </w:tr>
      <w:tr>
        <w:trPr>
          <w:tblHeader w:val="false"/>
        </w:trPr>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2 Jun</w:t>
            </w:r>
          </w:p>
        </w:tc>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Record close 7,609.78</w:t>
            </w:r>
          </w:p>
        </w:tc>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First close &gt;7,600</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Med</w:t>
            </w:r>
          </w:p>
        </w:tc>
        <w:tc>
          <w:tcPr>
            <w:tcW w:type="dxa" w:w="26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Milestone; breadth narrow</w:t>
            </w:r>
          </w:p>
        </w:tc>
      </w:tr>
    </w:tbl>
    <w:p>
      <w:pPr>
        <w:pStyle w:val="Heading2"/>
      </w:pPr>
      <w:r>
        <w:t xml:space="preserve">13d.  News Calendar — Upcoming Period (next 5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2400"/>
        <w:gridCol w:w="900"/>
        <w:gridCol w:w="2660"/>
      </w:tblGrid>
      <w:tr>
        <w:trPr>
          <w:tblHeader/>
        </w:trPr>
        <w:tc>
          <w:tcPr>
            <w:tcW w:type="dxa" w:w="11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b/>
                <w:bCs/>
                <w:color w:val="FFFFFF"/>
                <w:sz w:val="20"/>
                <w:szCs w:val="20"/>
              </w:rPr>
              <w:t xml:space="preserve">Date</w:t>
            </w:r>
          </w:p>
        </w:tc>
        <w:tc>
          <w:tcPr>
            <w:tcW w:type="dxa" w:w="23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b/>
                <w:bCs/>
                <w:color w:val="FFFFFF"/>
                <w:sz w:val="20"/>
                <w:szCs w:val="20"/>
              </w:rPr>
              <w:t xml:space="preserve">Event</w:t>
            </w:r>
          </w:p>
        </w:tc>
        <w:tc>
          <w:tcPr>
            <w:tcW w:type="dxa" w:w="24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b/>
                <w:bCs/>
                <w:color w:val="FFFFFF"/>
                <w:sz w:val="20"/>
                <w:szCs w:val="20"/>
              </w:rPr>
              <w:t xml:space="preserve">Context</w:t>
            </w:r>
          </w:p>
        </w:tc>
        <w:tc>
          <w:tcPr>
            <w:tcW w:type="dxa" w:w="9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b/>
                <w:bCs/>
                <w:color w:val="FFFFFF"/>
                <w:sz w:val="20"/>
                <w:szCs w:val="20"/>
              </w:rPr>
              <w:t xml:space="preserve">Impact</w:t>
            </w:r>
          </w:p>
        </w:tc>
        <w:tc>
          <w:tcPr>
            <w:tcW w:type="dxa" w:w="266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b/>
                <w:bCs/>
                <w:color w:val="FFFFFF"/>
                <w:sz w:val="20"/>
                <w:szCs w:val="20"/>
              </w:rPr>
              <w:t xml:space="preserve">Implication (beat / miss)</w:t>
            </w:r>
          </w:p>
        </w:tc>
      </w:tr>
      <w:tr>
        <w:trPr>
          <w:tblHeader w:val="false"/>
        </w:trPr>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4 Jun</w:t>
            </w:r>
          </w:p>
        </w:tc>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Mega-cap &amp; macro flow</w:t>
            </w:r>
          </w:p>
        </w:tc>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Post-record digestion</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Med</w:t>
            </w:r>
          </w:p>
        </w:tc>
        <w:tc>
          <w:tcPr>
            <w:tcW w:type="dxa" w:w="26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Profit-taking risk into overbought tape</w:t>
            </w:r>
          </w:p>
        </w:tc>
      </w:tr>
      <w:tr>
        <w:trPr>
          <w:tblHeader w:val="false"/>
        </w:trPr>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5 Jun</w:t>
            </w:r>
          </w:p>
        </w:tc>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US Nonfarm Payrolls (watch)</w:t>
            </w:r>
          </w:p>
        </w:tc>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Labour-market gauge</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High</w:t>
            </w:r>
          </w:p>
        </w:tc>
        <w:tc>
          <w:tcPr>
            <w:tcW w:type="dxa" w:w="26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Hot print → hawkish repricing, headwind; soft print → soft-landing bid</w:t>
            </w:r>
          </w:p>
        </w:tc>
      </w:tr>
      <w:tr>
        <w:trPr>
          <w:tblHeader w:val="false"/>
        </w:trPr>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wk</w:t>
            </w:r>
          </w:p>
        </w:tc>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Iran ceasefire / Hormuz headlines</w:t>
            </w:r>
          </w:p>
        </w:tc>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Fragile MOU</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High</w:t>
            </w:r>
          </w:p>
        </w:tc>
        <w:tc>
          <w:tcPr>
            <w:tcW w:type="dxa" w:w="26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Breakdown → oil spike, risk-off; durable calm → supports rally</w:t>
            </w:r>
          </w:p>
        </w:tc>
      </w:tr>
      <w:tr>
        <w:trPr>
          <w:tblHeader w:val="false"/>
        </w:trPr>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wk</w:t>
            </w:r>
          </w:p>
        </w:tc>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Fed-speak / CPI run-up</w:t>
            </w:r>
          </w:p>
        </w:tc>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Post-hot-PCE</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Med</w:t>
            </w:r>
          </w:p>
        </w:tc>
        <w:tc>
          <w:tcPr>
            <w:tcW w:type="dxa" w:w="26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Hawkish tone pressures multiples</w:t>
            </w:r>
          </w:p>
        </w:tc>
      </w:tr>
    </w:tbl>
    <w:p>
      <w:pPr>
        <w:spacing w:after="120"/>
      </w:pPr>
      <w:r>
        <w:rPr>
          <w:b/>
          <w:bCs/>
        </w:rPr>
        <w:t xml:space="preserve">Highest-impact upcoming event: </w:t>
      </w:r>
      <w:r>
        <w:rPr>
          <w:b/>
          <w:bCs/>
        </w:rPr>
        <w:t xml:space="preserve">the nonfarm payrolls release</w:t>
      </w:r>
      <w:r>
        <w:t xml:space="preserve"> — a hot jobs number would revive hawkish Fed repricing and could break the unbroken up-run, while a soft print would extend the soft-landing bid for equities.</w:t>
      </w:r>
    </w:p>
    <w:p>
      <w:pPr>
        <w:pStyle w:val="Heading1"/>
      </w:pPr>
      <w:r>
        <w:t xml:space="preserve">14.  Macro Context</w:t>
      </w:r>
    </w:p>
    <w:p>
      <w:pPr>
        <w:pStyle w:val="ListParagraph"/>
        <w:numPr>
          <w:ilvl w:val="0"/>
          <w:numId w:val="2"/>
        </w:numPr>
        <w:spacing w:after="60"/>
      </w:pPr>
      <w:r>
        <w:rPr>
          <w:sz w:val="22"/>
          <w:szCs w:val="22"/>
        </w:rPr>
        <w:t xml:space="preserve">Rates &amp; policy: post-hot-PCE, the Fed path is the key swing factor; cross-referencing the §10 VIX read (falling, ~16) the market is pricing calm, not stress — but that leaves room for a hawkish surprise.</w:t>
      </w:r>
    </w:p>
    <w:p>
      <w:pPr>
        <w:pStyle w:val="ListParagraph"/>
        <w:numPr>
          <w:ilvl w:val="0"/>
          <w:numId w:val="2"/>
        </w:numPr>
        <w:spacing w:after="60"/>
      </w:pPr>
      <w:r>
        <w:rPr>
          <w:sz w:val="22"/>
          <w:szCs w:val="22"/>
        </w:rPr>
        <w:t xml:space="preserve">Inflation: April PCE ~3.8% is price-negative in principle for multiples; the index's refusal to fall on it signals momentum dominance (and complacency risk).</w:t>
      </w:r>
    </w:p>
    <w:p>
      <w:pPr>
        <w:pStyle w:val="ListParagraph"/>
        <w:numPr>
          <w:ilvl w:val="0"/>
          <w:numId w:val="2"/>
        </w:numPr>
        <w:spacing w:after="60"/>
      </w:pPr>
      <w:r>
        <w:rPr>
          <w:sz w:val="22"/>
          <w:szCs w:val="22"/>
        </w:rPr>
        <w:t xml:space="preserve">Safe-haven / risk: VIX (§10) contracting confirms risk-on; no defensive bid evident.</w:t>
      </w:r>
    </w:p>
    <w:p>
      <w:pPr>
        <w:pStyle w:val="ListParagraph"/>
        <w:numPr>
          <w:ilvl w:val="0"/>
          <w:numId w:val="2"/>
        </w:numPr>
        <w:spacing w:after="60"/>
      </w:pPr>
      <w:r>
        <w:rPr>
          <w:sz w:val="22"/>
          <w:szCs w:val="22"/>
        </w:rPr>
        <w:t xml:space="preserve">Liquidity / FX: USDX (§10) rising is a mild headwind for the multinational-heavy index — flagged as a watch item, not yet binding.</w:t>
      </w:r>
    </w:p>
    <w:p>
      <w:pPr>
        <w:pStyle w:val="ListParagraph"/>
        <w:numPr>
          <w:ilvl w:val="0"/>
          <w:numId w:val="2"/>
        </w:numPr>
        <w:spacing w:after="60"/>
      </w:pPr>
      <w:r>
        <w:rPr>
          <w:sz w:val="22"/>
          <w:szCs w:val="22"/>
        </w:rPr>
        <w:t xml:space="preserve">Energy: oil firm on Iran tensions; a renewed spike is the main exogenous downside channel.</w:t>
      </w:r>
    </w:p>
    <w:p>
      <w:pPr>
        <w:pStyle w:val="ListParagraph"/>
        <w:numPr>
          <w:ilvl w:val="0"/>
          <w:numId w:val="2"/>
        </w:numPr>
        <w:spacing w:after="60"/>
      </w:pPr>
      <w:r>
        <w:rPr>
          <w:sz w:val="22"/>
          <w:szCs w:val="22"/>
        </w:rPr>
        <w:t xml:space="preserve">Positioning: narrow breadth (~206/503 green on 29 May) plus saturated RSI2 indicate a crowded, late-stage tape. Upcoming payrolls (§13d) is the macro watch item; a hawkish surprise is the directional risk.</w:t>
      </w:r>
    </w:p>
    <w:p>
      <w:pPr>
        <w:pStyle w:val="Heading1"/>
      </w:pPr>
      <w:r>
        <w:t xml:space="preserve">15.  Bull / Bear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dcedd9" w:val="clear"/>
            <w:tcMar>
              <w:top w:type="dxa" w:w="60"/>
              <w:left w:type="dxa" w:w="90"/>
              <w:bottom w:type="dxa" w:w="60"/>
              <w:right w:type="dxa" w:w="90"/>
            </w:tcMar>
          </w:tcPr>
          <w:p>
            <w:pPr>
              <w:jc w:val="left"/>
            </w:pPr>
            <w:r>
              <w:rPr>
                <w:b/>
                <w:bCs/>
                <w:color w:val="000000"/>
                <w:sz w:val="20"/>
                <w:szCs w:val="20"/>
              </w:rPr>
              <w:t xml:space="preserve">Upside risks</w:t>
            </w:r>
          </w:p>
        </w:tc>
        <w:tc>
          <w:tcPr>
            <w:tcW w:type="dxa" w:w="4680"/>
            <w:tcBorders>
              <w:top w:val="single" w:color="BBBBBB" w:sz="1"/>
              <w:left w:val="single" w:color="BBBBBB" w:sz="1"/>
              <w:bottom w:val="single" w:color="BBBBBB" w:sz="1"/>
              <w:right w:val="single" w:color="BBBBBB" w:sz="1"/>
            </w:tcBorders>
            <w:shd w:fill="f3d9e3" w:val="clear"/>
            <w:tcMar>
              <w:top w:type="dxa" w:w="60"/>
              <w:left w:type="dxa" w:w="90"/>
              <w:bottom w:type="dxa" w:w="60"/>
              <w:right w:type="dxa" w:w="90"/>
            </w:tcMar>
          </w:tcPr>
          <w:p>
            <w:pPr>
              <w:jc w:val="left"/>
            </w:pPr>
            <w:r>
              <w:rPr>
                <w:b/>
                <w:bCs/>
                <w:color w:val="000000"/>
                <w:sz w:val="20"/>
                <w:szCs w:val="20"/>
              </w:rPr>
              <w:t xml:space="preserve">Downside risks</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AI/semiconductor earnings momentum intact; trend + KER + sentiment all aligned long</w:t>
            </w:r>
          </w:p>
        </w:tc>
        <w:tc>
          <w:tcPr>
            <w:tcW w:type="dxa" w:w="468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Overbought: RSI2 saturated near 100; close pressing daily R1 (7,626) — limited near-term headroom</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VIX calm (§10) underpins multiples; ceasefire holding caps oil risk</w:t>
            </w:r>
          </w:p>
        </w:tc>
        <w:tc>
          <w:tcPr>
            <w:tcW w:type="dxa" w:w="468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Hot NFP (§13d) → hawkish Fed repricing after the 3.8% PCE print</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Close above daily P (§11) keeps the structure bullish; pullbacks favoured for re-entry</w:t>
            </w:r>
          </w:p>
        </w:tc>
        <w:tc>
          <w:tcPr>
            <w:tcW w:type="dxa" w:w="468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Narrow breadth + rising USDX + falling DAX (§10) are cracks under the tape; Iran/Hormuz tail risk</w:t>
            </w:r>
          </w:p>
        </w:tc>
      </w:tr>
    </w:tbl>
    <w:p>
      <w:pPr>
        <w:pStyle w:val="Heading1"/>
      </w:pPr>
      <w:r>
        <w:t xml:space="preserve">16.  Forward View</w:t>
      </w:r>
    </w:p>
    <w:p>
      <w:pPr>
        <w:spacing w:after="120"/>
      </w:pPr>
      <w:r>
        <w:t xml:space="preserve">Expected direction over the next 5 sessions: modestly higher with a bullish bias, but with elevated two-way risk given the overbought condition and the §13d payrolls catalyst. Expected trading range: roughly 7,567 (daily S2 / 1–2 Jun low shelf) to 7,664 (daily R3), with 7,626 (R1) the first ceiling. Base-case invalidation: a daily close back below the daily pivot P (7,604.56) and especially below 7,566 (S2) would neutralise the bullish structure and shift the read to range/transition. This respects the §9 trending regime; the only contradiction to flag is the MIXED cross-asset read (§10) — dollar and DAX divergence — which tempers conviction but does not reverse it.</w:t>
      </w:r>
    </w:p>
    <w:p>
      <w:pPr>
        <w:pStyle w:val="Heading1"/>
      </w:pPr>
      <w:r>
        <w:t xml:space="preserve">17.  Forecast</w:t>
      </w:r>
    </w:p>
    <w:p>
      <w:pPr>
        <w:spacing w:after="120"/>
      </w:pPr>
      <w:r>
        <w:rPr>
          <w:b/>
          <w:bCs/>
        </w:rPr>
        <w:t xml:space="preserve">The S&amp;P 500 is most likely to grind to marginal new highs toward the 7,626–7,664 pivot band over the coming sessions, provided the nonfarm payrolls print does not force a hawkish Fed repricing and a daily close back below 7,604.</w:t>
      </w:r>
    </w:p>
    <w:p>
      <w:pPr>
        <w:pStyle w:val="Heading1"/>
      </w:pPr>
      <w:r>
        <w:t xml:space="preserve">18.  Final Analyst Judgement</w:t>
      </w:r>
    </w:p>
    <w:p>
      <w:pPr>
        <w:spacing w:after="120"/>
      </w:pPr>
      <w:r>
        <w:t xml:space="preserve">Consensus price call: 7,609.78 (High confidence). The three most important reasons: (1) an unbroken AI-led momentum run with KER and sentiment both confirming the trend; (2) a calm volatility regime (VIX ~16) that supports multiples; (3) a constructive pivot posture with the close holding above daily P. Single watch item: the upcoming nonfarm payrolls release, against an overbought tape with narrowing breadth.</w:t>
      </w:r>
    </w:p>
    <w:p>
      <w:pPr>
        <w:pStyle w:val="Heading1"/>
      </w:pPr>
      <w:r>
        <w:t xml:space="preserve">19.  Source Discipline Note</w:t>
      </w:r>
    </w:p>
    <w:p>
      <w:pPr>
        <w:spacing w:after="120"/>
      </w:pPr>
      <w:r>
        <w:rPr>
          <w:sz w:val="22"/>
          <w:szCs w:val="22"/>
        </w:rPr>
        <w:t xml:space="preserve">Live vs indicative: the 29 May, 1 June and 2 June closes are CORROBORATED across two-plus independent sources within the ±0.10-point equity-index tolerance. The 27–28 May intraday open/high/low fields are single-source / indicative (commentary-derived) and are used for chart context only — not for pivot derivation, stops or entries. Daily pivots are derived from the corroborated 2 June high/low/close and are CORROBORATED. Weekly and monthly pivots rely on single-source prior-period H/L/C and are flagged SINGLE-SOURCE-INDICATIVE; they are excluded from level-based orders. ATR(14) is an indicative estimate (~58 points) because the full 14-session window was not two-source corroborated. Per the run instruction, trading strategies are NOT suppressed despite these corroboration gaps; affected cards carry indicative caveats.</w:t>
      </w:r>
    </w:p>
    <w:p>
      <w:pPr>
        <w:pStyle w:val="Heading1"/>
      </w:pPr>
      <w:r>
        <w:t xml:space="preserve">20.  Agent Log</w:t>
      </w:r>
    </w:p>
    <w:p>
      <w:pPr>
        <w:pStyle w:val="ListParagraph"/>
        <w:numPr>
          <w:ilvl w:val="0"/>
          <w:numId w:val="2"/>
        </w:numPr>
        <w:spacing w:after="60"/>
      </w:pPr>
      <w:r>
        <w:rPr>
          <w:sz w:val="22"/>
          <w:szCs w:val="22"/>
        </w:rPr>
        <w:t xml:space="preserve">Run instruction: produce a full report for 4 June 2026; daily-open anchor overridden from the configured 07:00 UK pre-NY window to 00:00 UK; strategies not suppressed even where price corroboration is incomplete (analyst-directed leniency, logged here).</w:t>
      </w:r>
    </w:p>
    <w:p>
      <w:pPr>
        <w:pStyle w:val="ListParagraph"/>
        <w:numPr>
          <w:ilvl w:val="0"/>
          <w:numId w:val="2"/>
        </w:numPr>
        <w:spacing w:after="60"/>
      </w:pPr>
      <w:r>
        <w:rPr>
          <w:sz w:val="22"/>
          <w:szCs w:val="22"/>
        </w:rPr>
        <w:t xml:space="preserve">Anchor override consequence: Trade 1 entry timing referenced to a 00:00 UK 24-hour anchor rather than the 07:00 UK European pre-open window; for a cash index this is a synthetic timing reference and the entry is treated as the prior validated settlement / next-open proxy.</w:t>
      </w:r>
    </w:p>
    <w:p>
      <w:pPr>
        <w:pStyle w:val="ListParagraph"/>
        <w:numPr>
          <w:ilvl w:val="0"/>
          <w:numId w:val="2"/>
        </w:numPr>
        <w:spacing w:after="60"/>
      </w:pPr>
      <w:r>
        <w:rPr>
          <w:sz w:val="22"/>
          <w:szCs w:val="22"/>
        </w:rPr>
        <w:t xml:space="preserve">Sources attempted/used: CNBC, Benzinga, Trading Economics, Yahoo Finance, StreetStats, TheStreet, TradingView, BBN Times. Stooq/Investing.com programmatic CSV not reachable from the run environment (host/allowlist + stale cache) — logged as failed/empty; corroboration achieved via the media/aggregator stack above.</w:t>
      </w:r>
    </w:p>
    <w:p>
      <w:pPr>
        <w:pStyle w:val="ListParagraph"/>
        <w:numPr>
          <w:ilvl w:val="0"/>
          <w:numId w:val="2"/>
        </w:numPr>
        <w:spacing w:after="60"/>
      </w:pPr>
      <w:r>
        <w:rPr>
          <w:sz w:val="22"/>
          <w:szCs w:val="22"/>
        </w:rPr>
        <w:t xml:space="preserve">Corroboration pairs: 2 Jun close CNBC × Benzinga (Δ = 0.00); 1 Jun close CNBC × TradingView; 29 May close CNBC × Yahoo. Delta within ±0.10-pt equity tolerance.</w:t>
      </w:r>
    </w:p>
    <w:p>
      <w:pPr>
        <w:pStyle w:val="ListParagraph"/>
        <w:numPr>
          <w:ilvl w:val="0"/>
          <w:numId w:val="2"/>
        </w:numPr>
        <w:spacing w:after="60"/>
      </w:pPr>
      <w:r>
        <w:rPr>
          <w:sz w:val="22"/>
          <w:szCs w:val="22"/>
        </w:rPr>
        <w:t xml:space="preserve">Direction-score weights basis: defaults (0.25/0.20/0.10/0.15/0.15/0.15) — within the 20-session lock, not tuned. Suppression reasons: Trade 2 weekly/monthly tiers indicative (daily tier used instead); no card fully suppressed.</w:t>
      </w:r>
    </w:p>
    <w:p>
      <w:pPr>
        <w:pStyle w:val="ListParagraph"/>
        <w:numPr>
          <w:ilvl w:val="0"/>
          <w:numId w:val="2"/>
        </w:numPr>
        <w:spacing w:after="60"/>
      </w:pPr>
      <w:r>
        <w:rPr>
          <w:sz w:val="22"/>
          <w:szCs w:val="22"/>
        </w:rPr>
        <w:t xml:space="preserve">Sentiment derivation: six articles, source-class-weighted tilt +0.40, not low-confidence. Backtest reconstructed over 5 prior sessions with t−1 freeze; indicative warmup used for RSI2/KER where two-source history was unavailable — flagged.</w:t>
      </w:r>
    </w:p>
    <w:p>
      <w:pPr>
        <w:pStyle w:val="ListParagraph"/>
        <w:numPr>
          <w:ilvl w:val="0"/>
          <w:numId w:val="2"/>
        </w:numPr>
        <w:spacing w:after="60"/>
      </w:pPr>
      <w:r>
        <w:rPr>
          <w:sz w:val="22"/>
          <w:szCs w:val="22"/>
        </w:rPr>
        <w:t xml:space="preserve">Anomaly: RSI2 saturates at 100 across four sessions — a real overbought feature of the unbroken up-run, not a data error.</w:t>
      </w:r>
    </w:p>
    <w:p>
      <w:pPr>
        <w:spacing w:after="120"/>
      </w:pPr>
      <w:r>
        <w:rPr>
          <w:i/>
          <w:iCs/>
          <w:sz w:val="20"/>
          <w:szCs w:val="20"/>
        </w:rPr>
        <w:t xml:space="preserve">Timestamp: generated 3 June 2026 (UK), for the 4 June 2026 report date.</w:t>
      </w:r>
    </w:p>
    <w:p>
      <w:pPr>
        <w:pStyle w:val="Heading1"/>
      </w:pPr>
      <w:r>
        <w:t xml:space="preserve">21.  Strategy Recommendations</w:t>
      </w:r>
    </w:p>
    <w:p>
      <w:pPr>
        <w:pStyle w:val="Heading2"/>
      </w:pPr>
      <w:r>
        <w:t xml:space="preserve">21a.  Directional Conviction</w:t>
      </w:r>
    </w:p>
    <w:p>
      <w:pPr>
        <w:spacing w:after="120"/>
      </w:pPr>
      <w:r>
        <w:t xml:space="preserve">Direction: </w:t>
      </w:r>
      <w:r>
        <w:rPr>
          <w:b/>
          <w:bCs/>
          <w:color w:val="2e7d32"/>
        </w:rPr>
        <w:t xml:space="preserve">LONG</w:t>
      </w:r>
      <w:r>
        <w:t xml:space="preserve">. Score: </w:t>
      </w:r>
      <w:r>
        <w:rPr>
          <w:b/>
          <w:bCs/>
        </w:rPr>
        <w:t xml:space="preserve">+0.66</w:t>
      </w:r>
      <w:r>
        <w:t xml:space="preserve"> (well above the conviction threshold). Three highest-weighted contributing signals: short-term technical bias (§8) +0.25, medium-term regime (§9) +0.20, sentiment tilt (§13b) +0.06, with Kaufman (§7) and cross-asset (§10, MIXED) adding smaller positive contributions. No conflict with the §17 forecast — both lean long. Weights basis: defaults.</w:t>
      </w:r>
    </w:p>
    <w:p>
      <w:pPr>
        <w:pStyle w:val="Heading2"/>
      </w:pPr>
      <w:r>
        <w:t xml:space="preserve">21b.  Trade Cards</w:t>
      </w:r>
    </w:p>
    <w:p>
      <w:pPr>
        <w:spacing w:after="120"/>
      </w:pPr>
      <w:r>
        <w:rPr>
          <w:b/>
          <w:bCs/>
          <w:color w:val="1f3a5f"/>
          <w:sz w:val="22"/>
          <w:szCs w:val="22"/>
        </w:rPr>
        <w:t xml:space="preserve">Trade 1 — Daily Directional (LONG — trend-aligned)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b/>
                <w:bCs/>
                <w:color w:val="FFFFFF"/>
                <w:sz w:val="20"/>
                <w:szCs w:val="20"/>
              </w:rPr>
              <w:t xml:space="preserve">Field</w:t>
            </w:r>
          </w:p>
        </w:tc>
        <w:tc>
          <w:tcPr>
            <w:tcW w:type="dxa" w:w="676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b/>
                <w:bCs/>
                <w:color w:val="FFFFFF"/>
                <w:sz w:val="20"/>
                <w:szCs w:val="20"/>
              </w:rPr>
              <w:t xml:space="preserve">Detail</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Direction</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LONG — trend-up regime, score +0.66</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Entry</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Market at the 00:00 UK anchor (overridden), referenced to last validated level ≈ 7,609.78</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Stop loss</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7,573.71 — 36 points below entry (anchor: nearest support 7,588 zone + 0.25×ATR buffer; within ATR cap)</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Risk (R)</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36.07 points (≈ 36 points)</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TP1 (Unit 1)</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7,645.85 (+1R)</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TP2 (Unit 2)</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7,681.92 (+2R); on fill, Unit 3 SL → entry +0.2R</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TP3 (Unit 3, runner)</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Session-close time-stop or 3×ATR cap ≈ 7,783.78, whichever first</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Tranche mgmt</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3 equal units; U1@TP1, U2@TP2; on U2 fill U3 SL → entry +0.2R</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Confluences</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TP1 ~ daily R1 (7,626) / R1.5 (7,634) cluster overhead; entry near daily P</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Thesis invalidation</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Daily close back below 7,588 (S1), confirming below 7,604 (P)</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Caveats</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ATR(14) indicative; sentiment tilt OK; overbought RSI2 — TP2 ambitious for a daily horizon</w:t>
            </w:r>
          </w:p>
        </w:tc>
      </w:tr>
    </w:tbl>
    <w:p>
      <w:pPr>
        <w:spacing w:after="120"/>
      </w:pPr>
      <w:r>
        <w:rPr>
          <w:b/>
          <w:bCs/>
          <w:color w:val="1f3a5f"/>
          <w:sz w:val="22"/>
          <w:szCs w:val="22"/>
        </w:rPr>
        <w:t xml:space="preserve">Trade 2 — Pivot (TREND_UP, regime-aware breakout LONG)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b/>
                <w:bCs/>
                <w:color w:val="FFFFFF"/>
                <w:sz w:val="20"/>
                <w:szCs w:val="20"/>
              </w:rPr>
              <w:t xml:space="preserve">Field</w:t>
            </w:r>
          </w:p>
        </w:tc>
        <w:tc>
          <w:tcPr>
            <w:tcW w:type="dxa" w:w="676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b/>
                <w:bCs/>
                <w:color w:val="FFFFFF"/>
                <w:sz w:val="20"/>
                <w:szCs w:val="20"/>
              </w:rPr>
              <w:t xml:space="preserve">Detail</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Direction</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LONG — TREND_UP; pivot breakout</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Entry</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Stop/limit 7,606.72 — 10% of the P→R1 distance above the daily pivot</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Stop loss</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7,591.48 — P − 0.8×(P−S1)</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Risk (R)</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15.24 points</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TP1 / TP2 / TP3</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R1 7,626.12 / R1.5 7,634.30 / R2 7,642.47</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Tranche mgmt</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3 equal units; runner toward R2; U3 SL → entry +0.2R on U2 fill</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Thesis invalidation</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Daily close back through P (7,604.56)</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Caveats</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Daily pivots CORROBORATED; weekly/monthly tiers single-source-indicative (excluded)</w:t>
            </w:r>
          </w:p>
        </w:tc>
      </w:tr>
    </w:tbl>
    <w:p>
      <w:pPr>
        <w:spacing w:after="120"/>
      </w:pPr>
      <w:r>
        <w:rPr>
          <w:b/>
          <w:bCs/>
          <w:color w:val="1f3a5f"/>
          <w:sz w:val="22"/>
          <w:szCs w:val="22"/>
        </w:rPr>
        <w:t xml:space="preserve">Trade 3A — Momentum-Pullback (TREND_UP, LONG)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b/>
                <w:bCs/>
                <w:color w:val="FFFFFF"/>
                <w:sz w:val="20"/>
                <w:szCs w:val="20"/>
              </w:rPr>
              <w:t xml:space="preserve">Field</w:t>
            </w:r>
          </w:p>
        </w:tc>
        <w:tc>
          <w:tcPr>
            <w:tcW w:type="dxa" w:w="676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b/>
                <w:bCs/>
                <w:color w:val="FFFFFF"/>
                <w:sz w:val="20"/>
                <w:szCs w:val="20"/>
              </w:rPr>
              <w:t xml:space="preserve">Detail</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Direction</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LONG — TREND_UP; fib pullback</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Fib anchor</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Swing low 7,505.0 → swing high 7,620.90 (magnitude 115.9 pts = 2.00×ATR; qualifies)</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Entry</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7,554.26 — 57.5% retracement</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Stop loss</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7,490.50 — 0.25×ATR below the 0% swing-low anchor (within cap)</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Risk (R)</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63.76 points</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TP1 (Unit 1)</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7,576.63 — 38.2% retrace</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TP2 (Unit 2)</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7,620.90 — 0% (swing origin/high); on fill U3 SL → entry +0.2R</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TP3 (Unit 3, runner)</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7,736.80 — 100% extension; structural runner-stop pull on a 100%-ext break</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Tranche mgmt</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3 equal units; 3A structural runner override at 100% extension</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Thesis invalidation</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Daily close beyond the 7,505 swing-low anchor</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Caveats</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Entry is a deeper pullback than current price — a limit that triggers only on a retrace; swing low partly indicative</w:t>
            </w:r>
          </w:p>
        </w:tc>
      </w:tr>
    </w:tbl>
    <w:p>
      <w:pPr>
        <w:pStyle w:val="Heading2"/>
      </w:pPr>
      <w:r>
        <w:t xml:space="preserve">21c.  5-Session No-Leakage Backtest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1150"/>
        <w:gridCol w:w="1300"/>
        <w:gridCol w:w="1100"/>
        <w:gridCol w:w="1700"/>
        <w:gridCol w:w="1100"/>
        <w:gridCol w:w="1560"/>
      </w:tblGrid>
      <w:tr>
        <w:trPr>
          <w:tblHeader/>
        </w:trPr>
        <w:tc>
          <w:tcPr>
            <w:tcW w:type="dxa" w:w="145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b/>
                <w:bCs/>
                <w:color w:val="FFFFFF"/>
                <w:sz w:val="20"/>
                <w:szCs w:val="20"/>
              </w:rPr>
              <w:t xml:space="preserve">Date (t−N)</w:t>
            </w:r>
          </w:p>
        </w:tc>
        <w:tc>
          <w:tcPr>
            <w:tcW w:type="dxa" w:w="115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b/>
                <w:bCs/>
                <w:color w:val="FFFFFF"/>
                <w:sz w:val="20"/>
                <w:szCs w:val="20"/>
              </w:rPr>
              <w:t xml:space="preserve">Strategy</w:t>
            </w:r>
          </w:p>
        </w:tc>
        <w:tc>
          <w:tcPr>
            <w:tcW w:type="dxa" w:w="13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b/>
                <w:bCs/>
                <w:color w:val="FFFFFF"/>
                <w:sz w:val="20"/>
                <w:szCs w:val="20"/>
              </w:rPr>
              <w:t xml:space="preserve">Direction</w:t>
            </w:r>
          </w:p>
        </w:tc>
        <w:tc>
          <w:tcPr>
            <w:tcW w:type="dxa" w:w="11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b/>
                <w:bCs/>
                <w:color w:val="FFFFFF"/>
                <w:sz w:val="20"/>
                <w:szCs w:val="20"/>
              </w:rPr>
              <w:t xml:space="preserve">Triggered</w:t>
            </w:r>
          </w:p>
        </w:tc>
        <w:tc>
          <w:tcPr>
            <w:tcW w:type="dxa" w:w="17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b/>
                <w:bCs/>
                <w:color w:val="FFFFFF"/>
                <w:sz w:val="20"/>
                <w:szCs w:val="20"/>
              </w:rPr>
              <w:t xml:space="preserve">Entry / Exit</w:t>
            </w:r>
          </w:p>
        </w:tc>
        <w:tc>
          <w:tcPr>
            <w:tcW w:type="dxa" w:w="11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b/>
                <w:bCs/>
                <w:color w:val="FFFFFF"/>
                <w:sz w:val="20"/>
                <w:szCs w:val="20"/>
              </w:rPr>
              <w:t xml:space="preserve">Outcome (R)</w:t>
            </w:r>
          </w:p>
        </w:tc>
        <w:tc>
          <w:tcPr>
            <w:tcW w:type="dxa" w:w="156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b/>
                <w:bCs/>
                <w:color w:val="FFFFFF"/>
                <w:sz w:val="20"/>
                <w:szCs w:val="20"/>
              </w:rPr>
              <w:t xml:space="preserve">Days</w:t>
            </w:r>
          </w:p>
        </w:tc>
      </w:tr>
      <w:tr>
        <w:trPr>
          <w:tblHeader w:val="false"/>
        </w:trPr>
        <w:tc>
          <w:tcPr>
            <w:tcW w:type="dxa" w:w="14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27 May (t−5)</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Trade 1</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LONG</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YES</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7,548 → 7,580</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+1.0R partial</w:t>
            </w:r>
          </w:p>
        </w:tc>
        <w:tc>
          <w:tcPr>
            <w:tcW w:type="dxa" w:w="15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2</w:t>
            </w:r>
          </w:p>
        </w:tc>
      </w:tr>
      <w:tr>
        <w:trPr>
          <w:tblHeader w:val="false"/>
        </w:trPr>
        <w:tc>
          <w:tcPr>
            <w:tcW w:type="dxa" w:w="14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27 May (t−5)</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Trade 3A</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LONG</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NO</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limit not reached</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w:t>
            </w:r>
          </w:p>
        </w:tc>
        <w:tc>
          <w:tcPr>
            <w:tcW w:type="dxa" w:w="15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w:t>
            </w:r>
          </w:p>
        </w:tc>
      </w:tr>
      <w:tr>
        <w:trPr>
          <w:tblHeader w:val="false"/>
        </w:trPr>
        <w:tc>
          <w:tcPr>
            <w:tcW w:type="dxa" w:w="14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28 May (t−4)</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Trade 1</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LONG</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YES</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7,560 → 7,600</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+1.0R</w:t>
            </w:r>
          </w:p>
        </w:tc>
        <w:tc>
          <w:tcPr>
            <w:tcW w:type="dxa" w:w="15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2</w:t>
            </w:r>
          </w:p>
        </w:tc>
      </w:tr>
      <w:tr>
        <w:trPr>
          <w:tblHeader w:val="false"/>
        </w:trPr>
        <w:tc>
          <w:tcPr>
            <w:tcW w:type="dxa" w:w="14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29 May (t−3)</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Trade 1</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LONG</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YES</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7,580 → 7,610</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+1.0R</w:t>
            </w:r>
          </w:p>
        </w:tc>
        <w:tc>
          <w:tcPr>
            <w:tcW w:type="dxa" w:w="15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2</w:t>
            </w:r>
          </w:p>
        </w:tc>
      </w:tr>
      <w:tr>
        <w:trPr>
          <w:tblHeader w:val="false"/>
        </w:trPr>
        <w:tc>
          <w:tcPr>
            <w:tcW w:type="dxa" w:w="14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29 May (t−3)</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Trade 2</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LONG</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YES</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pivot brk → R1</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+1.0R</w:t>
            </w:r>
          </w:p>
        </w:tc>
        <w:tc>
          <w:tcPr>
            <w:tcW w:type="dxa" w:w="15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1</w:t>
            </w:r>
          </w:p>
        </w:tc>
      </w:tr>
      <w:tr>
        <w:trPr>
          <w:tblHeader w:val="false"/>
        </w:trPr>
        <w:tc>
          <w:tcPr>
            <w:tcW w:type="dxa" w:w="14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1 Jun (t−2)</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Trade 1</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LONG</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YES</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7,600 → 7,610</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OPEN @ +0.3R</w:t>
            </w:r>
          </w:p>
        </w:tc>
        <w:tc>
          <w:tcPr>
            <w:tcW w:type="dxa" w:w="15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2+</w:t>
            </w:r>
          </w:p>
        </w:tc>
      </w:tr>
      <w:tr>
        <w:trPr>
          <w:tblHeader w:val="false"/>
        </w:trPr>
        <w:tc>
          <w:tcPr>
            <w:tcW w:type="dxa" w:w="14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2 Jun (t−1)</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Trade 1</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LONG</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YES</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7,610 → —</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OPEN @ +0.1R</w:t>
            </w:r>
          </w:p>
        </w:tc>
        <w:tc>
          <w:tcPr>
            <w:tcW w:type="dxa" w:w="15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b w:val="false"/>
                <w:bCs w:val="false"/>
                <w:color w:val="000000"/>
                <w:sz w:val="20"/>
                <w:szCs w:val="20"/>
              </w:rPr>
              <w:t xml:space="preserve">1+</w:t>
            </w:r>
          </w:p>
        </w:tc>
      </w:tr>
    </w:tbl>
    <w:p>
      <w:pPr>
        <w:pStyle w:val="Heading2"/>
      </w:pPr>
      <w:r>
        <w:t xml:space="preserve">21d.  ‘What Is Working’ Aggregate</w:t>
      </w:r>
    </w:p>
    <w:p>
      <w:pPr>
        <w:spacing w:after="120"/>
      </w:pPr>
      <w:r>
        <w:rPr>
          <w:sz w:val="22"/>
          <w:szCs w:val="22"/>
        </w:rPr>
        <w:t xml:space="preserve">Trade 1 over the last 5 sessions: triggered 5/5 times, mean R ≈ +0.7, with TP1 hit on the resolved long entries — the daily-directional long has tracked the unbroken up-run cleanly. Trade 2 (pivot) triggered once and resolved +1.0R. Trade 3A did not trigger (price never retraced to the 57.5% pullback). Strongest performer: Trade 1 (daily directional long). Weakest performer: Trade 3A — insufficient triggers to rank. Limitations: Five-session windows are too small to support statistical claims. The backtest cannot model intraday tick-level fills, slippage, or commission. Treat as a directional sanity-check, not a strategy-validation framework.</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S&amp;P 500 Daily Report │ 4 June 2026 │ Senior US Equity Strategist    —    </w:t>
    </w:r>
    <w:r>
      <w:rPr>
        <w:color w:val="888888"/>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a5f"/>
      <w:sz w:val="28"/>
      <w:szCs w:val="28"/>
    </w:rPr>
  </w:style>
  <w:style w:type="paragraph" w:styleId="Heading2">
    <w:name w:val="Heading 2"/>
    <w:basedOn w:val="Normal"/>
    <w:next w:val="Normal"/>
    <w:qFormat/>
    <w:pPr>
      <w:spacing w:after="100" w:before="16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c3c098b8534e4514569e9243b1737e105914b58.undefined"/><Relationship Id="rId9" Type="http://schemas.openxmlformats.org/officeDocument/2006/relationships/image" Target="media/9da1c1948f3d9af24572107d059d1c2f525eb2a5.undefined"/><Relationship Id="rId10" Type="http://schemas.openxmlformats.org/officeDocument/2006/relationships/image" Target="media/1f85e69511a2efbb61d9bd618f037fb1358b5172.undefined"/><Relationship Id="rId11" Type="http://schemas.openxmlformats.org/officeDocument/2006/relationships/image" Target="media/8dfa9f26d4fa008a6c9b4a5d43abf6e34cf33b80.undefined"/><Relationship Id="rId12" Type="http://schemas.openxmlformats.org/officeDocument/2006/relationships/image" Target="media/b07599559b016b289ec3967c0d301aa240163e06.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2026-06-03T21:16:37.394Z</dcterms:created>
  <dcterms:modified xsi:type="dcterms:W3CDTF">2026-06-03T21:16:37.394Z</dcterms:modified>
</cp:coreProperties>
</file>

<file path=docProps/custom.xml><?xml version="1.0" encoding="utf-8"?>
<Properties xmlns="http://schemas.openxmlformats.org/officeDocument/2006/custom-properties" xmlns:vt="http://schemas.openxmlformats.org/officeDocument/2006/docPropsVTypes"/>
</file>