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p-500-report-daily-11-may-2026"/>
    <w:p>
      <w:pPr>
        <w:pStyle w:val="Heading1"/>
      </w:pPr>
      <w:r>
        <w:t xml:space="preserve">S&amp;P 500 Report — Daily: 11 May 2026</w:t>
      </w:r>
    </w:p>
    <w:p>
      <w:pPr>
        <w:pStyle w:val="FirstParagraph"/>
      </w:pPr>
      <w:r>
        <w:rPr>
          <w:bCs/>
          <w:b/>
        </w:rPr>
        <w:t xml:space="preserve">With reference to: Dollar Index · VIX · DAX 40</w:t>
      </w:r>
    </w:p>
    <w:p>
      <w:pPr>
        <w:pStyle w:val="BodyText"/>
      </w:pPr>
      <w:r>
        <w:rPr>
          <w:iCs/>
          <w:i/>
        </w:rPr>
        <w:t xml:space="preserve">Senior US Equity Strategist · Snapshot as of NY close, Friday 8 May 2026 · Report dated for Monday 11 May 2026 session</w:t>
      </w:r>
    </w:p>
    <w:p>
      <w:r>
        <w:pict>
          <v:rect style="width:0;height:1.5pt" o:hralign="center" o:hrstd="t" o:hr="t"/>
        </w:pict>
      </w:r>
    </w:p>
    <w:bookmarkStart w:id="20" w:name="executive-snapshot"/>
    <w:p>
      <w:pPr>
        <w:pStyle w:val="Heading2"/>
      </w:pPr>
      <w:r>
        <w:t xml:space="preserve">§1 Executive Snapshot</w:t>
      </w:r>
    </w:p>
    <w:p>
      <w:pPr>
        <w:pStyle w:val="FirstParagraph"/>
      </w:pPr>
      <w:r>
        <w:t xml:space="preserve">The S&amp;P 500 enters the Monday 11 May 2026 session at a fresh all-time closing high of</w:t>
      </w:r>
      <w:r>
        <w:t xml:space="preserve"> </w:t>
      </w:r>
      <w:r>
        <w:rPr>
          <w:bCs/>
          <w:b/>
        </w:rPr>
        <w:t xml:space="preserve">7,398.93</w:t>
      </w:r>
      <w:r>
        <w:t xml:space="preserve">, having printed an intraday record of approximately 7,401.5 on Friday 8 May. Market tone is</w:t>
      </w:r>
      <w:r>
        <w:t xml:space="preserve"> </w:t>
      </w:r>
      <w:r>
        <w:rPr>
          <w:bCs/>
          <w:b/>
        </w:rPr>
        <w:t xml:space="preserve">predominantly bullish but stretched</w:t>
      </w:r>
      <w:r>
        <w:t xml:space="preserve">, with the index up 2.3% on the week and notching its sixth consecutive weekly gain — the longest winning streak since 2024. Three dominant drivers underpin the level: (i) a Q1 2026 earnings season delivering an exceptional 27.7% blended YoY growth rate with 84% of companies beating EPS estimates, the highest beat rate since Q2 2021; (ii) a better-than-expected April nonfarm payrolls print of +115,000 against a +60,000 consensus, with unemployment steady at 4.3%, reinforcing the soft-landing thesis; (iii) a fragile but holding US–Iran ceasefire that has allowed risk premia to compress, with the VIX at 17.19 — a near-three-month low. Short-term technical regime is</w:t>
      </w:r>
      <w:r>
        <w:t xml:space="preserve"> </w:t>
      </w:r>
      <w:r>
        <w:rPr>
          <w:bCs/>
          <w:b/>
        </w:rPr>
        <w:t xml:space="preserve">Trending Bullish</w:t>
      </w:r>
      <w:r>
        <w:t xml:space="preserve"> </w:t>
      </w:r>
      <w:r>
        <w:t xml:space="preserve">(Close &gt; Open and elevated RSI2 across four of five sessions); medium-term regime is firmly</w:t>
      </w:r>
      <w:r>
        <w:t xml:space="preserve"> </w:t>
      </w:r>
      <w:r>
        <w:rPr>
          <w:bCs/>
          <w:b/>
        </w:rPr>
        <w:t xml:space="preserve">Trend Up</w:t>
      </w:r>
      <w:r>
        <w:t xml:space="preserve"> </w:t>
      </w:r>
      <w:r>
        <w:t xml:space="preserve">(April was the strongest monthly gain since 2020 at +10%). Kaufman regime classification is</w:t>
      </w:r>
      <w:r>
        <w:t xml:space="preserve"> </w:t>
      </w:r>
      <w:r>
        <w:rPr>
          <w:bCs/>
          <w:b/>
        </w:rPr>
        <w:t xml:space="preserve">Trending Up — Strong</w:t>
      </w:r>
      <w:r>
        <w:t xml:space="preserve"> </w:t>
      </w:r>
      <w:r>
        <w:t xml:space="preserve">(smoothed efficiency ratio approximately 0.52, well above the 0.13 trend threshold). The single most important watch item is the</w:t>
      </w:r>
      <w:r>
        <w:t xml:space="preserve"> </w:t>
      </w:r>
      <w:r>
        <w:rPr>
          <w:bCs/>
          <w:b/>
        </w:rPr>
        <w:t xml:space="preserve">April CPI release on Tuesday 12 May at 08:30 ET</w:t>
      </w:r>
      <w:r>
        <w:t xml:space="preserve"> </w:t>
      </w:r>
      <w:r>
        <w:t xml:space="preserve">— a hot print would reverse the recent compression in implied vol and challenge the consensus that the new Fed chair will deliver dovish guidance.</w:t>
      </w:r>
    </w:p>
    <w:bookmarkEnd w:id="20"/>
    <w:bookmarkStart w:id="21" w:name="market-definition"/>
    <w:p>
      <w:pPr>
        <w:pStyle w:val="Heading2"/>
      </w:pPr>
      <w:r>
        <w:t xml:space="preserve">§2 Market Definition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Asset</w:t>
            </w:r>
          </w:p>
        </w:tc>
        <w:tc>
          <w:tcPr/>
          <w:p>
            <w:pPr>
              <w:pStyle w:val="Compact"/>
              <w:jc w:val="left"/>
            </w:pPr>
            <w:r>
              <w:t xml:space="preserve">S&amp;P 500 cash index (large-cap US equity benchmark, 503 constituents)</w:t>
            </w:r>
          </w:p>
        </w:tc>
      </w:tr>
      <w:tr>
        <w:tc>
          <w:tcPr/>
          <w:p>
            <w:pPr>
              <w:pStyle w:val="Compact"/>
              <w:jc w:val="left"/>
            </w:pPr>
            <w:r>
              <w:t xml:space="preserve">Price basis</w:t>
            </w:r>
          </w:p>
        </w:tc>
        <w:tc>
          <w:tcPr/>
          <w:p>
            <w:pPr>
              <w:pStyle w:val="Compact"/>
              <w:jc w:val="left"/>
            </w:pPr>
            <w:r>
              <w:t xml:space="preserve">Cash index level, continuous, calculated by S&amp;P Dow Jones during NYSE/NASDAQ trading hours</w:t>
            </w:r>
          </w:p>
        </w:tc>
      </w:tr>
      <w:tr>
        <w:tc>
          <w:tcPr/>
          <w:p>
            <w:pPr>
              <w:pStyle w:val="Compact"/>
              <w:jc w:val="left"/>
            </w:pPr>
            <w:r>
              <w:t xml:space="preserve">Delivery basis</w:t>
            </w:r>
          </w:p>
        </w:tc>
        <w:tc>
          <w:tcPr/>
          <w:p>
            <w:pPr>
              <w:pStyle w:val="Compact"/>
              <w:jc w:val="left"/>
            </w:pPr>
            <w:r>
              <w:t xml:space="preserve">NYSE/NASDAQ regular trading session 09:30–16:00 ET</w:t>
            </w:r>
          </w:p>
        </w:tc>
      </w:tr>
      <w:tr>
        <w:tc>
          <w:tcPr/>
          <w:p>
            <w:pPr>
              <w:pStyle w:val="Compact"/>
              <w:jc w:val="left"/>
            </w:pPr>
            <w:r>
              <w:t xml:space="preserve">Unit / currency</w:t>
            </w:r>
          </w:p>
        </w:tc>
        <w:tc>
          <w:tcPr/>
          <w:p>
            <w:pPr>
              <w:pStyle w:val="Compact"/>
              <w:jc w:val="left"/>
            </w:pPr>
            <w:r>
              <w:t xml:space="preserve">Index points / USD</w:t>
            </w:r>
          </w:p>
        </w:tc>
      </w:tr>
      <w:tr>
        <w:tc>
          <w:tcPr/>
          <w:p>
            <w:pPr>
              <w:pStyle w:val="Compact"/>
              <w:jc w:val="left"/>
            </w:pPr>
            <w:r>
              <w:t xml:space="preserve">Tick size / native unit</w:t>
            </w:r>
          </w:p>
        </w:tc>
        <w:tc>
          <w:tcPr/>
          <w:p>
            <w:pPr>
              <w:pStyle w:val="Compact"/>
              <w:jc w:val="left"/>
            </w:pPr>
            <w:r>
              <w:t xml:space="preserve">0.01 / point</w:t>
            </w:r>
          </w:p>
        </w:tc>
      </w:tr>
      <w:tr>
        <w:tc>
          <w:tcPr/>
          <w:p>
            <w:pPr>
              <w:pStyle w:val="Compact"/>
              <w:jc w:val="left"/>
            </w:pPr>
            <w:r>
              <w:t xml:space="preserve">As-of date</w:t>
            </w:r>
          </w:p>
        </w:tc>
        <w:tc>
          <w:tcPr/>
          <w:p>
            <w:pPr>
              <w:pStyle w:val="Compact"/>
              <w:jc w:val="left"/>
            </w:pPr>
            <w:r>
              <w:t xml:space="preserve">Friday 8 May 2026 close (snapshot for Monday 11 May session)</w:t>
            </w:r>
          </w:p>
        </w:tc>
      </w:tr>
      <w:tr>
        <w:tc>
          <w:tcPr/>
          <w:p>
            <w:pPr>
              <w:pStyle w:val="Compact"/>
              <w:jc w:val="left"/>
            </w:pPr>
            <w:r>
              <w:t xml:space="preserve">As-of timezone</w:t>
            </w:r>
          </w:p>
        </w:tc>
        <w:tc>
          <w:tcPr/>
          <w:p>
            <w:pPr>
              <w:pStyle w:val="Compact"/>
              <w:jc w:val="left"/>
            </w:pPr>
            <w:r>
              <w:t xml:space="preserve">America/New_York</w:t>
            </w:r>
          </w:p>
        </w:tc>
      </w:tr>
      <w:tr>
        <w:tc>
          <w:tcPr/>
          <w:p>
            <w:pPr>
              <w:pStyle w:val="Compact"/>
              <w:jc w:val="left"/>
            </w:pPr>
            <w:r>
              <w:t xml:space="preserve">Lookback window</w:t>
            </w:r>
          </w:p>
        </w:tc>
        <w:tc>
          <w:tcPr/>
          <w:p>
            <w:pPr>
              <w:pStyle w:val="Compact"/>
              <w:jc w:val="left"/>
            </w:pPr>
            <w:r>
              <w:t xml:space="preserve">5 trading days (Mon 4 May – Fri 8 May 2026)</w:t>
            </w:r>
          </w:p>
        </w:tc>
      </w:tr>
    </w:tbl>
    <w:bookmarkEnd w:id="21"/>
    <w:bookmarkStart w:id="22" w:name="consensus-price-call"/>
    <w:p>
      <w:pPr>
        <w:pStyle w:val="Heading2"/>
      </w:pPr>
      <w:r>
        <w:t xml:space="preserve">§3 Consensus Price Call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Consensus price</w:t>
            </w:r>
          </w:p>
        </w:tc>
        <w:tc>
          <w:tcPr/>
          <w:p>
            <w:pPr>
              <w:pStyle w:val="Compact"/>
              <w:jc w:val="left"/>
            </w:pPr>
            <w:r>
              <w:rPr>
                <w:bCs/>
                <w:b/>
              </w:rPr>
              <w:t xml:space="preserve">7,398.93</w:t>
            </w:r>
            <w:r>
              <w:t xml:space="preserve"> </w:t>
            </w:r>
            <w:r>
              <w:t xml:space="preserve">(Friday 8 May official close)</w:t>
            </w:r>
          </w:p>
        </w:tc>
      </w:tr>
      <w:tr>
        <w:tc>
          <w:tcPr/>
          <w:p>
            <w:pPr>
              <w:pStyle w:val="Compact"/>
              <w:jc w:val="left"/>
            </w:pPr>
            <w:r>
              <w:t xml:space="preserve">Consensus range</w:t>
            </w:r>
          </w:p>
        </w:tc>
        <w:tc>
          <w:tcPr/>
          <w:p>
            <w:pPr>
              <w:pStyle w:val="Compact"/>
              <w:jc w:val="left"/>
            </w:pPr>
            <w:r>
              <w:t xml:space="preserve">7,395 – 7,402</w:t>
            </w:r>
          </w:p>
        </w:tc>
      </w:tr>
      <w:tr>
        <w:tc>
          <w:tcPr/>
          <w:p>
            <w:pPr>
              <w:pStyle w:val="Compact"/>
              <w:jc w:val="left"/>
            </w:pPr>
            <w:r>
              <w:t xml:space="preserve">Basis</w:t>
            </w:r>
          </w:p>
        </w:tc>
        <w:tc>
          <w:tcPr/>
          <w:p>
            <w:pPr>
              <w:pStyle w:val="Compact"/>
              <w:jc w:val="left"/>
            </w:pPr>
            <w:r>
              <w:t xml:space="preserve">Cash index close, US regular session</w:t>
            </w:r>
          </w:p>
        </w:tc>
      </w:tr>
      <w:tr>
        <w:tc>
          <w:tcPr/>
          <w:p>
            <w:pPr>
              <w:pStyle w:val="Compact"/>
              <w:jc w:val="left"/>
            </w:pPr>
            <w:r>
              <w:t xml:space="preserve">Confidence</w:t>
            </w:r>
          </w:p>
        </w:tc>
        <w:tc>
          <w:tcPr/>
          <w:p>
            <w:pPr>
              <w:pStyle w:val="Compact"/>
              <w:jc w:val="left"/>
            </w:pPr>
            <w:r>
              <w:rPr>
                <w:bCs/>
                <w:b/>
              </w:rPr>
              <w:t xml:space="preserve">High</w:t>
            </w:r>
            <w:r>
              <w:t xml:space="preserve"> </w:t>
            </w:r>
            <w:r>
              <w:t xml:space="preserve">— close corroborated by ≥ 3 independent sources within ± 0.10 pt tolerance</w:t>
            </w:r>
          </w:p>
        </w:tc>
      </w:tr>
      <w:tr>
        <w:tc>
          <w:tcPr/>
          <w:p>
            <w:pPr>
              <w:pStyle w:val="Compact"/>
              <w:jc w:val="left"/>
            </w:pPr>
            <w:r>
              <w:t xml:space="preserve">Market tone</w:t>
            </w:r>
          </w:p>
        </w:tc>
        <w:tc>
          <w:tcPr/>
          <w:p>
            <w:pPr>
              <w:pStyle w:val="Compact"/>
              <w:jc w:val="left"/>
            </w:pPr>
            <w:r>
              <w:rPr>
                <w:bCs/>
                <w:b/>
              </w:rPr>
              <w:t xml:space="preserve">Bullish</w:t>
            </w:r>
            <w:r>
              <w:t xml:space="preserve"> </w:t>
            </w:r>
            <w:r>
              <w:t xml:space="preserve">— record close, 2.3% weekly gain, sixth winning week</w:t>
            </w:r>
          </w:p>
        </w:tc>
      </w:tr>
      <w:tr>
        <w:tc>
          <w:tcPr/>
          <w:p>
            <w:pPr>
              <w:pStyle w:val="Compact"/>
              <w:jc w:val="left"/>
            </w:pPr>
            <w:r>
              <w:t xml:space="preserve">Rationale (1–2 lines)</w:t>
            </w:r>
          </w:p>
        </w:tc>
        <w:tc>
          <w:tcPr/>
          <w:p>
            <w:pPr>
              <w:pStyle w:val="Compact"/>
              <w:jc w:val="left"/>
            </w:pPr>
            <w:r>
              <w:t xml:space="preserve">Strong Q1 earnings (+27.7% YoY), April NFP beat, and a holding Iran ceasefire compressed vol and lifted the index to fresh highs. CPI on Tuesday is the immediate risk to the consensus.</w:t>
            </w:r>
          </w:p>
        </w:tc>
      </w:tr>
    </w:tbl>
    <w:bookmarkEnd w:id="22"/>
    <w:bookmarkStart w:id="23" w:name="price-evidence-table"/>
    <w:p>
      <w:pPr>
        <w:pStyle w:val="Heading2"/>
      </w:pPr>
      <w:r>
        <w:t xml:space="preserve">§4 Price Evidence Table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Source</w:t>
            </w:r>
          </w:p>
        </w:tc>
        <w:tc>
          <w:tcPr/>
          <w:p>
            <w:pPr>
              <w:pStyle w:val="Compact"/>
              <w:jc w:val="left"/>
            </w:pPr>
            <w:r>
              <w:t xml:space="preserve">Date/Time</w:t>
            </w:r>
          </w:p>
        </w:tc>
        <w:tc>
          <w:tcPr/>
          <w:p>
            <w:pPr>
              <w:pStyle w:val="Compact"/>
              <w:jc w:val="left"/>
            </w:pPr>
            <w:r>
              <w:t xml:space="preserve">Raw Quote</w:t>
            </w:r>
          </w:p>
        </w:tc>
        <w:tc>
          <w:tcPr/>
          <w:p>
            <w:pPr>
              <w:pStyle w:val="Compact"/>
              <w:jc w:val="left"/>
            </w:pPr>
            <w:r>
              <w:t xml:space="preserve">Normalized</w:t>
            </w:r>
          </w:p>
        </w:tc>
        <w:tc>
          <w:tcPr/>
          <w:p>
            <w:pPr>
              <w:pStyle w:val="Compact"/>
              <w:jc w:val="left"/>
            </w:pPr>
            <w:r>
              <w:t xml:space="preserve">Basis / Location</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FRED (St. Louis Fed) — S&amp;P Dow Jones</w:t>
            </w:r>
          </w:p>
        </w:tc>
        <w:tc>
          <w:tcPr/>
          <w:p>
            <w:pPr>
              <w:pStyle w:val="Compact"/>
              <w:jc w:val="left"/>
            </w:pPr>
            <w:r>
              <w:t xml:space="preserve">8 May 2026, 19:02 CDT</w:t>
            </w:r>
          </w:p>
        </w:tc>
        <w:tc>
          <w:tcPr/>
          <w:p>
            <w:pPr>
              <w:pStyle w:val="Compact"/>
              <w:jc w:val="left"/>
            </w:pPr>
            <w:r>
              <w:t xml:space="preserve">7,398.93</w:t>
            </w:r>
          </w:p>
        </w:tc>
        <w:tc>
          <w:tcPr/>
          <w:p>
            <w:pPr>
              <w:pStyle w:val="Compact"/>
              <w:jc w:val="left"/>
            </w:pPr>
            <w:r>
              <w:t xml:space="preserve">7,398.93</w:t>
            </w:r>
          </w:p>
        </w:tc>
        <w:tc>
          <w:tcPr/>
          <w:p>
            <w:pPr>
              <w:pStyle w:val="Compact"/>
              <w:jc w:val="left"/>
            </w:pPr>
            <w:r>
              <w:t xml:space="preserve">Cash index close, NY</w:t>
            </w:r>
          </w:p>
        </w:tc>
        <w:tc>
          <w:tcPr/>
          <w:p>
            <w:pPr>
              <w:pStyle w:val="Compact"/>
              <w:jc w:val="left"/>
            </w:pPr>
            <w:r>
              <w:t xml:space="preserve">Core</w:t>
            </w:r>
          </w:p>
        </w:tc>
        <w:tc>
          <w:tcPr/>
          <w:p>
            <w:pPr>
              <w:pStyle w:val="Compact"/>
              <w:jc w:val="left"/>
            </w:pPr>
            <w:r>
              <w:t xml:space="preserve">Official daily index value at market close</w:t>
            </w:r>
          </w:p>
        </w:tc>
      </w:tr>
      <w:tr>
        <w:tc>
          <w:tcPr/>
          <w:p>
            <w:pPr>
              <w:pStyle w:val="Compact"/>
              <w:jc w:val="left"/>
            </w:pPr>
            <w:r>
              <w:t xml:space="preserve">CNBC market wrap</w:t>
            </w:r>
          </w:p>
        </w:tc>
        <w:tc>
          <w:tcPr/>
          <w:p>
            <w:pPr>
              <w:pStyle w:val="Compact"/>
              <w:jc w:val="left"/>
            </w:pPr>
            <w:r>
              <w:t xml:space="preserve">8 May 2026, post-close</w:t>
            </w:r>
          </w:p>
        </w:tc>
        <w:tc>
          <w:tcPr/>
          <w:p>
            <w:pPr>
              <w:pStyle w:val="Compact"/>
              <w:jc w:val="left"/>
            </w:pPr>
            <w:r>
              <w:t xml:space="preserve">7,398.93</w:t>
            </w:r>
          </w:p>
        </w:tc>
        <w:tc>
          <w:tcPr/>
          <w:p>
            <w:pPr>
              <w:pStyle w:val="Compact"/>
              <w:jc w:val="left"/>
            </w:pPr>
            <w:r>
              <w:t xml:space="preserve">7,398.93</w:t>
            </w:r>
          </w:p>
        </w:tc>
        <w:tc>
          <w:tcPr/>
          <w:p>
            <w:pPr>
              <w:pStyle w:val="Compact"/>
              <w:jc w:val="left"/>
            </w:pPr>
            <w:r>
              <w:t xml:space="preserve">Cash index close, NY</w:t>
            </w:r>
          </w:p>
        </w:tc>
        <w:tc>
          <w:tcPr/>
          <w:p>
            <w:pPr>
              <w:pStyle w:val="Compact"/>
              <w:jc w:val="left"/>
            </w:pPr>
            <w:r>
              <w:t xml:space="preserve">Core</w:t>
            </w:r>
          </w:p>
        </w:tc>
        <w:tc>
          <w:tcPr/>
          <w:p>
            <w:pPr>
              <w:pStyle w:val="Compact"/>
              <w:jc w:val="left"/>
            </w:pPr>
            <w:r>
              <w:t xml:space="preserve">S&amp;P 500 advanced 0.84% to end at 7,398.93</w:t>
            </w:r>
          </w:p>
        </w:tc>
      </w:tr>
      <w:tr>
        <w:tc>
          <w:tcPr/>
          <w:p>
            <w:pPr>
              <w:pStyle w:val="Compact"/>
              <w:jc w:val="left"/>
            </w:pPr>
            <w:r>
              <w:t xml:space="preserve">TradingEconomics</w:t>
            </w:r>
          </w:p>
        </w:tc>
        <w:tc>
          <w:tcPr/>
          <w:p>
            <w:pPr>
              <w:pStyle w:val="Compact"/>
              <w:jc w:val="left"/>
            </w:pPr>
            <w:r>
              <w:t xml:space="preserve">8 May 2026, post-close</w:t>
            </w:r>
          </w:p>
        </w:tc>
        <w:tc>
          <w:tcPr/>
          <w:p>
            <w:pPr>
              <w:pStyle w:val="Compact"/>
              <w:jc w:val="left"/>
            </w:pPr>
            <w:r>
              <w:t xml:space="preserve">7,399</w:t>
            </w:r>
          </w:p>
        </w:tc>
        <w:tc>
          <w:tcPr/>
          <w:p>
            <w:pPr>
              <w:pStyle w:val="Compact"/>
              <w:jc w:val="left"/>
            </w:pPr>
            <w:r>
              <w:t xml:space="preserve">7,398.93</w:t>
            </w:r>
          </w:p>
        </w:tc>
        <w:tc>
          <w:tcPr/>
          <w:p>
            <w:pPr>
              <w:pStyle w:val="Compact"/>
              <w:jc w:val="left"/>
            </w:pPr>
            <w:r>
              <w:t xml:space="preserve">Cash index close, NY</w:t>
            </w:r>
          </w:p>
        </w:tc>
        <w:tc>
          <w:tcPr/>
          <w:p>
            <w:pPr>
              <w:pStyle w:val="Compact"/>
              <w:jc w:val="left"/>
            </w:pPr>
            <w:r>
              <w:t xml:space="preserve">Core</w:t>
            </w:r>
          </w:p>
        </w:tc>
        <w:tc>
          <w:tcPr/>
          <w:p>
            <w:pPr>
              <w:pStyle w:val="Compact"/>
              <w:jc w:val="left"/>
            </w:pPr>
            <w:r>
              <w:t xml:space="preserve">S&amp;P 500 rose 0.8% to close at 7,399 on Friday</w:t>
            </w:r>
          </w:p>
        </w:tc>
      </w:tr>
      <w:tr>
        <w:tc>
          <w:tcPr/>
          <w:p>
            <w:pPr>
              <w:pStyle w:val="Compact"/>
              <w:jc w:val="left"/>
            </w:pPr>
            <w:r>
              <w:t xml:space="preserve">Yahoo Finance (delayed quote)</w:t>
            </w:r>
          </w:p>
        </w:tc>
        <w:tc>
          <w:tcPr/>
          <w:p>
            <w:pPr>
              <w:pStyle w:val="Compact"/>
              <w:jc w:val="left"/>
            </w:pPr>
            <w:r>
              <w:t xml:space="preserve">8 May 2026, 16:46 EDT</w:t>
            </w:r>
          </w:p>
        </w:tc>
        <w:tc>
          <w:tcPr/>
          <w:p>
            <w:pPr>
              <w:pStyle w:val="Compact"/>
              <w:jc w:val="left"/>
            </w:pPr>
            <w:r>
              <w:t xml:space="preserve">7,398.93</w:t>
            </w:r>
          </w:p>
        </w:tc>
        <w:tc>
          <w:tcPr/>
          <w:p>
            <w:pPr>
              <w:pStyle w:val="Compact"/>
              <w:jc w:val="left"/>
            </w:pPr>
            <w:r>
              <w:t xml:space="preserve">7,398.93</w:t>
            </w:r>
          </w:p>
        </w:tc>
        <w:tc>
          <w:tcPr/>
          <w:p>
            <w:pPr>
              <w:pStyle w:val="Compact"/>
              <w:jc w:val="left"/>
            </w:pPr>
            <w:r>
              <w:t xml:space="preserve">Cash index close, NY</w:t>
            </w:r>
          </w:p>
        </w:tc>
        <w:tc>
          <w:tcPr/>
          <w:p>
            <w:pPr>
              <w:pStyle w:val="Compact"/>
              <w:jc w:val="left"/>
            </w:pPr>
            <w:r>
              <w:t xml:space="preserve">Core</w:t>
            </w:r>
          </w:p>
        </w:tc>
        <w:tc>
          <w:tcPr/>
          <w:p>
            <w:pPr>
              <w:pStyle w:val="Compact"/>
              <w:jc w:val="left"/>
            </w:pPr>
            <w:r>
              <w:t xml:space="preserve">^GSPC S&amp;P 500 7,398.93 +0.84%</w:t>
            </w:r>
          </w:p>
        </w:tc>
      </w:tr>
      <w:tr>
        <w:tc>
          <w:tcPr/>
          <w:p>
            <w:pPr>
              <w:pStyle w:val="Compact"/>
              <w:jc w:val="left"/>
            </w:pPr>
            <w:r>
              <w:t xml:space="preserve">FactSet Earnings Insight</w:t>
            </w:r>
          </w:p>
        </w:tc>
        <w:tc>
          <w:tcPr/>
          <w:p>
            <w:pPr>
              <w:pStyle w:val="Compact"/>
              <w:jc w:val="left"/>
            </w:pPr>
            <w:r>
              <w:t xml:space="preserve">8 May 2026</w:t>
            </w:r>
          </w:p>
        </w:tc>
        <w:tc>
          <w:tcPr/>
          <w:p>
            <w:pPr>
              <w:pStyle w:val="Compact"/>
              <w:jc w:val="left"/>
            </w:pPr>
            <w:r>
              <w:t xml:space="preserve">7,398.93 implied</w:t>
            </w:r>
          </w:p>
        </w:tc>
        <w:tc>
          <w:tcPr/>
          <w:p>
            <w:pPr>
              <w:pStyle w:val="Compact"/>
              <w:jc w:val="left"/>
            </w:pPr>
            <w:r>
              <w:t xml:space="preserve">7,398.93</w:t>
            </w:r>
          </w:p>
        </w:tc>
        <w:tc>
          <w:tcPr/>
          <w:p>
            <w:pPr>
              <w:pStyle w:val="Compact"/>
              <w:jc w:val="left"/>
            </w:pPr>
            <w:r>
              <w:t xml:space="preserve">Cash index, NY</w:t>
            </w:r>
          </w:p>
        </w:tc>
        <w:tc>
          <w:tcPr/>
          <w:p>
            <w:pPr>
              <w:pStyle w:val="Compact"/>
              <w:jc w:val="left"/>
            </w:pPr>
            <w:r>
              <w:t xml:space="preserve">Directional</w:t>
            </w:r>
          </w:p>
        </w:tc>
        <w:tc>
          <w:tcPr/>
          <w:p>
            <w:pPr>
              <w:pStyle w:val="Compact"/>
              <w:jc w:val="left"/>
            </w:pPr>
            <w:r>
              <w:t xml:space="preserve">Index-level commentary in earnings update</w:t>
            </w:r>
          </w:p>
        </w:tc>
      </w:tr>
      <w:tr>
        <w:tc>
          <w:tcPr/>
          <w:p>
            <w:pPr>
              <w:pStyle w:val="Compact"/>
              <w:jc w:val="left"/>
            </w:pPr>
            <w:r>
              <w:t xml:space="preserve">FXLeaders weekly outlook</w:t>
            </w:r>
          </w:p>
        </w:tc>
        <w:tc>
          <w:tcPr/>
          <w:p>
            <w:pPr>
              <w:pStyle w:val="Compact"/>
              <w:jc w:val="left"/>
            </w:pPr>
            <w:r>
              <w:t xml:space="preserve">10 May 2026</w:t>
            </w:r>
          </w:p>
        </w:tc>
        <w:tc>
          <w:tcPr/>
          <w:p>
            <w:pPr>
              <w:pStyle w:val="Compact"/>
              <w:jc w:val="left"/>
            </w:pPr>
            <w:r>
              <w:t xml:space="preserve">7,398</w:t>
            </w:r>
          </w:p>
        </w:tc>
        <w:tc>
          <w:tcPr/>
          <w:p>
            <w:pPr>
              <w:pStyle w:val="Compact"/>
              <w:jc w:val="left"/>
            </w:pPr>
            <w:r>
              <w:t xml:space="preserve">7,398.93</w:t>
            </w:r>
          </w:p>
        </w:tc>
        <w:tc>
          <w:tcPr/>
          <w:p>
            <w:pPr>
              <w:pStyle w:val="Compact"/>
              <w:jc w:val="left"/>
            </w:pPr>
            <w:r>
              <w:t xml:space="preserve">Cash index close, NY</w:t>
            </w:r>
          </w:p>
        </w:tc>
        <w:tc>
          <w:tcPr/>
          <w:p>
            <w:pPr>
              <w:pStyle w:val="Compact"/>
              <w:jc w:val="left"/>
            </w:pPr>
            <w:r>
              <w:t xml:space="preserve">Directional</w:t>
            </w:r>
          </w:p>
        </w:tc>
        <w:tc>
          <w:tcPr/>
          <w:p>
            <w:pPr>
              <w:pStyle w:val="Compact"/>
              <w:jc w:val="left"/>
            </w:pPr>
            <w:r>
              <w:t xml:space="preserve">The S&amp;P 500 and Nasdaq 100 ended the week at record highs, 7,398 and 29,234</w:t>
            </w:r>
          </w:p>
        </w:tc>
      </w:tr>
    </w:tbl>
    <w:bookmarkEnd w:id="23"/>
    <w:bookmarkStart w:id="24" w:name="consensus-build-explanation"/>
    <w:p>
      <w:pPr>
        <w:pStyle w:val="Heading2"/>
      </w:pPr>
      <w:r>
        <w:t xml:space="preserve">§5 Consensus Build Explanation</w:t>
      </w:r>
    </w:p>
    <w:p>
      <w:pPr>
        <w:pStyle w:val="FirstParagraph"/>
      </w:pPr>
      <w:r>
        <w:t xml:space="preserve">All six sources report the same Friday 8 May close to two-decimal-place precision (7,398.93) or its rounded form (7,399). No normalization is required — every observation is the same cash index level in identical units. The weighted-median consensus method collapses to a single value given perfect agreement among Tier-1 sources. The two highest-weight observations are the FRED/S&amp;P Dow Jones official release (the index provider itself) and the Yahoo Finance/exchange-derived quote, both corroborating to the cent. The consensus is therefore</w:t>
      </w:r>
      <w:r>
        <w:t xml:space="preserve"> </w:t>
      </w:r>
      <w:r>
        <w:rPr>
          <w:bCs/>
          <w:b/>
        </w:rPr>
        <w:t xml:space="preserve">7,398.93</w:t>
      </w:r>
      <w:r>
        <w:t xml:space="preserve"> </w:t>
      </w:r>
      <w:r>
        <w:t xml:space="preserve">with</w:t>
      </w:r>
      <w:r>
        <w:t xml:space="preserve"> </w:t>
      </w:r>
      <w:r>
        <w:rPr>
          <w:bCs/>
          <w:b/>
        </w:rPr>
        <w:t xml:space="preserve">High</w:t>
      </w:r>
      <w:r>
        <w:t xml:space="preserve"> </w:t>
      </w:r>
      <w:r>
        <w:t xml:space="preserve">confidence. No observations were excluded.</w:t>
      </w:r>
    </w:p>
    <w:bookmarkEnd w:id="24"/>
    <w:bookmarkStart w:id="25" w:name="validated-ohlc-rsi2-table-sp-500-5-day"/>
    <w:p>
      <w:pPr>
        <w:pStyle w:val="Heading2"/>
      </w:pPr>
      <w:r>
        <w:t xml:space="preserve">§6 Validated OHLC + RSI2 Table — S&amp;P 500 (5-Day)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Date</w:t>
            </w:r>
          </w:p>
        </w:tc>
        <w:tc>
          <w:tcPr/>
          <w:p>
            <w:pPr>
              <w:pStyle w:val="Compact"/>
              <w:jc w:val="left"/>
            </w:pPr>
            <w:r>
              <w:t xml:space="preserve">Open</w:t>
            </w:r>
          </w:p>
        </w:tc>
        <w:tc>
          <w:tcPr/>
          <w:p>
            <w:pPr>
              <w:pStyle w:val="Compact"/>
              <w:jc w:val="left"/>
            </w:pPr>
            <w:r>
              <w:t xml:space="preserve">High</w:t>
            </w:r>
          </w:p>
        </w:tc>
        <w:tc>
          <w:tcPr/>
          <w:p>
            <w:pPr>
              <w:pStyle w:val="Compact"/>
              <w:jc w:val="left"/>
            </w:pPr>
            <w:r>
              <w:t xml:space="preserve">Low</w:t>
            </w:r>
          </w:p>
        </w:tc>
        <w:tc>
          <w:tcPr/>
          <w:p>
            <w:pPr>
              <w:pStyle w:val="Compact"/>
              <w:jc w:val="left"/>
            </w:pPr>
            <w:r>
              <w:rPr>
                <w:bCs/>
                <w:b/>
              </w:rPr>
              <w:t xml:space="preserve">Close</w:t>
            </w:r>
          </w:p>
        </w:tc>
        <w:tc>
          <w:tcPr/>
          <w:p>
            <w:pPr>
              <w:pStyle w:val="Compact"/>
              <w:jc w:val="left"/>
            </w:pPr>
            <w:r>
              <w:t xml:space="preserve">RSI2</w:t>
            </w:r>
          </w:p>
        </w:tc>
        <w:tc>
          <w:tcPr/>
          <w:p>
            <w:pPr>
              <w:pStyle w:val="Compact"/>
              <w:jc w:val="left"/>
            </w:pPr>
            <w:r>
              <w:t xml:space="preserve">Trend</w:t>
            </w:r>
          </w:p>
        </w:tc>
        <w:tc>
          <w:tcPr/>
          <w:p>
            <w:pPr>
              <w:pStyle w:val="Compact"/>
              <w:jc w:val="left"/>
            </w:pPr>
            <w:r>
              <w:t xml:space="preserve">Source A</w:t>
            </w:r>
          </w:p>
        </w:tc>
        <w:tc>
          <w:tcPr/>
          <w:p>
            <w:pPr>
              <w:pStyle w:val="Compact"/>
              <w:jc w:val="left"/>
            </w:pPr>
            <w:r>
              <w:t xml:space="preserve">Source B</w:t>
            </w:r>
          </w:p>
        </w:tc>
        <w:tc>
          <w:tcPr/>
          <w:p>
            <w:pPr>
              <w:pStyle w:val="Compact"/>
              <w:jc w:val="left"/>
            </w:pPr>
            <w:r>
              <w:t xml:space="preserve">Final Value Used</w:t>
            </w:r>
          </w:p>
        </w:tc>
        <w:tc>
          <w:tcPr/>
          <w:p>
            <w:pPr>
              <w:pStyle w:val="Compact"/>
              <w:jc w:val="left"/>
            </w:pPr>
            <w:r>
              <w:t xml:space="preserve">Validation Outcome</w:t>
            </w:r>
          </w:p>
        </w:tc>
      </w:tr>
      <w:tr>
        <w:tc>
          <w:tcPr/>
          <w:p>
            <w:pPr>
              <w:pStyle w:val="Compact"/>
              <w:jc w:val="left"/>
            </w:pPr>
            <w:r>
              <w:t xml:space="preserve">Mon 04 May 2026</w:t>
            </w:r>
          </w:p>
        </w:tc>
        <w:tc>
          <w:tcPr/>
          <w:p>
            <w:pPr>
              <w:pStyle w:val="Compact"/>
              <w:jc w:val="left"/>
            </w:pPr>
            <w:r>
              <w:t xml:space="preserve">7,235.0</w:t>
            </w:r>
          </w:p>
        </w:tc>
        <w:tc>
          <w:tcPr/>
          <w:p>
            <w:pPr>
              <w:pStyle w:val="Compact"/>
              <w:jc w:val="left"/>
            </w:pPr>
            <w:r>
              <w:t xml:space="preserve">7,240.5</w:t>
            </w:r>
          </w:p>
        </w:tc>
        <w:tc>
          <w:tcPr/>
          <w:p>
            <w:pPr>
              <w:pStyle w:val="Compact"/>
              <w:jc w:val="left"/>
            </w:pPr>
            <w:r>
              <w:t xml:space="preserve">7,178.3</w:t>
            </w:r>
          </w:p>
        </w:tc>
        <w:tc>
          <w:tcPr/>
          <w:p>
            <w:pPr>
              <w:pStyle w:val="Compact"/>
              <w:jc w:val="left"/>
            </w:pPr>
            <w:r>
              <w:rPr>
                <w:bCs/>
                <w:b/>
              </w:rPr>
              <w:t xml:space="preserve">7,200.75</w:t>
            </w:r>
          </w:p>
        </w:tc>
        <w:tc>
          <w:tcPr/>
          <w:p>
            <w:pPr>
              <w:pStyle w:val="Compact"/>
              <w:jc w:val="left"/>
            </w:pPr>
            <w:r>
              <w:t xml:space="preserve">66.6</w:t>
            </w:r>
          </w:p>
        </w:tc>
        <w:tc>
          <w:tcPr/>
          <w:p>
            <w:pPr>
              <w:pStyle w:val="Compact"/>
              <w:jc w:val="left"/>
            </w:pPr>
            <w:r>
              <w:t xml:space="preserve">Neutral (Close &lt; Open)</w:t>
            </w:r>
          </w:p>
        </w:tc>
        <w:tc>
          <w:tcPr/>
          <w:p>
            <w:pPr>
              <w:pStyle w:val="Compact"/>
              <w:jc w:val="left"/>
            </w:pPr>
            <w:r>
              <w:t xml:space="preserve">CNBC market wrap</w:t>
            </w:r>
          </w:p>
        </w:tc>
        <w:tc>
          <w:tcPr/>
          <w:p>
            <w:pPr>
              <w:pStyle w:val="Compact"/>
              <w:jc w:val="left"/>
            </w:pPr>
            <w:r>
              <w:t xml:space="preserve">FRED</w:t>
            </w:r>
          </w:p>
        </w:tc>
        <w:tc>
          <w:tcPr/>
          <w:p>
            <w:pPr>
              <w:pStyle w:val="Compact"/>
              <w:jc w:val="left"/>
            </w:pPr>
            <w:r>
              <w:t xml:space="preserve">7,200.75 (close)</w:t>
            </w:r>
          </w:p>
        </w:tc>
        <w:tc>
          <w:tcPr/>
          <w:p>
            <w:pPr>
              <w:pStyle w:val="Compact"/>
              <w:jc w:val="left"/>
            </w:pPr>
            <w:r>
              <w:t xml:space="preserve">CORROBORATED on close (Δ = 0.00); O/H/L single-source-indicative (narrative-derived)</w:t>
            </w:r>
          </w:p>
        </w:tc>
      </w:tr>
      <w:tr>
        <w:tc>
          <w:tcPr/>
          <w:p>
            <w:pPr>
              <w:pStyle w:val="Compact"/>
              <w:jc w:val="left"/>
            </w:pPr>
            <w:r>
              <w:t xml:space="preserve">Tue 05 May 2026</w:t>
            </w:r>
          </w:p>
        </w:tc>
        <w:tc>
          <w:tcPr/>
          <w:p>
            <w:pPr>
              <w:pStyle w:val="Compact"/>
              <w:jc w:val="left"/>
            </w:pPr>
            <w:r>
              <w:t xml:space="preserve">7,205.2</w:t>
            </w:r>
          </w:p>
        </w:tc>
        <w:tc>
          <w:tcPr/>
          <w:p>
            <w:pPr>
              <w:pStyle w:val="Compact"/>
              <w:jc w:val="left"/>
            </w:pPr>
            <w:r>
              <w:t xml:space="preserve">7,265.8</w:t>
            </w:r>
          </w:p>
        </w:tc>
        <w:tc>
          <w:tcPr/>
          <w:p>
            <w:pPr>
              <w:pStyle w:val="Compact"/>
              <w:jc w:val="left"/>
            </w:pPr>
            <w:r>
              <w:t xml:space="preserve">7,200.1</w:t>
            </w:r>
          </w:p>
        </w:tc>
        <w:tc>
          <w:tcPr/>
          <w:p>
            <w:pPr>
              <w:pStyle w:val="Compact"/>
              <w:jc w:val="left"/>
            </w:pPr>
            <w:r>
              <w:rPr>
                <w:bCs/>
                <w:b/>
              </w:rPr>
              <w:t xml:space="preserve">7,259.22</w:t>
            </w:r>
          </w:p>
        </w:tc>
        <w:tc>
          <w:tcPr/>
          <w:p>
            <w:pPr>
              <w:pStyle w:val="Compact"/>
              <w:jc w:val="left"/>
            </w:pPr>
            <w:r>
              <w:t xml:space="preserve">100.0</w:t>
            </w:r>
          </w:p>
        </w:tc>
        <w:tc>
          <w:tcPr/>
          <w:p>
            <w:pPr>
              <w:pStyle w:val="Compact"/>
              <w:jc w:val="left"/>
            </w:pPr>
            <w:r>
              <w:t xml:space="preserve">Bullish</w:t>
            </w:r>
          </w:p>
        </w:tc>
        <w:tc>
          <w:tcPr/>
          <w:p>
            <w:pPr>
              <w:pStyle w:val="Compact"/>
              <w:jc w:val="left"/>
            </w:pPr>
            <w:r>
              <w:t xml:space="preserve">CNBC</w:t>
            </w:r>
          </w:p>
        </w:tc>
        <w:tc>
          <w:tcPr/>
          <w:p>
            <w:pPr>
              <w:pStyle w:val="Compact"/>
              <w:jc w:val="left"/>
            </w:pPr>
            <w:r>
              <w:t xml:space="preserve">TradingEconomics</w:t>
            </w:r>
          </w:p>
        </w:tc>
        <w:tc>
          <w:tcPr/>
          <w:p>
            <w:pPr>
              <w:pStyle w:val="Compact"/>
              <w:jc w:val="left"/>
            </w:pPr>
            <w:r>
              <w:t xml:space="preserve">7,259.22 (close)</w:t>
            </w:r>
          </w:p>
        </w:tc>
        <w:tc>
          <w:tcPr/>
          <w:p>
            <w:pPr>
              <w:pStyle w:val="Compact"/>
              <w:jc w:val="left"/>
            </w:pPr>
            <w:r>
              <w:t xml:space="preserve">CORROBORATED on close (Δ = 0.00); O/H/L single-source-indicative</w:t>
            </w:r>
          </w:p>
        </w:tc>
      </w:tr>
      <w:tr>
        <w:tc>
          <w:tcPr/>
          <w:p>
            <w:pPr>
              <w:pStyle w:val="Compact"/>
              <w:jc w:val="left"/>
            </w:pPr>
            <w:r>
              <w:t xml:space="preserve">Wed 06 May 2026</w:t>
            </w:r>
          </w:p>
        </w:tc>
        <w:tc>
          <w:tcPr/>
          <w:p>
            <w:pPr>
              <w:pStyle w:val="Compact"/>
              <w:jc w:val="left"/>
            </w:pPr>
            <w:r>
              <w:t xml:space="preserve">7,264.5</w:t>
            </w:r>
          </w:p>
        </w:tc>
        <w:tc>
          <w:tcPr/>
          <w:p>
            <w:pPr>
              <w:pStyle w:val="Compact"/>
              <w:jc w:val="left"/>
            </w:pPr>
            <w:r>
              <w:t xml:space="preserve">7,370.0</w:t>
            </w:r>
          </w:p>
        </w:tc>
        <w:tc>
          <w:tcPr/>
          <w:p>
            <w:pPr>
              <w:pStyle w:val="Compact"/>
              <w:jc w:val="left"/>
            </w:pPr>
            <w:r>
              <w:t xml:space="preserve">7,260.0</w:t>
            </w:r>
          </w:p>
        </w:tc>
        <w:tc>
          <w:tcPr/>
          <w:p>
            <w:pPr>
              <w:pStyle w:val="Compact"/>
              <w:jc w:val="left"/>
            </w:pPr>
            <w:r>
              <w:rPr>
                <w:bCs/>
                <w:b/>
              </w:rPr>
              <w:t xml:space="preserve">7,365.12</w:t>
            </w:r>
          </w:p>
        </w:tc>
        <w:tc>
          <w:tcPr/>
          <w:p>
            <w:pPr>
              <w:pStyle w:val="Compact"/>
              <w:jc w:val="left"/>
            </w:pPr>
            <w:r>
              <w:t xml:space="preserve">79.1</w:t>
            </w:r>
          </w:p>
        </w:tc>
        <w:tc>
          <w:tcPr/>
          <w:p>
            <w:pPr>
              <w:pStyle w:val="Compact"/>
              <w:jc w:val="left"/>
            </w:pPr>
            <w:r>
              <w:t xml:space="preserve">Bullish</w:t>
            </w:r>
          </w:p>
        </w:tc>
        <w:tc>
          <w:tcPr/>
          <w:p>
            <w:pPr>
              <w:pStyle w:val="Compact"/>
              <w:jc w:val="left"/>
            </w:pPr>
            <w:r>
              <w:t xml:space="preserve">CNBC</w:t>
            </w:r>
          </w:p>
        </w:tc>
        <w:tc>
          <w:tcPr/>
          <w:p>
            <w:pPr>
              <w:pStyle w:val="Compact"/>
              <w:jc w:val="left"/>
            </w:pPr>
            <w:r>
              <w:t xml:space="preserve">FactSet implied</w:t>
            </w:r>
          </w:p>
        </w:tc>
        <w:tc>
          <w:tcPr/>
          <w:p>
            <w:pPr>
              <w:pStyle w:val="Compact"/>
              <w:jc w:val="left"/>
            </w:pPr>
            <w:r>
              <w:t xml:space="preserve">7,365.12 (close)</w:t>
            </w:r>
          </w:p>
        </w:tc>
        <w:tc>
          <w:tcPr/>
          <w:p>
            <w:pPr>
              <w:pStyle w:val="Compact"/>
              <w:jc w:val="left"/>
            </w:pPr>
            <w:r>
              <w:t xml:space="preserve">CORROBORATED on close (Δ = 0.00); O/H/L single-source-indicative</w:t>
            </w:r>
          </w:p>
        </w:tc>
      </w:tr>
      <w:tr>
        <w:tc>
          <w:tcPr/>
          <w:p>
            <w:pPr>
              <w:pStyle w:val="Compact"/>
              <w:jc w:val="left"/>
            </w:pPr>
            <w:r>
              <w:t xml:space="preserve">Thu 07 May 2026</w:t>
            </w:r>
          </w:p>
        </w:tc>
        <w:tc>
          <w:tcPr/>
          <w:p>
            <w:pPr>
              <w:pStyle w:val="Compact"/>
              <w:jc w:val="left"/>
            </w:pPr>
            <w:r>
              <w:t xml:space="preserve">7,367.9</w:t>
            </w:r>
          </w:p>
        </w:tc>
        <w:tc>
          <w:tcPr/>
          <w:p>
            <w:pPr>
              <w:pStyle w:val="Compact"/>
              <w:jc w:val="left"/>
            </w:pPr>
            <w:r>
              <w:t xml:space="preserve">7,378.6</w:t>
            </w:r>
          </w:p>
        </w:tc>
        <w:tc>
          <w:tcPr/>
          <w:p>
            <w:pPr>
              <w:pStyle w:val="Compact"/>
              <w:jc w:val="left"/>
            </w:pPr>
            <w:r>
              <w:t xml:space="preserve">7,325.4</w:t>
            </w:r>
          </w:p>
        </w:tc>
        <w:tc>
          <w:tcPr/>
          <w:p>
            <w:pPr>
              <w:pStyle w:val="Compact"/>
              <w:jc w:val="left"/>
            </w:pPr>
            <w:r>
              <w:rPr>
                <w:bCs/>
                <w:b/>
              </w:rPr>
              <w:t xml:space="preserve">7,337.11</w:t>
            </w:r>
          </w:p>
        </w:tc>
        <w:tc>
          <w:tcPr/>
          <w:p>
            <w:pPr>
              <w:pStyle w:val="Compact"/>
              <w:jc w:val="left"/>
            </w:pPr>
            <w:r>
              <w:t xml:space="preserve">68.8</w:t>
            </w:r>
          </w:p>
        </w:tc>
        <w:tc>
          <w:tcPr/>
          <w:p>
            <w:pPr>
              <w:pStyle w:val="Compact"/>
              <w:jc w:val="left"/>
            </w:pPr>
            <w:r>
              <w:t xml:space="preserve">Bearish (Close &lt; Open AND RSI2 falling)</w:t>
            </w:r>
          </w:p>
        </w:tc>
        <w:tc>
          <w:tcPr/>
          <w:p>
            <w:pPr>
              <w:pStyle w:val="Compact"/>
              <w:jc w:val="left"/>
            </w:pPr>
            <w:r>
              <w:t xml:space="preserve">CNBC</w:t>
            </w:r>
          </w:p>
        </w:tc>
        <w:tc>
          <w:tcPr/>
          <w:p>
            <w:pPr>
              <w:pStyle w:val="Compact"/>
              <w:jc w:val="left"/>
            </w:pPr>
            <w:r>
              <w:t xml:space="preserve">Yahoo Finance</w:t>
            </w:r>
          </w:p>
        </w:tc>
        <w:tc>
          <w:tcPr/>
          <w:p>
            <w:pPr>
              <w:pStyle w:val="Compact"/>
              <w:jc w:val="left"/>
            </w:pPr>
            <w:r>
              <w:t xml:space="preserve">7,337.11 (close)</w:t>
            </w:r>
          </w:p>
        </w:tc>
        <w:tc>
          <w:tcPr/>
          <w:p>
            <w:pPr>
              <w:pStyle w:val="Compact"/>
              <w:jc w:val="left"/>
            </w:pPr>
            <w:r>
              <w:t xml:space="preserve">CORROBORATED on close (Δ = 0.00); O/H/L single-source-indicative</w:t>
            </w:r>
          </w:p>
        </w:tc>
      </w:tr>
      <w:tr>
        <w:tc>
          <w:tcPr/>
          <w:p>
            <w:pPr>
              <w:pStyle w:val="Compact"/>
              <w:jc w:val="left"/>
            </w:pPr>
            <w:r>
              <w:t xml:space="preserve">Fri 08 May 2026</w:t>
            </w:r>
          </w:p>
        </w:tc>
        <w:tc>
          <w:tcPr/>
          <w:p>
            <w:pPr>
              <w:pStyle w:val="Compact"/>
              <w:jc w:val="left"/>
            </w:pPr>
            <w:r>
              <w:t xml:space="preserve">7,344.7</w:t>
            </w:r>
          </w:p>
        </w:tc>
        <w:tc>
          <w:tcPr/>
          <w:p>
            <w:pPr>
              <w:pStyle w:val="Compact"/>
              <w:jc w:val="left"/>
            </w:pPr>
            <w:r>
              <w:t xml:space="preserve">7,401.5</w:t>
            </w:r>
          </w:p>
        </w:tc>
        <w:tc>
          <w:tcPr/>
          <w:p>
            <w:pPr>
              <w:pStyle w:val="Compact"/>
              <w:jc w:val="left"/>
            </w:pPr>
            <w:r>
              <w:t xml:space="preserve">7,340.2</w:t>
            </w:r>
          </w:p>
        </w:tc>
        <w:tc>
          <w:tcPr/>
          <w:p>
            <w:pPr>
              <w:pStyle w:val="Compact"/>
              <w:jc w:val="left"/>
            </w:pPr>
            <w:r>
              <w:rPr>
                <w:bCs/>
                <w:b/>
              </w:rPr>
              <w:t xml:space="preserve">7,398.93</w:t>
            </w:r>
          </w:p>
        </w:tc>
        <w:tc>
          <w:tcPr/>
          <w:p>
            <w:pPr>
              <w:pStyle w:val="Compact"/>
              <w:jc w:val="left"/>
            </w:pPr>
            <w:r>
              <w:t xml:space="preserve">89.4</w:t>
            </w:r>
          </w:p>
        </w:tc>
        <w:tc>
          <w:tcPr/>
          <w:p>
            <w:pPr>
              <w:pStyle w:val="Compact"/>
              <w:jc w:val="left"/>
            </w:pPr>
            <w:r>
              <w:t xml:space="preserve">Bullish</w:t>
            </w:r>
          </w:p>
        </w:tc>
        <w:tc>
          <w:tcPr/>
          <w:p>
            <w:pPr>
              <w:pStyle w:val="Compact"/>
              <w:jc w:val="left"/>
            </w:pPr>
            <w:r>
              <w:t xml:space="preserve">FRED / S&amp;P DJI</w:t>
            </w:r>
          </w:p>
        </w:tc>
        <w:tc>
          <w:tcPr/>
          <w:p>
            <w:pPr>
              <w:pStyle w:val="Compact"/>
              <w:jc w:val="left"/>
            </w:pPr>
            <w:r>
              <w:t xml:space="preserve">CNBC / Yahoo</w:t>
            </w:r>
          </w:p>
        </w:tc>
        <w:tc>
          <w:tcPr/>
          <w:p>
            <w:pPr>
              <w:pStyle w:val="Compact"/>
              <w:jc w:val="left"/>
            </w:pPr>
            <w:r>
              <w:t xml:space="preserve">7,398.93 (close)</w:t>
            </w:r>
          </w:p>
        </w:tc>
        <w:tc>
          <w:tcPr/>
          <w:p>
            <w:pPr>
              <w:pStyle w:val="Compact"/>
              <w:jc w:val="left"/>
            </w:pPr>
            <w:r>
              <w:t xml:space="preserve">CORROBORATED on close (Δ = 0.00); High corroborated by Investing.com 52w high 7,401.50</w:t>
            </w:r>
          </w:p>
        </w:tc>
      </w:tr>
    </w:tbl>
    <w:p>
      <w:pPr>
        <w:pStyle w:val="BodyText"/>
      </w:pPr>
      <w:r>
        <w:rPr>
          <w:bCs/>
          <w:b/>
        </w:rPr>
        <w:t xml:space="preserve">Validation note.</w:t>
      </w:r>
      <w:r>
        <w:t xml:space="preserve"> </w:t>
      </w:r>
      <w:r>
        <w:t xml:space="preserve">All five session closes are two-source CORROBORATED to the cent (well inside the ± 0.10 pt equity-index tolerance). Intraday Open/High/Low fields are</w:t>
      </w:r>
      <w:r>
        <w:t xml:space="preserve"> </w:t>
      </w:r>
      <w:r>
        <w:rPr>
          <w:bCs/>
          <w:b/>
        </w:rPr>
        <w:t xml:space="preserve">single-source-indicative</w:t>
      </w:r>
      <w:r>
        <w:t xml:space="preserve"> </w:t>
      </w:r>
      <w:r>
        <w:t xml:space="preserve">— derived from CNBC daily narrative percentage moves and high-water-mark commentary rather than two independent OHLC feeds. The Friday high of 7,401.5 is the strongest non-close field because Investing.com explicitly reports a 52-week high of 7,401.50, corroborating the CNBC</w:t>
      </w:r>
      <w:r>
        <w:t xml:space="preserve"> </w:t>
      </w:r>
      <w:r>
        <w:t xml:space="preserve">“</w:t>
      </w:r>
      <w:r>
        <w:t xml:space="preserve">north of 7,300</w:t>
      </w:r>
      <w:r>
        <w:t xml:space="preserve">”</w:t>
      </w:r>
      <w:r>
        <w:t xml:space="preserve"> </w:t>
      </w:r>
      <w:r>
        <w:t xml:space="preserve">intraday-high commentary. The single-source-indicative status of intraday fields is acknowledged here, propagates to §11 pivot levels and §19 source discipline, and is consumed by the trade-card caveats in §21b.</w:t>
      </w:r>
    </w:p>
    <w:bookmarkEnd w:id="25"/>
    <w:bookmarkStart w:id="26" w:name="charts"/>
    <w:p>
      <w:pPr>
        <w:pStyle w:val="Heading2"/>
      </w:pPr>
      <w:r>
        <w:t xml:space="preserve">§7 Charts</w:t>
      </w:r>
    </w:p>
    <w:p>
      <w:pPr>
        <w:pStyle w:val="FirstParagraph"/>
      </w:pPr>
      <w:r>
        <w:t xml:space="preserve">Charts are described textually below per the standard chart suite. Visualisations would render in a normal engine run via</w:t>
      </w:r>
      <w:r>
        <w:t xml:space="preserve"> </w:t>
      </w:r>
      <w:r>
        <w:rPr>
          <w:rStyle w:val="VerbatimChar"/>
        </w:rPr>
        <w:t xml:space="preserve">produce_strategy_recommendations</w:t>
      </w:r>
      <w:r>
        <w:t xml:space="preserve"> </w:t>
      </w:r>
      <w:r>
        <w:t xml:space="preserve">output.</w:t>
      </w:r>
    </w:p>
    <w:p>
      <w:pPr>
        <w:pStyle w:val="BodyText"/>
      </w:pPr>
      <w:r>
        <w:rPr>
          <w:bCs/>
          <w:b/>
        </w:rPr>
        <w:t xml:space="preserve">5-day candlestick (S&amp;P 500).</w:t>
      </w:r>
      <w:r>
        <w:t xml:space="preserve"> </w:t>
      </w:r>
      <w:r>
        <w:t xml:space="preserve">Monday opens with a small bearish body on Iran missile re-escalation, closing −0.41% below the prior week’s record. Tuesday through Wednesday produce two strong bullish bodies — Wednesday is the largest body of the week (+105 pts, +1.46%) on the Axios report of a possible Iran framework deal. Thursday is a bearish reversal candle off a fresh intraday all-time high, with a long upper wick from 7,378.6 to a 7,337.11 close. Friday recovers fully to a new closing record with another bullish body and a near-high close (close at 96% of session range). Net sequence: 1 down, 3 up, 1 down, 1 up — bullish-skewed continuation.</w:t>
      </w:r>
    </w:p>
    <w:p>
      <w:pPr>
        <w:pStyle w:val="BodyText"/>
      </w:pPr>
      <w:r>
        <w:rPr>
          <w:bCs/>
          <w:b/>
        </w:rPr>
        <w:t xml:space="preserve">5-day distance-from-open.</w:t>
      </w:r>
      <w:r>
        <w:t xml:space="preserve"> </w:t>
      </w:r>
      <w:r>
        <w:t xml:space="preserve">Cumulative dispersion runs from −30 pts (Monday) to +168 pts above the Monday open by Friday’s close. Trajectory is a stair-step up, consistent with continuation rather than mean-reversion.</w:t>
      </w:r>
    </w:p>
    <w:p>
      <w:pPr>
        <w:pStyle w:val="BodyText"/>
      </w:pPr>
      <w:r>
        <w:rPr>
          <w:bCs/>
          <w:b/>
        </w:rPr>
        <w:t xml:space="preserve">5-week structure (25 sessions).</w:t>
      </w:r>
      <w:r>
        <w:t xml:space="preserve"> </w:t>
      </w:r>
      <w:r>
        <w:t xml:space="preserve">Index up roughly 12% from the April-low recovery base, with a clean higher-highs / higher-lows structure intact. The most recent fractal swing low is at 7,178.3 (Mon 4 May intraday) and the most recent fractal swing high is at 7,401.5 (Fri 8 May intraday).</w:t>
      </w:r>
    </w:p>
    <w:p>
      <w:pPr>
        <w:pStyle w:val="BodyText"/>
      </w:pPr>
      <w:r>
        <w:rPr>
          <w:bCs/>
          <w:b/>
        </w:rPr>
        <w:t xml:space="preserve">VOLator (comparative volatility).</w:t>
      </w:r>
      <w:r>
        <w:t xml:space="preserve"> </w:t>
      </w:r>
      <w:r>
        <w:t xml:space="preserve">S&amp;P 500 realized 1-day volatility compressed materially this week as VIX dropped from intraweek highs back toward 17. Counter assets: VIX itself is in compression (slope flat-to-down, level 17.19 — well under the 20 alert threshold; VIX 17.19 +0.64%). DXY VOLator is also compressed (DXY range 97.83–98.28 this week). DAX VOLator widened on Friday (−1.32% session). Aggregate read: equity vol compression supports the trend continuation thesis.</w:t>
      </w:r>
    </w:p>
    <w:p>
      <w:pPr>
        <w:pStyle w:val="BodyText"/>
      </w:pPr>
      <w:r>
        <w:rPr>
          <w:bCs/>
          <w:b/>
        </w:rPr>
        <w:t xml:space="preserve">Floor pivot chart (weekly candles, prior + current).</w:t>
      </w:r>
      <w:r>
        <w:t xml:space="preserve"> </w:t>
      </w:r>
      <w:r>
        <w:t xml:space="preserve">Friday 8 May close at 7,398.93 sits</w:t>
      </w:r>
      <w:r>
        <w:t xml:space="preserve"> </w:t>
      </w:r>
      <w:r>
        <w:rPr>
          <w:bCs/>
          <w:b/>
        </w:rPr>
        <w:t xml:space="preserve">above</w:t>
      </w:r>
      <w:r>
        <w:t xml:space="preserve"> </w:t>
      </w:r>
      <w:r>
        <w:t xml:space="preserve">the daily pivot point P at 7,380.2,</w:t>
      </w:r>
      <w:r>
        <w:t xml:space="preserve"> </w:t>
      </w:r>
      <w:r>
        <w:rPr>
          <w:bCs/>
          <w:b/>
        </w:rPr>
        <w:t xml:space="preserve">above</w:t>
      </w:r>
      <w:r>
        <w:t xml:space="preserve"> </w:t>
      </w:r>
      <w:r>
        <w:t xml:space="preserve">the weekly pivot (7,186.6) and</w:t>
      </w:r>
      <w:r>
        <w:t xml:space="preserve"> </w:t>
      </w:r>
      <w:r>
        <w:rPr>
          <w:bCs/>
          <w:b/>
        </w:rPr>
        <w:t xml:space="preserve">above</w:t>
      </w:r>
      <w:r>
        <w:t xml:space="preserve"> </w:t>
      </w:r>
      <w:r>
        <w:t xml:space="preserve">the indicative monthly pivot (~6,730). Position is therefore</w:t>
      </w:r>
      <w:r>
        <w:t xml:space="preserve"> </w:t>
      </w:r>
      <w:r>
        <w:t xml:space="preserve">“</w:t>
      </w:r>
      <w:r>
        <w:t xml:space="preserve">above all three pivot tiers</w:t>
      </w:r>
      <w:r>
        <w:t xml:space="preserve">”</w:t>
      </w:r>
      <w:r>
        <w:t xml:space="preserve"> </w:t>
      </w:r>
      <w:r>
        <w:t xml:space="preserve">— bullish.</w:t>
      </w:r>
    </w:p>
    <w:bookmarkEnd w:id="26"/>
    <w:bookmarkStart w:id="27" w:name="short-term-technical-analysis"/>
    <w:p>
      <w:pPr>
        <w:pStyle w:val="Heading2"/>
      </w:pPr>
      <w:r>
        <w:t xml:space="preserve">§8 Short-Term Technical Analysis</w:t>
      </w:r>
    </w:p>
    <w:p>
      <w:pPr>
        <w:pStyle w:val="FirstParagraph"/>
      </w:pPr>
      <w:r>
        <w:t xml:space="preserve">(See §6 for the underlying validated OHLC table.)</w:t>
      </w:r>
    </w:p>
    <w:p>
      <w:pPr>
        <w:pStyle w:val="BodyText"/>
      </w:pPr>
      <w:r>
        <w:rPr>
          <w:bCs/>
          <w:b/>
        </w:rPr>
        <w:t xml:space="preserve">Candle-by-candle.</w:t>
      </w:r>
      <w:r>
        <w:t xml:space="preserve"> </w:t>
      </w:r>
      <w:r>
        <w:t xml:space="preserve">Monday’s session opens modestly above the prior Friday close but slides on Iran headlines — a bearish body with a small lower wick and a low close (close at the bottom 36% of session range). RSI2 at 66.6 is elevated relative to the bearish body, indicating the move is corrective rather than structural — the multi-day uptrend is intact.</w:t>
      </w:r>
    </w:p>
    <w:p>
      <w:pPr>
        <w:pStyle w:val="BodyText"/>
      </w:pPr>
      <w:r>
        <w:t xml:space="preserve">Tuesday is a textbook continuation candle — strong bullish body, RSI2 saturates at 100, close at the top of the session range. The session prints a fresh all-time intraday and closing high on the back of solid earnings (AMD +18.6% Wednesday morning was already being anticipated; All but two S&amp;P 500 sectors were in positive territory in late afternoon trading on Wednesday).</w:t>
      </w:r>
    </w:p>
    <w:p>
      <w:pPr>
        <w:pStyle w:val="BodyText"/>
      </w:pPr>
      <w:r>
        <w:t xml:space="preserve">Wednesday is the strongest body of the week — a +1.46% close on the Axios report of a US–Iran framework deal, lifting the index to 7,365.12. RSI2 remains in the high-70s but no longer saturated, suggesting room to run higher.</w:t>
      </w:r>
    </w:p>
    <w:p>
      <w:pPr>
        <w:pStyle w:val="BodyText"/>
      </w:pPr>
      <w:r>
        <w:t xml:space="preserve">Thursday is the only outright bearish session — a reversal off a fresh intraday high near 7,378.6, closing back at 7,337.11. The upper wick is the longest of the week. The S&amp;P 500 fell on Thursday after hitting a new all-time intraday high as oil prices came back from sizable losses, with traders eyeing more developments between the U.S. and Iran. RSI2 falls from the 79 region to 68.8 — still bullish-territory, but a clear momentum pause.</w:t>
      </w:r>
    </w:p>
    <w:p>
      <w:pPr>
        <w:pStyle w:val="BodyText"/>
      </w:pPr>
      <w:r>
        <w:t xml:space="preserve">Friday recovers fully and prints a new closing record at 7,398.93 with the high of the week at 7,401.5. Close at 96% of session range; RSI2 ~89. Sentiment was supported by stronger-than-expected US labor data, as nonfarm payrolls increased by 115,000 in April, beating forecasts.</w:t>
      </w:r>
    </w:p>
    <w:p>
      <w:pPr>
        <w:pStyle w:val="BodyText"/>
      </w:pPr>
      <w:r>
        <w:rPr>
          <w:bCs/>
          <w:b/>
        </w:rPr>
        <w:t xml:space="preserve">Sequence assessment.</w:t>
      </w:r>
      <w:r>
        <w:t xml:space="preserve"> </w:t>
      </w:r>
      <w:r>
        <w:t xml:space="preserve">Four of five sessions close in the top 50% of their range. Net move +168 pts in 5 sessions (+2.34%). Sequence is</w:t>
      </w:r>
      <w:r>
        <w:t xml:space="preserve"> </w:t>
      </w:r>
      <w:r>
        <w:rPr>
          <w:bCs/>
          <w:b/>
        </w:rPr>
        <w:t xml:space="preserve">continuation</w:t>
      </w:r>
      <w:r>
        <w:t xml:space="preserve"> </w:t>
      </w:r>
      <w:r>
        <w:t xml:space="preserve">— closes travel in one direction, overlap is moderate, no exhaustion candle has yet printed. Thursday’s reversal candle did not produce a follow-through bearish session — instead Friday immediately recovered the loss and made a new high.</w:t>
      </w:r>
      <w:r>
        <w:t xml:space="preserve"> </w:t>
      </w:r>
      <w:r>
        <w:rPr>
          <w:bCs/>
          <w:b/>
        </w:rPr>
        <w:t xml:space="preserve">Short-term technical bias: Bullish, with stretched RSI2 a near-term risk.</w:t>
      </w:r>
    </w:p>
    <w:bookmarkEnd w:id="27"/>
    <w:bookmarkStart w:id="28" w:name="medium-term-regime-volator"/>
    <w:p>
      <w:pPr>
        <w:pStyle w:val="Heading2"/>
      </w:pPr>
      <w:r>
        <w:t xml:space="preserve">§9 Medium-Term Regime &amp; VOLator</w:t>
      </w:r>
    </w:p>
    <w:p>
      <w:pPr>
        <w:pStyle w:val="FirstParagraph"/>
      </w:pPr>
      <w:r>
        <w:rPr>
          <w:bCs/>
          <w:b/>
        </w:rPr>
        <w:t xml:space="preserve">5-week regime.</w:t>
      </w:r>
      <w:r>
        <w:t xml:space="preserve"> </w:t>
      </w:r>
      <w:r>
        <w:t xml:space="preserve">The 25-session block from early April through 8 May 2026 displays a clean uptrend. April was the best month for the S&amp;P 500 since November 2020 with approximately +10% performance; the index is up 8% YTD 2026. Higher highs and higher lows are intact at the weekly level; the cleanest fractal pair within the window is 7,079.6 (low, w/e 1 May area) to 7,401.5 (Fri 8 May). Persistence: 6 consecutive winning weeks per CNBC, the longest winning streak since 2024.</w:t>
      </w:r>
    </w:p>
    <w:p>
      <w:pPr>
        <w:pStyle w:val="BodyText"/>
      </w:pPr>
      <w:r>
        <w:rPr>
          <w:bCs/>
          <w:b/>
        </w:rPr>
        <w:t xml:space="preserve">Kaufman Efficiency Ratio.</w:t>
      </w:r>
      <w:r>
        <w:t xml:space="preserve"> </w:t>
      </w:r>
      <w:r>
        <w:t xml:space="preserve">Smoothed KER estimated at approximately</w:t>
      </w:r>
      <w:r>
        <w:t xml:space="preserve"> </w:t>
      </w:r>
      <w:r>
        <w:rPr>
          <w:bCs/>
          <w:b/>
        </w:rPr>
        <w:t xml:space="preserve">+0.52</w:t>
      </w:r>
      <w:r>
        <w:t xml:space="preserve"> </w:t>
      </w:r>
      <w:r>
        <w:t xml:space="preserve">over the 13-session window, well above the 0.13 trend threshold and above the inner 0.09 rangeup boundary. Classification:</w:t>
      </w:r>
      <w:r>
        <w:t xml:space="preserve"> </w:t>
      </w:r>
      <w:r>
        <w:rPr>
          <w:bCs/>
          <w:b/>
        </w:rPr>
        <w:t xml:space="preserve">Trending Up — Strong</w:t>
      </w:r>
      <w:r>
        <w:t xml:space="preserve">. The KER reading agrees with the Step 4 regime synthesis.</w:t>
      </w:r>
    </w:p>
    <w:p>
      <w:pPr>
        <w:pStyle w:val="BodyText"/>
      </w:pPr>
      <w:r>
        <w:rPr>
          <w:bCs/>
          <w:b/>
        </w:rPr>
        <w:t xml:space="preserve">VOLator.</w:t>
      </w:r>
      <w:r>
        <w:t xml:space="preserve"> </w:t>
      </w:r>
      <w:r>
        <w:t xml:space="preserve">Slope across the most recent 10 scaled observations is slightly negative (volatility compression as the index trends up — a classic</w:t>
      </w:r>
      <w:r>
        <w:t xml:space="preserve"> </w:t>
      </w:r>
      <w:r>
        <w:t xml:space="preserve">“</w:t>
      </w:r>
      <w:r>
        <w:t xml:space="preserve">drift</w:t>
      </w:r>
      <w:r>
        <w:t xml:space="preserve">”</w:t>
      </w:r>
      <w:r>
        <w:t xml:space="preserve"> </w:t>
      </w:r>
      <w:r>
        <w:t xml:space="preserve">pattern). This is consistent with the VIX print at 17.19 versus the early-May intra-week highs and supports a continued trend regime rather than a regime change.</w:t>
      </w:r>
    </w:p>
    <w:p>
      <w:pPr>
        <w:pStyle w:val="BodyText"/>
      </w:pPr>
      <w:r>
        <w:rPr>
          <w:bCs/>
          <w:b/>
        </w:rPr>
        <w:t xml:space="preserve">Consolidated regime label: TREND_UP.</w:t>
      </w:r>
      <w:r>
        <w:t xml:space="preserve"> </w:t>
      </w:r>
      <w:r>
        <w:t xml:space="preserve">Step 4 synthesis = Trending Bullish; KER class = Trending Up — Strong; VOLator slope ≤ 0 (compression in a trending market is constructive, not contradictory). Note that the M3 §11b TREND_UP mapping rule is satisfied via the secondary path — Step 4 bullish AND KER in the strong/moderate up class — because the volator slope is mildly negative rather than ≥ 0. The compression-in-trend pattern is well-established for low-vol uptrends and is documented in the seven-line judgement integration note below.</w:t>
      </w:r>
    </w:p>
    <w:bookmarkEnd w:id="28"/>
    <w:bookmarkStart w:id="29" w:name="cross-asset-analysis"/>
    <w:p>
      <w:pPr>
        <w:pStyle w:val="Heading2"/>
      </w:pPr>
      <w:r>
        <w:t xml:space="preserve">§10 Cross-Asset Analysis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Counter</w:t>
            </w:r>
          </w:p>
        </w:tc>
        <w:tc>
          <w:tcPr/>
          <w:p>
            <w:pPr>
              <w:pStyle w:val="Compact"/>
              <w:jc w:val="left"/>
            </w:pPr>
            <w:r>
              <w:t xml:space="preserve">Latest level</w:t>
            </w:r>
          </w:p>
        </w:tc>
        <w:tc>
          <w:tcPr/>
          <w:p>
            <w:pPr>
              <w:pStyle w:val="Compact"/>
              <w:jc w:val="left"/>
            </w:pPr>
            <w:r>
              <w:t xml:space="preserve">5-day move</w:t>
            </w:r>
          </w:p>
        </w:tc>
        <w:tc>
          <w:tcPr/>
          <w:p>
            <w:pPr>
              <w:pStyle w:val="Compact"/>
              <w:jc w:val="left"/>
            </w:pPr>
            <w:r>
              <w:t xml:space="preserve">Directional read</w:t>
            </w:r>
          </w:p>
        </w:tc>
        <w:tc>
          <w:tcPr/>
          <w:p>
            <w:pPr>
              <w:pStyle w:val="Compact"/>
              <w:jc w:val="left"/>
            </w:pPr>
            <w:r>
              <w:t xml:space="preserve">Mechanism vs S&amp;P 500</w:t>
            </w:r>
          </w:p>
        </w:tc>
        <w:tc>
          <w:tcPr/>
          <w:p>
            <w:pPr>
              <w:pStyle w:val="Compact"/>
              <w:jc w:val="left"/>
            </w:pPr>
            <w:r>
              <w:t xml:space="preserve">Status</w:t>
            </w:r>
          </w:p>
        </w:tc>
      </w:tr>
      <w:tr>
        <w:tc>
          <w:tcPr/>
          <w:p>
            <w:pPr>
              <w:pStyle w:val="Compact"/>
              <w:jc w:val="left"/>
            </w:pPr>
            <w:r>
              <w:t xml:space="preserve">US Dollar Index</w:t>
            </w:r>
          </w:p>
        </w:tc>
        <w:tc>
          <w:tcPr/>
          <w:p>
            <w:pPr>
              <w:pStyle w:val="Compact"/>
              <w:jc w:val="left"/>
            </w:pPr>
            <w:r>
              <w:t xml:space="preserve">97.84 (8 May close)</w:t>
            </w:r>
          </w:p>
        </w:tc>
        <w:tc>
          <w:tcPr/>
          <w:p>
            <w:pPr>
              <w:pStyle w:val="Compact"/>
              <w:jc w:val="left"/>
            </w:pPr>
            <w:r>
              <w:t xml:space="preserve">Mildly weaker on week</w:t>
            </w:r>
          </w:p>
        </w:tc>
        <w:tc>
          <w:tcPr/>
          <w:p>
            <w:pPr>
              <w:pStyle w:val="Compact"/>
              <w:jc w:val="left"/>
            </w:pPr>
            <w:r>
              <w:t xml:space="preserve">DXY falling</w:t>
            </w:r>
          </w:p>
        </w:tc>
        <w:tc>
          <w:tcPr/>
          <w:p>
            <w:pPr>
              <w:pStyle w:val="Compact"/>
              <w:jc w:val="left"/>
            </w:pPr>
            <w:r>
              <w:t xml:space="preserve">The dollar index fell below 98 on Friday, reaching its lowest level in ten weeks. Weaker USD supports multinational EPS translation and underpins the US equity rally.</w:t>
            </w:r>
          </w:p>
        </w:tc>
        <w:tc>
          <w:tcPr/>
          <w:p>
            <w:pPr>
              <w:pStyle w:val="Compact"/>
              <w:jc w:val="left"/>
            </w:pPr>
            <w:r>
              <w:rPr>
                <w:bCs/>
                <w:b/>
              </w:rPr>
              <w:t xml:space="preserve">Confirms</w:t>
            </w:r>
            <w:r>
              <w:t xml:space="preserve"> </w:t>
            </w:r>
            <w:r>
              <w:t xml:space="preserve">bullish SPX</w:t>
            </w:r>
          </w:p>
        </w:tc>
      </w:tr>
      <w:tr>
        <w:tc>
          <w:tcPr/>
          <w:p>
            <w:pPr>
              <w:pStyle w:val="Compact"/>
              <w:jc w:val="left"/>
            </w:pPr>
            <w:r>
              <w:t xml:space="preserve">VIX</w:t>
            </w:r>
          </w:p>
        </w:tc>
        <w:tc>
          <w:tcPr/>
          <w:p>
            <w:pPr>
              <w:pStyle w:val="Compact"/>
              <w:jc w:val="left"/>
            </w:pPr>
            <w:r>
              <w:t xml:space="preserve">17.19 (8 May close, prev 17.08)</w:t>
            </w:r>
          </w:p>
        </w:tc>
        <w:tc>
          <w:tcPr/>
          <w:p>
            <w:pPr>
              <w:pStyle w:val="Compact"/>
              <w:jc w:val="left"/>
            </w:pPr>
            <w:r>
              <w:t xml:space="preserve">Compressed, near 3-month low</w:t>
            </w:r>
          </w:p>
        </w:tc>
        <w:tc>
          <w:tcPr/>
          <w:p>
            <w:pPr>
              <w:pStyle w:val="Compact"/>
              <w:jc w:val="left"/>
            </w:pPr>
            <w:r>
              <w:t xml:space="preserve">VIX compressed and falling</w:t>
            </w:r>
          </w:p>
        </w:tc>
        <w:tc>
          <w:tcPr/>
          <w:p>
            <w:pPr>
              <w:pStyle w:val="Compact"/>
              <w:jc w:val="left"/>
            </w:pPr>
            <w:r>
              <w:t xml:space="preserve">Implied vol absent — risk-on regime intact; VIX &lt;20 historically aligns with positive SPX trend persistence.</w:t>
            </w:r>
          </w:p>
        </w:tc>
        <w:tc>
          <w:tcPr/>
          <w:p>
            <w:pPr>
              <w:pStyle w:val="Compact"/>
              <w:jc w:val="left"/>
            </w:pPr>
            <w:r>
              <w:rPr>
                <w:bCs/>
                <w:b/>
              </w:rPr>
              <w:t xml:space="preserve">Confirms</w:t>
            </w:r>
            <w:r>
              <w:t xml:space="preserve"> </w:t>
            </w:r>
            <w:r>
              <w:t xml:space="preserve">bullish SPX</w:t>
            </w:r>
          </w:p>
        </w:tc>
      </w:tr>
      <w:tr>
        <w:tc>
          <w:tcPr/>
          <w:p>
            <w:pPr>
              <w:pStyle w:val="Compact"/>
              <w:jc w:val="left"/>
            </w:pPr>
            <w:r>
              <w:t xml:space="preserve">DAX 40</w:t>
            </w:r>
          </w:p>
        </w:tc>
        <w:tc>
          <w:tcPr/>
          <w:p>
            <w:pPr>
              <w:pStyle w:val="Compact"/>
              <w:jc w:val="left"/>
            </w:pPr>
            <w:r>
              <w:t xml:space="preserve">24,338.63 (8 May close)</w:t>
            </w:r>
          </w:p>
        </w:tc>
        <w:tc>
          <w:tcPr/>
          <w:p>
            <w:pPr>
              <w:pStyle w:val="Compact"/>
              <w:jc w:val="left"/>
            </w:pPr>
            <w:r>
              <w:t xml:space="preserve">Friday −1.32%</w:t>
            </w:r>
          </w:p>
        </w:tc>
        <w:tc>
          <w:tcPr/>
          <w:p>
            <w:pPr>
              <w:pStyle w:val="Compact"/>
              <w:jc w:val="left"/>
            </w:pPr>
            <w:r>
              <w:t xml:space="preserve">DAX falling Friday</w:t>
            </w:r>
          </w:p>
        </w:tc>
        <w:tc>
          <w:tcPr/>
          <w:p>
            <w:pPr>
              <w:pStyle w:val="Compact"/>
              <w:jc w:val="left"/>
            </w:pPr>
            <w:r>
              <w:t xml:space="preserve">The DAX Index decreased 325 points or 1.32 percent on Friday to close at 24339 points. Driven by Iran tensions, Rheinmetall downgrade, and Trump’s EU tariff threat. European equity weakness diverges from US strength — earnings-driven idiosyncratic divergence, not a global risk-off signal.</w:t>
            </w:r>
          </w:p>
        </w:tc>
        <w:tc>
          <w:tcPr/>
          <w:p>
            <w:pPr>
              <w:pStyle w:val="Compact"/>
              <w:jc w:val="left"/>
            </w:pPr>
            <w:r>
              <w:rPr>
                <w:bCs/>
                <w:b/>
              </w:rPr>
              <w:t xml:space="preserve">Contradicts</w:t>
            </w:r>
            <w:r>
              <w:t xml:space="preserve"> </w:t>
            </w:r>
            <w:r>
              <w:t xml:space="preserve">bullish SPX (but on idiosyncratic European drivers)</w:t>
            </w:r>
          </w:p>
        </w:tc>
      </w:tr>
    </w:tbl>
    <w:p>
      <w:pPr>
        <w:pStyle w:val="BodyText"/>
      </w:pPr>
      <w:r>
        <w:rPr>
          <w:bCs/>
          <w:b/>
        </w:rPr>
        <w:t xml:space="preserve">Aggregate cross_asset_confirm = MIXED.</w:t>
      </w:r>
      <w:r>
        <w:t xml:space="preserve"> </w:t>
      </w:r>
      <w:r>
        <w:t xml:space="preserve">Two counters confirm, one contradicts. Per M3 §11c, this aggregates to</w:t>
      </w:r>
      <w:r>
        <w:t xml:space="preserve"> </w:t>
      </w:r>
      <w:r>
        <w:rPr>
          <w:bCs/>
          <w:b/>
        </w:rPr>
        <w:t xml:space="preserve">MIXED</w:t>
      </w:r>
      <w:r>
        <w:t xml:space="preserve"> </w:t>
      </w:r>
      <w:r>
        <w:t xml:space="preserve">rather than CONFIRM. The contradiction is</w:t>
      </w:r>
      <w:r>
        <w:t xml:space="preserve"> </w:t>
      </w:r>
      <w:r>
        <w:rPr>
          <w:bCs/>
          <w:b/>
        </w:rPr>
        <w:t xml:space="preserve">flagged, not suppressed</w:t>
      </w:r>
      <w:r>
        <w:t xml:space="preserve"> </w:t>
      </w:r>
      <w:r>
        <w:t xml:space="preserve">— but the DAX move is explainable by European-specific catalysts (EU tariff threats, defence-stock downgrade) rather than a global risk-off signal, and so the directional weight of the contradiction is moderate.</w:t>
      </w:r>
    </w:p>
    <w:bookmarkEnd w:id="29"/>
    <w:bookmarkStart w:id="30" w:name="floor-pivot-analysis"/>
    <w:p>
      <w:pPr>
        <w:pStyle w:val="Heading2"/>
      </w:pPr>
      <w:r>
        <w:t xml:space="preserve">§11 Floor Pivot Analysis</w:t>
      </w:r>
    </w:p>
    <w:p>
      <w:pPr>
        <w:pStyle w:val="FirstParagraph"/>
      </w:pPr>
      <w:r>
        <w:rPr>
          <w:bCs/>
          <w:b/>
        </w:rPr>
        <w:t xml:space="preserve">Daily pivots (for Monday 11 May 2026 session, derived from Friday 8 May 2026 H/L/C).</w:t>
      </w:r>
      <w:r>
        <w:t xml:space="preserve"> </w:t>
      </w:r>
      <w:r>
        <w:t xml:space="preserve">Inputs: H = 7,401.5, L = 7,340.2, C = 7,398.93.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Price</w:t>
            </w:r>
          </w:p>
        </w:tc>
      </w:tr>
      <w:tr>
        <w:tc>
          <w:tcPr/>
          <w:p>
            <w:pPr>
              <w:pStyle w:val="Compact"/>
              <w:jc w:val="left"/>
            </w:pPr>
            <w:r>
              <w:t xml:space="preserve">R3</w:t>
            </w:r>
          </w:p>
        </w:tc>
        <w:tc>
          <w:tcPr/>
          <w:p>
            <w:pPr>
              <w:pStyle w:val="Compact"/>
              <w:jc w:val="left"/>
            </w:pPr>
            <w:r>
              <w:t xml:space="preserve">7,481.52</w:t>
            </w:r>
          </w:p>
        </w:tc>
      </w:tr>
      <w:tr>
        <w:tc>
          <w:tcPr/>
          <w:p>
            <w:pPr>
              <w:pStyle w:val="Compact"/>
              <w:jc w:val="left"/>
            </w:pPr>
            <w:r>
              <w:t xml:space="preserve">R2</w:t>
            </w:r>
          </w:p>
        </w:tc>
        <w:tc>
          <w:tcPr/>
          <w:p>
            <w:pPr>
              <w:pStyle w:val="Compact"/>
              <w:jc w:val="left"/>
            </w:pPr>
            <w:r>
              <w:t xml:space="preserve">7,441.51</w:t>
            </w:r>
          </w:p>
        </w:tc>
      </w:tr>
      <w:tr>
        <w:tc>
          <w:tcPr/>
          <w:p>
            <w:pPr>
              <w:pStyle w:val="Compact"/>
              <w:jc w:val="left"/>
            </w:pPr>
            <w:r>
              <w:t xml:space="preserve">R1</w:t>
            </w:r>
          </w:p>
        </w:tc>
        <w:tc>
          <w:tcPr/>
          <w:p>
            <w:pPr>
              <w:pStyle w:val="Compact"/>
              <w:jc w:val="left"/>
            </w:pPr>
            <w:r>
              <w:t xml:space="preserve">7,420.22</w:t>
            </w:r>
          </w:p>
        </w:tc>
      </w:tr>
      <w:tr>
        <w:tc>
          <w:tcPr/>
          <w:p>
            <w:pPr>
              <w:pStyle w:val="Compact"/>
              <w:jc w:val="left"/>
            </w:pPr>
            <w:r>
              <w:rPr>
                <w:bCs/>
                <w:b/>
              </w:rPr>
              <w:t xml:space="preserve">P</w:t>
            </w:r>
          </w:p>
        </w:tc>
        <w:tc>
          <w:tcPr/>
          <w:p>
            <w:pPr>
              <w:pStyle w:val="Compact"/>
              <w:jc w:val="left"/>
            </w:pPr>
            <w:r>
              <w:rPr>
                <w:bCs/>
                <w:b/>
              </w:rPr>
              <w:t xml:space="preserve">7,380.21</w:t>
            </w:r>
          </w:p>
        </w:tc>
      </w:tr>
      <w:tr>
        <w:tc>
          <w:tcPr/>
          <w:p>
            <w:pPr>
              <w:pStyle w:val="Compact"/>
              <w:jc w:val="left"/>
            </w:pPr>
            <w:r>
              <w:t xml:space="preserve">S1</w:t>
            </w:r>
          </w:p>
        </w:tc>
        <w:tc>
          <w:tcPr/>
          <w:p>
            <w:pPr>
              <w:pStyle w:val="Compact"/>
              <w:jc w:val="left"/>
            </w:pPr>
            <w:r>
              <w:t xml:space="preserve">7,358.92</w:t>
            </w:r>
          </w:p>
        </w:tc>
      </w:tr>
      <w:tr>
        <w:tc>
          <w:tcPr/>
          <w:p>
            <w:pPr>
              <w:pStyle w:val="Compact"/>
              <w:jc w:val="left"/>
            </w:pPr>
            <w:r>
              <w:t xml:space="preserve">S2</w:t>
            </w:r>
          </w:p>
        </w:tc>
        <w:tc>
          <w:tcPr/>
          <w:p>
            <w:pPr>
              <w:pStyle w:val="Compact"/>
              <w:jc w:val="left"/>
            </w:pPr>
            <w:r>
              <w:t xml:space="preserve">7,318.91</w:t>
            </w:r>
          </w:p>
        </w:tc>
      </w:tr>
      <w:tr>
        <w:tc>
          <w:tcPr/>
          <w:p>
            <w:pPr>
              <w:pStyle w:val="Compact"/>
              <w:jc w:val="left"/>
            </w:pPr>
            <w:r>
              <w:t xml:space="preserve">S3</w:t>
            </w:r>
          </w:p>
        </w:tc>
        <w:tc>
          <w:tcPr/>
          <w:p>
            <w:pPr>
              <w:pStyle w:val="Compact"/>
              <w:jc w:val="left"/>
            </w:pPr>
            <w:r>
              <w:t xml:space="preserve">7,297.62</w:t>
            </w:r>
          </w:p>
        </w:tc>
      </w:tr>
    </w:tbl>
    <w:p>
      <w:pPr>
        <w:pStyle w:val="BodyText"/>
      </w:pPr>
      <w:r>
        <w:t xml:space="preserve">Corroboration flag:</w:t>
      </w:r>
      <w:r>
        <w:t xml:space="preserve"> </w:t>
      </w:r>
      <w:r>
        <w:rPr>
          <w:bCs/>
          <w:b/>
        </w:rPr>
        <w:t xml:space="preserve">SINGLE-SOURCE-INDICATIVE</w:t>
      </w:r>
      <w:r>
        <w:t xml:space="preserve"> </w:t>
      </w:r>
      <w:r>
        <w:t xml:space="preserve">(prior-period H/L are themselves single-source-indicative — see §6 validation note). Propagates to §21 caveats.</w:t>
      </w:r>
    </w:p>
    <w:p>
      <w:pPr>
        <w:pStyle w:val="BodyText"/>
      </w:pPr>
      <w:r>
        <w:rPr>
          <w:bCs/>
          <w:b/>
        </w:rPr>
        <w:t xml:space="preserve">Weekly pivots (week of 11 May 2026, derived from prior week 28 Apr – 1 May 2026).</w:t>
      </w:r>
      <w:r>
        <w:t xml:space="preserve"> </w:t>
      </w:r>
      <w:r>
        <w:t xml:space="preserve">Indicative inputs: H ≈ 7,250, L ≈ 7,079.6, C = 7,230.12.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Price</w:t>
            </w:r>
          </w:p>
        </w:tc>
      </w:tr>
      <w:tr>
        <w:tc>
          <w:tcPr/>
          <w:p>
            <w:pPr>
              <w:pStyle w:val="Compact"/>
              <w:jc w:val="left"/>
            </w:pPr>
            <w:r>
              <w:t xml:space="preserve">WR3</w:t>
            </w:r>
          </w:p>
        </w:tc>
        <w:tc>
          <w:tcPr/>
          <w:p>
            <w:pPr>
              <w:pStyle w:val="Compact"/>
              <w:jc w:val="left"/>
            </w:pPr>
            <w:r>
              <w:t xml:space="preserve">7,463.95</w:t>
            </w:r>
          </w:p>
        </w:tc>
      </w:tr>
      <w:tr>
        <w:tc>
          <w:tcPr/>
          <w:p>
            <w:pPr>
              <w:pStyle w:val="Compact"/>
              <w:jc w:val="left"/>
            </w:pPr>
            <w:r>
              <w:t xml:space="preserve">WR2</w:t>
            </w:r>
          </w:p>
        </w:tc>
        <w:tc>
          <w:tcPr/>
          <w:p>
            <w:pPr>
              <w:pStyle w:val="Compact"/>
              <w:jc w:val="left"/>
            </w:pPr>
            <w:r>
              <w:t xml:space="preserve">7,356.97</w:t>
            </w:r>
          </w:p>
        </w:tc>
      </w:tr>
      <w:tr>
        <w:tc>
          <w:tcPr/>
          <w:p>
            <w:pPr>
              <w:pStyle w:val="Compact"/>
              <w:jc w:val="left"/>
            </w:pPr>
            <w:r>
              <w:t xml:space="preserve">WR1</w:t>
            </w:r>
          </w:p>
        </w:tc>
        <w:tc>
          <w:tcPr/>
          <w:p>
            <w:pPr>
              <w:pStyle w:val="Compact"/>
              <w:jc w:val="left"/>
            </w:pPr>
            <w:r>
              <w:t xml:space="preserve">7,293.55</w:t>
            </w:r>
          </w:p>
        </w:tc>
      </w:tr>
      <w:tr>
        <w:tc>
          <w:tcPr/>
          <w:p>
            <w:pPr>
              <w:pStyle w:val="Compact"/>
              <w:jc w:val="left"/>
            </w:pPr>
            <w:r>
              <w:rPr>
                <w:bCs/>
                <w:b/>
              </w:rPr>
              <w:t xml:space="preserve">WP</w:t>
            </w:r>
          </w:p>
        </w:tc>
        <w:tc>
          <w:tcPr/>
          <w:p>
            <w:pPr>
              <w:pStyle w:val="Compact"/>
              <w:jc w:val="left"/>
            </w:pPr>
            <w:r>
              <w:rPr>
                <w:bCs/>
                <w:b/>
              </w:rPr>
              <w:t xml:space="preserve">7,186.57</w:t>
            </w:r>
          </w:p>
        </w:tc>
      </w:tr>
      <w:tr>
        <w:tc>
          <w:tcPr/>
          <w:p>
            <w:pPr>
              <w:pStyle w:val="Compact"/>
              <w:jc w:val="left"/>
            </w:pPr>
            <w:r>
              <w:t xml:space="preserve">WS1</w:t>
            </w:r>
          </w:p>
        </w:tc>
        <w:tc>
          <w:tcPr/>
          <w:p>
            <w:pPr>
              <w:pStyle w:val="Compact"/>
              <w:jc w:val="left"/>
            </w:pPr>
            <w:r>
              <w:t xml:space="preserve">7,123.15</w:t>
            </w:r>
          </w:p>
        </w:tc>
      </w:tr>
      <w:tr>
        <w:tc>
          <w:tcPr/>
          <w:p>
            <w:pPr>
              <w:pStyle w:val="Compact"/>
              <w:jc w:val="left"/>
            </w:pPr>
            <w:r>
              <w:t xml:space="preserve">WS2</w:t>
            </w:r>
          </w:p>
        </w:tc>
        <w:tc>
          <w:tcPr/>
          <w:p>
            <w:pPr>
              <w:pStyle w:val="Compact"/>
              <w:jc w:val="left"/>
            </w:pPr>
            <w:r>
              <w:t xml:space="preserve">7,016.17</w:t>
            </w:r>
          </w:p>
        </w:tc>
      </w:tr>
      <w:tr>
        <w:tc>
          <w:tcPr/>
          <w:p>
            <w:pPr>
              <w:pStyle w:val="Compact"/>
              <w:jc w:val="left"/>
            </w:pPr>
            <w:r>
              <w:t xml:space="preserve">WS3</w:t>
            </w:r>
          </w:p>
        </w:tc>
        <w:tc>
          <w:tcPr/>
          <w:p>
            <w:pPr>
              <w:pStyle w:val="Compact"/>
              <w:jc w:val="left"/>
            </w:pPr>
            <w:r>
              <w:t xml:space="preserve">6,952.75</w:t>
            </w:r>
          </w:p>
        </w:tc>
      </w:tr>
    </w:tbl>
    <w:p>
      <w:pPr>
        <w:pStyle w:val="BodyText"/>
      </w:pPr>
      <w:r>
        <w:t xml:space="preserve">Corroboration flag:</w:t>
      </w:r>
      <w:r>
        <w:t xml:space="preserve"> </w:t>
      </w:r>
      <w:r>
        <w:rPr>
          <w:bCs/>
          <w:b/>
        </w:rPr>
        <w:t xml:space="preserve">SINGLE-SOURCE-INDICATIVE</w:t>
      </w:r>
      <w:r>
        <w:t xml:space="preserve">.</w:t>
      </w:r>
    </w:p>
    <w:p>
      <w:pPr>
        <w:pStyle w:val="BodyText"/>
      </w:pPr>
      <w:r>
        <w:rPr>
          <w:bCs/>
          <w:b/>
        </w:rPr>
        <w:t xml:space="preserve">Monthly pivots (May 2026, derived from April 2026 H/L/C).</w:t>
      </w:r>
      <w:r>
        <w:t xml:space="preserve"> </w:t>
      </w:r>
      <w:r>
        <w:t xml:space="preserve">Indicative inputs: H ≈ 7,220, L ≈ 5,760 (the April-correction low region), C = 7,209. The monthly pivot range is wide because April produced an extreme low-to-high traverse.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Price</w:t>
            </w:r>
          </w:p>
        </w:tc>
      </w:tr>
      <w:tr>
        <w:tc>
          <w:tcPr/>
          <w:p>
            <w:pPr>
              <w:pStyle w:val="Compact"/>
              <w:jc w:val="left"/>
            </w:pPr>
            <w:r>
              <w:t xml:space="preserve">MR2</w:t>
            </w:r>
          </w:p>
        </w:tc>
        <w:tc>
          <w:tcPr/>
          <w:p>
            <w:pPr>
              <w:pStyle w:val="Compact"/>
              <w:jc w:val="left"/>
            </w:pPr>
            <w:r>
              <w:t xml:space="preserve">8,189.67</w:t>
            </w:r>
          </w:p>
        </w:tc>
      </w:tr>
      <w:tr>
        <w:tc>
          <w:tcPr/>
          <w:p>
            <w:pPr>
              <w:pStyle w:val="Compact"/>
              <w:jc w:val="left"/>
            </w:pPr>
            <w:r>
              <w:t xml:space="preserve">MR1</w:t>
            </w:r>
          </w:p>
        </w:tc>
        <w:tc>
          <w:tcPr/>
          <w:p>
            <w:pPr>
              <w:pStyle w:val="Compact"/>
              <w:jc w:val="left"/>
            </w:pPr>
            <w:r>
              <w:t xml:space="preserve">7,699.33</w:t>
            </w:r>
          </w:p>
        </w:tc>
      </w:tr>
      <w:tr>
        <w:tc>
          <w:tcPr/>
          <w:p>
            <w:pPr>
              <w:pStyle w:val="Compact"/>
              <w:jc w:val="left"/>
            </w:pPr>
            <w:r>
              <w:rPr>
                <w:bCs/>
                <w:b/>
              </w:rPr>
              <w:t xml:space="preserve">MP</w:t>
            </w:r>
          </w:p>
        </w:tc>
        <w:tc>
          <w:tcPr/>
          <w:p>
            <w:pPr>
              <w:pStyle w:val="Compact"/>
              <w:jc w:val="left"/>
            </w:pPr>
            <w:r>
              <w:rPr>
                <w:bCs/>
                <w:b/>
              </w:rPr>
              <w:t xml:space="preserve">6,729.67</w:t>
            </w:r>
          </w:p>
        </w:tc>
      </w:tr>
      <w:tr>
        <w:tc>
          <w:tcPr/>
          <w:p>
            <w:pPr>
              <w:pStyle w:val="Compact"/>
              <w:jc w:val="left"/>
            </w:pPr>
            <w:r>
              <w:t xml:space="preserve">MS1</w:t>
            </w:r>
          </w:p>
        </w:tc>
        <w:tc>
          <w:tcPr/>
          <w:p>
            <w:pPr>
              <w:pStyle w:val="Compact"/>
              <w:jc w:val="left"/>
            </w:pPr>
            <w:r>
              <w:t xml:space="preserve">6,239.33</w:t>
            </w:r>
          </w:p>
        </w:tc>
      </w:tr>
    </w:tbl>
    <w:p>
      <w:pPr>
        <w:pStyle w:val="BodyText"/>
      </w:pPr>
      <w:r>
        <w:t xml:space="preserve">Corroboration flag:</w:t>
      </w:r>
      <w:r>
        <w:t xml:space="preserve"> </w:t>
      </w:r>
      <w:r>
        <w:rPr>
          <w:bCs/>
          <w:b/>
        </w:rPr>
        <w:t xml:space="preserve">SINGLE-SOURCE-INDICATIVE</w:t>
      </w:r>
      <w:r>
        <w:t xml:space="preserve">.</w:t>
      </w:r>
    </w:p>
    <w:p>
      <w:pPr>
        <w:pStyle w:val="BodyText"/>
      </w:pPr>
      <w:r>
        <w:rPr>
          <w:bCs/>
          <w:b/>
        </w:rPr>
        <w:t xml:space="preserve">Position narrative.</w:t>
      </w:r>
      <w:r>
        <w:t xml:space="preserve"> </w:t>
      </w:r>
      <w:r>
        <w:t xml:space="preserve">Friday 8 May close at 7,398.93 sits above the daily P (7,380), above the weekly P (7,186), and well above the monthly P (~6,730). Position is</w:t>
      </w:r>
      <w:r>
        <w:t xml:space="preserve"> </w:t>
      </w:r>
      <w:r>
        <w:t xml:space="preserve">“</w:t>
      </w:r>
      <w:r>
        <w:rPr>
          <w:bCs/>
          <w:b/>
        </w:rPr>
        <w:t xml:space="preserve">above all three pivot tiers</w:t>
      </w:r>
      <w:r>
        <w:t xml:space="preserve">”</w:t>
      </w:r>
      <w:r>
        <w:t xml:space="preserve"> </w:t>
      </w:r>
      <w:r>
        <w:t xml:space="preserve">— confluent bullish bias. The nearest immediate resistance is daily R1 at 7,420 and daily R2 at 7,442; the nearest immediate support is daily S1 at 7,359 and weekly R2 at 7,357 (a strong confluence cluster).</w:t>
      </w:r>
    </w:p>
    <w:bookmarkEnd w:id="30"/>
    <w:bookmarkStart w:id="31" w:name="key-market-considerations"/>
    <w:p>
      <w:pPr>
        <w:pStyle w:val="Heading2"/>
      </w:pPr>
      <w:r>
        <w:t xml:space="preserve">§12 Key Market Considerations</w:t>
      </w:r>
    </w:p>
    <w:p>
      <w:pPr>
        <w:pStyle w:val="FirstParagraph"/>
      </w:pPr>
      <w:r>
        <w:rPr>
          <w:bCs/>
          <w:b/>
        </w:rPr>
        <w:t xml:space="preserve">Earnings (price-supportive).</w:t>
      </w:r>
      <w:r>
        <w:t xml:space="preserve"> </w:t>
      </w:r>
      <w:r>
        <w:t xml:space="preserve">The blended earnings growth rate for the first quarter is 27.7% today, compared to an earnings growth rate of 27.1% last week and an earnings growth rate of 13.1% at the end of Q1. Eighty-nine percent of S&amp;P 500 companies have reported and 84% have beaten EPS estimates — the highest percentage of S&amp;P 500 companies reporting a positive EPS surprise since Q2 2021. Profit margins reached a new record: The blended net profit margin for the S&amp;P 500 in Q1 2026 stood at 13.4%. Source: FactSet Earnings Insight, May 8 2026.</w:t>
      </w:r>
    </w:p>
    <w:p>
      <w:pPr>
        <w:pStyle w:val="BodyText"/>
      </w:pPr>
      <w:r>
        <w:rPr>
          <w:bCs/>
          <w:b/>
        </w:rPr>
        <w:t xml:space="preserve">Valuation (price-negative tail risk).</w:t>
      </w:r>
      <w:r>
        <w:t xml:space="preserve"> </w:t>
      </w:r>
      <w:r>
        <w:t xml:space="preserve">The forward 12-month P/E ratio is 21.0, which is above the 5-year average (19.9) and above the 10-year average (18.9). Earnings strength justifies the multiple today, but any Q2/Q3 deceleration will be less forgiving at 21× than at 18×. Source: FactSet.</w:t>
      </w:r>
    </w:p>
    <w:p>
      <w:pPr>
        <w:pStyle w:val="BodyText"/>
      </w:pPr>
      <w:r>
        <w:rPr>
          <w:bCs/>
          <w:b/>
        </w:rPr>
        <w:t xml:space="preserve">Labour &amp; macro (price-supportive near-term, mixed structurally).</w:t>
      </w:r>
      <w:r>
        <w:t xml:space="preserve"> </w:t>
      </w:r>
      <w:r>
        <w:t xml:space="preserve">For the second straight month, U.S. jobs growth surpassed Wall Street’s expectations in April at 115,000, while unemployment stayed at 4.3%. The April NFP beat reinforced the soft-landing thesis. However, with March CPI at 3.3% year over year, accelerated from 2.4% in February, and with the FOMC having held the federal funds rate at 3.50–3.75% with four dissents (the most since October 1992), the inflation backdrop is constraining.</w:t>
      </w:r>
    </w:p>
    <w:p>
      <w:pPr>
        <w:pStyle w:val="BodyText"/>
      </w:pPr>
      <w:r>
        <w:rPr>
          <w:bCs/>
          <w:b/>
        </w:rPr>
        <w:t xml:space="preserve">Iran ceasefire and oil (price-negative tail, currently dormant).</w:t>
      </w:r>
      <w:r>
        <w:t xml:space="preserve"> </w:t>
      </w:r>
      <w:r>
        <w:t xml:space="preserve">U.S. and Iran’s tenuous ceasefire agreement appeared to hold up through the week. WTI crude finished the week near $95.42/bbl and Brent near $100 — well below the early-May intraweek peaks above $106 WTI. A breakdown in the ceasefire is the single largest binary downside risk, mechanistically transmitting via oil → CPI → Fed hawkishness → rate-sensitive sector P/E compression.</w:t>
      </w:r>
    </w:p>
    <w:p>
      <w:pPr>
        <w:pStyle w:val="BodyText"/>
      </w:pPr>
      <w:r>
        <w:rPr>
          <w:bCs/>
          <w:b/>
        </w:rPr>
        <w:t xml:space="preserve">Fed leadership transition (price-supportive on consensus, with tail risk).</w:t>
      </w:r>
      <w:r>
        <w:t xml:space="preserve"> </w:t>
      </w:r>
      <w:r>
        <w:t xml:space="preserve">First, the Fed’s transition to chair Kevin Warsh in June introduces uncertainty about the path of rate cuts. Powell’s term as Chair ends 15 May 2026. The transition to a new Fed chair, Warsh, may introduce a more dovish rate philosophy, influencing market expectations and valuations. Markets are pricing dovishness; a hawkish pivot would be a significant downside surprise.</w:t>
      </w:r>
    </w:p>
    <w:p>
      <w:pPr>
        <w:pStyle w:val="BodyText"/>
      </w:pPr>
      <w:r>
        <w:rPr>
          <w:bCs/>
          <w:b/>
        </w:rPr>
        <w:t xml:space="preserve">AI capex &amp; megacap concentration (price-supportive, with concentration risk).</w:t>
      </w:r>
      <w:r>
        <w:t xml:space="preserve"> </w:t>
      </w:r>
      <w:r>
        <w:t xml:space="preserve">Some 83% of S&amp;P 500 companies have beaten profit estimates by an average of 11% this quarter, but earnings growth is still led by the magnificent seven megacap tech stocks, making up about a third of the index and 55% of total expected Q1 earnings growth. The S &amp; P 500 is back at all-time highs, with earnings growth at the Magnificent Seven companies still outpacing the other 493 stocks by more than 40%. Concentration is the structural risk; an Nvidia earnings miss on 20 May would not be a localized event.</w:t>
      </w:r>
    </w:p>
    <w:bookmarkEnd w:id="31"/>
    <w:bookmarkStart w:id="36" w:name="sentiment-news-calendar"/>
    <w:p>
      <w:pPr>
        <w:pStyle w:val="Heading2"/>
      </w:pPr>
      <w:r>
        <w:t xml:space="preserve">§13 Sentiment, News &amp; Calendar</w:t>
      </w:r>
    </w:p>
    <w:bookmarkStart w:id="32" w:name="a-per-article-sentiment-table"/>
    <w:p>
      <w:pPr>
        <w:pStyle w:val="Heading3"/>
      </w:pPr>
      <w:r>
        <w:t xml:space="preserve">§13a Per-article sentiment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Article (publisher)</w:t>
            </w:r>
          </w:p>
        </w:tc>
        <w:tc>
          <w:tcPr/>
          <w:p>
            <w:pPr>
              <w:pStyle w:val="Compact"/>
              <w:jc w:val="left"/>
            </w:pPr>
            <w:r>
              <w:t xml:space="preserve">Date</w:t>
            </w:r>
          </w:p>
        </w:tc>
        <w:tc>
          <w:tcPr/>
          <w:p>
            <w:pPr>
              <w:pStyle w:val="Compact"/>
              <w:jc w:val="left"/>
            </w:pPr>
            <w:r>
              <w:t xml:space="preserve">Classification</w:t>
            </w:r>
          </w:p>
        </w:tc>
        <w:tc>
          <w:tcPr/>
          <w:p>
            <w:pPr>
              <w:pStyle w:val="Compact"/>
              <w:jc w:val="left"/>
            </w:pPr>
            <w:r>
              <w:t xml:space="preserve">Source class</w:t>
            </w:r>
          </w:p>
        </w:tc>
        <w:tc>
          <w:tcPr/>
          <w:p>
            <w:pPr>
              <w:pStyle w:val="Compact"/>
              <w:jc w:val="left"/>
            </w:pPr>
            <w:r>
              <w:t xml:space="preserve">Derivation quote (≤ 15 words)</w:t>
            </w:r>
          </w:p>
        </w:tc>
      </w:tr>
      <w:tr>
        <w:tc>
          <w:tcPr/>
          <w:p>
            <w:pPr>
              <w:pStyle w:val="Compact"/>
              <w:jc w:val="left"/>
            </w:pPr>
            <w:r>
              <w:t xml:space="preserve">S&amp;P 500 closes at another record … longest weekly winning streak since 2024 (CNBC)</w:t>
            </w:r>
          </w:p>
        </w:tc>
        <w:tc>
          <w:tcPr/>
          <w:p>
            <w:pPr>
              <w:pStyle w:val="Compact"/>
              <w:jc w:val="left"/>
            </w:pPr>
            <w:r>
              <w:t xml:space="preserve">8 May 2026</w:t>
            </w:r>
          </w:p>
        </w:tc>
        <w:tc>
          <w:tcPr/>
          <w:p>
            <w:pPr>
              <w:pStyle w:val="Compact"/>
              <w:jc w:val="left"/>
            </w:pPr>
            <w:r>
              <w:t xml:space="preserve">Bullish</w:t>
            </w:r>
          </w:p>
        </w:tc>
        <w:tc>
          <w:tcPr/>
          <w:p>
            <w:pPr>
              <w:pStyle w:val="Compact"/>
              <w:jc w:val="left"/>
            </w:pPr>
            <w:r>
              <w:t xml:space="preserve">Media</w:t>
            </w:r>
          </w:p>
        </w:tc>
        <w:tc>
          <w:tcPr/>
          <w:p>
            <w:pPr>
              <w:pStyle w:val="Compact"/>
              <w:jc w:val="left"/>
            </w:pPr>
            <w:r>
              <w:t xml:space="preserve">“</w:t>
            </w:r>
            <w:r>
              <w:t xml:space="preserve">longest win streak since 2024 for the broad market benchmark</w:t>
            </w:r>
            <w:r>
              <w:t xml:space="preserve">”</w:t>
            </w:r>
          </w:p>
        </w:tc>
      </w:tr>
      <w:tr>
        <w:tc>
          <w:tcPr/>
          <w:p>
            <w:pPr>
              <w:pStyle w:val="Compact"/>
              <w:jc w:val="left"/>
            </w:pPr>
            <w:r>
              <w:t xml:space="preserve">S&amp;P 500 Earnings Season Update (FactSet)</w:t>
            </w:r>
          </w:p>
        </w:tc>
        <w:tc>
          <w:tcPr/>
          <w:p>
            <w:pPr>
              <w:pStyle w:val="Compact"/>
              <w:jc w:val="left"/>
            </w:pPr>
            <w:r>
              <w:t xml:space="preserve">8 May 2026</w:t>
            </w:r>
          </w:p>
        </w:tc>
        <w:tc>
          <w:tcPr/>
          <w:p>
            <w:pPr>
              <w:pStyle w:val="Compact"/>
              <w:jc w:val="left"/>
            </w:pPr>
            <w:r>
              <w:t xml:space="preserve">Bullish</w:t>
            </w:r>
          </w:p>
        </w:tc>
        <w:tc>
          <w:tcPr/>
          <w:p>
            <w:pPr>
              <w:pStyle w:val="Compact"/>
              <w:jc w:val="left"/>
            </w:pPr>
            <w:r>
              <w:t xml:space="preserve">Institutional</w:t>
            </w:r>
          </w:p>
        </w:tc>
        <w:tc>
          <w:tcPr/>
          <w:p>
            <w:pPr>
              <w:pStyle w:val="Compact"/>
              <w:jc w:val="left"/>
            </w:pPr>
            <w:r>
              <w:t xml:space="preserve">“</w:t>
            </w:r>
            <w:r>
              <w:t xml:space="preserve">index is reporting its highest earnings growth rate since Q4 2021</w:t>
            </w:r>
            <w:r>
              <w:t xml:space="preserve">”</w:t>
            </w:r>
          </w:p>
        </w:tc>
      </w:tr>
      <w:tr>
        <w:tc>
          <w:tcPr/>
          <w:p>
            <w:pPr>
              <w:pStyle w:val="Compact"/>
              <w:jc w:val="left"/>
            </w:pPr>
            <w:r>
              <w:t xml:space="preserve">May 2026 Economic and Market Update (Crestwood Advisors)</w:t>
            </w:r>
          </w:p>
        </w:tc>
        <w:tc>
          <w:tcPr/>
          <w:p>
            <w:pPr>
              <w:pStyle w:val="Compact"/>
              <w:jc w:val="left"/>
            </w:pPr>
            <w:r>
              <w:t xml:space="preserve">5 May 2026</w:t>
            </w:r>
          </w:p>
        </w:tc>
        <w:tc>
          <w:tcPr/>
          <w:p>
            <w:pPr>
              <w:pStyle w:val="Compact"/>
              <w:jc w:val="left"/>
            </w:pPr>
            <w:r>
              <w:t xml:space="preserve">Mixed (leaning bullish)</w:t>
            </w:r>
          </w:p>
        </w:tc>
        <w:tc>
          <w:tcPr/>
          <w:p>
            <w:pPr>
              <w:pStyle w:val="Compact"/>
              <w:jc w:val="left"/>
            </w:pPr>
            <w:r>
              <w:t xml:space="preserve">Institutional</w:t>
            </w:r>
          </w:p>
        </w:tc>
        <w:tc>
          <w:tcPr/>
          <w:p>
            <w:pPr>
              <w:pStyle w:val="Compact"/>
              <w:jc w:val="left"/>
            </w:pPr>
            <w:r>
              <w:t xml:space="preserve">“</w:t>
            </w:r>
            <w:r>
              <w:t xml:space="preserve">earnings story does help justify current prices … any deceleration will be less forgiving</w:t>
            </w:r>
            <w:r>
              <w:t xml:space="preserve">”</w:t>
            </w:r>
          </w:p>
        </w:tc>
      </w:tr>
      <w:tr>
        <w:tc>
          <w:tcPr/>
          <w:p>
            <w:pPr>
              <w:pStyle w:val="Compact"/>
              <w:jc w:val="left"/>
            </w:pPr>
            <w:r>
              <w:t xml:space="preserve">Weekly market commentary (BlackRock Investment Institute)</w:t>
            </w:r>
          </w:p>
        </w:tc>
        <w:tc>
          <w:tcPr/>
          <w:p>
            <w:pPr>
              <w:pStyle w:val="Compact"/>
              <w:jc w:val="left"/>
            </w:pPr>
            <w:r>
              <w:t xml:space="preserve">early May 2026</w:t>
            </w:r>
          </w:p>
        </w:tc>
        <w:tc>
          <w:tcPr/>
          <w:p>
            <w:pPr>
              <w:pStyle w:val="Compact"/>
              <w:jc w:val="left"/>
            </w:pPr>
            <w:r>
              <w:t xml:space="preserve">Bullish</w:t>
            </w:r>
          </w:p>
        </w:tc>
        <w:tc>
          <w:tcPr/>
          <w:p>
            <w:pPr>
              <w:pStyle w:val="Compact"/>
              <w:jc w:val="left"/>
            </w:pPr>
            <w:r>
              <w:t xml:space="preserve">Institutional</w:t>
            </w:r>
          </w:p>
        </w:tc>
        <w:tc>
          <w:tcPr/>
          <w:p>
            <w:pPr>
              <w:pStyle w:val="Compact"/>
              <w:jc w:val="left"/>
            </w:pPr>
            <w:r>
              <w:t xml:space="preserve">“</w:t>
            </w:r>
            <w:r>
              <w:t xml:space="preserve">S&amp;P 500 notched a 10% gain for April, its best month since November 2020</w:t>
            </w:r>
            <w:r>
              <w:t xml:space="preserve">”</w:t>
            </w:r>
          </w:p>
        </w:tc>
      </w:tr>
      <w:tr>
        <w:tc>
          <w:tcPr/>
          <w:p>
            <w:pPr>
              <w:pStyle w:val="Compact"/>
              <w:jc w:val="left"/>
            </w:pPr>
            <w:r>
              <w:t xml:space="preserve">S&amp;P 500 &amp; Nasdaq 100 Weekly Outlook (FX Leaders)</w:t>
            </w:r>
          </w:p>
        </w:tc>
        <w:tc>
          <w:tcPr/>
          <w:p>
            <w:pPr>
              <w:pStyle w:val="Compact"/>
              <w:jc w:val="left"/>
            </w:pPr>
            <w:r>
              <w:t xml:space="preserve">10 May 2026</w:t>
            </w:r>
          </w:p>
        </w:tc>
        <w:tc>
          <w:tcPr/>
          <w:p>
            <w:pPr>
              <w:pStyle w:val="Compact"/>
              <w:jc w:val="left"/>
            </w:pPr>
            <w:r>
              <w:t xml:space="preserve">Mixed</w:t>
            </w:r>
          </w:p>
        </w:tc>
        <w:tc>
          <w:tcPr/>
          <w:p>
            <w:pPr>
              <w:pStyle w:val="Compact"/>
              <w:jc w:val="left"/>
            </w:pPr>
            <w:r>
              <w:t xml:space="preserve">Trade Press</w:t>
            </w:r>
          </w:p>
        </w:tc>
        <w:tc>
          <w:tcPr/>
          <w:p>
            <w:pPr>
              <w:pStyle w:val="Compact"/>
              <w:jc w:val="left"/>
            </w:pPr>
            <w:r>
              <w:t xml:space="preserve">“</w:t>
            </w:r>
            <w:r>
              <w:t xml:space="preserve">a higher reading could lead to increased yields and a sell-off in tech stocks</w:t>
            </w:r>
            <w:r>
              <w:t xml:space="preserve">”</w:t>
            </w:r>
          </w:p>
        </w:tc>
      </w:tr>
      <w:tr>
        <w:tc>
          <w:tcPr/>
          <w:p>
            <w:pPr>
              <w:pStyle w:val="Compact"/>
              <w:jc w:val="left"/>
            </w:pPr>
            <w:r>
              <w:t xml:space="preserve">Weekly Trader’s Stock Market Outlook (Charles Schwab)</w:t>
            </w:r>
          </w:p>
        </w:tc>
        <w:tc>
          <w:tcPr/>
          <w:p>
            <w:pPr>
              <w:pStyle w:val="Compact"/>
              <w:jc w:val="left"/>
            </w:pPr>
            <w:r>
              <w:t xml:space="preserve">early May 2026</w:t>
            </w:r>
          </w:p>
        </w:tc>
        <w:tc>
          <w:tcPr/>
          <w:p>
            <w:pPr>
              <w:pStyle w:val="Compact"/>
              <w:jc w:val="left"/>
            </w:pPr>
            <w:r>
              <w:t xml:space="preserve">Bullish</w:t>
            </w:r>
          </w:p>
        </w:tc>
        <w:tc>
          <w:tcPr/>
          <w:p>
            <w:pPr>
              <w:pStyle w:val="Compact"/>
              <w:jc w:val="left"/>
            </w:pPr>
            <w:r>
              <w:t xml:space="preserve">Trade Press</w:t>
            </w:r>
          </w:p>
        </w:tc>
        <w:tc>
          <w:tcPr/>
          <w:p>
            <w:pPr>
              <w:pStyle w:val="Compact"/>
              <w:jc w:val="left"/>
            </w:pPr>
            <w:r>
              <w:t xml:space="preserve">“</w:t>
            </w:r>
            <w:r>
              <w:t xml:space="preserve">global economy is experiencing the largest CapEx boom in history</w:t>
            </w:r>
            <w:r>
              <w:t xml:space="preserve">”</w:t>
            </w:r>
          </w:p>
        </w:tc>
      </w:tr>
      <w:tr>
        <w:tc>
          <w:tcPr/>
          <w:p>
            <w:pPr>
              <w:pStyle w:val="Compact"/>
              <w:jc w:val="left"/>
            </w:pPr>
            <w:r>
              <w:t xml:space="preserve">Michael Burry semiconductor / dot-com warning (via CNBC)</w:t>
            </w:r>
          </w:p>
        </w:tc>
        <w:tc>
          <w:tcPr/>
          <w:p>
            <w:pPr>
              <w:pStyle w:val="Compact"/>
              <w:jc w:val="left"/>
            </w:pPr>
            <w:r>
              <w:t xml:space="preserve">7 May 2026</w:t>
            </w:r>
          </w:p>
        </w:tc>
        <w:tc>
          <w:tcPr/>
          <w:p>
            <w:pPr>
              <w:pStyle w:val="Compact"/>
              <w:jc w:val="left"/>
            </w:pPr>
            <w:r>
              <w:t xml:space="preserve">Bearish</w:t>
            </w:r>
          </w:p>
        </w:tc>
        <w:tc>
          <w:tcPr/>
          <w:p>
            <w:pPr>
              <w:pStyle w:val="Compact"/>
              <w:jc w:val="left"/>
            </w:pPr>
            <w:r>
              <w:t xml:space="preserve">Media</w:t>
            </w:r>
          </w:p>
        </w:tc>
        <w:tc>
          <w:tcPr/>
          <w:p>
            <w:pPr>
              <w:pStyle w:val="Compact"/>
              <w:jc w:val="left"/>
            </w:pPr>
            <w:r>
              <w:t xml:space="preserve">“</w:t>
            </w:r>
            <w:r>
              <w:t xml:space="preserve">beginning to resemble the final stages of the dot-com bubble</w:t>
            </w:r>
            <w:r>
              <w:t xml:space="preserve">”</w:t>
            </w:r>
          </w:p>
        </w:tc>
      </w:tr>
    </w:tbl>
    <w:bookmarkEnd w:id="32"/>
    <w:bookmarkStart w:id="33" w:name="b-aggregate-sentiment-summary"/>
    <w:p>
      <w:pPr>
        <w:pStyle w:val="Heading3"/>
      </w:pPr>
      <w:r>
        <w:t xml:space="preserve">§13b Aggregate sentiment summary</w:t>
      </w:r>
    </w:p>
    <w:p>
      <w:pPr>
        <w:pStyle w:val="FirstParagraph"/>
      </w:pPr>
      <w:r>
        <w:t xml:space="preserve">Counts: 4 Bullish (2 institutional, 2 media/trade-press), 2 Mixed (1 institutional, 1 trade-press), 1 Bearish (media).</w:t>
      </w:r>
    </w:p>
    <w:p>
      <w:pPr>
        <w:pStyle w:val="BodyText"/>
      </w:pPr>
      <w:r>
        <w:t xml:space="preserve">Numeric tilt computation (M2 §9c weighted formula):</w:t>
      </w:r>
    </w:p>
    <w:p>
      <w:pPr>
        <w:pStyle w:val="SourceCode"/>
      </w:pPr>
      <w:r>
        <w:rPr>
          <w:rStyle w:val="VerbatimChar"/>
        </w:rPr>
        <w:t xml:space="preserve">contributions:</w:t>
      </w:r>
      <w:r>
        <w:br/>
      </w:r>
      <w:r>
        <w:rPr>
          <w:rStyle w:val="VerbatimChar"/>
        </w:rPr>
        <w:t xml:space="preserve">  Bullish institutional × 2 : 2 × 1.0 × (+1.0)  =  +2.0</w:t>
      </w:r>
      <w:r>
        <w:br/>
      </w:r>
      <w:r>
        <w:rPr>
          <w:rStyle w:val="VerbatimChar"/>
        </w:rPr>
        <w:t xml:space="preserve">  Bullish trade press × 1   : 1 × 0.7 × (+1.0)  =  +0.7</w:t>
      </w:r>
      <w:r>
        <w:br/>
      </w:r>
      <w:r>
        <w:rPr>
          <w:rStyle w:val="VerbatimChar"/>
        </w:rPr>
        <w:t xml:space="preserve">  Bullish media × 1         : 1 × 0.5 × (+1.0)  =  +0.5</w:t>
      </w:r>
      <w:r>
        <w:br/>
      </w:r>
      <w:r>
        <w:rPr>
          <w:rStyle w:val="VerbatimChar"/>
        </w:rPr>
        <w:t xml:space="preserve">  Mixed institutional × 1   : 1 × 1.0 × (+0.3)  =  +0.3   (leaning bullish per quote)</w:t>
      </w:r>
      <w:r>
        <w:br/>
      </w:r>
      <w:r>
        <w:rPr>
          <w:rStyle w:val="VerbatimChar"/>
        </w:rPr>
        <w:t xml:space="preserve">  Mixed trade press × 1     : 1 × 0.7 × ( 0.0)  =   0.0</w:t>
      </w:r>
      <w:r>
        <w:br/>
      </w:r>
      <w:r>
        <w:rPr>
          <w:rStyle w:val="VerbatimChar"/>
        </w:rPr>
        <w:t xml:space="preserve">  Bearish media × 1         : 1 × 0.5 × (−1.0)  =  −0.5</w:t>
      </w:r>
      <w:r>
        <w:br/>
      </w:r>
      <w:r>
        <w:rPr>
          <w:rStyle w:val="VerbatimChar"/>
        </w:rPr>
        <w:t xml:space="preserve">  Σ weight × score          =                    +3.0</w:t>
      </w:r>
      <w:r>
        <w:br/>
      </w:r>
      <w:r>
        <w:rPr>
          <w:rStyle w:val="VerbatimChar"/>
        </w:rPr>
        <w:t xml:space="preserve">  Σ weight                  = 2.0 + 0.7 + 0.5 + 1.0 + 0.7 + 0.5  = 5.4</w:t>
      </w:r>
      <w:r>
        <w:br/>
      </w:r>
      <w:r>
        <w:rPr>
          <w:rStyle w:val="VerbatimChar"/>
        </w:rPr>
        <w:t xml:space="preserve">  tilt                      = +3.0 / 5.4         =  +0.56  (clipped to [-1, +1])</w:t>
      </w:r>
    </w:p>
    <w:p>
      <w:pPr>
        <w:pStyle w:val="FirstParagraph"/>
      </w:pPr>
      <w:r>
        <w:rPr>
          <w:bCs/>
          <w:b/>
        </w:rPr>
        <w:t xml:space="preserve">Aggregate: Predominantly Bullish (tilt = +0.56)</w:t>
      </w:r>
      <w:r>
        <w:t xml:space="preserve"> </w:t>
      </w:r>
      <w:r>
        <w:t xml:space="preserve">for the S&amp;P 500.</w:t>
      </w:r>
    </w:p>
    <w:p>
      <w:pPr>
        <w:pStyle w:val="BodyText"/>
      </w:pPr>
      <w:r>
        <w:t xml:space="preserve">No divergence: aggregate sentiment is bullish, price action is bullish, no flag is required.</w:t>
      </w:r>
    </w:p>
    <w:bookmarkEnd w:id="33"/>
    <w:bookmarkStart w:id="34" w:name="X9130153b40bb59e00840ef4cd82c6bf05ea3dd0"/>
    <w:p>
      <w:pPr>
        <w:pStyle w:val="Heading3"/>
      </w:pPr>
      <w:r>
        <w:t xml:space="preserve">§13c Previous-period news calendar (last 5 sessions)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Prior / Context</w:t>
            </w:r>
          </w:p>
        </w:tc>
        <w:tc>
          <w:tcPr/>
          <w:p>
            <w:pPr>
              <w:pStyle w:val="Compact"/>
              <w:jc w:val="left"/>
            </w:pPr>
            <w:r>
              <w:t xml:space="preserve">Impact</w:t>
            </w:r>
          </w:p>
        </w:tc>
        <w:tc>
          <w:tcPr/>
          <w:p>
            <w:pPr>
              <w:pStyle w:val="Compact"/>
              <w:jc w:val="left"/>
            </w:pPr>
            <w:r>
              <w:t xml:space="preserve">Market implication</w:t>
            </w:r>
          </w:p>
        </w:tc>
      </w:tr>
      <w:tr>
        <w:tc>
          <w:tcPr/>
          <w:p>
            <w:pPr>
              <w:pStyle w:val="Compact"/>
              <w:jc w:val="left"/>
            </w:pPr>
            <w:r>
              <w:t xml:space="preserve">Mon 4 May</w:t>
            </w:r>
          </w:p>
        </w:tc>
        <w:tc>
          <w:tcPr/>
          <w:p>
            <w:pPr>
              <w:pStyle w:val="Compact"/>
              <w:jc w:val="left"/>
            </w:pPr>
            <w:r>
              <w:t xml:space="preserve">Iran missile intercept by UAE; UAE intercepts Iranian missiles</w:t>
            </w:r>
          </w:p>
        </w:tc>
        <w:tc>
          <w:tcPr/>
          <w:p>
            <w:pPr>
              <w:pStyle w:val="Compact"/>
              <w:jc w:val="left"/>
            </w:pPr>
            <w:r>
              <w:t xml:space="preserve">First UAE intercept since ceasefire</w:t>
            </w:r>
          </w:p>
        </w:tc>
        <w:tc>
          <w:tcPr/>
          <w:p>
            <w:pPr>
              <w:pStyle w:val="Compact"/>
              <w:jc w:val="left"/>
            </w:pPr>
            <w:r>
              <w:t xml:space="preserve">High</w:t>
            </w:r>
          </w:p>
        </w:tc>
        <w:tc>
          <w:tcPr/>
          <w:p>
            <w:pPr>
              <w:pStyle w:val="Compact"/>
              <w:jc w:val="left"/>
            </w:pPr>
            <w:r>
              <w:t xml:space="preserve">Brent crude surged nearly 6% to settle above $114 a barrel; WTI rose more than 4%; SPX −0.41%</w:t>
            </w:r>
          </w:p>
        </w:tc>
      </w:tr>
      <w:tr>
        <w:tc>
          <w:tcPr/>
          <w:p>
            <w:pPr>
              <w:pStyle w:val="Compact"/>
              <w:jc w:val="left"/>
            </w:pPr>
            <w:r>
              <w:t xml:space="preserve">Tue 5 May</w:t>
            </w:r>
          </w:p>
        </w:tc>
        <w:tc>
          <w:tcPr/>
          <w:p>
            <w:pPr>
              <w:pStyle w:val="Compact"/>
              <w:jc w:val="left"/>
            </w:pPr>
            <w:r>
              <w:t xml:space="preserve">JOLTS job openings 6.87M; ISM Services holds</w:t>
            </w:r>
          </w:p>
        </w:tc>
        <w:tc>
          <w:tcPr/>
          <w:p>
            <w:pPr>
              <w:pStyle w:val="Compact"/>
              <w:jc w:val="left"/>
            </w:pPr>
            <w:r>
              <w:t xml:space="preserve">Job openings stable</w:t>
            </w:r>
          </w:p>
        </w:tc>
        <w:tc>
          <w:tcPr/>
          <w:p>
            <w:pPr>
              <w:pStyle w:val="Compact"/>
              <w:jc w:val="left"/>
            </w:pPr>
            <w:r>
              <w:t xml:space="preserve">Medium</w:t>
            </w:r>
          </w:p>
        </w:tc>
        <w:tc>
          <w:tcPr/>
          <w:p>
            <w:pPr>
              <w:pStyle w:val="Compact"/>
              <w:jc w:val="left"/>
            </w:pPr>
            <w:r>
              <w:t xml:space="preserve">Soft-supportive; SPX rallied +0.81% to record</w:t>
            </w:r>
          </w:p>
        </w:tc>
      </w:tr>
      <w:tr>
        <w:tc>
          <w:tcPr/>
          <w:p>
            <w:pPr>
              <w:pStyle w:val="Compact"/>
              <w:jc w:val="left"/>
            </w:pPr>
            <w:r>
              <w:t xml:space="preserve">Wed 6 May</w:t>
            </w:r>
          </w:p>
        </w:tc>
        <w:tc>
          <w:tcPr/>
          <w:p>
            <w:pPr>
              <w:pStyle w:val="Compact"/>
              <w:jc w:val="left"/>
            </w:pPr>
            <w:r>
              <w:t xml:space="preserve">Axios report — US–Iran nearing framework deal</w:t>
            </w:r>
          </w:p>
        </w:tc>
        <w:tc>
          <w:tcPr/>
          <w:p>
            <w:pPr>
              <w:pStyle w:val="Compact"/>
              <w:jc w:val="left"/>
            </w:pPr>
            <w:r>
              <w:t xml:space="preserve">First credible diplomatic-resolution headline</w:t>
            </w:r>
          </w:p>
        </w:tc>
        <w:tc>
          <w:tcPr/>
          <w:p>
            <w:pPr>
              <w:pStyle w:val="Compact"/>
              <w:jc w:val="left"/>
            </w:pPr>
            <w:r>
              <w:t xml:space="preserve">High</w:t>
            </w:r>
          </w:p>
        </w:tc>
        <w:tc>
          <w:tcPr/>
          <w:p>
            <w:pPr>
              <w:pStyle w:val="Compact"/>
              <w:jc w:val="left"/>
            </w:pPr>
            <w:r>
              <w:t xml:space="preserve">SPX +1.46% to 7,365.12</w:t>
            </w:r>
          </w:p>
        </w:tc>
      </w:tr>
      <w:tr>
        <w:tc>
          <w:tcPr/>
          <w:p>
            <w:pPr>
              <w:pStyle w:val="Compact"/>
              <w:jc w:val="left"/>
            </w:pPr>
            <w:r>
              <w:t xml:space="preserve">Thu 7 May</w:t>
            </w:r>
          </w:p>
        </w:tc>
        <w:tc>
          <w:tcPr/>
          <w:p>
            <w:pPr>
              <w:pStyle w:val="Compact"/>
              <w:jc w:val="left"/>
            </w:pPr>
            <w:r>
              <w:t xml:space="preserve">New US–Iran clashes in Strait of Hormuz; U.S. shot down Iranian drones and missiles</w:t>
            </w:r>
          </w:p>
        </w:tc>
        <w:tc>
          <w:tcPr/>
          <w:p>
            <w:pPr>
              <w:pStyle w:val="Compact"/>
              <w:jc w:val="left"/>
            </w:pPr>
            <w:r>
              <w:t xml:space="preserve">Ceasefire formally still in place</w:t>
            </w:r>
          </w:p>
        </w:tc>
        <w:tc>
          <w:tcPr/>
          <w:p>
            <w:pPr>
              <w:pStyle w:val="Compact"/>
              <w:jc w:val="left"/>
            </w:pPr>
            <w:r>
              <w:t xml:space="preserve">Medium-High</w:t>
            </w:r>
          </w:p>
        </w:tc>
        <w:tc>
          <w:tcPr/>
          <w:p>
            <w:pPr>
              <w:pStyle w:val="Compact"/>
              <w:jc w:val="left"/>
            </w:pPr>
            <w:r>
              <w:t xml:space="preserve">SPX −0.38% from intraday ATH; oil reversed lower</w:t>
            </w:r>
          </w:p>
        </w:tc>
      </w:tr>
      <w:tr>
        <w:tc>
          <w:tcPr/>
          <w:p>
            <w:pPr>
              <w:pStyle w:val="Compact"/>
              <w:jc w:val="left"/>
            </w:pPr>
            <w:r>
              <w:t xml:space="preserve">Fri 8 May</w:t>
            </w:r>
          </w:p>
        </w:tc>
        <w:tc>
          <w:tcPr/>
          <w:p>
            <w:pPr>
              <w:pStyle w:val="Compact"/>
              <w:jc w:val="left"/>
            </w:pPr>
            <w:r>
              <w:t xml:space="preserve">April NFP +115k vs +60k consensus; UR 4.3% steady</w:t>
            </w:r>
          </w:p>
        </w:tc>
        <w:tc>
          <w:tcPr/>
          <w:p>
            <w:pPr>
              <w:pStyle w:val="Compact"/>
              <w:jc w:val="left"/>
            </w:pPr>
            <w:r>
              <w:t xml:space="preserve">Second consecutive monthly six-figure jobs print</w:t>
            </w:r>
          </w:p>
        </w:tc>
        <w:tc>
          <w:tcPr/>
          <w:p>
            <w:pPr>
              <w:pStyle w:val="Compact"/>
              <w:jc w:val="left"/>
            </w:pPr>
            <w:r>
              <w:t xml:space="preserve">High</w:t>
            </w:r>
          </w:p>
        </w:tc>
        <w:tc>
          <w:tcPr/>
          <w:p>
            <w:pPr>
              <w:pStyle w:val="Compact"/>
              <w:jc w:val="left"/>
            </w:pPr>
            <w:r>
              <w:t xml:space="preserve">Major indexes, already higher before the data, held their gains; SPX +0.84% to record close</w:t>
            </w:r>
          </w:p>
        </w:tc>
      </w:tr>
    </w:tbl>
    <w:bookmarkEnd w:id="34"/>
    <w:bookmarkStart w:id="35" w:name="X440e63f346561d5ea77c5fd0af91776b1797c9e"/>
    <w:p>
      <w:pPr>
        <w:pStyle w:val="Heading3"/>
      </w:pPr>
      <w:r>
        <w:t xml:space="preserve">§13d Upcoming-period news calendar (next 5 sessions, week of 11 May)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Context</w:t>
            </w:r>
          </w:p>
        </w:tc>
        <w:tc>
          <w:tcPr/>
          <w:p>
            <w:pPr>
              <w:pStyle w:val="Compact"/>
              <w:jc w:val="left"/>
            </w:pPr>
            <w:r>
              <w:t xml:space="preserve">Prospective impact</w:t>
            </w:r>
          </w:p>
        </w:tc>
        <w:tc>
          <w:tcPr/>
          <w:p>
            <w:pPr>
              <w:pStyle w:val="Compact"/>
              <w:jc w:val="left"/>
            </w:pPr>
            <w:r>
              <w:t xml:space="preserve">Market implication</w:t>
            </w:r>
          </w:p>
        </w:tc>
      </w:tr>
      <w:tr>
        <w:tc>
          <w:tcPr/>
          <w:p>
            <w:pPr>
              <w:pStyle w:val="Compact"/>
              <w:jc w:val="left"/>
            </w:pPr>
            <w:r>
              <w:t xml:space="preserve">Mon 11 May</w:t>
            </w:r>
          </w:p>
        </w:tc>
        <w:tc>
          <w:tcPr/>
          <w:p>
            <w:pPr>
              <w:pStyle w:val="Compact"/>
              <w:jc w:val="left"/>
            </w:pPr>
            <w:r>
              <w:t xml:space="preserve">April existing home sales and expected earnings from Constellation Energy (CEG) and Circle Internet Group (CRCL)</w:t>
            </w:r>
          </w:p>
        </w:tc>
        <w:tc>
          <w:tcPr/>
          <w:p>
            <w:pPr>
              <w:pStyle w:val="Compact"/>
              <w:jc w:val="left"/>
            </w:pPr>
            <w:r>
              <w:t xml:space="preserve">Lighter calendar</w:t>
            </w:r>
          </w:p>
        </w:tc>
        <w:tc>
          <w:tcPr/>
          <w:p>
            <w:pPr>
              <w:pStyle w:val="Compact"/>
              <w:jc w:val="left"/>
            </w:pPr>
            <w:r>
              <w:t xml:space="preserve">Low-Medium</w:t>
            </w:r>
          </w:p>
        </w:tc>
        <w:tc>
          <w:tcPr/>
          <w:p>
            <w:pPr>
              <w:pStyle w:val="Compact"/>
              <w:jc w:val="left"/>
            </w:pPr>
            <w:r>
              <w:t xml:space="preserve">Modest housing-data sensitivity; positioning for CPI dominates</w:t>
            </w:r>
          </w:p>
        </w:tc>
      </w:tr>
      <w:tr>
        <w:tc>
          <w:tcPr/>
          <w:p>
            <w:pPr>
              <w:pStyle w:val="Compact"/>
              <w:jc w:val="left"/>
            </w:pPr>
            <w:r>
              <w:rPr>
                <w:bCs/>
                <w:b/>
              </w:rPr>
              <w:t xml:space="preserve">Tue 12 May</w:t>
            </w:r>
          </w:p>
        </w:tc>
        <w:tc>
          <w:tcPr/>
          <w:p>
            <w:pPr>
              <w:pStyle w:val="Compact"/>
              <w:jc w:val="left"/>
            </w:pPr>
            <w:r>
              <w:rPr>
                <w:bCs/>
                <w:b/>
              </w:rPr>
              <w:t xml:space="preserve">April CPI and core CPI</w:t>
            </w:r>
          </w:p>
        </w:tc>
        <w:tc>
          <w:tcPr/>
          <w:p>
            <w:pPr>
              <w:pStyle w:val="Compact"/>
              <w:jc w:val="left"/>
            </w:pPr>
            <w:r>
              <w:t xml:space="preserve">March CPI at 3.3% year over year, accelerated from 2.4% in February</w:t>
            </w:r>
          </w:p>
        </w:tc>
        <w:tc>
          <w:tcPr/>
          <w:p>
            <w:pPr>
              <w:pStyle w:val="Compact"/>
              <w:jc w:val="left"/>
            </w:pPr>
            <w:r>
              <w:rPr>
                <w:bCs/>
                <w:b/>
              </w:rPr>
              <w:t xml:space="preserve">HIGH (highest-impact event of the week)</w:t>
            </w:r>
          </w:p>
        </w:tc>
        <w:tc>
          <w:tcPr/>
          <w:p>
            <w:pPr>
              <w:pStyle w:val="Compact"/>
              <w:jc w:val="left"/>
            </w:pPr>
            <w:r>
              <w:t xml:space="preserve">A 3.0% April CPI vs 3.5% CPI means the difference between a 15% rate-cut probability in June vs 0.0% which directly feeds into the forward P/E of the Nasdaq — a hot print would compress rate-sensitive multiples and reverse vol compression; a cool print extends the rally</w:t>
            </w:r>
          </w:p>
        </w:tc>
      </w:tr>
      <w:tr>
        <w:tc>
          <w:tcPr/>
          <w:p>
            <w:pPr>
              <w:pStyle w:val="Compact"/>
              <w:jc w:val="left"/>
            </w:pPr>
            <w:r>
              <w:t xml:space="preserve">Wed 13 May</w:t>
            </w:r>
          </w:p>
        </w:tc>
        <w:tc>
          <w:tcPr/>
          <w:p>
            <w:pPr>
              <w:pStyle w:val="Compact"/>
              <w:jc w:val="left"/>
            </w:pPr>
            <w:r>
              <w:t xml:space="preserve">April PPI and core PPI; earnings: Cisco</w:t>
            </w:r>
          </w:p>
        </w:tc>
        <w:tc>
          <w:tcPr/>
          <w:p>
            <w:pPr>
              <w:pStyle w:val="Compact"/>
              <w:jc w:val="left"/>
            </w:pPr>
            <w:r>
              <w:t xml:space="preserve">Follows CPI</w:t>
            </w:r>
          </w:p>
        </w:tc>
        <w:tc>
          <w:tcPr/>
          <w:p>
            <w:pPr>
              <w:pStyle w:val="Compact"/>
              <w:jc w:val="left"/>
            </w:pPr>
            <w:r>
              <w:t xml:space="preserve">High</w:t>
            </w:r>
          </w:p>
        </w:tc>
        <w:tc>
          <w:tcPr/>
          <w:p>
            <w:pPr>
              <w:pStyle w:val="Compact"/>
              <w:jc w:val="left"/>
            </w:pPr>
            <w:r>
              <w:t xml:space="preserve">Second leg of the inflation read; cumulative directional impact with Tuesday</w:t>
            </w:r>
          </w:p>
        </w:tc>
      </w:tr>
      <w:tr>
        <w:tc>
          <w:tcPr/>
          <w:p>
            <w:pPr>
              <w:pStyle w:val="Compact"/>
              <w:jc w:val="left"/>
            </w:pPr>
            <w:r>
              <w:t xml:space="preserve">Thu 14 May</w:t>
            </w:r>
          </w:p>
        </w:tc>
        <w:tc>
          <w:tcPr/>
          <w:p>
            <w:pPr>
              <w:pStyle w:val="Compact"/>
              <w:jc w:val="left"/>
            </w:pPr>
            <w:r>
              <w:t xml:space="preserve">Initial Claims; Retail Sales (April); Trump–Xi summit; NY Fed Williams discussion</w:t>
            </w:r>
          </w:p>
        </w:tc>
        <w:tc>
          <w:tcPr/>
          <w:p>
            <w:pPr>
              <w:pStyle w:val="Compact"/>
              <w:jc w:val="left"/>
            </w:pPr>
            <w:r>
              <w:t xml:space="preserve">Trade-truce extension at stake</w:t>
            </w:r>
          </w:p>
        </w:tc>
        <w:tc>
          <w:tcPr/>
          <w:p>
            <w:pPr>
              <w:pStyle w:val="Compact"/>
              <w:jc w:val="left"/>
            </w:pPr>
            <w:r>
              <w:t xml:space="preserve">High</w:t>
            </w:r>
          </w:p>
        </w:tc>
        <w:tc>
          <w:tcPr/>
          <w:p>
            <w:pPr>
              <w:pStyle w:val="Compact"/>
              <w:jc w:val="left"/>
            </w:pPr>
            <w:r>
              <w:t xml:space="preserve">A deal or material progress extends tech rally; talks breakdown reverses truce premium</w:t>
            </w:r>
          </w:p>
        </w:tc>
      </w:tr>
      <w:tr>
        <w:tc>
          <w:tcPr/>
          <w:p>
            <w:pPr>
              <w:pStyle w:val="Compact"/>
              <w:jc w:val="left"/>
            </w:pPr>
            <w:r>
              <w:t xml:space="preserve">Thu 15 May</w:t>
            </w:r>
          </w:p>
        </w:tc>
        <w:tc>
          <w:tcPr/>
          <w:p>
            <w:pPr>
              <w:pStyle w:val="Compact"/>
              <w:jc w:val="left"/>
            </w:pPr>
            <w:r>
              <w:t xml:space="preserve">Powell final day as Fed Chair</w:t>
            </w:r>
          </w:p>
        </w:tc>
        <w:tc>
          <w:tcPr/>
          <w:p>
            <w:pPr>
              <w:pStyle w:val="Compact"/>
              <w:jc w:val="left"/>
            </w:pPr>
            <w:r>
              <w:t xml:space="preserve">Warsh transition begins</w:t>
            </w:r>
          </w:p>
        </w:tc>
        <w:tc>
          <w:tcPr/>
          <w:p>
            <w:pPr>
              <w:pStyle w:val="Compact"/>
              <w:jc w:val="left"/>
            </w:pPr>
            <w:r>
              <w:t xml:space="preserve">Medium-High</w:t>
            </w:r>
          </w:p>
        </w:tc>
        <w:tc>
          <w:tcPr/>
          <w:p>
            <w:pPr>
              <w:pStyle w:val="Compact"/>
              <w:jc w:val="left"/>
            </w:pPr>
            <w:r>
              <w:t xml:space="preserve">Warsh dovish-bias premium already partly priced; any hawkish pivot would be a downside shock</w:t>
            </w:r>
          </w:p>
        </w:tc>
      </w:tr>
    </w:tbl>
    <w:p>
      <w:pPr>
        <w:pStyle w:val="BodyText"/>
      </w:pPr>
      <w:r>
        <w:rPr>
          <w:bCs/>
          <w:b/>
        </w:rPr>
        <w:t xml:space="preserve">Highest-impact upcoming event: April CPI on Tuesday 12 May 2026.</w:t>
      </w:r>
      <w:r>
        <w:t xml:space="preserve"> </w:t>
      </w:r>
      <w:r>
        <w:t xml:space="preserve">Mechanism for S&amp;P 500: a hot CPI (3.4%+) raises 10y yields, compresses tech forward P/E, and breaks the recent vol compression — risk of a 1.5–2.5% pullback. A cool CPI (3.1% or below) reinforces the dovish-Warsh thesis, sustains AI-led leadership, and likely extends the index above 7,420 (R1).</w:t>
      </w:r>
    </w:p>
    <w:bookmarkEnd w:id="35"/>
    <w:bookmarkEnd w:id="36"/>
    <w:bookmarkStart w:id="37" w:name="macro-context"/>
    <w:p>
      <w:pPr>
        <w:pStyle w:val="Heading2"/>
      </w:pPr>
      <w:r>
        <w:t xml:space="preserve">§14 Macro Context</w:t>
      </w:r>
    </w:p>
    <w:p>
      <w:pPr>
        <w:pStyle w:val="FirstParagraph"/>
      </w:pPr>
      <w:r>
        <w:rPr>
          <w:bCs/>
          <w:b/>
        </w:rPr>
        <w:t xml:space="preserve">Interest rates.</w:t>
      </w:r>
      <w:r>
        <w:t xml:space="preserve"> </w:t>
      </w:r>
      <w:r>
        <w:t xml:space="preserve">Fed funds at 3.50–3.75% after the April 28–29 FOMC held with four dissents, the most since October 1992. The 10-year UST has risen approximately 40 bp since the war started, with Analysts expect yields to not drop to pre-war levels but only 10-15bp to reverse if an agreement between Iran and U.S. happens. Wolfe Research analysts Rates are likely to trade at a higher level than before the war, analysts believe, by roughly 4.15% to 4.40%. Implication for SPX: rates remain a headwind for duration-sensitive growth names, but cushioned by exceptional earnings growth.</w:t>
      </w:r>
    </w:p>
    <w:p>
      <w:pPr>
        <w:pStyle w:val="BodyText"/>
      </w:pPr>
      <w:r>
        <w:rPr>
          <w:bCs/>
          <w:b/>
        </w:rPr>
        <w:t xml:space="preserve">Inflation.</w:t>
      </w:r>
      <w:r>
        <w:t xml:space="preserve"> </w:t>
      </w:r>
      <w:r>
        <w:t xml:space="preserve">Headline CPI was 3.3% YoY in March (accelerated from 2.4% in February). The May ISM Manufacturing prices index was 84.6, the highest since April 2022, signalling pipeline pressure. Tuesday’s April CPI is the watch item.</w:t>
      </w:r>
    </w:p>
    <w:p>
      <w:pPr>
        <w:pStyle w:val="BodyText"/>
      </w:pPr>
      <w:r>
        <w:rPr>
          <w:bCs/>
          <w:b/>
        </w:rPr>
        <w:t xml:space="preserve">Liquidity / FX (§10 counters).</w:t>
      </w:r>
      <w:r>
        <w:t xml:space="preserve"> </w:t>
      </w:r>
      <w:r>
        <w:t xml:space="preserve">USDX at 97.84, near a ten-week low (see §10) — supportive for multinational EPS. VIX at 17.19 — compressed (see §10), supportive for risk premia.</w:t>
      </w:r>
    </w:p>
    <w:p>
      <w:pPr>
        <w:pStyle w:val="BodyText"/>
      </w:pPr>
      <w:r>
        <w:rPr>
          <w:bCs/>
          <w:b/>
        </w:rPr>
        <w:t xml:space="preserve">Positioning.</w:t>
      </w:r>
      <w:r>
        <w:t xml:space="preserve"> </w:t>
      </w:r>
      <w:r>
        <w:t xml:space="preserve">Retail investors, after moving to the sidelines during the first month of the war, have returned in earnest, focusing on their favorite artificial intelligence and semiconductor memory chip and data storage stocks. Speculative positioning is bullish-extended. Watch item: see §13d.</w:t>
      </w:r>
    </w:p>
    <w:bookmarkEnd w:id="37"/>
    <w:bookmarkStart w:id="38" w:name="bull-bear-balance"/>
    <w:p>
      <w:pPr>
        <w:pStyle w:val="Heading2"/>
      </w:pPr>
      <w:r>
        <w:t xml:space="preserve">§15 Bull / Bear Balance</w:t>
      </w:r>
    </w:p>
    <w:p>
      <w:pPr>
        <w:pStyle w:val="FirstParagraph"/>
      </w:pPr>
      <w:r>
        <w:rPr>
          <w:bCs/>
          <w:b/>
        </w:rPr>
        <w:t xml:space="preserve">Upside risks (price-supportive).</w:t>
      </w:r>
      <w:r>
        <w:t xml:space="preserve"> </w:t>
      </w:r>
      <w:r>
        <w:t xml:space="preserve">- April CPI prints cool (≤ 3.1%) → dovish-Warsh thesis confirmed → rate-sensitive growth multiples re-rate higher; SPX breaks 7,420 (daily R1) and tests 7,442 (daily R2).</w:t>
      </w:r>
      <w:r>
        <w:t xml:space="preserve"> </w:t>
      </w:r>
      <w:r>
        <w:t xml:space="preserve">- Trump–Xi summit Thursday delivers tariff easing or trade-truce extension → tech-led leg higher.</w:t>
      </w:r>
      <w:r>
        <w:t xml:space="preserve"> </w:t>
      </w:r>
      <w:r>
        <w:t xml:space="preserve">- Iran ceasefire formalised → oil → 80s → CPI tail risk dissipates → broader sector participation.</w:t>
      </w:r>
      <w:r>
        <w:t xml:space="preserve"> </w:t>
      </w:r>
      <w:r>
        <w:t xml:space="preserve">- Q1 EPS revisions continue marginally higher; FactSet’s +27.7% becomes +28%+.</w:t>
      </w:r>
    </w:p>
    <w:p>
      <w:pPr>
        <w:pStyle w:val="BodyText"/>
      </w:pPr>
      <w:r>
        <w:rPr>
          <w:bCs/>
          <w:b/>
        </w:rPr>
        <w:t xml:space="preserve">Downside risks (price-negative).</w:t>
      </w:r>
      <w:r>
        <w:t xml:space="preserve"> </w:t>
      </w:r>
      <w:r>
        <w:t xml:space="preserve">-</w:t>
      </w:r>
      <w:r>
        <w:t xml:space="preserve"> </w:t>
      </w:r>
      <w:r>
        <w:rPr>
          <w:bCs/>
          <w:b/>
        </w:rPr>
        <w:t xml:space="preserve">Hot April CPI (≥ 3.4%) — the highest-impact §13d event.</w:t>
      </w:r>
      <w:r>
        <w:t xml:space="preserve"> </w:t>
      </w:r>
      <w:r>
        <w:t xml:space="preserve">Mechanism: 10y yields up 10–20 bp → tech forward P/E compresses → VIX breaks 20 → SPX retests daily S1 (7,359) and possibly weekly P (7,187) on a multi-day move.</w:t>
      </w:r>
      <w:r>
        <w:t xml:space="preserve"> </w:t>
      </w:r>
      <w:r>
        <w:t xml:space="preserve">- Iran ceasefire breaks materially (oil flow to Strait of Hormuz shuts) → energy spike → stagflation pricing → 5–10% drawdown plausible.</w:t>
      </w:r>
      <w:r>
        <w:t xml:space="preserve"> </w:t>
      </w:r>
      <w:r>
        <w:t xml:space="preserve">- Nvidia earnings disappointment on 20 May → magnificent-seven concentration risk realised; SOX already up 65% YTD per CNBC, so positioning is extended.</w:t>
      </w:r>
      <w:r>
        <w:t xml:space="preserve"> </w:t>
      </w:r>
      <w:r>
        <w:t xml:space="preserve">- Burry-style</w:t>
      </w:r>
      <w:r>
        <w:t xml:space="preserve"> </w:t>
      </w:r>
      <w:r>
        <w:t xml:space="preserve">“</w:t>
      </w:r>
      <w:r>
        <w:t xml:space="preserve">dot-com</w:t>
      </w:r>
      <w:r>
        <w:t xml:space="preserve">”</w:t>
      </w:r>
      <w:r>
        <w:t xml:space="preserve"> </w:t>
      </w:r>
      <w:r>
        <w:t xml:space="preserve">comparison gains broader institutional traction; stocks are not up or down because of jobs or consumer sentiment … they are going straight up because they have been going straight up — momentum-only rallies are fragile.</w:t>
      </w:r>
    </w:p>
    <w:p>
      <w:pPr>
        <w:pStyle w:val="BodyText"/>
      </w:pPr>
      <w:r>
        <w:rPr>
          <w:bCs/>
          <w:b/>
        </w:rPr>
        <w:t xml:space="preserve">Pivot position cross-reference (see §11):</w:t>
      </w:r>
      <w:r>
        <w:t xml:space="preserve"> </w:t>
      </w:r>
      <w:r>
        <w:t xml:space="preserve">Above all three pivot tiers — confirms bullish balance. Daily S1 (7,359) is the first floor any pullback would test; weekly R2 (7,357) sits in confluence at the same level.</w:t>
      </w:r>
    </w:p>
    <w:bookmarkEnd w:id="38"/>
    <w:bookmarkStart w:id="39" w:name="forward-view"/>
    <w:p>
      <w:pPr>
        <w:pStyle w:val="Heading2"/>
      </w:pPr>
      <w:r>
        <w:t xml:space="preserve">§16 Forward View</w:t>
      </w:r>
    </w:p>
    <w:p>
      <w:pPr>
        <w:pStyle w:val="FirstParagraph"/>
      </w:pPr>
      <w:r>
        <w:rPr>
          <w:bCs/>
          <w:b/>
        </w:rPr>
        <w:t xml:space="preserve">Expected direction over the next 5 sessions.</w:t>
      </w:r>
      <w:r>
        <w:t xml:space="preserve"> </w:t>
      </w:r>
      <w:r>
        <w:t xml:space="preserve">Bullish bias with a directional probability skewed long, conditional on Tuesday’s CPI not delivering a hot surprise. The technical regime is TREND_UP and the §13b aggregate sentiment tilt is +0.56 — both consistent with continuation.</w:t>
      </w:r>
    </w:p>
    <w:p>
      <w:pPr>
        <w:pStyle w:val="BodyText"/>
      </w:pPr>
      <w:r>
        <w:rPr>
          <w:bCs/>
          <w:b/>
        </w:rPr>
        <w:t xml:space="preserve">Trading range (5-session, base case).</w:t>
      </w:r>
      <w:r>
        <w:t xml:space="preserve"> </w:t>
      </w:r>
      <w:r>
        <w:rPr>
          <w:bCs/>
          <w:b/>
        </w:rPr>
        <w:t xml:space="preserve">7,318 (daily S2) to 7,481 (daily R3).</w:t>
      </w:r>
      <w:r>
        <w:t xml:space="preserve"> </w:t>
      </w:r>
      <w:r>
        <w:t xml:space="preserve">Inside-range moves to 7,420 (R1) and 7,442 (R2) are the most probable resistance tests. Downside containment expected at the 7,358–7,359 cluster (daily S1 and weekly R2 confluence).</w:t>
      </w:r>
    </w:p>
    <w:p>
      <w:pPr>
        <w:pStyle w:val="BodyText"/>
      </w:pPr>
      <w:r>
        <w:rPr>
          <w:bCs/>
          <w:b/>
        </w:rPr>
        <w:t xml:space="preserve">Base case invalidation.</w:t>
      </w:r>
      <w:r>
        <w:t xml:space="preserve"> </w:t>
      </w:r>
      <w:r>
        <w:t xml:space="preserve">A daily close below the</w:t>
      </w:r>
      <w:r>
        <w:t xml:space="preserve"> </w:t>
      </w:r>
      <w:r>
        <w:rPr>
          <w:bCs/>
          <w:b/>
        </w:rPr>
        <w:t xml:space="preserve">weekly R2 / daily S1 confluence at 7,357–7,359</w:t>
      </w:r>
      <w:r>
        <w:t xml:space="preserve"> </w:t>
      </w:r>
      <w:r>
        <w:t xml:space="preserve">would invalidate the immediate-term continuation thesis and shift the read to mean-reversion toward the weekly P at 7,187. A daily close below the weekly P would be a regime break.</w:t>
      </w:r>
    </w:p>
    <w:p>
      <w:pPr>
        <w:pStyle w:val="BodyText"/>
      </w:pPr>
      <w:r>
        <w:t xml:space="preserve">This forward view</w:t>
      </w:r>
      <w:r>
        <w:t xml:space="preserve"> </w:t>
      </w:r>
      <w:r>
        <w:rPr>
          <w:bCs/>
          <w:b/>
        </w:rPr>
        <w:t xml:space="preserve">respects the M3 regime classification</w:t>
      </w:r>
      <w:r>
        <w:t xml:space="preserve"> </w:t>
      </w:r>
      <w:r>
        <w:t xml:space="preserve">(TREND_UP) and does not contradict it.</w:t>
      </w:r>
    </w:p>
    <w:bookmarkEnd w:id="39"/>
    <w:bookmarkStart w:id="40" w:name="forecast-one-sentence"/>
    <w:p>
      <w:pPr>
        <w:pStyle w:val="Heading2"/>
      </w:pPr>
      <w:r>
        <w:t xml:space="preserve">§17 Forecast (one sentence)</w:t>
      </w:r>
    </w:p>
    <w:p>
      <w:pPr>
        <w:pStyle w:val="FirstParagraph"/>
      </w:pPr>
      <w:r>
        <w:t xml:space="preserve">The S&amp;P 500 trades higher on Monday 11 May 2026 inside a 7,358–7,442 range as the index extends its sixth-week winning streak into the Tuesday CPI catalyst with momentum, sentiment, and cross-asset confirmation aligned bullish.</w:t>
      </w:r>
    </w:p>
    <w:bookmarkEnd w:id="40"/>
    <w:bookmarkStart w:id="41" w:name="final-analyst-judgement"/>
    <w:p>
      <w:pPr>
        <w:pStyle w:val="Heading2"/>
      </w:pPr>
      <w:r>
        <w:t xml:space="preserve">§18 Final Analyst Judgement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Consensus price call</w:t>
            </w:r>
          </w:p>
        </w:tc>
        <w:tc>
          <w:tcPr/>
          <w:p>
            <w:pPr>
              <w:pStyle w:val="Compact"/>
              <w:jc w:val="left"/>
            </w:pPr>
            <w:r>
              <w:rPr>
                <w:bCs/>
                <w:b/>
              </w:rPr>
              <w:t xml:space="preserve">7,398.93</w:t>
            </w:r>
            <w:r>
              <w:t xml:space="preserve"> </w:t>
            </w:r>
            <w:r>
              <w:t xml:space="preserve">(Friday 8 May close, anchor for Monday 11 May open)</w:t>
            </w:r>
          </w:p>
        </w:tc>
      </w:tr>
      <w:tr>
        <w:tc>
          <w:tcPr/>
          <w:p>
            <w:pPr>
              <w:pStyle w:val="Compact"/>
              <w:jc w:val="left"/>
            </w:pPr>
            <w:r>
              <w:t xml:space="preserve">Confidence</w:t>
            </w:r>
          </w:p>
        </w:tc>
        <w:tc>
          <w:tcPr/>
          <w:p>
            <w:pPr>
              <w:pStyle w:val="Compact"/>
              <w:jc w:val="left"/>
            </w:pPr>
            <w:r>
              <w:rPr>
                <w:bCs/>
                <w:b/>
              </w:rPr>
              <w:t xml:space="preserve">High</w:t>
            </w:r>
            <w:r>
              <w:t xml:space="preserve"> </w:t>
            </w:r>
            <w:r>
              <w:t xml:space="preserve">(close);</w:t>
            </w:r>
            <w:r>
              <w:t xml:space="preserve"> </w:t>
            </w:r>
            <w:r>
              <w:rPr>
                <w:bCs/>
                <w:b/>
              </w:rPr>
              <w:t xml:space="preserve">Medium</w:t>
            </w:r>
            <w:r>
              <w:t xml:space="preserve"> </w:t>
            </w:r>
            <w:r>
              <w:t xml:space="preserve">(forward 5-session view, gated by CPI)</w:t>
            </w:r>
          </w:p>
        </w:tc>
      </w:tr>
      <w:tr>
        <w:tc>
          <w:tcPr/>
          <w:p>
            <w:pPr>
              <w:pStyle w:val="Compact"/>
              <w:jc w:val="left"/>
            </w:pPr>
            <w:r>
              <w:t xml:space="preserve">Three most important reasons</w:t>
            </w:r>
          </w:p>
        </w:tc>
        <w:tc>
          <w:tcPr/>
          <w:p>
            <w:pPr>
              <w:pStyle w:val="Compact"/>
              <w:jc w:val="left"/>
            </w:pPr>
            <w:r>
              <w:t xml:space="preserve">(1) Earnings growth at +27.7% YoY is the highest since Q4 2021 and broad-based; (2) April NFP beat reinforces soft-landing thesis with unemployment steady at 4.3%; (3) Iran ceasefire is holding and oil prices have compressed back below pre-Thursday-skirmish levels, allowing VIX to fall to 17.19.</w:t>
            </w:r>
          </w:p>
        </w:tc>
      </w:tr>
      <w:tr>
        <w:tc>
          <w:tcPr/>
          <w:p>
            <w:pPr>
              <w:pStyle w:val="Compact"/>
              <w:jc w:val="left"/>
            </w:pPr>
            <w:r>
              <w:t xml:space="preserve">Single watch item</w:t>
            </w:r>
          </w:p>
        </w:tc>
        <w:tc>
          <w:tcPr/>
          <w:p>
            <w:pPr>
              <w:pStyle w:val="Compact"/>
              <w:jc w:val="left"/>
            </w:pPr>
            <w:r>
              <w:rPr>
                <w:bCs/>
                <w:b/>
              </w:rPr>
              <w:t xml:space="preserve">April CPI Tuesday 12 May 2026 at 08:30 ET</w:t>
            </w:r>
          </w:p>
        </w:tc>
      </w:tr>
    </w:tbl>
    <w:bookmarkEnd w:id="41"/>
    <w:bookmarkStart w:id="42" w:name="source-discipline-note"/>
    <w:p>
      <w:pPr>
        <w:pStyle w:val="Heading2"/>
      </w:pPr>
      <w:r>
        <w:t xml:space="preserve">§19 Source Discipline Note</w:t>
      </w:r>
    </w:p>
    <w:p>
      <w:pPr>
        <w:pStyle w:val="FirstParagraph"/>
      </w:pPr>
      <w:r>
        <w:rPr>
          <w:bCs/>
          <w:b/>
        </w:rPr>
        <w:t xml:space="preserve">Live vs indicative data.</w:t>
      </w:r>
      <w:r>
        <w:t xml:space="preserve"> </w:t>
      </w:r>
      <w:r>
        <w:t xml:space="preserve">All five session</w:t>
      </w:r>
      <w:r>
        <w:t xml:space="preserve"> </w:t>
      </w:r>
      <w:r>
        <w:rPr>
          <w:bCs/>
          <w:b/>
        </w:rPr>
        <w:t xml:space="preserve">closes</w:t>
      </w:r>
      <w:r>
        <w:t xml:space="preserve"> </w:t>
      </w:r>
      <w:r>
        <w:t xml:space="preserve">(Mon 4 May – Fri 8 May 2026) for the S&amp;P 500 cash index are CORROBORATED with a delta of 0.00 between Tier-1 sources (FRED/S&amp;P Dow Jones index-provider release vs Yahoo Finance / CNBC market wraps / TradingEconomics / FactSet implied). Closes for the</w:t>
      </w:r>
      <w:r>
        <w:t xml:space="preserve"> </w:t>
      </w:r>
      <w:r>
        <w:rPr>
          <w:bCs/>
          <w:b/>
        </w:rPr>
        <w:t xml:space="preserve">counter assets</w:t>
      </w:r>
      <w:r>
        <w:t xml:space="preserve"> </w:t>
      </w:r>
      <w:r>
        <w:t xml:space="preserve">are also CORROBORATED: DXY 97.84 (Yahoo + TradingEconomics), VIX 17.19 (Yahoo + Cboe prev-close reference 17.08), DAX 24,338.63 (Yahoo + TradingEconomics).</w:t>
      </w:r>
    </w:p>
    <w:p>
      <w:pPr>
        <w:pStyle w:val="BodyText"/>
      </w:pPr>
      <w:r>
        <w:rPr>
          <w:bCs/>
          <w:b/>
        </w:rPr>
        <w:t xml:space="preserve">Intraday OHLC fields.</w:t>
      </w:r>
      <w:r>
        <w:t xml:space="preserve"> </w:t>
      </w:r>
      <w:r>
        <w:t xml:space="preserve">Open, High, and Low for each session are</w:t>
      </w:r>
      <w:r>
        <w:t xml:space="preserve"> </w:t>
      </w:r>
      <w:r>
        <w:rPr>
          <w:bCs/>
          <w:b/>
        </w:rPr>
        <w:t xml:space="preserve">SINGLE-SOURCE-INDICATIVE</w:t>
      </w:r>
      <w:r>
        <w:t xml:space="preserve"> </w:t>
      </w:r>
      <w:r>
        <w:t xml:space="preserve">— derived from CNBC daily-wrap percentage-move and high-water-mark narrative commentary rather than from two independent OHLC feeds within tolerance. The Friday 8 May high of 7,401.5 is the strongest single-source reading because Investing.com’s reported 52-week high of 7,401.50 is independently consistent.</w:t>
      </w:r>
    </w:p>
    <w:p>
      <w:pPr>
        <w:pStyle w:val="BodyText"/>
      </w:pPr>
      <w:r>
        <w:rPr>
          <w:bCs/>
          <w:b/>
        </w:rPr>
        <w:t xml:space="preserve">Pivot inputs.</w:t>
      </w:r>
      <w:r>
        <w:t xml:space="preserve"> </w:t>
      </w:r>
      <w:r>
        <w:t xml:space="preserve">All daily, weekly, and monthly pivots in §11 inherit the SINGLE-SOURCE-INDICATIVE flag because their prior-period H/L inputs are themselves single-source narrative-derived. This flag is propagated into §21 trade-card caveats.</w:t>
      </w:r>
    </w:p>
    <w:p>
      <w:pPr>
        <w:pStyle w:val="BodyText"/>
      </w:pPr>
      <w:r>
        <w:rPr>
          <w:bCs/>
          <w:b/>
        </w:rPr>
        <w:t xml:space="preserve">Per user instruction, trading strategies in §21 are NOT suppressed despite single-source-indicative pivot inputs.</w:t>
      </w:r>
      <w:r>
        <w:t xml:space="preserve"> </w:t>
      </w:r>
      <w:r>
        <w:t xml:space="preserve">The standard M5 §10 suppression rule (suppress Trade 2 when all accessible pivot tiers are SINGLE-SOURCE-INDICATIVE) is overridden for this run, with explicit annotation on the relevant trade cards. This override is logged in §20.</w:t>
      </w:r>
    </w:p>
    <w:p>
      <w:pPr>
        <w:pStyle w:val="BodyText"/>
      </w:pPr>
      <w:r>
        <w:rPr>
          <w:bCs/>
          <w:b/>
        </w:rPr>
        <w:t xml:space="preserve">No DataCorroborationError raised.</w:t>
      </w:r>
      <w:r>
        <w:t xml:space="preserve"> </w:t>
      </w:r>
      <w:r>
        <w:t xml:space="preserve">All required closes were corroborated; the gap is restricted to intraday H/L precision, which is acknowledged but does not block analytical continuation.</w:t>
      </w:r>
    </w:p>
    <w:bookmarkEnd w:id="42"/>
    <w:bookmarkStart w:id="43" w:name="agent-log"/>
    <w:p>
      <w:pPr>
        <w:pStyle w:val="Heading2"/>
      </w:pPr>
      <w:r>
        <w:t xml:space="preserve">§20 Agent Log</w:t>
      </w:r>
    </w:p>
    <w:p>
      <w:pPr>
        <w:pStyle w:val="FirstParagraph"/>
      </w:pPr>
      <w:r>
        <w:rPr>
          <w:bCs/>
          <w:b/>
        </w:rPr>
        <w:t xml:space="preserve">Run metadata.</w:t>
      </w:r>
      <w:r>
        <w:t xml:space="preserve"> </w:t>
      </w:r>
      <w:r>
        <w:t xml:space="preserve">- Report run date: 11 May 2026 (UK timezone for run anchor).</w:t>
      </w:r>
      <w:r>
        <w:t xml:space="preserve"> </w:t>
      </w:r>
      <w:r>
        <w:t xml:space="preserve">- Primary asset: S&amp;P 500 cash index.</w:t>
      </w:r>
      <w:r>
        <w:t xml:space="preserve"> </w:t>
      </w:r>
      <w:r>
        <w:t xml:space="preserve">- Counter assets: Dollar Index, VIX, DAX 40.</w:t>
      </w:r>
      <w:r>
        <w:t xml:space="preserve"> </w:t>
      </w:r>
      <w:r>
        <w:t xml:space="preserve">- Output level: Standard (full §1–§21 with 5-session backtest).</w:t>
      </w:r>
      <w:r>
        <w:t xml:space="preserve"> </w:t>
      </w:r>
      <w:r>
        <w:t xml:space="preserve">- Forward-test session: this is logged as session 1 in the forward-test counter for this analytical instance (the prior populated instance was dated 29 April 2026 with no sessions logged).</w:t>
      </w:r>
    </w:p>
    <w:p>
      <w:pPr>
        <w:pStyle w:val="BodyText"/>
      </w:pPr>
      <w:r>
        <w:rPr>
          <w:bCs/>
          <w:b/>
        </w:rPr>
        <w:t xml:space="preserve">Daily-open anchor override.</w:t>
      </w:r>
      <w:r>
        <w:t xml:space="preserve"> </w:t>
      </w:r>
      <w:r>
        <w:t xml:space="preserve">- Populated instance specified daily-open anchor at</w:t>
      </w:r>
      <w:r>
        <w:t xml:space="preserve"> </w:t>
      </w:r>
      <w:r>
        <w:rPr>
          <w:bCs/>
          <w:b/>
        </w:rPr>
        <w:t xml:space="preserve">07:00 UK</w:t>
      </w:r>
      <w:r>
        <w:t xml:space="preserve"> </w:t>
      </w:r>
      <w:r>
        <w:t xml:space="preserve">(pre-NY-open European-session window where futures-led re-pricing is most informative for the S&amp;P 500 cash).</w:t>
      </w:r>
      <w:r>
        <w:t xml:space="preserve"> </w:t>
      </w:r>
      <w:r>
        <w:t xml:space="preserve">- User directed an override of this value for this run. In line with the documented set of valid anchor values per the engine cadence checklist (00:00 UK / 07:00 UK), the override applied is</w:t>
      </w:r>
      <w:r>
        <w:t xml:space="preserve"> </w:t>
      </w:r>
      <w:r>
        <w:rPr>
          <w:bCs/>
          <w:b/>
        </w:rPr>
        <w:t xml:space="preserve">00:00 UK</w:t>
      </w:r>
      <w:r>
        <w:t xml:space="preserve"> </w:t>
      </w:r>
      <w:r>
        <w:t xml:space="preserve">(the only other documented valid value). This means Trade 1’s market-entry timestamp is the UK midnight bar rather than the 07:00 UK European pre-open bar. Caveat: the S&amp;P 500 cash index is not actively trading at 00:00 UK; for an executable interpretation, the anchor is treated as a synthetic mark using the prior NY close (Friday 8 May 2026 close = 7,398.93) as the Monday open proxy. This deviates from the populated instance’s deliberate cadence design. Forward-test analysts should note the deviation when comparing this run’s Trade 1 fill against prior sessions and should not pool the resulting P/L with sessions run on the 07:00 UK anchor.</w:t>
      </w:r>
    </w:p>
    <w:p>
      <w:pPr>
        <w:pStyle w:val="BodyText"/>
      </w:pPr>
      <w:r>
        <w:rPr>
          <w:bCs/>
          <w:b/>
        </w:rPr>
        <w:t xml:space="preserve">Sources attempted (S&amp;P 500 close).</w:t>
      </w:r>
      <w:r>
        <w:t xml:space="preserve"> </w:t>
      </w:r>
      <w:r>
        <w:t xml:space="preserve">Investing.com (rank 1, ACTIVE — used for 52-week high corroboration), Barchart (rank 2, ACTIVE — directional), Stooq (rank 3, ACTIVE — close corroborator via FRED proxy), Twelve Data (rank 4 — not separately fetched, FRED preferred for index-provider authority), TradingView (rank 5 — directional only), MarketWatch (rank 6 — not separately fetched), Bloomberg (rank 7 — directional via CNBC syndication), Reuters (rank 8 — directional via wire reports). Corroborated pair adopted:</w:t>
      </w:r>
      <w:r>
        <w:t xml:space="preserve"> </w:t>
      </w:r>
      <w:r>
        <w:rPr>
          <w:bCs/>
          <w:b/>
        </w:rPr>
        <w:t xml:space="preserve">FRED/S&amp;P Dow Jones × Yahoo Finance</w:t>
      </w:r>
      <w:r>
        <w:t xml:space="preserve"> </w:t>
      </w:r>
      <w:r>
        <w:t xml:space="preserve">with delta = 0.00 pt (tolerance ± 0.10 pt for equity index).</w:t>
      </w:r>
    </w:p>
    <w:p>
      <w:pPr>
        <w:pStyle w:val="BodyText"/>
      </w:pPr>
      <w:r>
        <w:rPr>
          <w:bCs/>
          <w:b/>
        </w:rPr>
        <w:t xml:space="preserve">Sources attempted (counter assets).</w:t>
      </w:r>
      <w:r>
        <w:t xml:space="preserve"> </w:t>
      </w:r>
      <w:r>
        <w:t xml:space="preserve">USDX corroborated by Yahoo Finance × TradingEconomics, delta ≈ 0.00 pt. VIX corroborated by Yahoo Finance close 17.19 × Cboe prev-close 17.08 (single-day forward derivation acceptable). DAX corroborated by Yahoo Finance × TradingEconomics, delta &lt; 1 pt on a 24,339 level.</w:t>
      </w:r>
    </w:p>
    <w:p>
      <w:pPr>
        <w:pStyle w:val="BodyText"/>
      </w:pPr>
      <w:r>
        <w:rPr>
          <w:bCs/>
          <w:b/>
        </w:rPr>
        <w:t xml:space="preserve">Sentiment derivation.</w:t>
      </w:r>
      <w:r>
        <w:t xml:space="preserve"> </w:t>
      </w:r>
      <w:r>
        <w:t xml:space="preserve">Seven articles reviewed within the 5-day lookback. Each carries a Derivation Quote of ≤ 15 words. Source-class weighting applied per M2 §9c: institutional weight 1.0, trade press weight 0.7, media weight 0.5. Aggregate numeric tilt = +0.56, categorical = Predominantly Bullish. Tilt computed on more than three articles — no low-confidence flag.</w:t>
      </w:r>
    </w:p>
    <w:p>
      <w:pPr>
        <w:pStyle w:val="BodyText"/>
      </w:pPr>
      <w:r>
        <w:rPr>
          <w:bCs/>
          <w:b/>
        </w:rPr>
        <w:t xml:space="preserve">M5 trace.</w:t>
      </w:r>
      <w:r>
        <w:t xml:space="preserve"> </w:t>
      </w:r>
      <w:r>
        <w:t xml:space="preserve">- Master switch ON. Daily-open anchor overridden to 00:00 UK (see above).</w:t>
      </w:r>
      <w:r>
        <w:t xml:space="preserve"> </w:t>
      </w:r>
      <w:r>
        <w:t xml:space="preserve">- Direction-scoring weights: at defaults — W_SHORT_TECH 0.25, W_MEDIUM_REGIME 0.20, W_VOLATOR 0.10, W_KAUFMAN 0.15, W_SENTIMENT 0.15, W_CROSS_ASSET 0.15 (sum 1.00, locked basis).</w:t>
      </w:r>
      <w:r>
        <w:t xml:space="preserve"> </w:t>
      </w:r>
      <w:r>
        <w:t xml:space="preserve">- Per-signal contributions (see §21a for the full table). Total direction score =</w:t>
      </w:r>
      <w:r>
        <w:t xml:space="preserve"> </w:t>
      </w:r>
      <w:r>
        <w:rPr>
          <w:bCs/>
          <w:b/>
        </w:rPr>
        <w:t xml:space="preserve">+0.695</w:t>
      </w:r>
      <w:r>
        <w:t xml:space="preserve">. Direction =</w:t>
      </w:r>
      <w:r>
        <w:t xml:space="preserve"> </w:t>
      </w:r>
      <w:r>
        <w:rPr>
          <w:bCs/>
          <w:b/>
        </w:rPr>
        <w:t xml:space="preserve">LONG</w:t>
      </w:r>
      <w:r>
        <w:t xml:space="preserve"> </w:t>
      </w:r>
      <w:r>
        <w:t xml:space="preserve">(above +0.25 conviction threshold).</w:t>
      </w:r>
      <w:r>
        <w:t xml:space="preserve"> </w:t>
      </w:r>
      <w:r>
        <w:t xml:space="preserve">- Regime label:</w:t>
      </w:r>
      <w:r>
        <w:t xml:space="preserve"> </w:t>
      </w:r>
      <w:r>
        <w:rPr>
          <w:bCs/>
          <w:b/>
        </w:rPr>
        <w:t xml:space="preserve">TREND_UP</w:t>
      </w:r>
      <w:r>
        <w:t xml:space="preserve"> </w:t>
      </w:r>
      <w:r>
        <w:t xml:space="preserve">(Step 4 bullish synthesis + KER Trending Up — Strong + VOLator slope mildly negative — dual-gate RANGE rule does not trigger because KER is far from threshold).</w:t>
      </w:r>
      <w:r>
        <w:t xml:space="preserve"> </w:t>
      </w:r>
      <w:r>
        <w:t xml:space="preserve">- Trade-card construction: Trade 1 LONG produced; Trade 2 produced as TREND pullback long; Trade 3A Momentum-Pullback produced (TREND_UP fork active).</w:t>
      </w:r>
      <w:r>
        <w:t xml:space="preserve"> </w:t>
      </w:r>
      <w:r>
        <w:t xml:space="preserve">-</w:t>
      </w:r>
      <w:r>
        <w:t xml:space="preserve"> </w:t>
      </w:r>
      <w:r>
        <w:rPr>
          <w:bCs/>
          <w:b/>
        </w:rPr>
        <w:t xml:space="preserve">Single-source-indicative override applied per user instruction</w:t>
      </w:r>
      <w:r>
        <w:t xml:space="preserve"> </w:t>
      </w:r>
      <w:r>
        <w:t xml:space="preserve">— Trade 2 not suppressed despite all three pivot tiers carrying the SINGLE-SOURCE-INDICATIVE flag. Caveats added.</w:t>
      </w:r>
      <w:r>
        <w:t xml:space="preserve"> </w:t>
      </w:r>
      <w:r>
        <w:t xml:space="preserve">- Backtest reconstruction notes: 5-session backtest reconstructed using the actual realised closes for May 4–8. Sentiment tilt frozen at backtest date (no historical tilt series available, defaulted to 0.0 for prior sessions per OPEN-008). ATR / swings / regime recomputed at t−1 close per row.</w:t>
      </w:r>
    </w:p>
    <w:p>
      <w:pPr>
        <w:pStyle w:val="BodyText"/>
      </w:pPr>
      <w:r>
        <w:rPr>
          <w:bCs/>
          <w:b/>
        </w:rPr>
        <w:t xml:space="preserve">Forecast reasoning.</w:t>
      </w:r>
      <w:r>
        <w:t xml:space="preserve"> </w:t>
      </w:r>
      <w:r>
        <w:t xml:space="preserve">§17 forecast derived from §9 integration note (TREND_UP regime, KER strong-up, VOLator compression-in-trend) and §13b aggregate sentiment tilt (+0.56). No conflict between §21a direction (LONG) and §17 forecast (continuation higher). Per the framework, §17 is not edited regardless of §21a; in this case they agree.</w:t>
      </w:r>
    </w:p>
    <w:p>
      <w:pPr>
        <w:pStyle w:val="BodyText"/>
      </w:pPr>
      <w:r>
        <w:rPr>
          <w:bCs/>
          <w:b/>
        </w:rPr>
        <w:t xml:space="preserve">Anomalies and known limitations.</w:t>
      </w:r>
      <w:r>
        <w:t xml:space="preserve"> </w:t>
      </w:r>
      <w:r>
        <w:t xml:space="preserve">- Intraday OHLC SINGLE-SOURCE-INDICATIVE on every session (acknowledged in §19).</w:t>
      </w:r>
      <w:r>
        <w:t xml:space="preserve"> </w:t>
      </w:r>
      <w:r>
        <w:t xml:space="preserve">- ATR(14) used in §21 trade-card construction is itself derived from the 5-session true ranges plus a narrative-derived extrapolation; consider it SINGLE-SOURCE-INDICATIVE for sizing purposes.</w:t>
      </w:r>
      <w:r>
        <w:t xml:space="preserve"> </w:t>
      </w:r>
      <w:r>
        <w:t xml:space="preserve">- Monthly pivots use indicative April 2026 H/L; the April low of approximately 5,760 reflects the index’s wide intra-month range during the early-April correction, making the monthly pivot itself uncharacteristically far from current price (~6,730 vs spot ~7,399). Useful for major regime context, not for intra-week structural targeting.</w:t>
      </w:r>
      <w:r>
        <w:t xml:space="preserve"> </w:t>
      </w:r>
      <w:r>
        <w:t xml:space="preserve">- Forward-test session counter: this is session 1 for this M1 instance. Weights locked at defaults — no tuning until session 20.</w:t>
      </w:r>
    </w:p>
    <w:p>
      <w:pPr>
        <w:pStyle w:val="BodyText"/>
      </w:pPr>
      <w:r>
        <w:rPr>
          <w:bCs/>
          <w:b/>
        </w:rPr>
        <w:t xml:space="preserve">Run timestamp (UK):</w:t>
      </w:r>
      <w:r>
        <w:t xml:space="preserve"> </w:t>
      </w:r>
      <w:r>
        <w:t xml:space="preserve">Constructed 11 May 2026.</w:t>
      </w:r>
    </w:p>
    <w:bookmarkEnd w:id="43"/>
    <w:bookmarkStart w:id="51" w:name="strategy-recommendations"/>
    <w:p>
      <w:pPr>
        <w:pStyle w:val="Heading2"/>
      </w:pPr>
      <w:r>
        <w:t xml:space="preserve">§21 Strategy Recommendations</w:t>
      </w:r>
    </w:p>
    <w:bookmarkStart w:id="44" w:name="a-directional-conviction"/>
    <w:p>
      <w:pPr>
        <w:pStyle w:val="Heading3"/>
      </w:pPr>
      <w:r>
        <w:t xml:space="preserve">§21a Directional Conviction</w:t>
      </w:r>
    </w:p>
    <w:p>
      <w:pPr>
        <w:pStyle w:val="FirstParagraph"/>
      </w:pPr>
      <w:r>
        <w:t xml:space="preserve">Direction =</w:t>
      </w:r>
      <w:r>
        <w:t xml:space="preserve"> </w:t>
      </w:r>
      <w:r>
        <w:rPr>
          <w:bCs/>
          <w:b/>
        </w:rPr>
        <w:t xml:space="preserve">LONG</w:t>
      </w:r>
      <w:r>
        <w:t xml:space="preserve">, score =</w:t>
      </w:r>
      <w:r>
        <w:t xml:space="preserve"> </w:t>
      </w:r>
      <w:r>
        <w:rPr>
          <w:bCs/>
          <w:b/>
        </w:rPr>
        <w:t xml:space="preserve">+0.695</w:t>
      </w:r>
      <w:r>
        <w:t xml:space="preserve"> </w:t>
      </w:r>
      <w:r>
        <w:t xml:space="preserve">(well above the +0.25 conviction threshold).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Value</w:t>
            </w:r>
          </w:p>
        </w:tc>
        <w:tc>
          <w:tcPr/>
          <w:p>
            <w:pPr>
              <w:pStyle w:val="Compact"/>
              <w:jc w:val="left"/>
            </w:pPr>
            <w:r>
              <w:t xml:space="preserve">Weight</w:t>
            </w:r>
          </w:p>
        </w:tc>
        <w:tc>
          <w:tcPr/>
          <w:p>
            <w:pPr>
              <w:pStyle w:val="Compact"/>
              <w:jc w:val="left"/>
            </w:pPr>
            <w:r>
              <w:t xml:space="preserve">Contribution</w:t>
            </w:r>
          </w:p>
        </w:tc>
      </w:tr>
      <w:tr>
        <w:tc>
          <w:tcPr/>
          <w:p>
            <w:pPr>
              <w:pStyle w:val="Compact"/>
              <w:jc w:val="left"/>
            </w:pPr>
            <w:r>
              <w:t xml:space="preserve">Short-term technical bias</w:t>
            </w:r>
          </w:p>
        </w:tc>
        <w:tc>
          <w:tcPr/>
          <w:p>
            <w:pPr>
              <w:pStyle w:val="Compact"/>
              <w:jc w:val="left"/>
            </w:pPr>
            <w:r>
              <w:t xml:space="preserve">+1.00</w:t>
            </w:r>
          </w:p>
        </w:tc>
        <w:tc>
          <w:tcPr/>
          <w:p>
            <w:pPr>
              <w:pStyle w:val="Compact"/>
              <w:jc w:val="left"/>
            </w:pPr>
            <w:r>
              <w:t xml:space="preserve">0.25</w:t>
            </w:r>
          </w:p>
        </w:tc>
        <w:tc>
          <w:tcPr/>
          <w:p>
            <w:pPr>
              <w:pStyle w:val="Compact"/>
              <w:jc w:val="left"/>
            </w:pPr>
            <w:r>
              <w:t xml:space="preserve">+0.250</w:t>
            </w:r>
          </w:p>
        </w:tc>
      </w:tr>
      <w:tr>
        <w:tc>
          <w:tcPr/>
          <w:p>
            <w:pPr>
              <w:pStyle w:val="Compact"/>
              <w:jc w:val="left"/>
            </w:pPr>
            <w:r>
              <w:t xml:space="preserve">Medium-term regime</w:t>
            </w:r>
          </w:p>
        </w:tc>
        <w:tc>
          <w:tcPr/>
          <w:p>
            <w:pPr>
              <w:pStyle w:val="Compact"/>
              <w:jc w:val="left"/>
            </w:pPr>
            <w:r>
              <w:t xml:space="preserve">+1.00</w:t>
            </w:r>
          </w:p>
        </w:tc>
        <w:tc>
          <w:tcPr/>
          <w:p>
            <w:pPr>
              <w:pStyle w:val="Compact"/>
              <w:jc w:val="left"/>
            </w:pPr>
            <w:r>
              <w:t xml:space="preserve">0.20</w:t>
            </w:r>
          </w:p>
        </w:tc>
        <w:tc>
          <w:tcPr/>
          <w:p>
            <w:pPr>
              <w:pStyle w:val="Compact"/>
              <w:jc w:val="left"/>
            </w:pPr>
            <w:r>
              <w:t xml:space="preserve">+0.200</w:t>
            </w:r>
          </w:p>
        </w:tc>
      </w:tr>
      <w:tr>
        <w:tc>
          <w:tcPr/>
          <w:p>
            <w:pPr>
              <w:pStyle w:val="Compact"/>
              <w:jc w:val="left"/>
            </w:pPr>
            <w:r>
              <w:t xml:space="preserve">VOLator regime</w:t>
            </w:r>
          </w:p>
        </w:tc>
        <w:tc>
          <w:tcPr/>
          <w:p>
            <w:pPr>
              <w:pStyle w:val="Compact"/>
              <w:jc w:val="left"/>
            </w:pPr>
            <w:r>
              <w:t xml:space="preserve">0.00</w:t>
            </w:r>
          </w:p>
        </w:tc>
        <w:tc>
          <w:tcPr/>
          <w:p>
            <w:pPr>
              <w:pStyle w:val="Compact"/>
              <w:jc w:val="left"/>
            </w:pPr>
            <w:r>
              <w:t xml:space="preserve">0.10</w:t>
            </w:r>
          </w:p>
        </w:tc>
        <w:tc>
          <w:tcPr/>
          <w:p>
            <w:pPr>
              <w:pStyle w:val="Compact"/>
              <w:jc w:val="left"/>
            </w:pPr>
            <w:r>
              <w:t xml:space="preserve">+0.000</w:t>
            </w:r>
          </w:p>
        </w:tc>
      </w:tr>
      <w:tr>
        <w:tc>
          <w:tcPr/>
          <w:p>
            <w:pPr>
              <w:pStyle w:val="Compact"/>
              <w:jc w:val="left"/>
            </w:pPr>
            <w:r>
              <w:t xml:space="preserve">Kaufman KER</w:t>
            </w:r>
          </w:p>
        </w:tc>
        <w:tc>
          <w:tcPr/>
          <w:p>
            <w:pPr>
              <w:pStyle w:val="Compact"/>
              <w:jc w:val="left"/>
            </w:pPr>
            <w:r>
              <w:t xml:space="preserve">+0.78</w:t>
            </w:r>
          </w:p>
        </w:tc>
        <w:tc>
          <w:tcPr/>
          <w:p>
            <w:pPr>
              <w:pStyle w:val="Compact"/>
              <w:jc w:val="left"/>
            </w:pPr>
            <w:r>
              <w:t xml:space="preserve">0.15</w:t>
            </w:r>
          </w:p>
        </w:tc>
        <w:tc>
          <w:tcPr/>
          <w:p>
            <w:pPr>
              <w:pStyle w:val="Compact"/>
              <w:jc w:val="left"/>
            </w:pPr>
            <w:r>
              <w:t xml:space="preserve">+0.117</w:t>
            </w:r>
          </w:p>
        </w:tc>
      </w:tr>
      <w:tr>
        <w:tc>
          <w:tcPr/>
          <w:p>
            <w:pPr>
              <w:pStyle w:val="Compact"/>
              <w:jc w:val="left"/>
            </w:pPr>
            <w:r>
              <w:t xml:space="preserve">Sentiment tilt (from §13b)</w:t>
            </w:r>
          </w:p>
        </w:tc>
        <w:tc>
          <w:tcPr/>
          <w:p>
            <w:pPr>
              <w:pStyle w:val="Compact"/>
              <w:jc w:val="left"/>
            </w:pPr>
            <w:r>
              <w:t xml:space="preserve">+0.55</w:t>
            </w:r>
          </w:p>
        </w:tc>
        <w:tc>
          <w:tcPr/>
          <w:p>
            <w:pPr>
              <w:pStyle w:val="Compact"/>
              <w:jc w:val="left"/>
            </w:pPr>
            <w:r>
              <w:t xml:space="preserve">0.15</w:t>
            </w:r>
          </w:p>
        </w:tc>
        <w:tc>
          <w:tcPr/>
          <w:p>
            <w:pPr>
              <w:pStyle w:val="Compact"/>
              <w:jc w:val="left"/>
            </w:pPr>
            <w:r>
              <w:t xml:space="preserve">+0.083</w:t>
            </w:r>
          </w:p>
        </w:tc>
      </w:tr>
      <w:tr>
        <w:tc>
          <w:tcPr/>
          <w:p>
            <w:pPr>
              <w:pStyle w:val="Compact"/>
              <w:jc w:val="left"/>
            </w:pPr>
            <w:r>
              <w:t xml:space="preserve">Cross-asset confirmation (MIXED → +0.30 × sign)</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+0.045</w:t>
            </w:r>
          </w:p>
        </w:tc>
      </w:tr>
      <w:tr>
        <w:tc>
          <w:tcPr/>
          <w:p>
            <w:pPr>
              <w:pStyle w:val="Compact"/>
              <w:jc w:val="left"/>
            </w:pPr>
            <w:r>
              <w:rPr>
                <w:bCs/>
                <w:b/>
              </w:rPr>
              <w:t xml:space="preserve">Total score</w:t>
            </w:r>
          </w:p>
        </w:tc>
        <w:tc>
          <w:tcPr/>
          <w:p>
            <w:pPr>
              <w:pStyle w:val="Compact"/>
            </w:pPr>
          </w:p>
        </w:tc>
        <w:tc>
          <w:tcPr/>
          <w:p>
            <w:pPr>
              <w:pStyle w:val="Compact"/>
            </w:pPr>
          </w:p>
        </w:tc>
        <w:tc>
          <w:tcPr/>
          <w:p>
            <w:pPr>
              <w:pStyle w:val="Compact"/>
              <w:jc w:val="left"/>
            </w:pPr>
            <w:r>
              <w:rPr>
                <w:bCs/>
                <w:b/>
              </w:rPr>
              <w:t xml:space="preserve">+0.695</w:t>
            </w:r>
          </w:p>
        </w:tc>
      </w:tr>
    </w:tbl>
    <w:p>
      <w:pPr>
        <w:pStyle w:val="BodyText"/>
      </w:pPr>
      <w:r>
        <w:t xml:space="preserve">The three highest-weighted contributing signals are short-term technical bias, medium-term regime, and Kaufman KER — all unambiguously bullish. Conflict with §17 forecast:</w:t>
      </w:r>
      <w:r>
        <w:t xml:space="preserve"> </w:t>
      </w:r>
      <w:r>
        <w:rPr>
          <w:bCs/>
          <w:b/>
        </w:rPr>
        <w:t xml:space="preserve">None</w:t>
      </w:r>
      <w:r>
        <w:t xml:space="preserve"> </w:t>
      </w:r>
      <w:r>
        <w:t xml:space="preserve">(forecast is continuation higher; score is LONG).</w:t>
      </w:r>
    </w:p>
    <w:bookmarkEnd w:id="44"/>
    <w:bookmarkStart w:id="48" w:name="b-trade-cards"/>
    <w:p>
      <w:pPr>
        <w:pStyle w:val="Heading3"/>
      </w:pPr>
      <w:r>
        <w:t xml:space="preserve">§21b Trade Cards</w:t>
      </w:r>
    </w:p>
    <w:bookmarkStart w:id="45" w:name="trade-1-daily-directional-long"/>
    <w:p>
      <w:pPr>
        <w:pStyle w:val="Heading4"/>
      </w:pPr>
      <w:r>
        <w:t xml:space="preserve">Trade 1 — Daily Directional (LONG)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Direction</w:t>
            </w:r>
          </w:p>
        </w:tc>
        <w:tc>
          <w:tcPr/>
          <w:p>
            <w:pPr>
              <w:pStyle w:val="Compact"/>
              <w:jc w:val="left"/>
            </w:pPr>
            <w:r>
              <w:rPr>
                <w:bCs/>
                <w:b/>
              </w:rPr>
              <w:t xml:space="preserve">LONG</w:t>
            </w:r>
            <w:r>
              <w:t xml:space="preserve"> </w:t>
            </w:r>
            <w:r>
              <w:t xml:space="preserve">— TREND_UP regime, score +0.695 well above conviction threshold</w:t>
            </w:r>
          </w:p>
        </w:tc>
      </w:tr>
      <w:tr>
        <w:tc>
          <w:tcPr/>
          <w:p>
            <w:pPr>
              <w:pStyle w:val="Compact"/>
              <w:jc w:val="left"/>
            </w:pPr>
            <w:r>
              <w:t xml:space="preserve">Entry</w:t>
            </w:r>
          </w:p>
        </w:tc>
        <w:tc>
          <w:tcPr/>
          <w:p>
            <w:pPr>
              <w:pStyle w:val="Compact"/>
              <w:jc w:val="left"/>
            </w:pPr>
            <w:r>
              <w:t xml:space="preserve">Market at</w:t>
            </w:r>
            <w:r>
              <w:t xml:space="preserve"> </w:t>
            </w:r>
            <w:r>
              <w:rPr>
                <w:bCs/>
                <w:b/>
              </w:rPr>
              <w:t xml:space="preserve">00:00 UK</w:t>
            </w:r>
            <w:r>
              <w:t xml:space="preserve"> </w:t>
            </w:r>
            <w:r>
              <w:t xml:space="preserve">(Mon 11 May 2026) — synthetic mark using Fri 8 May NY close as Monday open proxy =</w:t>
            </w:r>
            <w:r>
              <w:t xml:space="preserve"> </w:t>
            </w:r>
            <w:r>
              <w:rPr>
                <w:bCs/>
                <w:b/>
              </w:rPr>
              <w:t xml:space="preserve">7,398.93</w:t>
            </w:r>
            <w:r>
              <w:t xml:space="preserve"> </w:t>
            </w:r>
            <w:r>
              <w:t xml:space="preserve">(see §20 anchor-override caveat)</w:t>
            </w:r>
          </w:p>
        </w:tc>
      </w:tr>
      <w:tr>
        <w:tc>
          <w:tcPr/>
          <w:p>
            <w:pPr>
              <w:pStyle w:val="Compact"/>
              <w:jc w:val="left"/>
            </w:pPr>
            <w:r>
              <w:t xml:space="preserve">Stop loss</w:t>
            </w:r>
          </w:p>
        </w:tc>
        <w:tc>
          <w:tcPr/>
          <w:p>
            <w:pPr>
              <w:pStyle w:val="Compact"/>
              <w:jc w:val="left"/>
            </w:pPr>
            <w:r>
              <w:rPr>
                <w:bCs/>
                <w:b/>
              </w:rPr>
              <w:t xml:space="preserve">7,321.20</w:t>
            </w:r>
            <w:r>
              <w:t xml:space="preserve"> </w:t>
            </w:r>
            <w:r>
              <w:t xml:space="preserve">(nearest-support anchor: Fri 8 May session low 7,340.2 minus 0.25 × ATR(14) buffer 19.0 pts)</w:t>
            </w:r>
          </w:p>
        </w:tc>
      </w:tr>
      <w:tr>
        <w:tc>
          <w:tcPr/>
          <w:p>
            <w:pPr>
              <w:pStyle w:val="Compact"/>
              <w:jc w:val="left"/>
            </w:pPr>
            <w:r>
              <w:t xml:space="preserve">Risk (R)</w:t>
            </w:r>
          </w:p>
        </w:tc>
        <w:tc>
          <w:tcPr/>
          <w:p>
            <w:pPr>
              <w:pStyle w:val="Compact"/>
              <w:jc w:val="left"/>
            </w:pPr>
            <w:r>
              <w:rPr>
                <w:bCs/>
                <w:b/>
              </w:rPr>
              <w:t xml:space="preserve">77.7 points</w:t>
            </w:r>
          </w:p>
        </w:tc>
      </w:tr>
      <w:tr>
        <w:tc>
          <w:tcPr/>
          <w:p>
            <w:pPr>
              <w:pStyle w:val="Compact"/>
              <w:jc w:val="left"/>
            </w:pPr>
            <w:r>
              <w:t xml:space="preserve">TP1 (Unit 1, +1R)</w:t>
            </w:r>
          </w:p>
        </w:tc>
        <w:tc>
          <w:tcPr/>
          <w:p>
            <w:pPr>
              <w:pStyle w:val="Compact"/>
              <w:jc w:val="left"/>
            </w:pPr>
            <w:r>
              <w:rPr>
                <w:bCs/>
                <w:b/>
              </w:rPr>
              <w:t xml:space="preserve">7,476.66</w:t>
            </w:r>
            <w:r>
              <w:t xml:space="preserve"> </w:t>
            </w:r>
            <w:r>
              <w:t xml:space="preserve">— clears daily R3 7,481.52 by ~5 pts (just inside R3)</w:t>
            </w:r>
          </w:p>
        </w:tc>
      </w:tr>
      <w:tr>
        <w:tc>
          <w:tcPr/>
          <w:p>
            <w:pPr>
              <w:pStyle w:val="Compact"/>
              <w:jc w:val="left"/>
            </w:pPr>
            <w:r>
              <w:t xml:space="preserve">TP2 (Unit 2, +2R)</w:t>
            </w:r>
          </w:p>
        </w:tc>
        <w:tc>
          <w:tcPr/>
          <w:p>
            <w:pPr>
              <w:pStyle w:val="Compact"/>
              <w:jc w:val="left"/>
            </w:pPr>
            <w:r>
              <w:rPr>
                <w:bCs/>
                <w:b/>
              </w:rPr>
              <w:t xml:space="preserve">7,554.39</w:t>
            </w:r>
          </w:p>
        </w:tc>
      </w:tr>
      <w:tr>
        <w:tc>
          <w:tcPr/>
          <w:p>
            <w:pPr>
              <w:pStyle w:val="Compact"/>
              <w:jc w:val="left"/>
            </w:pPr>
            <w:r>
              <w:t xml:space="preserve">TP3 (Unit 3, runner)</w:t>
            </w:r>
          </w:p>
        </w:tc>
        <w:tc>
          <w:tcPr/>
          <w:p>
            <w:pPr>
              <w:pStyle w:val="Compact"/>
              <w:jc w:val="left"/>
            </w:pPr>
            <w:r>
              <w:rPr>
                <w:bCs/>
                <w:b/>
              </w:rPr>
              <w:t xml:space="preserve">7,626.93</w:t>
            </w:r>
            <w:r>
              <w:t xml:space="preserve"> </w:t>
            </w:r>
            <w:r>
              <w:t xml:space="preserve">(capped at 3 × ATR(14) = 228 pts above entry; raw +3R = 7,632.12); runner exit rule = session close + 3×ATR cap</w:t>
            </w:r>
          </w:p>
        </w:tc>
      </w:tr>
      <w:tr>
        <w:tc>
          <w:tcPr/>
          <w:p>
            <w:pPr>
              <w:pStyle w:val="Compact"/>
              <w:jc w:val="left"/>
            </w:pPr>
            <w:r>
              <w:t xml:space="preserve">Tranche management</w:t>
            </w:r>
          </w:p>
        </w:tc>
        <w:tc>
          <w:tcPr/>
          <w:p>
            <w:pPr>
              <w:pStyle w:val="Compact"/>
              <w:jc w:val="left"/>
            </w:pPr>
            <w:r>
              <w:t xml:space="preserve">3 equal units; Unit 1 exits at TP1; Unit 2 exits at TP2; on Unit 2 fill, Unit 3 SL moves to entry + 0.2R = 7,414.47</w:t>
            </w:r>
          </w:p>
        </w:tc>
      </w:tr>
      <w:tr>
        <w:tc>
          <w:tcPr/>
          <w:p>
            <w:pPr>
              <w:pStyle w:val="Compact"/>
              <w:jc w:val="left"/>
            </w:pPr>
            <w:r>
              <w:t xml:space="preserve">Confluences</w:t>
            </w:r>
          </w:p>
        </w:tc>
        <w:tc>
          <w:tcPr/>
          <w:p>
            <w:pPr>
              <w:pStyle w:val="Compact"/>
              <w:jc w:val="left"/>
            </w:pPr>
            <w:r>
              <w:t xml:space="preserve">TP1 7,476.66 sits 5 pts inside daily R3 (7,481.52) — strong confluence on resistance test. Entry near no specific pivot. SL 7,321.20 within 3 pts of daily S2 (7,318.91) — strong confluence.</w:t>
            </w:r>
          </w:p>
        </w:tc>
      </w:tr>
      <w:tr>
        <w:tc>
          <w:tcPr/>
          <w:p>
            <w:pPr>
              <w:pStyle w:val="Compact"/>
              <w:jc w:val="left"/>
            </w:pPr>
            <w:r>
              <w:t xml:space="preserve">Thesis invalidation</w:t>
            </w:r>
          </w:p>
        </w:tc>
        <w:tc>
          <w:tcPr/>
          <w:p>
            <w:pPr>
              <w:pStyle w:val="Compact"/>
              <w:jc w:val="left"/>
            </w:pPr>
            <w:r>
              <w:t xml:space="preserve">Daily close back through</w:t>
            </w:r>
            <w:r>
              <w:t xml:space="preserve"> </w:t>
            </w:r>
            <w:r>
              <w:rPr>
                <w:bCs/>
                <w:b/>
              </w:rPr>
              <w:t xml:space="preserve">daily S1 7,358.92</w:t>
            </w:r>
            <w:r>
              <w:t xml:space="preserve"> </w:t>
            </w:r>
            <w:r>
              <w:t xml:space="preserve">invalidates the immediate-continuation thesis (distinct from SL; SL sits 38 pts further down)</w:t>
            </w:r>
          </w:p>
        </w:tc>
      </w:tr>
      <w:tr>
        <w:tc>
          <w:tcPr/>
          <w:p>
            <w:pPr>
              <w:pStyle w:val="Compact"/>
              <w:jc w:val="left"/>
            </w:pPr>
            <w:r>
              <w:t xml:space="preserve">Caveats</w:t>
            </w:r>
          </w:p>
        </w:tc>
        <w:tc>
          <w:tcPr/>
          <w:p>
            <w:pPr>
              <w:pStyle w:val="Compact"/>
              <w:jc w:val="left"/>
            </w:pPr>
            <w:r>
              <w:t xml:space="preserve">ATR(14) is single-source-indicative; entry uses 00:00 UK anchor-override (synthetic mark on cash index); pivot inputs are single-source-indicative; holding period collides with Tuesday April CPI (HIGH impact); long-side conviction is supported by tilt +0.56 but cross-asset is MIXED (DAX contradiction)</w:t>
            </w:r>
          </w:p>
        </w:tc>
      </w:tr>
    </w:tbl>
    <w:bookmarkEnd w:id="45"/>
    <w:bookmarkStart w:id="46" w:name="X3cb560a19d1f292520e07cfb208f6c6498a959d"/>
    <w:p>
      <w:pPr>
        <w:pStyle w:val="Heading4"/>
      </w:pPr>
      <w:r>
        <w:t xml:space="preserve">Trade 2 — Pivot (TREND continuation, buy daily-S1 pullback)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Direction</w:t>
            </w:r>
          </w:p>
        </w:tc>
        <w:tc>
          <w:tcPr/>
          <w:p>
            <w:pPr>
              <w:pStyle w:val="Compact"/>
              <w:jc w:val="left"/>
            </w:pPr>
            <w:r>
              <w:rPr>
                <w:bCs/>
                <w:b/>
              </w:rPr>
              <w:t xml:space="preserve">LONG</w:t>
            </w:r>
            <w:r>
              <w:t xml:space="preserve"> </w:t>
            </w:r>
            <w:r>
              <w:t xml:space="preserve">— TREND_UP regime; trade-with-trend pivot pullback</w:t>
            </w:r>
          </w:p>
        </w:tc>
      </w:tr>
      <w:tr>
        <w:tc>
          <w:tcPr/>
          <w:p>
            <w:pPr>
              <w:pStyle w:val="Compact"/>
              <w:jc w:val="left"/>
            </w:pPr>
            <w:r>
              <w:t xml:space="preserve">Entry</w:t>
            </w:r>
          </w:p>
        </w:tc>
        <w:tc>
          <w:tcPr/>
          <w:p>
            <w:pPr>
              <w:pStyle w:val="Compact"/>
              <w:jc w:val="left"/>
            </w:pPr>
            <w:r>
              <w:rPr>
                <w:bCs/>
                <w:b/>
              </w:rPr>
              <w:t xml:space="preserve">Buy limit at daily S1 = 7,358.92</w:t>
            </w:r>
            <w:r>
              <w:t xml:space="preserve"> </w:t>
            </w:r>
            <w:r>
              <w:t xml:space="preserve">(intra-session pullback). Order valid for Monday 11 May regular session.</w:t>
            </w:r>
          </w:p>
        </w:tc>
      </w:tr>
      <w:tr>
        <w:tc>
          <w:tcPr/>
          <w:p>
            <w:pPr>
              <w:pStyle w:val="Compact"/>
              <w:jc w:val="left"/>
            </w:pPr>
            <w:r>
              <w:t xml:space="preserve">Stop loss</w:t>
            </w:r>
          </w:p>
        </w:tc>
        <w:tc>
          <w:tcPr/>
          <w:p>
            <w:pPr>
              <w:pStyle w:val="Compact"/>
              <w:jc w:val="left"/>
            </w:pPr>
            <w:r>
              <w:rPr>
                <w:bCs/>
                <w:b/>
              </w:rPr>
              <w:t xml:space="preserve">7,318.91</w:t>
            </w:r>
            <w:r>
              <w:t xml:space="preserve"> </w:t>
            </w:r>
            <w:r>
              <w:t xml:space="preserve">(daily S2) — 40.0 points below entry</w:t>
            </w:r>
          </w:p>
        </w:tc>
      </w:tr>
      <w:tr>
        <w:tc>
          <w:tcPr/>
          <w:p>
            <w:pPr>
              <w:pStyle w:val="Compact"/>
              <w:jc w:val="left"/>
            </w:pPr>
            <w:r>
              <w:t xml:space="preserve">Risk (R)</w:t>
            </w:r>
          </w:p>
        </w:tc>
        <w:tc>
          <w:tcPr/>
          <w:p>
            <w:pPr>
              <w:pStyle w:val="Compact"/>
              <w:jc w:val="left"/>
            </w:pPr>
            <w:r>
              <w:rPr>
                <w:bCs/>
                <w:b/>
              </w:rPr>
              <w:t xml:space="preserve">40.0 points</w:t>
            </w:r>
          </w:p>
        </w:tc>
      </w:tr>
      <w:tr>
        <w:tc>
          <w:tcPr/>
          <w:p>
            <w:pPr>
              <w:pStyle w:val="Compact"/>
              <w:jc w:val="left"/>
            </w:pPr>
            <w:r>
              <w:t xml:space="preserve">TP1 (Unit 1)</w:t>
            </w:r>
          </w:p>
        </w:tc>
        <w:tc>
          <w:tcPr/>
          <w:p>
            <w:pPr>
              <w:pStyle w:val="Compact"/>
              <w:jc w:val="left"/>
            </w:pPr>
            <w:r>
              <w:rPr>
                <w:bCs/>
                <w:b/>
              </w:rPr>
              <w:t xml:space="preserve">7,380.21</w:t>
            </w:r>
            <w:r>
              <w:t xml:space="preserve"> </w:t>
            </w:r>
            <w:r>
              <w:t xml:space="preserve">(daily P — +21.3 pts, ~0.53R) —</w:t>
            </w:r>
            <w:r>
              <w:t xml:space="preserve"> </w:t>
            </w:r>
            <w:r>
              <w:rPr>
                <w:iCs/>
                <w:i/>
              </w:rPr>
              <w:t xml:space="preserve">note: this is a structural TP at the daily pivot midpoint and is below the +1R level; analyst override of pure 1R rule to align with pivot structure</w:t>
            </w:r>
          </w:p>
        </w:tc>
      </w:tr>
      <w:tr>
        <w:tc>
          <w:tcPr/>
          <w:p>
            <w:pPr>
              <w:pStyle w:val="Compact"/>
              <w:jc w:val="left"/>
            </w:pPr>
            <w:r>
              <w:t xml:space="preserve">TP2 (Unit 2, +2R structural)</w:t>
            </w:r>
          </w:p>
        </w:tc>
        <w:tc>
          <w:tcPr/>
          <w:p>
            <w:pPr>
              <w:pStyle w:val="Compact"/>
              <w:jc w:val="left"/>
            </w:pPr>
            <w:r>
              <w:rPr>
                <w:bCs/>
                <w:b/>
              </w:rPr>
              <w:t xml:space="preserve">7,420.22</w:t>
            </w:r>
            <w:r>
              <w:t xml:space="preserve"> </w:t>
            </w:r>
            <w:r>
              <w:t xml:space="preserve">(daily R1 — +1.53R)</w:t>
            </w:r>
          </w:p>
        </w:tc>
      </w:tr>
      <w:tr>
        <w:tc>
          <w:tcPr/>
          <w:p>
            <w:pPr>
              <w:pStyle w:val="Compact"/>
              <w:jc w:val="left"/>
            </w:pPr>
            <w:r>
              <w:t xml:space="preserve">TP3 (Unit 3, runner)</w:t>
            </w:r>
          </w:p>
        </w:tc>
        <w:tc>
          <w:tcPr/>
          <w:p>
            <w:pPr>
              <w:pStyle w:val="Compact"/>
              <w:jc w:val="left"/>
            </w:pPr>
            <w:r>
              <w:rPr>
                <w:bCs/>
                <w:b/>
              </w:rPr>
              <w:t xml:space="preserve">7,441.51</w:t>
            </w:r>
            <w:r>
              <w:t xml:space="preserve"> </w:t>
            </w:r>
            <w:r>
              <w:t xml:space="preserve">(daily R2) and trailed to daily R3 7,481.52 on close-through R2</w:t>
            </w:r>
          </w:p>
        </w:tc>
      </w:tr>
      <w:tr>
        <w:tc>
          <w:tcPr/>
          <w:p>
            <w:pPr>
              <w:pStyle w:val="Compact"/>
              <w:jc w:val="left"/>
            </w:pPr>
            <w:r>
              <w:t xml:space="preserve">Tranche management</w:t>
            </w:r>
          </w:p>
        </w:tc>
        <w:tc>
          <w:tcPr/>
          <w:p>
            <w:pPr>
              <w:pStyle w:val="Compact"/>
              <w:jc w:val="left"/>
            </w:pPr>
            <w:r>
              <w:t xml:space="preserve">3 equal units; Unit 1 exits at daily P; Unit 2 exits at daily R1; on Unit 2 fill, Unit 3 SL moves to entry + 0.2R = 7,366.92</w:t>
            </w:r>
          </w:p>
        </w:tc>
      </w:tr>
      <w:tr>
        <w:tc>
          <w:tcPr/>
          <w:p>
            <w:pPr>
              <w:pStyle w:val="Compact"/>
              <w:jc w:val="left"/>
            </w:pPr>
            <w:r>
              <w:t xml:space="preserve">Confluences</w:t>
            </w:r>
          </w:p>
        </w:tc>
        <w:tc>
          <w:tcPr/>
          <w:p>
            <w:pPr>
              <w:pStyle w:val="Compact"/>
              <w:jc w:val="left"/>
            </w:pPr>
            <w:r>
              <w:t xml:space="preserve">Entry 7,358.92 within 2 pts of weekly R2 7,356.97 —</w:t>
            </w:r>
            <w:r>
              <w:t xml:space="preserve"> </w:t>
            </w:r>
            <w:r>
              <w:rPr>
                <w:bCs/>
                <w:b/>
              </w:rPr>
              <w:t xml:space="preserve">strong confluence</w:t>
            </w:r>
            <w:r>
              <w:t xml:space="preserve"> </w:t>
            </w:r>
            <w:r>
              <w:t xml:space="preserve">(two structural levels within 0.15 × ATR = 11 pts). TP2 7,420.22 within 21 pts of daily R3 7,481.52 — no confluence at TP2.</w:t>
            </w:r>
          </w:p>
        </w:tc>
      </w:tr>
      <w:tr>
        <w:tc>
          <w:tcPr/>
          <w:p>
            <w:pPr>
              <w:pStyle w:val="Compact"/>
              <w:jc w:val="left"/>
            </w:pPr>
            <w:r>
              <w:t xml:space="preserve">Thesis invalidation</w:t>
            </w:r>
          </w:p>
        </w:tc>
        <w:tc>
          <w:tcPr/>
          <w:p>
            <w:pPr>
              <w:pStyle w:val="Compact"/>
              <w:jc w:val="left"/>
            </w:pPr>
            <w:r>
              <w:t xml:space="preserve">Daily close below</w:t>
            </w:r>
            <w:r>
              <w:t xml:space="preserve"> </w:t>
            </w:r>
            <w:r>
              <w:rPr>
                <w:bCs/>
                <w:b/>
              </w:rPr>
              <w:t xml:space="preserve">weekly R2 / daily S1 confluence 7,357–7,359</w:t>
            </w:r>
            <w:r>
              <w:t xml:space="preserve"> </w:t>
            </w:r>
            <w:r>
              <w:t xml:space="preserve">(overlaps with SL by design — invalidation = SL for this trade)</w:t>
            </w:r>
          </w:p>
        </w:tc>
      </w:tr>
      <w:tr>
        <w:tc>
          <w:tcPr/>
          <w:p>
            <w:pPr>
              <w:pStyle w:val="Compact"/>
              <w:jc w:val="left"/>
            </w:pPr>
            <w:r>
              <w:t xml:space="preserve">Caveats</w:t>
            </w:r>
          </w:p>
        </w:tc>
        <w:tc>
          <w:tcPr/>
          <w:p>
            <w:pPr>
              <w:pStyle w:val="Compact"/>
              <w:jc w:val="left"/>
            </w:pPr>
            <w:r>
              <w:rPr>
                <w:bCs/>
                <w:b/>
              </w:rPr>
              <w:t xml:space="preserve">All pivot tiers SINGLE-SOURCE-INDICATIVE.</w:t>
            </w:r>
            <w:r>
              <w:t xml:space="preserve"> </w:t>
            </w:r>
            <w:r>
              <w:t xml:space="preserve">Trade would normally be suppressed per M5 §10 —</w:t>
            </w:r>
            <w:r>
              <w:t xml:space="preserve"> </w:t>
            </w:r>
            <w:r>
              <w:rPr>
                <w:bCs/>
                <w:b/>
              </w:rPr>
              <w:t xml:space="preserve">per user instruction, suppression overridden for this run</w:t>
            </w:r>
            <w:r>
              <w:t xml:space="preserve"> </w:t>
            </w:r>
            <w:r>
              <w:t xml:space="preserve">and the trade is reported with this flag. Holding period collides with Tuesday April CPI (HIGH). DAX contradiction noted but does not block pivot entry.</w:t>
            </w:r>
          </w:p>
        </w:tc>
      </w:tr>
    </w:tbl>
    <w:bookmarkEnd w:id="46"/>
    <w:bookmarkStart w:id="47" w:name="Xe2d2ba36386a6dfa0bd8b5ebe95986bd3f55187"/>
    <w:p>
      <w:pPr>
        <w:pStyle w:val="Heading4"/>
      </w:pPr>
      <w:r>
        <w:t xml:space="preserve">Trade 3A — Momentum-Pullback (TREND_UP fork; LONG)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Direction</w:t>
            </w:r>
          </w:p>
        </w:tc>
        <w:tc>
          <w:tcPr/>
          <w:p>
            <w:pPr>
              <w:pStyle w:val="Compact"/>
              <w:jc w:val="left"/>
            </w:pPr>
            <w:r>
              <w:rPr>
                <w:bCs/>
                <w:b/>
              </w:rPr>
              <w:t xml:space="preserve">LONG</w:t>
            </w:r>
            <w:r>
              <w:t xml:space="preserve"> </w:t>
            </w:r>
            <w:r>
              <w:t xml:space="preserve">— TREND_UP regime; pullback into fib swing-derived buy zone</w:t>
            </w:r>
          </w:p>
        </w:tc>
      </w:tr>
      <w:tr>
        <w:tc>
          <w:tcPr/>
          <w:p>
            <w:pPr>
              <w:pStyle w:val="Compact"/>
              <w:jc w:val="left"/>
            </w:pPr>
            <w:r>
              <w:t xml:space="preserve">Entry</w:t>
            </w:r>
          </w:p>
        </w:tc>
        <w:tc>
          <w:tcPr/>
          <w:p>
            <w:pPr>
              <w:pStyle w:val="Compact"/>
              <w:jc w:val="left"/>
            </w:pPr>
            <w:r>
              <w:rPr>
                <w:bCs/>
                <w:b/>
              </w:rPr>
              <w:t xml:space="preserve">Buy limit at 38.2% retrace = 7,316.24</w:t>
            </w:r>
            <w:r>
              <w:t xml:space="preserve"> </w:t>
            </w:r>
            <w:r>
              <w:t xml:space="preserve">of the active fib swing (anchor low 7,178.3 → anchor high 7,401.5; magnitude 223.2 pts &gt; 2 × ATR(14)).</w:t>
            </w:r>
          </w:p>
        </w:tc>
      </w:tr>
      <w:tr>
        <w:tc>
          <w:tcPr/>
          <w:p>
            <w:pPr>
              <w:pStyle w:val="Compact"/>
              <w:jc w:val="left"/>
            </w:pPr>
            <w:r>
              <w:t xml:space="preserve">Stop loss</w:t>
            </w:r>
          </w:p>
        </w:tc>
        <w:tc>
          <w:tcPr/>
          <w:p>
            <w:pPr>
              <w:pStyle w:val="Compact"/>
              <w:jc w:val="left"/>
            </w:pPr>
            <w:r>
              <w:rPr>
                <w:bCs/>
                <w:b/>
              </w:rPr>
              <w:t xml:space="preserve">7,258.56</w:t>
            </w:r>
            <w:r>
              <w:t xml:space="preserve"> </w:t>
            </w:r>
            <w:r>
              <w:t xml:space="preserve">(5-pt buffer below the 61.8% retrace at 7,263.56) — 57.7 points below entry</w:t>
            </w:r>
          </w:p>
        </w:tc>
      </w:tr>
      <w:tr>
        <w:tc>
          <w:tcPr/>
          <w:p>
            <w:pPr>
              <w:pStyle w:val="Compact"/>
              <w:jc w:val="left"/>
            </w:pPr>
            <w:r>
              <w:t xml:space="preserve">Risk (R)</w:t>
            </w:r>
          </w:p>
        </w:tc>
        <w:tc>
          <w:tcPr/>
          <w:p>
            <w:pPr>
              <w:pStyle w:val="Compact"/>
              <w:jc w:val="left"/>
            </w:pPr>
            <w:r>
              <w:rPr>
                <w:bCs/>
                <w:b/>
              </w:rPr>
              <w:t xml:space="preserve">57.7 points</w:t>
            </w:r>
          </w:p>
        </w:tc>
      </w:tr>
      <w:tr>
        <w:tc>
          <w:tcPr/>
          <w:p>
            <w:pPr>
              <w:pStyle w:val="Compact"/>
              <w:jc w:val="left"/>
            </w:pPr>
            <w:r>
              <w:t xml:space="preserve">TP1 (Unit 1, structural 38.2%-rebound + 1R)</w:t>
            </w:r>
          </w:p>
        </w:tc>
        <w:tc>
          <w:tcPr/>
          <w:p>
            <w:pPr>
              <w:pStyle w:val="Compact"/>
              <w:jc w:val="left"/>
            </w:pPr>
            <w:r>
              <w:rPr>
                <w:bCs/>
                <w:b/>
              </w:rPr>
              <w:t xml:space="preserve">7,373.91</w:t>
            </w:r>
            <w:r>
              <w:t xml:space="preserve"> </w:t>
            </w:r>
            <w:r>
              <w:t xml:space="preserve">— fib-based; lies above the daily P 7,380.21 region</w:t>
            </w:r>
          </w:p>
        </w:tc>
      </w:tr>
      <w:tr>
        <w:tc>
          <w:tcPr/>
          <w:p>
            <w:pPr>
              <w:pStyle w:val="Compact"/>
              <w:jc w:val="left"/>
            </w:pPr>
            <w:r>
              <w:t xml:space="preserve">TP2 (Unit 2, swing-high)</w:t>
            </w:r>
          </w:p>
        </w:tc>
        <w:tc>
          <w:tcPr/>
          <w:p>
            <w:pPr>
              <w:pStyle w:val="Compact"/>
              <w:jc w:val="left"/>
            </w:pPr>
            <w:r>
              <w:rPr>
                <w:bCs/>
                <w:b/>
              </w:rPr>
              <w:t xml:space="preserve">7,401.50</w:t>
            </w:r>
            <w:r>
              <w:t xml:space="preserve"> </w:t>
            </w:r>
            <w:r>
              <w:t xml:space="preserve">(the 100% level — the active swing high)</w:t>
            </w:r>
          </w:p>
        </w:tc>
      </w:tr>
      <w:tr>
        <w:tc>
          <w:tcPr/>
          <w:p>
            <w:pPr>
              <w:pStyle w:val="Compact"/>
              <w:jc w:val="left"/>
            </w:pPr>
            <w:r>
              <w:t xml:space="preserve">TP3 (Unit 3, runner)</w:t>
            </w:r>
          </w:p>
        </w:tc>
        <w:tc>
          <w:tcPr/>
          <w:p>
            <w:pPr>
              <w:pStyle w:val="Compact"/>
              <w:jc w:val="left"/>
            </w:pPr>
            <w:r>
              <w:rPr>
                <w:bCs/>
                <w:b/>
              </w:rPr>
              <w:t xml:space="preserve">7,486.76</w:t>
            </w:r>
            <w:r>
              <w:t xml:space="preserve"> </w:t>
            </w:r>
            <w:r>
              <w:t xml:space="preserve">(138.2% extension); runner exit rule = structural 100%-extension-break SL pull per M5 §5.3 (Trade 3A override): on close-through 100%, runner SL moves to halfway between entry 7,316.24 and 0% anchor 7,178.3 =</w:t>
            </w:r>
            <w:r>
              <w:t xml:space="preserve"> </w:t>
            </w:r>
            <w:r>
              <w:rPr>
                <w:bCs/>
                <w:b/>
              </w:rPr>
              <w:t xml:space="preserve">7,247.27</w:t>
            </w:r>
          </w:p>
        </w:tc>
      </w:tr>
      <w:tr>
        <w:tc>
          <w:tcPr/>
          <w:p>
            <w:pPr>
              <w:pStyle w:val="Compact"/>
              <w:jc w:val="left"/>
            </w:pPr>
            <w:r>
              <w:t xml:space="preserve">Tranche management</w:t>
            </w:r>
          </w:p>
        </w:tc>
        <w:tc>
          <w:tcPr/>
          <w:p>
            <w:pPr>
              <w:pStyle w:val="Compact"/>
              <w:jc w:val="left"/>
            </w:pPr>
            <w:r>
              <w:t xml:space="preserve">3 equal units; Unit 1 exits at TP1; Unit 2 exits at swing high; Trade 3A structural runner override on 100%-extension break (see above)</w:t>
            </w:r>
          </w:p>
        </w:tc>
      </w:tr>
      <w:tr>
        <w:tc>
          <w:tcPr/>
          <w:p>
            <w:pPr>
              <w:pStyle w:val="Compact"/>
              <w:jc w:val="left"/>
            </w:pPr>
            <w:r>
              <w:t xml:space="preserve">Confluences</w:t>
            </w:r>
          </w:p>
        </w:tc>
        <w:tc>
          <w:tcPr/>
          <w:p>
            <w:pPr>
              <w:pStyle w:val="Compact"/>
              <w:jc w:val="left"/>
            </w:pPr>
            <w:r>
              <w:t xml:space="preserve">Entry 7,316.24 within 2.7 pts of daily S2 7,318.91 —</w:t>
            </w:r>
            <w:r>
              <w:t xml:space="preserve"> </w:t>
            </w:r>
            <w:r>
              <w:rPr>
                <w:bCs/>
                <w:b/>
              </w:rPr>
              <w:t xml:space="preserve">strong confluence</w:t>
            </w:r>
            <w:r>
              <w:t xml:space="preserve">. TP2 (swing high 7,401.5) within 19 pts of daily R1 7,420 — no confluence at TP2. TP3 7,486.76 within 5 pts of daily R3 7,481.52 — strong confluence on the upper target.</w:t>
            </w:r>
          </w:p>
        </w:tc>
      </w:tr>
      <w:tr>
        <w:tc>
          <w:tcPr/>
          <w:p>
            <w:pPr>
              <w:pStyle w:val="Compact"/>
              <w:jc w:val="left"/>
            </w:pPr>
            <w:r>
              <w:t xml:space="preserve">Thesis invalidation</w:t>
            </w:r>
          </w:p>
        </w:tc>
        <w:tc>
          <w:tcPr/>
          <w:p>
            <w:pPr>
              <w:pStyle w:val="Compact"/>
              <w:jc w:val="left"/>
            </w:pPr>
            <w:r>
              <w:t xml:space="preserve">Daily close below the</w:t>
            </w:r>
            <w:r>
              <w:t xml:space="preserve"> </w:t>
            </w:r>
            <w:r>
              <w:rPr>
                <w:bCs/>
                <w:b/>
              </w:rPr>
              <w:t xml:space="preserve">61.8% retrace 7,263.56</w:t>
            </w:r>
            <w:r>
              <w:t xml:space="preserve"> </w:t>
            </w:r>
            <w:r>
              <w:t xml:space="preserve">— invalidates the bullish-pullback narrative; coincides with SL (by construction).</w:t>
            </w:r>
          </w:p>
        </w:tc>
      </w:tr>
      <w:tr>
        <w:tc>
          <w:tcPr/>
          <w:p>
            <w:pPr>
              <w:pStyle w:val="Compact"/>
              <w:jc w:val="left"/>
            </w:pPr>
            <w:r>
              <w:t xml:space="preserve">Caveats</w:t>
            </w:r>
          </w:p>
        </w:tc>
        <w:tc>
          <w:tcPr/>
          <w:p>
            <w:pPr>
              <w:pStyle w:val="Compact"/>
              <w:jc w:val="left"/>
            </w:pPr>
            <w:r>
              <w:t xml:space="preserve">Fib anchor magnitude (223 pts) is robust (&gt; 2 × ATR), but the swing is short-dated (5 sessions only); the underlying ATR(14) is single-source-indicative; holding period collides with Tuesday April CPI (HIGH); a hot CPI could blow through the 38.2% entry without filling the limit order, generating a no-fill outcome.</w:t>
            </w:r>
          </w:p>
        </w:tc>
      </w:tr>
    </w:tbl>
    <w:bookmarkEnd w:id="47"/>
    <w:bookmarkEnd w:id="48"/>
    <w:bookmarkStart w:id="49" w:name="c-5-session-no-leakage-backtest"/>
    <w:p>
      <w:pPr>
        <w:pStyle w:val="Heading3"/>
      </w:pPr>
      <w:r>
        <w:t xml:space="preserve">§21c 5-Session No-Leakage Backtest</w:t>
      </w:r>
    </w:p>
    <w:p>
      <w:pPr>
        <w:pStyle w:val="FirstParagraph"/>
      </w:pPr>
      <w:r>
        <w:t xml:space="preserve">Reconstructing prior sessions under the same trade-card logic (sentiment tilt frozen at 0.0 per OPEN-008; ATR / swings / regime recomputed at t−1 close):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Date (t−N)</w:t>
            </w:r>
          </w:p>
        </w:tc>
        <w:tc>
          <w:tcPr/>
          <w:p>
            <w:pPr>
              <w:pStyle w:val="Compact"/>
              <w:jc w:val="left"/>
            </w:pPr>
            <w:r>
              <w:t xml:space="preserve">Strategy</w:t>
            </w:r>
          </w:p>
        </w:tc>
        <w:tc>
          <w:tcPr/>
          <w:p>
            <w:pPr>
              <w:pStyle w:val="Compact"/>
              <w:jc w:val="left"/>
            </w:pPr>
            <w:r>
              <w:t xml:space="preserve">Direction</w:t>
            </w:r>
          </w:p>
        </w:tc>
        <w:tc>
          <w:tcPr/>
          <w:p>
            <w:pPr>
              <w:pStyle w:val="Compact"/>
              <w:jc w:val="left"/>
            </w:pPr>
            <w:r>
              <w:t xml:space="preserve">Triggered</w:t>
            </w:r>
          </w:p>
        </w:tc>
        <w:tc>
          <w:tcPr/>
          <w:p>
            <w:pPr>
              <w:pStyle w:val="Compact"/>
              <w:jc w:val="left"/>
            </w:pPr>
            <w:r>
              <w:t xml:space="preserve">Entry</w:t>
            </w:r>
          </w:p>
        </w:tc>
        <w:tc>
          <w:tcPr/>
          <w:p>
            <w:pPr>
              <w:pStyle w:val="Compact"/>
              <w:jc w:val="left"/>
            </w:pPr>
            <w:r>
              <w:t xml:space="preserve">Exit</w:t>
            </w:r>
          </w:p>
        </w:tc>
        <w:tc>
          <w:tcPr/>
          <w:p>
            <w:pPr>
              <w:pStyle w:val="Compact"/>
              <w:jc w:val="left"/>
            </w:pPr>
            <w:r>
              <w:t xml:space="preserve">Outcome (R)</w:t>
            </w:r>
          </w:p>
        </w:tc>
        <w:tc>
          <w:tcPr/>
          <w:p>
            <w:pPr>
              <w:pStyle w:val="Compact"/>
              <w:jc w:val="left"/>
            </w:pPr>
            <w:r>
              <w:t xml:space="preserve">Days to resolution</w:t>
            </w:r>
          </w:p>
        </w:tc>
      </w:tr>
      <w:tr>
        <w:tc>
          <w:tcPr/>
          <w:p>
            <w:pPr>
              <w:pStyle w:val="Compact"/>
              <w:jc w:val="left"/>
            </w:pPr>
            <w:r>
              <w:t xml:space="preserve">Mon 4 May (t−5)</w:t>
            </w:r>
          </w:p>
        </w:tc>
        <w:tc>
          <w:tcPr/>
          <w:p>
            <w:pPr>
              <w:pStyle w:val="Compact"/>
              <w:jc w:val="left"/>
            </w:pPr>
            <w:r>
              <w:t xml:space="preserve">Trade 1</w:t>
            </w:r>
          </w:p>
        </w:tc>
        <w:tc>
          <w:tcPr/>
          <w:p>
            <w:pPr>
              <w:pStyle w:val="Compact"/>
              <w:jc w:val="left"/>
            </w:pPr>
            <w:r>
              <w:t xml:space="preserve">LONG (score positive even without sentiment)</w:t>
            </w:r>
          </w:p>
        </w:tc>
        <w:tc>
          <w:tcPr/>
          <w:p>
            <w:pPr>
              <w:pStyle w:val="Compact"/>
              <w:jc w:val="left"/>
            </w:pPr>
            <w:r>
              <w:t xml:space="preserve">YES (market @ 00:00 UK anchor proxy = Fri 1 May close 7,230.12)</w:t>
            </w:r>
          </w:p>
        </w:tc>
        <w:tc>
          <w:tcPr/>
          <w:p>
            <w:pPr>
              <w:pStyle w:val="Compact"/>
              <w:jc w:val="left"/>
            </w:pPr>
            <w:r>
              <w:t xml:space="preserve">7,230.12</w:t>
            </w:r>
          </w:p>
        </w:tc>
        <w:tc>
          <w:tcPr/>
          <w:p>
            <w:pPr>
              <w:pStyle w:val="Compact"/>
              <w:jc w:val="left"/>
            </w:pPr>
            <w:r>
              <w:t xml:space="preserve">t-session close 7,200.75</w:t>
            </w:r>
          </w:p>
        </w:tc>
        <w:tc>
          <w:tcPr/>
          <w:p>
            <w:pPr>
              <w:pStyle w:val="Compact"/>
              <w:jc w:val="left"/>
            </w:pPr>
            <w:r>
              <w:t xml:space="preserve">OPEN @ −0.5R at t+1</w:t>
            </w:r>
          </w:p>
        </w:tc>
        <w:tc>
          <w:tcPr/>
          <w:p>
            <w:pPr>
              <w:pStyle w:val="Compact"/>
              <w:jc w:val="left"/>
            </w:pPr>
            <w:r>
              <w:t xml:space="preserve">5+ (resolved partial Tue)</w:t>
            </w:r>
          </w:p>
        </w:tc>
      </w:tr>
      <w:tr>
        <w:tc>
          <w:tcPr/>
          <w:p>
            <w:pPr>
              <w:pStyle w:val="Compact"/>
              <w:jc w:val="left"/>
            </w:pPr>
            <w:r>
              <w:t xml:space="preserve">Mon 4 May (t−5)</w:t>
            </w:r>
          </w:p>
        </w:tc>
        <w:tc>
          <w:tcPr/>
          <w:p>
            <w:pPr>
              <w:pStyle w:val="Compact"/>
              <w:jc w:val="left"/>
            </w:pPr>
            <w:r>
              <w:t xml:space="preserve">Trade 2</w:t>
            </w:r>
          </w:p>
        </w:tc>
        <w:tc>
          <w:tcPr/>
          <w:p>
            <w:pPr>
              <w:pStyle w:val="Compact"/>
              <w:jc w:val="left"/>
            </w:pPr>
            <w:r>
              <w:t xml:space="preserve">LONG (TREND pullback)</w:t>
            </w:r>
          </w:p>
        </w:tc>
        <w:tc>
          <w:tcPr/>
          <w:p>
            <w:pPr>
              <w:pStyle w:val="Compact"/>
              <w:jc w:val="left"/>
            </w:pPr>
            <w:r>
              <w:t xml:space="preserve">NO (limit at prior week’s daily S1 ~ 7,205 not hit during session — low was 7,178.3 but order would have filled) — corrected: YES</w:t>
            </w:r>
          </w:p>
        </w:tc>
        <w:tc>
          <w:tcPr/>
          <w:p>
            <w:pPr>
              <w:pStyle w:val="Compact"/>
              <w:jc w:val="left"/>
            </w:pPr>
            <w:r>
              <w:t xml:space="preserve">7,205 (limit)</w:t>
            </w:r>
          </w:p>
        </w:tc>
        <w:tc>
          <w:tcPr/>
          <w:p>
            <w:pPr>
              <w:pStyle w:val="Compact"/>
              <w:jc w:val="left"/>
            </w:pPr>
            <w:r>
              <w:t xml:space="preserve">Resolves Wed close 7,365.12 (well past TP3)</w:t>
            </w:r>
          </w:p>
        </w:tc>
        <w:tc>
          <w:tcPr/>
          <w:p>
            <w:pPr>
              <w:pStyle w:val="Compact"/>
              <w:jc w:val="left"/>
            </w:pPr>
            <w:r>
              <w:t xml:space="preserve">+3.0R</w:t>
            </w:r>
          </w:p>
        </w:tc>
        <w:tc>
          <w:tcPr/>
          <w:p>
            <w:pPr>
              <w:pStyle w:val="Compact"/>
              <w:jc w:val="left"/>
            </w:pPr>
            <w:r>
              <w:t xml:space="preserve">3</w:t>
            </w:r>
          </w:p>
        </w:tc>
      </w:tr>
      <w:tr>
        <w:tc>
          <w:tcPr/>
          <w:p>
            <w:pPr>
              <w:pStyle w:val="Compact"/>
              <w:jc w:val="left"/>
            </w:pPr>
            <w:r>
              <w:t xml:space="preserve">Mon 4 May (t−5)</w:t>
            </w:r>
          </w:p>
        </w:tc>
        <w:tc>
          <w:tcPr/>
          <w:p>
            <w:pPr>
              <w:pStyle w:val="Compact"/>
              <w:jc w:val="left"/>
            </w:pPr>
            <w:r>
              <w:t xml:space="preserve">Trade 3A</w:t>
            </w:r>
          </w:p>
        </w:tc>
        <w:tc>
          <w:tcPr/>
          <w:p>
            <w:pPr>
              <w:pStyle w:val="Compact"/>
              <w:jc w:val="left"/>
            </w:pPr>
            <w:r>
              <w:t xml:space="preserve">LONG (pullback)</w:t>
            </w:r>
          </w:p>
        </w:tc>
        <w:tc>
          <w:tcPr/>
          <w:p>
            <w:pPr>
              <w:pStyle w:val="Compact"/>
              <w:jc w:val="left"/>
            </w:pPr>
            <w:r>
              <w:t xml:space="preserve">NO — required 38.2% retrace zone deeper than session reached</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Tue 5 May (t−4)</w:t>
            </w:r>
          </w:p>
        </w:tc>
        <w:tc>
          <w:tcPr/>
          <w:p>
            <w:pPr>
              <w:pStyle w:val="Compact"/>
              <w:jc w:val="left"/>
            </w:pPr>
            <w:r>
              <w:t xml:space="preserve">Trade 1</w:t>
            </w:r>
          </w:p>
        </w:tc>
        <w:tc>
          <w:tcPr/>
          <w:p>
            <w:pPr>
              <w:pStyle w:val="Compact"/>
              <w:jc w:val="left"/>
            </w:pPr>
            <w:r>
              <w:t xml:space="preserve">LONG</w:t>
            </w:r>
          </w:p>
        </w:tc>
        <w:tc>
          <w:tcPr/>
          <w:p>
            <w:pPr>
              <w:pStyle w:val="Compact"/>
              <w:jc w:val="left"/>
            </w:pPr>
            <w:r>
              <w:t xml:space="preserve">YES (entry 7,200.75)</w:t>
            </w:r>
          </w:p>
        </w:tc>
        <w:tc>
          <w:tcPr/>
          <w:p>
            <w:pPr>
              <w:pStyle w:val="Compact"/>
              <w:jc w:val="left"/>
            </w:pPr>
            <w:r>
              <w:t xml:space="preserve">7,200.75</w:t>
            </w:r>
          </w:p>
        </w:tc>
        <w:tc>
          <w:tcPr/>
          <w:p>
            <w:pPr>
              <w:pStyle w:val="Compact"/>
              <w:jc w:val="left"/>
            </w:pPr>
            <w:r>
              <w:t xml:space="preserve">hit TP1 by Wed 6 May close 7,365.12 (well past +1R if R ~ 60)</w:t>
            </w:r>
          </w:p>
        </w:tc>
        <w:tc>
          <w:tcPr/>
          <w:p>
            <w:pPr>
              <w:pStyle w:val="Compact"/>
              <w:jc w:val="left"/>
            </w:pPr>
            <w:r>
              <w:t xml:space="preserve">+3R+ (all units) capped at +3R</w:t>
            </w:r>
          </w:p>
        </w:tc>
        <w:tc>
          <w:tcPr/>
          <w:p>
            <w:pPr>
              <w:pStyle w:val="Compact"/>
              <w:jc w:val="left"/>
            </w:pPr>
            <w:r>
              <w:t xml:space="preserve">2</w:t>
            </w:r>
          </w:p>
        </w:tc>
      </w:tr>
      <w:tr>
        <w:tc>
          <w:tcPr/>
          <w:p>
            <w:pPr>
              <w:pStyle w:val="Compact"/>
              <w:jc w:val="left"/>
            </w:pPr>
            <w:r>
              <w:t xml:space="preserve">Tue 5 May (t−4)</w:t>
            </w:r>
          </w:p>
        </w:tc>
        <w:tc>
          <w:tcPr/>
          <w:p>
            <w:pPr>
              <w:pStyle w:val="Compact"/>
              <w:jc w:val="left"/>
            </w:pPr>
            <w:r>
              <w:t xml:space="preserve">Trade 2</w:t>
            </w:r>
          </w:p>
        </w:tc>
        <w:tc>
          <w:tcPr/>
          <w:p>
            <w:pPr>
              <w:pStyle w:val="Compact"/>
              <w:jc w:val="left"/>
            </w:pPr>
            <w:r>
              <w:t xml:space="preserve">LONG pullback</w:t>
            </w:r>
          </w:p>
        </w:tc>
        <w:tc>
          <w:tcPr/>
          <w:p>
            <w:pPr>
              <w:pStyle w:val="Compact"/>
              <w:jc w:val="left"/>
            </w:pPr>
            <w:r>
              <w:t xml:space="preserve">NO (no pullback to prior daily S1; session opened and ran straight up)</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Tue 5 May (t−4)</w:t>
            </w:r>
          </w:p>
        </w:tc>
        <w:tc>
          <w:tcPr/>
          <w:p>
            <w:pPr>
              <w:pStyle w:val="Compact"/>
              <w:jc w:val="left"/>
            </w:pPr>
            <w:r>
              <w:t xml:space="preserve">Trade 3A</w:t>
            </w:r>
          </w:p>
        </w:tc>
        <w:tc>
          <w:tcPr/>
          <w:p>
            <w:pPr>
              <w:pStyle w:val="Compact"/>
              <w:jc w:val="left"/>
            </w:pPr>
            <w:r>
              <w:t xml:space="preserve">LONG</w:t>
            </w:r>
          </w:p>
        </w:tc>
        <w:tc>
          <w:tcPr/>
          <w:p>
            <w:pPr>
              <w:pStyle w:val="Compact"/>
              <w:jc w:val="left"/>
            </w:pPr>
            <w:r>
              <w:t xml:space="preserve">NO (no qualifying retrace)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Wed 6 May (t−3)</w:t>
            </w:r>
          </w:p>
        </w:tc>
        <w:tc>
          <w:tcPr/>
          <w:p>
            <w:pPr>
              <w:pStyle w:val="Compact"/>
              <w:jc w:val="left"/>
            </w:pPr>
            <w:r>
              <w:t xml:space="preserve">Trade 1</w:t>
            </w:r>
          </w:p>
        </w:tc>
        <w:tc>
          <w:tcPr/>
          <w:p>
            <w:pPr>
              <w:pStyle w:val="Compact"/>
              <w:jc w:val="left"/>
            </w:pPr>
            <w:r>
              <w:t xml:space="preserve">LONG</w:t>
            </w:r>
          </w:p>
        </w:tc>
        <w:tc>
          <w:tcPr/>
          <w:p>
            <w:pPr>
              <w:pStyle w:val="Compact"/>
              <w:jc w:val="left"/>
            </w:pPr>
            <w:r>
              <w:t xml:space="preserve">YES (entry 7,259.22)</w:t>
            </w:r>
          </w:p>
        </w:tc>
        <w:tc>
          <w:tcPr/>
          <w:p>
            <w:pPr>
              <w:pStyle w:val="Compact"/>
              <w:jc w:val="left"/>
            </w:pPr>
            <w:r>
              <w:t xml:space="preserve">7,259.22</w:t>
            </w:r>
          </w:p>
        </w:tc>
        <w:tc>
          <w:tcPr/>
          <w:p>
            <w:pPr>
              <w:pStyle w:val="Compact"/>
              <w:jc w:val="left"/>
            </w:pPr>
            <w:r>
              <w:t xml:space="preserve">hit TP1 same session at close 7,365.12 (&gt;+1R)</w:t>
            </w:r>
          </w:p>
        </w:tc>
        <w:tc>
          <w:tcPr/>
          <w:p>
            <w:pPr>
              <w:pStyle w:val="Compact"/>
              <w:jc w:val="left"/>
            </w:pPr>
            <w:r>
              <w:t xml:space="preserve">+1R on Unit 1, runners stop on Thu reversal</w:t>
            </w:r>
          </w:p>
        </w:tc>
        <w:tc>
          <w:tcPr/>
          <w:p>
            <w:pPr>
              <w:pStyle w:val="Compact"/>
              <w:jc w:val="left"/>
            </w:pPr>
            <w:r>
              <w:t xml:space="preserve">est. +0.8R</w:t>
            </w:r>
          </w:p>
        </w:tc>
      </w:tr>
      <w:tr>
        <w:tc>
          <w:tcPr/>
          <w:p>
            <w:pPr>
              <w:pStyle w:val="Compact"/>
              <w:jc w:val="left"/>
            </w:pPr>
            <w:r>
              <w:t xml:space="preserve">Wed 6 May (t−3)</w:t>
            </w:r>
          </w:p>
        </w:tc>
        <w:tc>
          <w:tcPr/>
          <w:p>
            <w:pPr>
              <w:pStyle w:val="Compact"/>
              <w:jc w:val="left"/>
            </w:pPr>
            <w:r>
              <w:t xml:space="preserve">Trade 2</w:t>
            </w:r>
          </w:p>
        </w:tc>
        <w:tc>
          <w:tcPr/>
          <w:p>
            <w:pPr>
              <w:pStyle w:val="Compact"/>
              <w:jc w:val="left"/>
            </w:pPr>
            <w:r>
              <w:t xml:space="preserve">LONG pullback</w:t>
            </w:r>
          </w:p>
        </w:tc>
        <w:tc>
          <w:tcPr/>
          <w:p>
            <w:pPr>
              <w:pStyle w:val="Compact"/>
              <w:jc w:val="left"/>
            </w:pPr>
            <w:r>
              <w:t xml:space="preserve">NO (no qualifying pullback to prior daily S1)</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Wed 6 May (t−3)</w:t>
            </w:r>
          </w:p>
        </w:tc>
        <w:tc>
          <w:tcPr/>
          <w:p>
            <w:pPr>
              <w:pStyle w:val="Compact"/>
              <w:jc w:val="left"/>
            </w:pPr>
            <w:r>
              <w:t xml:space="preserve">Trade 3A</w:t>
            </w:r>
          </w:p>
        </w:tc>
        <w:tc>
          <w:tcPr/>
          <w:p>
            <w:pPr>
              <w:pStyle w:val="Compact"/>
              <w:jc w:val="left"/>
            </w:pPr>
            <w:r>
              <w:t xml:space="preserve">LONG</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Thu 7 May (t−2)</w:t>
            </w:r>
          </w:p>
        </w:tc>
        <w:tc>
          <w:tcPr/>
          <w:p>
            <w:pPr>
              <w:pStyle w:val="Compact"/>
              <w:jc w:val="left"/>
            </w:pPr>
            <w:r>
              <w:t xml:space="preserve">Trade 1</w:t>
            </w:r>
          </w:p>
        </w:tc>
        <w:tc>
          <w:tcPr/>
          <w:p>
            <w:pPr>
              <w:pStyle w:val="Compact"/>
              <w:jc w:val="left"/>
            </w:pPr>
            <w:r>
              <w:t xml:space="preserve">LONG</w:t>
            </w:r>
          </w:p>
        </w:tc>
        <w:tc>
          <w:tcPr/>
          <w:p>
            <w:pPr>
              <w:pStyle w:val="Compact"/>
              <w:jc w:val="left"/>
            </w:pPr>
            <w:r>
              <w:t xml:space="preserve">YES (entry 7,365.12)</w:t>
            </w:r>
          </w:p>
        </w:tc>
        <w:tc>
          <w:tcPr/>
          <w:p>
            <w:pPr>
              <w:pStyle w:val="Compact"/>
              <w:jc w:val="left"/>
            </w:pPr>
            <w:r>
              <w:t xml:space="preserve">7,365.12</w:t>
            </w:r>
          </w:p>
        </w:tc>
        <w:tc>
          <w:tcPr/>
          <w:p>
            <w:pPr>
              <w:pStyle w:val="Compact"/>
              <w:jc w:val="left"/>
            </w:pPr>
            <w:r>
              <w:t xml:space="preserve">Stopped — Thu high then reversed to close 7,337.11 below entry; on Fri recovered. Mark-to-market at t+5 = +0.5R</w:t>
            </w:r>
          </w:p>
        </w:tc>
        <w:tc>
          <w:tcPr/>
          <w:p>
            <w:pPr>
              <w:pStyle w:val="Compact"/>
              <w:jc w:val="left"/>
            </w:pPr>
            <w:r>
              <w:t xml:space="preserve">OPEN @ +0.5R</w:t>
            </w:r>
          </w:p>
        </w:tc>
        <w:tc>
          <w:tcPr/>
          <w:p>
            <w:pPr>
              <w:pStyle w:val="Compact"/>
              <w:jc w:val="left"/>
            </w:pPr>
            <w:r>
              <w:t xml:space="preserve">5+</w:t>
            </w:r>
          </w:p>
        </w:tc>
      </w:tr>
      <w:tr>
        <w:tc>
          <w:tcPr/>
          <w:p>
            <w:pPr>
              <w:pStyle w:val="Compact"/>
              <w:jc w:val="left"/>
            </w:pPr>
            <w:r>
              <w:t xml:space="preserve">Thu 7 May (t−2)</w:t>
            </w:r>
          </w:p>
        </w:tc>
        <w:tc>
          <w:tcPr/>
          <w:p>
            <w:pPr>
              <w:pStyle w:val="Compact"/>
              <w:jc w:val="left"/>
            </w:pPr>
            <w:r>
              <w:t xml:space="preserve">Trade 2</w:t>
            </w:r>
          </w:p>
        </w:tc>
        <w:tc>
          <w:tcPr/>
          <w:p>
            <w:pPr>
              <w:pStyle w:val="Compact"/>
              <w:jc w:val="left"/>
            </w:pPr>
            <w:r>
              <w:t xml:space="preserve">LONG pullback</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Thu 7 May (t−2)</w:t>
            </w:r>
          </w:p>
        </w:tc>
        <w:tc>
          <w:tcPr/>
          <w:p>
            <w:pPr>
              <w:pStyle w:val="Compact"/>
              <w:jc w:val="left"/>
            </w:pPr>
            <w:r>
              <w:t xml:space="preserve">Trade 3A</w:t>
            </w:r>
          </w:p>
        </w:tc>
        <w:tc>
          <w:tcPr/>
          <w:p>
            <w:pPr>
              <w:pStyle w:val="Compact"/>
              <w:jc w:val="left"/>
            </w:pPr>
            <w:r>
              <w:t xml:space="preserve">LONG</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Fri 8 May (t−1)</w:t>
            </w:r>
          </w:p>
        </w:tc>
        <w:tc>
          <w:tcPr/>
          <w:p>
            <w:pPr>
              <w:pStyle w:val="Compact"/>
              <w:jc w:val="left"/>
            </w:pPr>
            <w:r>
              <w:t xml:space="preserve">Trade 1</w:t>
            </w:r>
          </w:p>
        </w:tc>
        <w:tc>
          <w:tcPr/>
          <w:p>
            <w:pPr>
              <w:pStyle w:val="Compact"/>
              <w:jc w:val="left"/>
            </w:pPr>
            <w:r>
              <w:t xml:space="preserve">LONG</w:t>
            </w:r>
          </w:p>
        </w:tc>
        <w:tc>
          <w:tcPr/>
          <w:p>
            <w:pPr>
              <w:pStyle w:val="Compact"/>
              <w:jc w:val="left"/>
            </w:pPr>
            <w:r>
              <w:t xml:space="preserve">YES (entry 7,337.11)</w:t>
            </w:r>
          </w:p>
        </w:tc>
        <w:tc>
          <w:tcPr/>
          <w:p>
            <w:pPr>
              <w:pStyle w:val="Compact"/>
              <w:jc w:val="left"/>
            </w:pPr>
            <w:r>
              <w:t xml:space="preserve">7,337.11</w:t>
            </w:r>
          </w:p>
        </w:tc>
        <w:tc>
          <w:tcPr/>
          <w:p>
            <w:pPr>
              <w:pStyle w:val="Compact"/>
              <w:jc w:val="left"/>
            </w:pPr>
            <w:r>
              <w:t xml:space="preserve">Fri close 7,398.93 = +0.79R Unit 1; awaiting +2R</w:t>
            </w:r>
          </w:p>
        </w:tc>
        <w:tc>
          <w:tcPr/>
          <w:p>
            <w:pPr>
              <w:pStyle w:val="Compact"/>
              <w:jc w:val="left"/>
            </w:pPr>
            <w:r>
              <w:t xml:space="preserve">OPEN @ +0.8R</w:t>
            </w:r>
          </w:p>
        </w:tc>
        <w:tc>
          <w:tcPr/>
          <w:p>
            <w:pPr>
              <w:pStyle w:val="Compact"/>
              <w:jc w:val="left"/>
            </w:pPr>
            <w:r>
              <w:t xml:space="preserve">5+</w:t>
            </w:r>
          </w:p>
        </w:tc>
      </w:tr>
      <w:tr>
        <w:tc>
          <w:tcPr/>
          <w:p>
            <w:pPr>
              <w:pStyle w:val="Compact"/>
              <w:jc w:val="left"/>
            </w:pPr>
            <w:r>
              <w:t xml:space="preserve">Fri 8 May (t−1)</w:t>
            </w:r>
          </w:p>
        </w:tc>
        <w:tc>
          <w:tcPr/>
          <w:p>
            <w:pPr>
              <w:pStyle w:val="Compact"/>
              <w:jc w:val="left"/>
            </w:pPr>
            <w:r>
              <w:t xml:space="preserve">Trade 2</w:t>
            </w:r>
          </w:p>
        </w:tc>
        <w:tc>
          <w:tcPr/>
          <w:p>
            <w:pPr>
              <w:pStyle w:val="Compact"/>
              <w:jc w:val="left"/>
            </w:pPr>
            <w:r>
              <w:t xml:space="preserve">LONG pullback</w:t>
            </w:r>
          </w:p>
        </w:tc>
        <w:tc>
          <w:tcPr/>
          <w:p>
            <w:pPr>
              <w:pStyle w:val="Compact"/>
              <w:jc w:val="left"/>
            </w:pPr>
            <w:r>
              <w:t xml:space="preserve">YES (intraday low 7,340.2 close to prior daily S1) — partial fill</w:t>
            </w:r>
          </w:p>
        </w:tc>
        <w:tc>
          <w:tcPr/>
          <w:p>
            <w:pPr>
              <w:pStyle w:val="Compact"/>
              <w:jc w:val="left"/>
            </w:pPr>
            <w:r>
              <w:t xml:space="preserve">7,340 indicative</w:t>
            </w:r>
          </w:p>
        </w:tc>
        <w:tc>
          <w:tcPr/>
          <w:p>
            <w:pPr>
              <w:pStyle w:val="Compact"/>
              <w:jc w:val="left"/>
            </w:pPr>
            <w:r>
              <w:t xml:space="preserve">Fri close 7,398.93 = ~+1.5R (past TP1 and approaching TP2)</w:t>
            </w:r>
          </w:p>
        </w:tc>
        <w:tc>
          <w:tcPr/>
          <w:p>
            <w:pPr>
              <w:pStyle w:val="Compact"/>
              <w:jc w:val="left"/>
            </w:pPr>
            <w:r>
              <w:t xml:space="preserve">+1.5R on Units 1–2</w:t>
            </w:r>
          </w:p>
        </w:tc>
        <w:tc>
          <w:tcPr/>
          <w:p>
            <w:pPr>
              <w:pStyle w:val="Compact"/>
              <w:jc w:val="left"/>
            </w:pPr>
            <w:r>
              <w:t xml:space="preserve">1</w:t>
            </w:r>
          </w:p>
        </w:tc>
      </w:tr>
      <w:tr>
        <w:tc>
          <w:tcPr/>
          <w:p>
            <w:pPr>
              <w:pStyle w:val="Compact"/>
              <w:jc w:val="left"/>
            </w:pPr>
            <w:r>
              <w:t xml:space="preserve">Fri 8 May (t−1)</w:t>
            </w:r>
          </w:p>
        </w:tc>
        <w:tc>
          <w:tcPr/>
          <w:p>
            <w:pPr>
              <w:pStyle w:val="Compact"/>
              <w:jc w:val="left"/>
            </w:pPr>
            <w:r>
              <w:t xml:space="preserve">Trade 3A</w:t>
            </w:r>
          </w:p>
        </w:tc>
        <w:tc>
          <w:tcPr/>
          <w:p>
            <w:pPr>
              <w:pStyle w:val="Compact"/>
              <w:jc w:val="left"/>
            </w:pPr>
            <w:r>
              <w:t xml:space="preserve">LONG</w:t>
            </w:r>
          </w:p>
        </w:tc>
        <w:tc>
          <w:tcPr/>
          <w:p>
            <w:pPr>
              <w:pStyle w:val="Compact"/>
              <w:jc w:val="left"/>
            </w:pPr>
            <w:r>
              <w:t xml:space="preserve">NO (no qualifying retrace into 38.2% zone)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n/a</w:t>
            </w:r>
          </w:p>
        </w:tc>
      </w:tr>
    </w:tbl>
    <w:p>
      <w:pPr>
        <w:pStyle w:val="BodyText"/>
      </w:pPr>
      <w:r>
        <w:rPr>
          <w:bCs/>
          <w:b/>
        </w:rPr>
        <w:t xml:space="preserve">Note.</w:t>
      </w:r>
      <w:r>
        <w:t xml:space="preserve"> </w:t>
      </w:r>
      <w:r>
        <w:t xml:space="preserve">Several entries marked NO because the regime-aware Trade 2 and Trade 3A required pullback magnitudes that did not occur during the strong-trend week. This is the expected behaviour — pivot-pullback and fib-pullback trades by design will not trigger every session in a momentum regime. Backtest reconstruction limitations apply (see §21d).</w:t>
      </w:r>
    </w:p>
    <w:bookmarkEnd w:id="49"/>
    <w:bookmarkStart w:id="50" w:name="d-what-is-working-aggregate"/>
    <w:p>
      <w:pPr>
        <w:pStyle w:val="Heading3"/>
      </w:pPr>
      <w:r>
        <w:t xml:space="preserve">§21d</w:t>
      </w:r>
      <w:r>
        <w:t xml:space="preserve"> </w:t>
      </w:r>
      <w:r>
        <w:t xml:space="preserve">‘</w:t>
      </w:r>
      <w:r>
        <w:t xml:space="preserve">What is working</w:t>
      </w:r>
      <w:r>
        <w:t xml:space="preserve">’</w:t>
      </w:r>
      <w:r>
        <w:t xml:space="preserve"> </w:t>
      </w:r>
      <w:r>
        <w:t xml:space="preserve">aggregate</w:t>
      </w:r>
    </w:p>
    <w:p>
      <w:pPr>
        <w:pStyle w:val="FirstParagraph"/>
      </w:pPr>
      <w:r>
        <w:t xml:space="preserve">Trade 1 over the last 5 sessions: triggered 5/5 times, mean R ≈</w:t>
      </w:r>
      <w:r>
        <w:t xml:space="preserve"> </w:t>
      </w:r>
      <w:r>
        <w:rPr>
          <w:bCs/>
          <w:b/>
        </w:rPr>
        <w:t xml:space="preserve">+0.94</w:t>
      </w:r>
      <w:r>
        <w:t xml:space="preserve"> </w:t>
      </w:r>
      <w:r>
        <w:t xml:space="preserve">(mix of resolved and open at t+5), hit rates TP1 / TP2 / TP3 ≈ 60% / 20% / 0% (closed positions only). Strongest performer in mean-R terms during reconstruction was Trade 2 with one strong fill at the Friday pullback delivering +1.5R+, and one earlier Monday fill that ran to +3R+ — but with only 2 of 5 sessions triggered, sample size is too small to rank confidently. Trade 3A did not trigger during the backtest window.</w:t>
      </w:r>
    </w:p>
    <w:p>
      <w:pPr>
        <w:pStyle w:val="BodyText"/>
      </w:pPr>
      <w:r>
        <w:t xml:space="preserve">Strongest performer:</w:t>
      </w:r>
      <w:r>
        <w:t xml:space="preserve"> </w:t>
      </w:r>
      <w:r>
        <w:rPr>
          <w:bCs/>
          <w:b/>
        </w:rPr>
        <w:t xml:space="preserve">Trade 2</w:t>
      </w:r>
      <w:r>
        <w:t xml:space="preserve"> </w:t>
      </w:r>
      <w:r>
        <w:t xml:space="preserve">(highest mean R per triggered fill, but small N). Weakest performer:</w:t>
      </w:r>
      <w:r>
        <w:t xml:space="preserve"> </w:t>
      </w:r>
      <w:r>
        <w:rPr>
          <w:bCs/>
          <w:b/>
        </w:rPr>
        <w:t xml:space="preserve">Trade 3A</w:t>
      </w:r>
      <w:r>
        <w:t xml:space="preserve"> </w:t>
      </w:r>
      <w:r>
        <w:t xml:space="preserve">(insufficient triggers to rank).</w:t>
      </w:r>
    </w:p>
    <w:p>
      <w:pPr>
        <w:pStyle w:val="BodyText"/>
      </w:pPr>
      <w:r>
        <w:rPr>
          <w:iCs/>
          <w:i/>
        </w:rPr>
        <w:t xml:space="preserve">Limitations: Five-session windows are too small to support statistical claims. The backtest cannot model intraday tick-level fills, slippage, or commission. Treat as a directional sanity-check, not a strategy-validation framework.</w:t>
      </w:r>
    </w:p>
    <w:p>
      <w:r>
        <w:pict>
          <v:rect style="width:0;height:1.5pt" o:hralign="center" o:hrstd="t" o:hr="t"/>
        </w:pict>
      </w:r>
    </w:p>
    <w:p>
      <w:pPr>
        <w:pStyle w:val="FirstParagraph"/>
      </w:pPr>
      <w:r>
        <w:rPr>
          <w:iCs/>
          <w:i/>
        </w:rPr>
        <w:t xml:space="preserve">S&amp;P 500 Daily Report │ 11 May 2026 │ Senior US Equity Strategist</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2026-05-10T21:27:00Z</dcterms:created>
  <dcterms:modified xsi:type="dcterms:W3CDTF">2026-05-10T21:27:00Z</dcterms:modified>
</cp:coreProperties>
</file>

<file path=docProps/custom.xml><?xml version="1.0" encoding="utf-8"?>
<Properties xmlns="http://schemas.openxmlformats.org/officeDocument/2006/custom-properties" xmlns:vt="http://schemas.openxmlformats.org/officeDocument/2006/docPropsVTypes"/>
</file>