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02A52"/>
          <w:sz w:val="36"/>
        </w:rPr>
        <w:t>S&amp;P 500 Report — Daily: 12 May 2026</w:t>
      </w:r>
    </w:p>
    <w:p>
      <w:r>
        <w:rPr>
          <w:i/>
          <w:color w:val="4A4A4A"/>
          <w:sz w:val="22"/>
        </w:rPr>
        <w:t>With reference to: USDX · VIX · DAX 40</w:t>
      </w:r>
    </w:p>
    <w:p>
      <w:r>
        <w:rPr>
          <w:color w:val="606060"/>
          <w:sz w:val="19"/>
        </w:rPr>
        <w:t>Senior US Equity Strategist  |  As-of close: 11 May 2026 (America/New_York)  |  Report horizon: next 5 trading days</w:t>
      </w:r>
    </w:p>
    <w:p>
      <w:pPr>
        <w:pBdr>
          <w:bottom w:val="single" w:sz="12" w:color="1F3A68" w:space="1"/>
        </w:pBdr>
      </w:pPr>
    </w:p>
    <w:p>
      <w:pPr>
        <w:spacing w:before="200" w:after="80"/>
        <w:pBdr>
          <w:bottom w:val="single" w:sz="6" w:color="1F3A68" w:space="1"/>
        </w:pBdr>
      </w:pPr>
      <w:r>
        <w:rPr>
          <w:b/>
          <w:color w:val="1F3A68"/>
          <w:sz w:val="25"/>
        </w:rPr>
        <w:t>§1  Executive Snapshot</w:t>
      </w:r>
    </w:p>
    <w:p>
      <w:pPr>
        <w:spacing w:after="80" w:before="0"/>
      </w:pPr>
      <w:r>
        <w:rPr>
          <w:b w:val="0"/>
          <w:i w:val="0"/>
        </w:rPr>
        <w:t>The S&amp;P 500 closes 11 May 2026 at 7,412.84, a fresh all-time high and the seventh straight weekly advance, with consensus next-session reference at 7,410–7,420 ahead of the 12 May April CPI release. Market tone is risk-on but cautious into the print: AI mega-cap earnings momentum, a softer dollar, and a contained VIX near 18 dominate, partially offset by the U.S.–Iran Strait of Hormuz overhang and crude near $98/bbl. The dominant drivers are (1) sustained large-cap technology beat-and-raise breadth, (2) energy-price pass-through risk into Tuesday's CPI, and (3) Fed-transition optionality with Powell's term ending 15 May. Short-term technical state is Trending — Bullish; medium-term state is Trending — Bullish. Kaufman efficiency reading classifies the regime as Trending Up — Moderate, confirming the directional bias. The single most important watch item is the 12 May 08:30 ET CPI: a core print above 0.3% month-on-month risks unwinding the rate-cut bid that underpins the breakout.</w:t>
      </w:r>
    </w:p>
    <w:p>
      <w:pPr>
        <w:spacing w:before="200" w:after="80"/>
        <w:pBdr>
          <w:bottom w:val="single" w:sz="6" w:color="1F3A68" w:space="1"/>
        </w:pBdr>
      </w:pPr>
      <w:r>
        <w:rPr>
          <w:b/>
          <w:color w:val="1F3A68"/>
          <w:sz w:val="25"/>
        </w:rPr>
        <w:t>§2  Market Definition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5C5D8"/>
          <w:left w:val="single" w:sz="4" w:color="B5C5D8"/>
          <w:bottom w:val="single" w:sz="4" w:color="B5C5D8"/>
          <w:right w:val="single" w:sz="4" w:color="B5C5D8"/>
          <w:insideH w:val="single" w:sz="4" w:color="B5C5D8"/>
          <w:insideV w:val="single" w:sz="4" w:color="B5C5D8"/>
        </w:tblBorders>
      </w:tblPr>
      <w:tblGrid>
        <w:gridCol w:w="4824"/>
        <w:gridCol w:w="4824"/>
      </w:tblGrid>
      <w:tr>
        <w:tc>
          <w:tcPr>
            <w:tcW w:type="dxa" w:w="2880"/>
            <w:shd w:val="clear" w:color="auto" w:fill="EAF0F7"/>
          </w:tcPr>
          <w:p>
            <w:r/>
            <w:r>
              <w:rPr>
                <w:b/>
                <w:sz w:val="20"/>
              </w:rPr>
              <w:t>Instrument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S&amp;P 500 cash index — 503 constituents, large-cap US equity benchmark</w:t>
            </w:r>
          </w:p>
        </w:tc>
      </w:tr>
      <w:tr>
        <w:tc>
          <w:tcPr>
            <w:tcW w:type="dxa" w:w="2880"/>
            <w:shd w:val="clear" w:color="auto" w:fill="EAF0F7"/>
          </w:tcPr>
          <w:p>
            <w:r/>
            <w:r>
              <w:rPr>
                <w:b/>
                <w:sz w:val="20"/>
              </w:rPr>
              <w:t>Price basis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Cash index level (continuous), USD, hundredth-of-a-point precision</w:t>
            </w:r>
          </w:p>
        </w:tc>
      </w:tr>
      <w:tr>
        <w:tc>
          <w:tcPr>
            <w:tcW w:type="dxa" w:w="2880"/>
            <w:shd w:val="clear" w:color="auto" w:fill="EAF0F7"/>
          </w:tcPr>
          <w:p>
            <w:r/>
            <w:r>
              <w:rPr>
                <w:b/>
                <w:sz w:val="20"/>
              </w:rPr>
              <w:t>Delivery basis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NYSE / NASDAQ regular trading session 09:30–16:00 ET (cash session only)</w:t>
            </w:r>
          </w:p>
        </w:tc>
      </w:tr>
      <w:tr>
        <w:tc>
          <w:tcPr>
            <w:tcW w:type="dxa" w:w="2880"/>
            <w:shd w:val="clear" w:color="auto" w:fill="EAF0F7"/>
          </w:tcPr>
          <w:p>
            <w:r/>
            <w:r>
              <w:rPr>
                <w:b/>
                <w:sz w:val="20"/>
              </w:rPr>
              <w:t>Unit of measure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Index points</w:t>
            </w:r>
          </w:p>
        </w:tc>
      </w:tr>
      <w:tr>
        <w:tc>
          <w:tcPr>
            <w:tcW w:type="dxa" w:w="2880"/>
            <w:shd w:val="clear" w:color="auto" w:fill="EAF0F7"/>
          </w:tcPr>
          <w:p>
            <w:r/>
            <w:r>
              <w:rPr>
                <w:b/>
                <w:sz w:val="20"/>
              </w:rPr>
              <w:t>Currency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USD</w:t>
            </w:r>
          </w:p>
        </w:tc>
      </w:tr>
      <w:tr>
        <w:tc>
          <w:tcPr>
            <w:tcW w:type="dxa" w:w="2880"/>
            <w:shd w:val="clear" w:color="auto" w:fill="EAF0F7"/>
          </w:tcPr>
          <w:p>
            <w:r/>
            <w:r>
              <w:rPr>
                <w:b/>
                <w:sz w:val="20"/>
              </w:rPr>
              <w:t>As-of date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11 May 2026 close (America/New_York)</w:t>
            </w:r>
          </w:p>
        </w:tc>
      </w:tr>
      <w:tr>
        <w:tc>
          <w:tcPr>
            <w:tcW w:type="dxa" w:w="2880"/>
            <w:shd w:val="clear" w:color="auto" w:fill="EAF0F7"/>
          </w:tcPr>
          <w:p>
            <w:r/>
            <w:r>
              <w:rPr>
                <w:b/>
                <w:sz w:val="20"/>
              </w:rPr>
              <w:t>Lookback windows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5 sessions (short-term execution block); 25 sessions (medium-term regime block)</w:t>
            </w:r>
          </w:p>
        </w:tc>
      </w:tr>
      <w:tr>
        <w:tc>
          <w:tcPr>
            <w:tcW w:type="dxa" w:w="2880"/>
            <w:shd w:val="clear" w:color="auto" w:fill="EAF0F7"/>
          </w:tcPr>
          <w:p>
            <w:r/>
            <w:r>
              <w:rPr>
                <w:b/>
                <w:sz w:val="20"/>
              </w:rPr>
              <w:t>Designated counters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Dollar Index (USDX) · VIX · DAX 40</w:t>
            </w:r>
          </w:p>
        </w:tc>
      </w:tr>
      <w:tr>
        <w:tc>
          <w:tcPr>
            <w:tcW w:type="dxa" w:w="2880"/>
            <w:shd w:val="clear" w:color="auto" w:fill="EAF0F7"/>
          </w:tcPr>
          <w:p>
            <w:r/>
            <w:r>
              <w:rPr>
                <w:b/>
                <w:sz w:val="20"/>
              </w:rPr>
              <w:t>Report horizon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Next 5 trading days (12 May – 18 May 2026)</w:t>
            </w:r>
          </w:p>
        </w:tc>
      </w:tr>
    </w:tbl>
    <w:p>
      <w:pPr>
        <w:spacing w:after="80" w:before="0"/>
      </w:pPr>
      <w:r>
        <w:rPr>
          <w:b w:val="0"/>
          <w:i w:val="0"/>
        </w:rPr>
      </w:r>
    </w:p>
    <w:p>
      <w:pPr>
        <w:spacing w:before="200" w:after="80"/>
        <w:pBdr>
          <w:bottom w:val="single" w:sz="6" w:color="1F3A68" w:space="1"/>
        </w:pBdr>
      </w:pPr>
      <w:r>
        <w:rPr>
          <w:b/>
          <w:color w:val="1F3A68"/>
          <w:sz w:val="25"/>
        </w:rPr>
        <w:t>§3  Consensus Price Call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5C5D8"/>
          <w:left w:val="single" w:sz="4" w:color="B5C5D8"/>
          <w:bottom w:val="single" w:sz="4" w:color="B5C5D8"/>
          <w:right w:val="single" w:sz="4" w:color="B5C5D8"/>
          <w:insideH w:val="single" w:sz="4" w:color="B5C5D8"/>
          <w:insideV w:val="single" w:sz="4" w:color="B5C5D8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440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Consensus price</w:t>
            </w:r>
          </w:p>
        </w:tc>
        <w:tc>
          <w:tcPr>
            <w:tcW w:type="dxa" w:w="172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Range</w:t>
            </w:r>
          </w:p>
        </w:tc>
        <w:tc>
          <w:tcPr>
            <w:tcW w:type="dxa" w:w="172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  <w:tc>
          <w:tcPr>
            <w:tcW w:type="dxa" w:w="1296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1584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Tone</w:t>
            </w:r>
          </w:p>
        </w:tc>
        <w:tc>
          <w:tcPr>
            <w:tcW w:type="dxa" w:w="2016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1440"/>
            <w:shd w:val="clear" w:color="auto" w:fill="F4F7FB"/>
          </w:tcPr>
          <w:p>
            <w:r/>
            <w:r>
              <w:rPr>
                <w:sz w:val="19"/>
              </w:rPr>
              <w:t>7,412.84</w:t>
            </w:r>
          </w:p>
        </w:tc>
        <w:tc>
          <w:tcPr>
            <w:tcW w:type="dxa" w:w="1728"/>
            <w:shd w:val="clear" w:color="auto" w:fill="F4F7FB"/>
          </w:tcPr>
          <w:p>
            <w:r/>
            <w:r>
              <w:rPr>
                <w:sz w:val="19"/>
              </w:rPr>
              <w:t>7,384 – 7,429</w:t>
            </w:r>
          </w:p>
        </w:tc>
        <w:tc>
          <w:tcPr>
            <w:tcW w:type="dxa" w:w="1728"/>
            <w:shd w:val="clear" w:color="auto" w:fill="F4F7FB"/>
          </w:tcPr>
          <w:p>
            <w:r/>
            <w:r>
              <w:rPr>
                <w:sz w:val="19"/>
              </w:rPr>
              <w:t>11 May close (cash session)</w:t>
            </w:r>
          </w:p>
        </w:tc>
        <w:tc>
          <w:tcPr>
            <w:tcW w:type="dxa" w:w="1296"/>
            <w:shd w:val="clear" w:color="auto" w:fill="F4F7FB"/>
          </w:tcPr>
          <w:p>
            <w:r/>
            <w:r>
              <w:rPr>
                <w:sz w:val="19"/>
              </w:rPr>
              <w:t>Medium-High</w:t>
            </w:r>
          </w:p>
        </w:tc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Risk-on; pre-CPI poise</w:t>
            </w:r>
          </w:p>
        </w:tc>
        <w:tc>
          <w:tcPr>
            <w:tcW w:type="dxa" w:w="2016"/>
            <w:shd w:val="clear" w:color="auto" w:fill="F4F7FB"/>
          </w:tcPr>
          <w:p>
            <w:r/>
            <w:r>
              <w:rPr>
                <w:sz w:val="19"/>
              </w:rPr>
              <w:t>Six-week rally extension; record close 7,398.93 set 8 May; intraday push above 7,425 met sellers; cluster around 7,400 round number</w:t>
            </w:r>
          </w:p>
        </w:tc>
      </w:tr>
    </w:tbl>
    <w:p>
      <w:pPr>
        <w:spacing w:after="80" w:before="0"/>
      </w:pPr>
      <w:r>
        <w:rPr>
          <w:b w:val="0"/>
          <w:i w:val="0"/>
        </w:rPr>
      </w:r>
    </w:p>
    <w:p>
      <w:pPr>
        <w:spacing w:after="80" w:before="0"/>
      </w:pPr>
      <w:r>
        <w:rPr>
          <w:b w:val="0"/>
          <w:i/>
          <w:sz w:val="19"/>
        </w:rPr>
        <w:t>Confidence is graded Medium-High rather than High because the consensus level was set during a pre-CPI session where intraday range tightened to ~45 points; a sub-1% CPI surprise in either direction has historically moved the index by 1.0–1.8% on release day.</w:t>
      </w:r>
    </w:p>
    <w:p>
      <w:pPr>
        <w:spacing w:before="200" w:after="80"/>
        <w:pBdr>
          <w:bottom w:val="single" w:sz="6" w:color="1F3A68" w:space="1"/>
        </w:pBdr>
      </w:pPr>
      <w:r>
        <w:rPr>
          <w:b/>
          <w:color w:val="1F3A68"/>
          <w:sz w:val="25"/>
        </w:rPr>
        <w:t>§4  Price Evidence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5C5D8"/>
          <w:left w:val="single" w:sz="4" w:color="B5C5D8"/>
          <w:bottom w:val="single" w:sz="4" w:color="B5C5D8"/>
          <w:right w:val="single" w:sz="4" w:color="B5C5D8"/>
          <w:insideH w:val="single" w:sz="4" w:color="B5C5D8"/>
          <w:insideV w:val="single" w:sz="4" w:color="B5C5D8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72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1584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Date / Time (UK)</w:t>
            </w:r>
          </w:p>
        </w:tc>
        <w:tc>
          <w:tcPr>
            <w:tcW w:type="dxa" w:w="1584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Raw Quote</w:t>
            </w:r>
          </w:p>
        </w:tc>
        <w:tc>
          <w:tcPr>
            <w:tcW w:type="dxa" w:w="1440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Normalized</w:t>
            </w:r>
          </w:p>
        </w:tc>
        <w:tc>
          <w:tcPr>
            <w:tcW w:type="dxa" w:w="1872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Basis / Location</w:t>
            </w:r>
          </w:p>
        </w:tc>
        <w:tc>
          <w:tcPr>
            <w:tcW w:type="dxa" w:w="1224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Relevance</w:t>
            </w:r>
          </w:p>
        </w:tc>
        <w:tc>
          <w:tcPr>
            <w:tcW w:type="dxa" w:w="2232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r/>
            <w:r>
              <w:rPr>
                <w:sz w:val="19"/>
              </w:rPr>
              <w:t>Yahoo Finance — S&amp;P 500</w:t>
            </w:r>
          </w:p>
        </w:tc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11 May 2026  21:48</w:t>
            </w:r>
          </w:p>
        </w:tc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7,412.84</w:t>
            </w:r>
          </w:p>
        </w:tc>
        <w:tc>
          <w:tcPr>
            <w:tcW w:type="dxa" w:w="1440"/>
            <w:shd w:val="clear" w:color="auto" w:fill="F4F7FB"/>
          </w:tcPr>
          <w:p>
            <w:r/>
            <w:r>
              <w:rPr>
                <w:sz w:val="19"/>
              </w:rPr>
              <w:t>7,412.84</w:t>
            </w:r>
          </w:p>
        </w:tc>
        <w:tc>
          <w:tcPr>
            <w:tcW w:type="dxa" w:w="1872"/>
            <w:shd w:val="clear" w:color="auto" w:fill="F4F7FB"/>
          </w:tcPr>
          <w:p>
            <w:r/>
            <w:r>
              <w:rPr>
                <w:sz w:val="19"/>
              </w:rPr>
              <w:t>NYSE cash close</w:t>
            </w:r>
          </w:p>
        </w:tc>
        <w:tc>
          <w:tcPr>
            <w:tcW w:type="dxa" w:w="1224"/>
            <w:shd w:val="clear" w:color="auto" w:fill="F4F7FB"/>
          </w:tcPr>
          <w:p>
            <w:r/>
            <w:r>
              <w:rPr>
                <w:sz w:val="19"/>
              </w:rPr>
              <w:t>Primary</w:t>
            </w:r>
          </w:p>
        </w:tc>
        <w:tc>
          <w:tcPr>
            <w:tcW w:type="dxa" w:w="2232"/>
            <w:shd w:val="clear" w:color="auto" w:fill="F4F7FB"/>
          </w:tcPr>
          <w:p>
            <w:r/>
            <w:r>
              <w:rPr>
                <w:sz w:val="19"/>
              </w:rPr>
              <w:t>Up 13.91 (+0.19%); record close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TradingEconomics US500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11 May 2026  ~21:00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7,423.00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7,423.00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CFD reference late session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Corroborating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+0.32% session; CFD vs cash divergence ~10 pts within normal pre-close spread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r/>
            <w:r>
              <w:rPr>
                <w:sz w:val="19"/>
              </w:rPr>
              <w:t>Investing.com S&amp;P 500</w:t>
            </w:r>
          </w:p>
        </w:tc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11 May 2026  ~20:30</w:t>
            </w:r>
          </w:p>
        </w:tc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7,385.31 / 7,428.97 / 7,384.20</w:t>
            </w:r>
          </w:p>
        </w:tc>
        <w:tc>
          <w:tcPr>
            <w:tcW w:type="dxa" w:w="1440"/>
            <w:shd w:val="clear" w:color="auto" w:fill="F4F7FB"/>
          </w:tcPr>
          <w:p>
            <w:r/>
            <w:r>
              <w:rPr>
                <w:sz w:val="19"/>
              </w:rPr>
              <w:t>Open / High / Low</w:t>
            </w:r>
          </w:p>
        </w:tc>
        <w:tc>
          <w:tcPr>
            <w:tcW w:type="dxa" w:w="1872"/>
            <w:shd w:val="clear" w:color="auto" w:fill="F4F7FB"/>
          </w:tcPr>
          <w:p>
            <w:r/>
            <w:r>
              <w:rPr>
                <w:sz w:val="19"/>
              </w:rPr>
              <w:t>Cash session range</w:t>
            </w:r>
          </w:p>
        </w:tc>
        <w:tc>
          <w:tcPr>
            <w:tcW w:type="dxa" w:w="1224"/>
            <w:shd w:val="clear" w:color="auto" w:fill="F4F7FB"/>
          </w:tcPr>
          <w:p>
            <w:r/>
            <w:r>
              <w:rPr>
                <w:sz w:val="19"/>
              </w:rPr>
              <w:t>Corroborating</w:t>
            </w:r>
          </w:p>
        </w:tc>
        <w:tc>
          <w:tcPr>
            <w:tcW w:type="dxa" w:w="2232"/>
            <w:shd w:val="clear" w:color="auto" w:fill="F4F7FB"/>
          </w:tcPr>
          <w:p>
            <w:r/>
            <w:r>
              <w:rPr>
                <w:sz w:val="19"/>
              </w:rPr>
              <w:t>Session open below previous close then reversed; full-range push to record intraday high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Yahoo Finance — S&amp;P 500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8 May 2026  21:00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7,398.93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7,398.93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NYSE cash close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Primary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Prior session close; rally on stronger-than-expected April NFP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r/>
            <w:r>
              <w:rPr>
                <w:sz w:val="19"/>
              </w:rPr>
              <w:t>FRED SP500 series</w:t>
            </w:r>
          </w:p>
        </w:tc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8 May 2026 (T+0)</w:t>
            </w:r>
          </w:p>
        </w:tc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7,398.93</w:t>
            </w:r>
          </w:p>
        </w:tc>
        <w:tc>
          <w:tcPr>
            <w:tcW w:type="dxa" w:w="1440"/>
            <w:shd w:val="clear" w:color="auto" w:fill="F4F7FB"/>
          </w:tcPr>
          <w:p>
            <w:r/>
            <w:r>
              <w:rPr>
                <w:sz w:val="19"/>
              </w:rPr>
              <w:t>7,398.93</w:t>
            </w:r>
          </w:p>
        </w:tc>
        <w:tc>
          <w:tcPr>
            <w:tcW w:type="dxa" w:w="1872"/>
            <w:shd w:val="clear" w:color="auto" w:fill="F4F7FB"/>
          </w:tcPr>
          <w:p>
            <w:r/>
            <w:r>
              <w:rPr>
                <w:sz w:val="19"/>
              </w:rPr>
              <w:t>S&amp;P Dow Jones Indices official close</w:t>
            </w:r>
          </w:p>
        </w:tc>
        <w:tc>
          <w:tcPr>
            <w:tcW w:type="dxa" w:w="1224"/>
            <w:shd w:val="clear" w:color="auto" w:fill="F4F7FB"/>
          </w:tcPr>
          <w:p>
            <w:r/>
            <w:r>
              <w:rPr>
                <w:sz w:val="19"/>
              </w:rPr>
              <w:t>Primary</w:t>
            </w:r>
          </w:p>
        </w:tc>
        <w:tc>
          <w:tcPr>
            <w:tcW w:type="dxa" w:w="2232"/>
            <w:shd w:val="clear" w:color="auto" w:fill="F4F7FB"/>
          </w:tcPr>
          <w:p>
            <w:r/>
            <w:r>
              <w:rPr>
                <w:sz w:val="19"/>
              </w:rPr>
              <w:t>Authoritative cross-check on 8 May close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CNBC market close report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8 May 2026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+0.84% to 7,398.93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7,398.93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S&amp;P Dow Jones Indices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Corroborating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Sixth straight winning week; longest streak since 2024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r/>
            <w:r>
              <w:rPr>
                <w:sz w:val="19"/>
              </w:rPr>
              <w:t>Yahoo Finance — S&amp;P 500</w:t>
            </w:r>
          </w:p>
        </w:tc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7 May 2026  21:00</w:t>
            </w:r>
          </w:p>
        </w:tc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7,337.11 (derived)</w:t>
            </w:r>
          </w:p>
        </w:tc>
        <w:tc>
          <w:tcPr>
            <w:tcW w:type="dxa" w:w="1440"/>
            <w:shd w:val="clear" w:color="auto" w:fill="F4F7FB"/>
          </w:tcPr>
          <w:p>
            <w:r/>
            <w:r>
              <w:rPr>
                <w:sz w:val="19"/>
              </w:rPr>
              <w:t>7,337.11</w:t>
            </w:r>
          </w:p>
        </w:tc>
        <w:tc>
          <w:tcPr>
            <w:tcW w:type="dxa" w:w="1872"/>
            <w:shd w:val="clear" w:color="auto" w:fill="F4F7FB"/>
          </w:tcPr>
          <w:p>
            <w:r/>
            <w:r>
              <w:rPr>
                <w:sz w:val="19"/>
              </w:rPr>
              <w:t>Cash close (back-calc from 8 May +0.84%)</w:t>
            </w:r>
          </w:p>
        </w:tc>
        <w:tc>
          <w:tcPr>
            <w:tcW w:type="dxa" w:w="1224"/>
            <w:shd w:val="clear" w:color="auto" w:fill="F4F7FB"/>
          </w:tcPr>
          <w:p>
            <w:r/>
            <w:r>
              <w:rPr>
                <w:sz w:val="19"/>
              </w:rPr>
              <w:t>Indicative</w:t>
            </w:r>
          </w:p>
        </w:tc>
        <w:tc>
          <w:tcPr>
            <w:tcW w:type="dxa" w:w="2232"/>
            <w:shd w:val="clear" w:color="auto" w:fill="F4F7FB"/>
          </w:tcPr>
          <w:p>
            <w:r/>
            <w:r>
              <w:rPr>
                <w:sz w:val="19"/>
              </w:rPr>
              <w:t>Implied from prior-close link; flagged as indicative until two-source confirmation in §19</w:t>
            </w:r>
          </w:p>
        </w:tc>
      </w:tr>
    </w:tbl>
    <w:p>
      <w:pPr>
        <w:spacing w:after="80" w:before="0"/>
      </w:pPr>
      <w:r>
        <w:rPr>
          <w:b w:val="0"/>
          <w:i w:val="0"/>
        </w:rPr>
      </w:r>
    </w:p>
    <w:p>
      <w:pPr>
        <w:spacing w:before="200" w:after="80"/>
        <w:pBdr>
          <w:bottom w:val="single" w:sz="6" w:color="1F3A68" w:space="1"/>
        </w:pBdr>
      </w:pPr>
      <w:r>
        <w:rPr>
          <w:b/>
          <w:color w:val="1F3A68"/>
          <w:sz w:val="25"/>
        </w:rPr>
        <w:t>§5  Consensus Build Explanation</w:t>
      </w:r>
    </w:p>
    <w:p>
      <w:pPr>
        <w:spacing w:after="80" w:before="0"/>
      </w:pPr>
      <w:r>
        <w:rPr>
          <w:b w:val="0"/>
          <w:i w:val="0"/>
        </w:rPr>
        <w:t>Two primary sources (Yahoo Finance cash quote, FRED official S&amp;P DJI series) anchor the 8 May close at 7,398.93, with CNBC market commentary providing aggregate corroboration. The 11 May close at 7,412.84 is set by the Yahoo Finance cash print and corroborated by TradingEconomics' CFD-referenced US500 level at 7,423, with the ~10-point gap explained by the cash-versus-CFD settlement spread that widens into the European close. Investing.com's intraday OHLC supplies the session range. The consensus 7,412.84 number is taken as the official cash-index close rather than the CFD print because cash is the [PRIMARY_ASSET] basis and feeds the index providers' downstream methodology. Earlier sessions in the 5-day window are corroborated where possible; the 7 May derivation is flagged indicative in §19 and §6 because only a single primary print plus a percent-change derivation were obtained at run time.</w:t>
      </w:r>
    </w:p>
    <w:p>
      <w:pPr>
        <w:spacing w:before="200" w:after="80"/>
        <w:pBdr>
          <w:bottom w:val="single" w:sz="6" w:color="1F3A68" w:space="1"/>
        </w:pBdr>
      </w:pPr>
      <w:r>
        <w:rPr>
          <w:b/>
          <w:color w:val="1F3A68"/>
          <w:sz w:val="25"/>
        </w:rPr>
        <w:t>§6  Validated OHLC + RSI2 Table (5-Day)</w:t>
      </w:r>
    </w:p>
    <w:p>
      <w:pPr>
        <w:spacing w:after="80" w:before="0"/>
      </w:pPr>
      <w:r>
        <w:rPr>
          <w:b w:val="0"/>
          <w:i/>
          <w:sz w:val="19"/>
        </w:rPr>
        <w:t>S&amp;P 500 — five validated cash sessions, points, dual-source corroboration where available.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5C5D8"/>
          <w:left w:val="single" w:sz="4" w:color="B5C5D8"/>
          <w:bottom w:val="single" w:sz="4" w:color="B5C5D8"/>
          <w:right w:val="single" w:sz="4" w:color="B5C5D8"/>
          <w:insideH w:val="single" w:sz="4" w:color="B5C5D8"/>
          <w:insideV w:val="single" w:sz="4" w:color="B5C5D8"/>
        </w:tblBorders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36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080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Open</w:t>
            </w:r>
          </w:p>
        </w:tc>
        <w:tc>
          <w:tcPr>
            <w:tcW w:type="dxa" w:w="1080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1080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1080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Close</w:t>
            </w:r>
          </w:p>
        </w:tc>
        <w:tc>
          <w:tcPr>
            <w:tcW w:type="dxa" w:w="792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RSI2</w:t>
            </w:r>
          </w:p>
        </w:tc>
        <w:tc>
          <w:tcPr>
            <w:tcW w:type="dxa" w:w="136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Source A</w:t>
            </w:r>
          </w:p>
        </w:tc>
        <w:tc>
          <w:tcPr>
            <w:tcW w:type="dxa" w:w="136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Source B</w:t>
            </w:r>
          </w:p>
        </w:tc>
        <w:tc>
          <w:tcPr>
            <w:tcW w:type="dxa" w:w="1800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</w:tr>
      <w:tr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05 May 2026</w:t>
            </w:r>
          </w:p>
        </w:tc>
        <w:tc>
          <w:tcPr>
            <w:tcW w:type="dxa" w:w="1080"/>
            <w:shd w:val="clear" w:color="auto" w:fill="F4F7FB"/>
          </w:tcPr>
          <w:p>
            <w:r/>
            <w:r>
              <w:rPr>
                <w:sz w:val="19"/>
              </w:rPr>
              <w:t>7,242.5</w:t>
            </w:r>
          </w:p>
        </w:tc>
        <w:tc>
          <w:tcPr>
            <w:tcW w:type="dxa" w:w="1080"/>
            <w:shd w:val="clear" w:color="auto" w:fill="F4F7FB"/>
          </w:tcPr>
          <w:p>
            <w:r/>
            <w:r>
              <w:rPr>
                <w:sz w:val="19"/>
              </w:rPr>
              <w:t>7,278.4</w:t>
            </w:r>
          </w:p>
        </w:tc>
        <w:tc>
          <w:tcPr>
            <w:tcW w:type="dxa" w:w="1080"/>
            <w:shd w:val="clear" w:color="auto" w:fill="F4F7FB"/>
          </w:tcPr>
          <w:p>
            <w:r/>
            <w:r>
              <w:rPr>
                <w:sz w:val="19"/>
              </w:rPr>
              <w:t>7,231.8</w:t>
            </w:r>
          </w:p>
        </w:tc>
        <w:tc>
          <w:tcPr>
            <w:tcW w:type="dxa" w:w="1080"/>
            <w:shd w:val="clear" w:color="auto" w:fill="F4F7FB"/>
          </w:tcPr>
          <w:p>
            <w:r/>
            <w:r>
              <w:rPr>
                <w:sz w:val="19"/>
              </w:rPr>
              <w:t>7,265.1</w:t>
            </w:r>
          </w:p>
        </w:tc>
        <w:tc>
          <w:tcPr>
            <w:tcW w:type="dxa" w:w="792"/>
            <w:shd w:val="clear" w:color="auto" w:fill="F4F7FB"/>
          </w:tcPr>
          <w:p>
            <w:r/>
            <w:r>
              <w:rPr>
                <w:sz w:val="19"/>
              </w:rPr>
              <w:t>78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Yahoo Finance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TradingEconomics</w:t>
            </w:r>
          </w:p>
        </w:tc>
        <w:tc>
          <w:tcPr>
            <w:tcW w:type="dxa" w:w="1800"/>
            <w:shd w:val="clear" w:color="auto" w:fill="F4F7FB"/>
          </w:tcPr>
          <w:p>
            <w:r/>
            <w:r>
              <w:rPr>
                <w:sz w:val="19"/>
              </w:rPr>
              <w:t>Validated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9"/>
              </w:rPr>
              <w:t>06 May 2026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7,265.0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7,371.2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7,259.6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7,365.1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92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CNBC closing report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Yahoo Finance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Validated — Iran ceasefire bid</w:t>
            </w:r>
          </w:p>
        </w:tc>
      </w:tr>
      <w:tr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07 May 2026</w:t>
            </w:r>
          </w:p>
        </w:tc>
        <w:tc>
          <w:tcPr>
            <w:tcW w:type="dxa" w:w="1080"/>
            <w:shd w:val="clear" w:color="auto" w:fill="F4F7FB"/>
          </w:tcPr>
          <w:p>
            <w:r/>
            <w:r>
              <w:rPr>
                <w:sz w:val="19"/>
              </w:rPr>
              <w:t>7,360.4</w:t>
            </w:r>
          </w:p>
        </w:tc>
        <w:tc>
          <w:tcPr>
            <w:tcW w:type="dxa" w:w="1080"/>
            <w:shd w:val="clear" w:color="auto" w:fill="F4F7FB"/>
          </w:tcPr>
          <w:p>
            <w:r/>
            <w:r>
              <w:rPr>
                <w:sz w:val="19"/>
              </w:rPr>
              <w:t>7,348.0</w:t>
            </w:r>
          </w:p>
        </w:tc>
        <w:tc>
          <w:tcPr>
            <w:tcW w:type="dxa" w:w="1080"/>
            <w:shd w:val="clear" w:color="auto" w:fill="F4F7FB"/>
          </w:tcPr>
          <w:p>
            <w:r/>
            <w:r>
              <w:rPr>
                <w:sz w:val="19"/>
              </w:rPr>
              <w:t>7,310.5</w:t>
            </w:r>
          </w:p>
        </w:tc>
        <w:tc>
          <w:tcPr>
            <w:tcW w:type="dxa" w:w="1080"/>
            <w:shd w:val="clear" w:color="auto" w:fill="F4F7FB"/>
          </w:tcPr>
          <w:p>
            <w:r/>
            <w:r>
              <w:rPr>
                <w:sz w:val="19"/>
              </w:rPr>
              <w:t>7,337.1</w:t>
            </w:r>
          </w:p>
        </w:tc>
        <w:tc>
          <w:tcPr>
            <w:tcW w:type="dxa" w:w="792"/>
            <w:shd w:val="clear" w:color="auto" w:fill="F4F7FB"/>
          </w:tcPr>
          <w:p>
            <w:r/>
            <w:r>
              <w:rPr>
                <w:sz w:val="19"/>
              </w:rPr>
              <w:t>70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Yahoo Finance (derived)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00"/>
            <w:shd w:val="clear" w:color="auto" w:fill="F4F7FB"/>
          </w:tcPr>
          <w:p>
            <w:r/>
            <w:r>
              <w:rPr>
                <w:sz w:val="19"/>
              </w:rPr>
              <w:t>Indicative — single corroboration path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9"/>
              </w:rPr>
              <w:t>08 May 2026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7,340.2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7,401.5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7,332.9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7,398.9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84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Yahoo Finance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FRED SP500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Validated — record close</w:t>
            </w:r>
          </w:p>
        </w:tc>
      </w:tr>
      <w:tr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11 May 2026</w:t>
            </w:r>
          </w:p>
        </w:tc>
        <w:tc>
          <w:tcPr>
            <w:tcW w:type="dxa" w:w="1080"/>
            <w:shd w:val="clear" w:color="auto" w:fill="F4F7FB"/>
          </w:tcPr>
          <w:p>
            <w:r/>
            <w:r>
              <w:rPr>
                <w:sz w:val="19"/>
              </w:rPr>
              <w:t>7,385.3</w:t>
            </w:r>
          </w:p>
        </w:tc>
        <w:tc>
          <w:tcPr>
            <w:tcW w:type="dxa" w:w="1080"/>
            <w:shd w:val="clear" w:color="auto" w:fill="F4F7FB"/>
          </w:tcPr>
          <w:p>
            <w:r/>
            <w:r>
              <w:rPr>
                <w:sz w:val="19"/>
              </w:rPr>
              <w:t>7,429.0</w:t>
            </w:r>
          </w:p>
        </w:tc>
        <w:tc>
          <w:tcPr>
            <w:tcW w:type="dxa" w:w="1080"/>
            <w:shd w:val="clear" w:color="auto" w:fill="F4F7FB"/>
          </w:tcPr>
          <w:p>
            <w:r/>
            <w:r>
              <w:rPr>
                <w:sz w:val="19"/>
              </w:rPr>
              <w:t>7,384.2</w:t>
            </w:r>
          </w:p>
        </w:tc>
        <w:tc>
          <w:tcPr>
            <w:tcW w:type="dxa" w:w="1080"/>
            <w:shd w:val="clear" w:color="auto" w:fill="F4F7FB"/>
          </w:tcPr>
          <w:p>
            <w:r/>
            <w:r>
              <w:rPr>
                <w:sz w:val="19"/>
              </w:rPr>
              <w:t>7,412.8</w:t>
            </w:r>
          </w:p>
        </w:tc>
        <w:tc>
          <w:tcPr>
            <w:tcW w:type="dxa" w:w="792"/>
            <w:shd w:val="clear" w:color="auto" w:fill="F4F7FB"/>
          </w:tcPr>
          <w:p>
            <w:r/>
            <w:r>
              <w:rPr>
                <w:sz w:val="19"/>
              </w:rPr>
              <w:t>76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Yahoo Finance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Investing.com S&amp;P 500</w:t>
            </w:r>
          </w:p>
        </w:tc>
        <w:tc>
          <w:tcPr>
            <w:tcW w:type="dxa" w:w="1800"/>
            <w:shd w:val="clear" w:color="auto" w:fill="F4F7FB"/>
          </w:tcPr>
          <w:p>
            <w:r/>
            <w:r>
              <w:rPr>
                <w:sz w:val="19"/>
              </w:rPr>
              <w:t>Validated — new record close</w:t>
            </w:r>
          </w:p>
        </w:tc>
      </w:tr>
    </w:tbl>
    <w:p>
      <w:pPr>
        <w:spacing w:after="80" w:before="0"/>
      </w:pPr>
      <w:r>
        <w:rPr>
          <w:b w:val="0"/>
          <w:i w:val="0"/>
        </w:rPr>
      </w:r>
    </w:p>
    <w:p>
      <w:pPr>
        <w:spacing w:after="80" w:before="0"/>
      </w:pPr>
      <w:r>
        <w:rPr>
          <w:b w:val="0"/>
          <w:i w:val="0"/>
          <w:sz w:val="19"/>
        </w:rPr>
        <w:t>RSI2 (2-period) sits at 76 — above the conventional 90 overbought trigger only briefly on 6 May and currently below it, indicating extended-but-not-blown momentum. The high-of-range close on 8 May (close = high − 2.6 pts) and tight-range upside on 11 May (close in upper third of range) are consistent with bullish continuation.</w:t>
      </w:r>
    </w:p>
    <w:p>
      <w:pPr>
        <w:spacing w:before="200" w:after="80"/>
        <w:pBdr>
          <w:bottom w:val="single" w:sz="6" w:color="1F3A68" w:space="1"/>
        </w:pBdr>
      </w:pPr>
      <w:r>
        <w:rPr>
          <w:b/>
          <w:color w:val="1F3A68"/>
          <w:sz w:val="25"/>
        </w:rPr>
        <w:t>§7  Charts</w:t>
      </w:r>
    </w:p>
    <w:p>
      <w:pPr>
        <w:spacing w:after="80" w:before="0"/>
      </w:pPr>
      <w:r>
        <w:rPr>
          <w:b w:val="0"/>
          <w:i/>
        </w:rPr>
        <w:t>Chart suite for this session: (i) 5-session candlestick of the S&amp;P 500 cash index showing the step-sequence 7,265 → 7,365 → 7,337 → 7,399 → 7,413; (ii) Open=0 distance chart normalising each session's intraday travel to its open — green-body sessions on 6, 8, and 11 May, narrow-body consolidation on 7 May; (iii) 25-session structure chart showing the breakout from the 7,200–7,280 mid-April range; (iv) VOLator panel — primary slope mildly positive, VIX slope mildly negative (i.e., risk-on direction agreement); (v) Pivot chart at weekly cadence with the current week's candle annotated. Charts are produced to spec at PNG export. Inline rendering is omitted from this DOCX edition; charts are available in the session output directory.</w:t>
      </w:r>
    </w:p>
    <w:p>
      <w:pPr>
        <w:spacing w:before="200" w:after="80"/>
        <w:pBdr>
          <w:bottom w:val="single" w:sz="6" w:color="1F3A68" w:space="1"/>
        </w:pBdr>
      </w:pPr>
      <w:r>
        <w:rPr>
          <w:b/>
          <w:color w:val="1F3A68"/>
          <w:sz w:val="25"/>
        </w:rPr>
        <w:t>§8  Short-Term Technical Analysis</w:t>
      </w:r>
    </w:p>
    <w:p>
      <w:pPr>
        <w:spacing w:after="80" w:before="0"/>
      </w:pPr>
      <w:r>
        <w:rPr>
          <w:b w:val="0"/>
          <w:i w:val="0"/>
        </w:rPr>
        <w:t>Session-by-session commentary (see §6 for OHLC).</w:t>
      </w:r>
    </w:p>
    <w:p>
      <w:pPr>
        <w:spacing w:after="80" w:before="0"/>
      </w:pPr>
      <w:r>
        <w:rPr>
          <w:b w:val="0"/>
          <w:i w:val="0"/>
        </w:rPr>
        <w:t>05 May: Narrow-range bullish body, close in upper-mid third of range, RSI2 at 78. Reading: constructive but not extended; entering the breakout sequence.</w:t>
      </w:r>
    </w:p>
    <w:p>
      <w:pPr>
        <w:spacing w:after="80" w:before="0"/>
      </w:pPr>
      <w:r>
        <w:rPr>
          <w:b w:val="0"/>
          <w:i w:val="0"/>
        </w:rPr>
        <w:t>06 May: Outsized bullish candle (range &gt; 100 pts) following an Iran-ceasefire bid; close at the high of session and well above prior swing pivot. RSI2 spike to 92 marks the only true short-term-overbought print in the window.</w:t>
      </w:r>
    </w:p>
    <w:p>
      <w:pPr>
        <w:spacing w:after="80" w:before="0"/>
      </w:pPr>
      <w:r>
        <w:rPr>
          <w:b w:val="0"/>
          <w:i w:val="0"/>
        </w:rPr>
        <w:t>07 May: Inside-range pullback with close mid-body; small-bodied bearish candle but no break of the 6 May low. Reading: orderly consolidation, not distribution. Tag: indicative source path.</w:t>
      </w:r>
    </w:p>
    <w:p>
      <w:pPr>
        <w:spacing w:after="80" w:before="0"/>
      </w:pPr>
      <w:r>
        <w:rPr>
          <w:b w:val="0"/>
          <w:i w:val="0"/>
        </w:rPr>
        <w:t>08 May: Reassertion candle on stronger-than-expected April nonfarm payrolls (+115k vs +62k consensus); close 2.6 pts below the high — a near-perfect bullish trend bar. Record close.</w:t>
      </w:r>
    </w:p>
    <w:p>
      <w:pPr>
        <w:spacing w:after="80" w:before="0"/>
      </w:pPr>
      <w:r>
        <w:rPr>
          <w:b w:val="0"/>
          <w:i w:val="0"/>
        </w:rPr>
        <w:t>11 May: Wide-body bullish day with intraday push to 7,429 (a new all-time intraday high) and close in the upper third of range. The 7,425–7,429 zone is where sellers met momentum.</w:t>
      </w:r>
    </w:p>
    <w:p>
      <w:pPr>
        <w:spacing w:after="80" w:before="0"/>
      </w:pPr>
      <w:r>
        <w:rPr>
          <w:b w:val="0"/>
          <w:i w:val="0"/>
        </w:rPr>
        <w:t>Sequence assessment: Continuation. The 5-session arc establishes higher highs and higher lows in four of five sessions with a single inside-day pause. Evidence: net change +147 pts (+2.0%), four green closes, RSI2 elevated but not stuck at the upper bound.</w:t>
      </w:r>
    </w:p>
    <w:p>
      <w:pPr>
        <w:spacing w:after="80" w:before="0"/>
      </w:pPr>
      <w:r>
        <w:rPr>
          <w:b w:val="0"/>
          <w:i w:val="0"/>
        </w:rPr>
        <w:t>Nearest observed support: 7,384 (11 May low) and 7,333 (7 May low). Nearest observed resistance: 7,429 (11 May intraday high) and the round-number psychological barrier at 7,500.</w:t>
      </w:r>
    </w:p>
    <w:p>
      <w:pPr>
        <w:spacing w:after="80" w:before="0"/>
      </w:pPr>
      <w:r>
        <w:rPr>
          <w:b/>
          <w:i w:val="0"/>
        </w:rPr>
        <w:t>Short-term judgement label: Bullish continuation. This is consistent with the medium-term regime classification in §9.</w:t>
      </w:r>
    </w:p>
    <w:p>
      <w:pPr>
        <w:spacing w:before="200" w:after="80"/>
        <w:pBdr>
          <w:bottom w:val="single" w:sz="6" w:color="1F3A68" w:space="1"/>
        </w:pBdr>
      </w:pPr>
      <w:r>
        <w:rPr>
          <w:b/>
          <w:color w:val="1F3A68"/>
          <w:sz w:val="25"/>
        </w:rPr>
        <w:t>§9  Medium-Term Regime &amp; VOLator</w:t>
      </w:r>
    </w:p>
    <w:p>
      <w:pPr>
        <w:spacing w:after="80" w:before="0"/>
      </w:pPr>
      <w:r>
        <w:rPr>
          <w:b w:val="0"/>
          <w:i w:val="0"/>
        </w:rPr>
        <w:t>Regime classification for the S&amp;P 500 over the 25-session window: Trending — Bullish. Supporting metrics: overlap ratio low (sessions cluster monotonically above the 20-day mean), directional persistence positive across the last four weeks (4 of 5 weekly closes green, six consecutive weekly gains), VOLator slope positive (mild), median RSI2 ≈ 72 (sustained above 50 with episodic excursions above 80), range-position bias clearly upper-half of the rolling 25-day range with current close at the upper boundary.</w:t>
      </w:r>
    </w:p>
    <w:p>
      <w:pPr>
        <w:spacing w:after="80" w:before="0"/>
      </w:pPr>
      <w:r>
        <w:rPr>
          <w:b/>
          <w:i w:val="0"/>
        </w:rPr>
        <w:t>Bias: Bullish.</w:t>
      </w:r>
    </w:p>
    <w:p>
      <w:pPr>
        <w:spacing w:after="80" w:before="0"/>
      </w:pPr>
      <w:r>
        <w:rPr>
          <w:b w:val="0"/>
          <w:i w:val="0"/>
        </w:rPr>
        <w:t>VOLator current readings (scaled −1 to +1, illustrative directional read from underlying ATR/HV compression-versus-expansion ratios over 25 sessions): S&amp;P 500 ≈ +0.18 (expanding mildly, above midpoint); USDX ≈ −0.22 (contracting and below midpoint, consistent with dollar softness); VIX ≈ −0.30 (contracted, well below midpoint, equity-supportive); DAX 40 ≈ +0.05 (near neutral with slight expansion).</w:t>
      </w:r>
    </w:p>
    <w:p>
      <w:pPr>
        <w:spacing w:after="80" w:before="0"/>
      </w:pPr>
      <w:r>
        <w:rPr>
          <w:b w:val="0"/>
          <w:i w:val="0"/>
        </w:rPr>
        <w:t>Preferred trade protocol: Trend pullback. Short-term and medium-term states are aligned bullish; both favour buying weakness into the 7,360–7,385 support shelf rather than chasing strength into 7,425–7,440.</w:t>
      </w:r>
    </w:p>
    <w:p>
      <w:pPr>
        <w:spacing w:after="80" w:before="0"/>
      </w:pPr>
      <w:r>
        <w:rPr>
          <w:b w:val="0"/>
          <w:i w:val="0"/>
        </w:rPr>
        <w:t>Kaufman confirmation: Trending Up — Moderate. KER classification agrees with the regime label; no contradiction.</w:t>
      </w:r>
    </w:p>
    <w:p>
      <w:pPr>
        <w:spacing w:before="200" w:after="80"/>
        <w:pBdr>
          <w:bottom w:val="single" w:sz="6" w:color="1F3A68" w:space="1"/>
        </w:pBdr>
      </w:pPr>
      <w:r>
        <w:rPr>
          <w:b/>
          <w:color w:val="1F3A68"/>
          <w:sz w:val="25"/>
        </w:rPr>
        <w:t>§10  Cross-Asset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5C5D8"/>
          <w:left w:val="single" w:sz="4" w:color="B5C5D8"/>
          <w:bottom w:val="single" w:sz="4" w:color="B5C5D8"/>
          <w:right w:val="single" w:sz="4" w:color="B5C5D8"/>
          <w:insideH w:val="single" w:sz="4" w:color="B5C5D8"/>
          <w:insideV w:val="single" w:sz="4" w:color="B5C5D8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584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Counter</w:t>
            </w:r>
          </w:p>
        </w:tc>
        <w:tc>
          <w:tcPr>
            <w:tcW w:type="dxa" w:w="2016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5-day direction</w:t>
            </w:r>
          </w:p>
        </w:tc>
        <w:tc>
          <w:tcPr>
            <w:tcW w:type="dxa" w:w="244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Mechanism</w:t>
            </w:r>
          </w:p>
        </w:tc>
        <w:tc>
          <w:tcPr>
            <w:tcW w:type="dxa" w:w="1296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Confirmation</w:t>
            </w:r>
          </w:p>
        </w:tc>
        <w:tc>
          <w:tcPr>
            <w:tcW w:type="dxa" w:w="2160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Implication for S&amp;P 500</w:t>
            </w:r>
          </w:p>
        </w:tc>
      </w:tr>
      <w:tr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Dollar Index (USDX)</w:t>
            </w:r>
          </w:p>
        </w:tc>
        <w:tc>
          <w:tcPr>
            <w:tcW w:type="dxa" w:w="2016"/>
            <w:shd w:val="clear" w:color="auto" w:fill="F4F7FB"/>
          </w:tcPr>
          <w:p>
            <w:r/>
            <w:r>
              <w:rPr>
                <w:sz w:val="19"/>
              </w:rPr>
              <w:t>Falling (~97.84 on 8 May from 98.5+ early window)</w:t>
            </w:r>
          </w:p>
        </w:tc>
        <w:tc>
          <w:tcPr>
            <w:tcW w:type="dxa" w:w="2448"/>
            <w:shd w:val="clear" w:color="auto" w:fill="F4F7FB"/>
          </w:tcPr>
          <w:p>
            <w:r/>
            <w:r>
              <w:rPr>
                <w:sz w:val="19"/>
              </w:rPr>
              <w:t>Softer dollar lifts USD-denominated mega-cap multinational translation revenue and eases EM/risk financial conditions</w:t>
            </w:r>
          </w:p>
        </w:tc>
        <w:tc>
          <w:tcPr>
            <w:tcW w:type="dxa" w:w="1296"/>
            <w:shd w:val="clear" w:color="auto" w:fill="F4F7FB"/>
          </w:tcPr>
          <w:p>
            <w:r/>
            <w:r>
              <w:rPr>
                <w:sz w:val="19"/>
              </w:rPr>
              <w:t>Confirms bullish regime</w:t>
            </w:r>
          </w:p>
        </w:tc>
        <w:tc>
          <w:tcPr>
            <w:tcW w:type="dxa" w:w="2160"/>
            <w:shd w:val="clear" w:color="auto" w:fill="F4F7FB"/>
          </w:tcPr>
          <w:p>
            <w:r/>
            <w:r>
              <w:rPr>
                <w:sz w:val="19"/>
              </w:rPr>
              <w:t>Supports the breakout; sustained DXY below 98 keeps the tailwind active for tech and energy producers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VIX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Slightly rising in absolute terms (17.19 → 18.38) but remains below 20 'elevated risk' threshold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Volatility risk premium expansion modestly raises hedge demand without flagging stress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Neutral to mildly contradicting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Pre-CPI hedge bid is the most likely cause; not yet a stress signal but reduces conviction on chasing strength</w:t>
            </w:r>
          </w:p>
        </w:tc>
      </w:tr>
      <w:tr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DAX 40</w:t>
            </w:r>
          </w:p>
        </w:tc>
        <w:tc>
          <w:tcPr>
            <w:tcW w:type="dxa" w:w="2016"/>
            <w:shd w:val="clear" w:color="auto" w:fill="F4F7FB"/>
          </w:tcPr>
          <w:p>
            <w:r/>
            <w:r>
              <w:rPr>
                <w:sz w:val="19"/>
              </w:rPr>
              <w:t>Falling (~24,663 → 24,338, −1.3% on 8 May)</w:t>
            </w:r>
          </w:p>
        </w:tc>
        <w:tc>
          <w:tcPr>
            <w:tcW w:type="dxa" w:w="2448"/>
            <w:shd w:val="clear" w:color="auto" w:fill="F4F7FB"/>
          </w:tcPr>
          <w:p>
            <w:r/>
            <w:r>
              <w:rPr>
                <w:sz w:val="19"/>
              </w:rPr>
              <w:t>European equity tape diverged from US on EU tariff threat and Rheinmetall earnings miss — a Europe-specific story, not a global risk-off signal</w:t>
            </w:r>
          </w:p>
        </w:tc>
        <w:tc>
          <w:tcPr>
            <w:tcW w:type="dxa" w:w="1296"/>
            <w:shd w:val="clear" w:color="auto" w:fill="F4F7FB"/>
          </w:tcPr>
          <w:p>
            <w:r/>
            <w:r>
              <w:rPr>
                <w:sz w:val="19"/>
              </w:rPr>
              <w:t>Mixed</w:t>
            </w:r>
          </w:p>
        </w:tc>
        <w:tc>
          <w:tcPr>
            <w:tcW w:type="dxa" w:w="2160"/>
            <w:shd w:val="clear" w:color="auto" w:fill="F4F7FB"/>
          </w:tcPr>
          <w:p>
            <w:r/>
            <w:r>
              <w:rPr>
                <w:sz w:val="19"/>
              </w:rPr>
              <w:t>Local European weakness does not transmit to S&amp;P; the divergence is country-specific (tariffs + defence sector) rather than systemic</w:t>
            </w:r>
          </w:p>
        </w:tc>
      </w:tr>
    </w:tbl>
    <w:p>
      <w:pPr>
        <w:spacing w:after="80" w:before="0"/>
      </w:pPr>
      <w:r>
        <w:rPr>
          <w:b w:val="0"/>
          <w:i w:val="0"/>
        </w:rPr>
      </w:r>
    </w:p>
    <w:p>
      <w:pPr>
        <w:spacing w:after="80" w:before="0"/>
      </w:pPr>
      <w:r>
        <w:rPr>
          <w:b w:val="0"/>
          <w:i/>
        </w:rPr>
        <w:t>Net cross-asset read: CONFIRMS the bullish regime. USDX direction provides the cleanest transmission and aligns with the short-term and medium-term reads. VIX is the partial dissent — creeping into the high-17s/low-18s ahead of CPI — but remains within the regime-supportive band.</w:t>
      </w:r>
    </w:p>
    <w:p>
      <w:pPr>
        <w:spacing w:before="200" w:after="80"/>
        <w:pBdr>
          <w:bottom w:val="single" w:sz="6" w:color="1F3A68" w:space="1"/>
        </w:pBdr>
      </w:pPr>
      <w:r>
        <w:rPr>
          <w:b/>
          <w:color w:val="1F3A68"/>
          <w:sz w:val="25"/>
        </w:rPr>
        <w:t>§11  Floor Pivot Analysis</w:t>
      </w:r>
    </w:p>
    <w:p>
      <w:pPr>
        <w:spacing w:after="80" w:before="0"/>
      </w:pPr>
      <w:r>
        <w:rPr>
          <w:b w:val="0"/>
          <w:i/>
          <w:sz w:val="19"/>
        </w:rPr>
        <w:t>Daily pivots — derived from 8 May session (prior session H/L/C: 7,401.5 / 7,332.9 / 7,398.9). Source status: corroborated (Yahoo + FRED).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5C5D8"/>
          <w:left w:val="single" w:sz="4" w:color="B5C5D8"/>
          <w:bottom w:val="single" w:sz="4" w:color="B5C5D8"/>
          <w:right w:val="single" w:sz="4" w:color="B5C5D8"/>
          <w:insideH w:val="single" w:sz="4" w:color="B5C5D8"/>
          <w:insideV w:val="single" w:sz="4" w:color="B5C5D8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type="dxa" w:w="316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Price</w:t>
            </w:r>
          </w:p>
        </w:tc>
      </w:tr>
      <w:tr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R5</w:t>
            </w:r>
          </w:p>
        </w:tc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7,576.3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R4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7,508.8</w:t>
            </w:r>
          </w:p>
        </w:tc>
      </w:tr>
      <w:tr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R3</w:t>
            </w:r>
          </w:p>
        </w:tc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7,470.5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R2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7,432.3</w:t>
            </w:r>
          </w:p>
        </w:tc>
      </w:tr>
      <w:tr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R1</w:t>
            </w:r>
          </w:p>
        </w:tc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7,415.6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 (daily pivot)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7,377.8</w:t>
            </w:r>
          </w:p>
        </w:tc>
      </w:tr>
      <w:tr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S1</w:t>
            </w:r>
          </w:p>
        </w:tc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7,360.9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S2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7,323.1</w:t>
            </w:r>
          </w:p>
        </w:tc>
      </w:tr>
      <w:tr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S3</w:t>
            </w:r>
          </w:p>
        </w:tc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7,285.4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S4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7,247.1</w:t>
            </w:r>
          </w:p>
        </w:tc>
      </w:tr>
      <w:tr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S5</w:t>
            </w:r>
          </w:p>
        </w:tc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7,209.4</w:t>
            </w:r>
          </w:p>
        </w:tc>
      </w:tr>
    </w:tbl>
    <w:p>
      <w:pPr>
        <w:spacing w:after="80" w:before="0"/>
      </w:pPr>
      <w:r>
        <w:rPr>
          <w:b w:val="0"/>
          <w:i w:val="0"/>
        </w:rPr>
      </w:r>
    </w:p>
    <w:p>
      <w:pPr>
        <w:spacing w:after="80" w:before="0"/>
      </w:pPr>
      <w:r>
        <w:rPr>
          <w:b w:val="0"/>
          <w:i/>
          <w:sz w:val="19"/>
        </w:rPr>
        <w:t>Weekly pivots — derived from W/E 9 May (weekly H 7,401.5 / L 7,231.8 / C 7,398.9). Source status: corroborated.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5C5D8"/>
          <w:left w:val="single" w:sz="4" w:color="B5C5D8"/>
          <w:bottom w:val="single" w:sz="4" w:color="B5C5D8"/>
          <w:right w:val="single" w:sz="4" w:color="B5C5D8"/>
          <w:insideH w:val="single" w:sz="4" w:color="B5C5D8"/>
          <w:insideV w:val="single" w:sz="4" w:color="B5C5D8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type="dxa" w:w="316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Price</w:t>
            </w:r>
          </w:p>
        </w:tc>
      </w:tr>
      <w:tr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R5</w:t>
            </w:r>
          </w:p>
        </w:tc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7,629.6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R4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7,558.7</w:t>
            </w:r>
          </w:p>
        </w:tc>
      </w:tr>
      <w:tr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R3</w:t>
            </w:r>
          </w:p>
        </w:tc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7,514.9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R2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7,460.9</w:t>
            </w:r>
          </w:p>
        </w:tc>
      </w:tr>
      <w:tr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R1</w:t>
            </w:r>
          </w:p>
        </w:tc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7,429.9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 (weekly pivot)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7,344.1</w:t>
            </w:r>
          </w:p>
        </w:tc>
      </w:tr>
      <w:tr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S1</w:t>
            </w:r>
          </w:p>
        </w:tc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7,313.1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S2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7,259.1</w:t>
            </w:r>
          </w:p>
        </w:tc>
      </w:tr>
      <w:tr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S3</w:t>
            </w:r>
          </w:p>
        </w:tc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7,229.1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S4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7,158.2</w:t>
            </w:r>
          </w:p>
        </w:tc>
      </w:tr>
      <w:tr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S5</w:t>
            </w:r>
          </w:p>
        </w:tc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7,087.2</w:t>
            </w:r>
          </w:p>
        </w:tc>
      </w:tr>
    </w:tbl>
    <w:p>
      <w:pPr>
        <w:spacing w:after="80" w:before="0"/>
      </w:pPr>
      <w:r>
        <w:rPr>
          <w:b w:val="0"/>
          <w:i w:val="0"/>
        </w:rPr>
      </w:r>
    </w:p>
    <w:p>
      <w:pPr>
        <w:spacing w:after="80" w:before="0"/>
      </w:pPr>
      <w:r>
        <w:rPr>
          <w:b w:val="0"/>
          <w:i/>
          <w:sz w:val="19"/>
        </w:rPr>
        <w:t>Monthly pivots — derived from April 2026 H/L/C (April high 7,089 / April low 6,802 / April close 7,022.9). Source status: indicative only — single-source path; treat as informational.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5C5D8"/>
          <w:left w:val="single" w:sz="4" w:color="B5C5D8"/>
          <w:bottom w:val="single" w:sz="4" w:color="B5C5D8"/>
          <w:right w:val="single" w:sz="4" w:color="B5C5D8"/>
          <w:insideH w:val="single" w:sz="4" w:color="B5C5D8"/>
          <w:insideV w:val="single" w:sz="4" w:color="B5C5D8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type="dxa" w:w="316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Price</w:t>
            </w:r>
          </w:p>
        </w:tc>
      </w:tr>
      <w:tr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R5</w:t>
            </w:r>
          </w:p>
        </w:tc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7,464.6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R4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7,321.9</w:t>
            </w:r>
          </w:p>
        </w:tc>
      </w:tr>
      <w:tr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R3</w:t>
            </w:r>
          </w:p>
        </w:tc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7,250.6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R2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7,179.3</w:t>
            </w:r>
          </w:p>
        </w:tc>
      </w:tr>
      <w:tr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R1</w:t>
            </w:r>
          </w:p>
        </w:tc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7,101.1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 (monthly pivot)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6,971.3</w:t>
            </w:r>
          </w:p>
        </w:tc>
      </w:tr>
      <w:tr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S1</w:t>
            </w:r>
          </w:p>
        </w:tc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6,892.9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S2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6,763.1</w:t>
            </w:r>
          </w:p>
        </w:tc>
      </w:tr>
      <w:tr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S3</w:t>
            </w:r>
          </w:p>
        </w:tc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6,684.7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S4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6,613.4</w:t>
            </w:r>
          </w:p>
        </w:tc>
      </w:tr>
      <w:tr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S5</w:t>
            </w:r>
          </w:p>
        </w:tc>
        <w:tc>
          <w:tcPr>
            <w:tcW w:type="dxa" w:w="3168"/>
            <w:shd w:val="clear" w:color="auto" w:fill="F4F7FB"/>
          </w:tcPr>
          <w:p>
            <w:r/>
            <w:r>
              <w:rPr>
                <w:sz w:val="19"/>
              </w:rPr>
              <w:t>6,542.1</w:t>
            </w:r>
          </w:p>
        </w:tc>
      </w:tr>
    </w:tbl>
    <w:p>
      <w:pPr>
        <w:spacing w:after="80" w:before="0"/>
      </w:pPr>
      <w:r>
        <w:rPr>
          <w:b w:val="0"/>
          <w:i w:val="0"/>
        </w:rPr>
      </w:r>
    </w:p>
    <w:p>
      <w:pPr>
        <w:spacing w:after="80" w:before="0"/>
      </w:pPr>
      <w:r>
        <w:rPr>
          <w:b w:val="0"/>
          <w:i w:val="0"/>
        </w:rPr>
        <w:t>Position narrative — daily: the 11 May close 7,412.84 sits between P (7,377.8) and R1 (7,415.6), i.e., just below daily R1 and decisively above the pivot. Position narrative — weekly: the close sits within the R1 (7,429.9) shelf, having tested it intraday and rejected; this is the most structurally significant level over the report horizon. Position narrative — monthly: the close is far above all monthly resistance tiers — fully extended on the monthly map. Confluence: weekly R1 (7,429.9) and 11 May intraday high (7,429.0) sit within 1 point of each other, a near-zero-distance confluence and a very strong supply zone.</w:t>
      </w:r>
    </w:p>
    <w:p>
      <w:pPr>
        <w:spacing w:before="200" w:after="80"/>
        <w:pBdr>
          <w:bottom w:val="single" w:sz="6" w:color="1F3A68" w:space="1"/>
        </w:pBdr>
      </w:pPr>
      <w:r>
        <w:rPr>
          <w:b/>
          <w:color w:val="1F3A68"/>
          <w:sz w:val="25"/>
        </w:rPr>
        <w:t>§12  Key Market Considerations</w:t>
      </w:r>
    </w:p>
    <w:p>
      <w:pPr>
        <w:spacing w:after="80" w:before="0"/>
      </w:pPr>
      <w:r>
        <w:rPr>
          <w:b w:val="0"/>
          <w:i w:val="0"/>
        </w:rPr>
        <w:t>Supply — equity supply via secondaries and IPOs remains modest with the rally; corporate buyback authorisations were a tailwind through Q1 earnings season and the post-blackout window is open through mid-May. Cross-reference: §10 USDX direction supports continued buyback accretion through dollar-denominated multinationals.</w:t>
      </w:r>
    </w:p>
    <w:p>
      <w:pPr>
        <w:spacing w:after="80" w:before="0"/>
      </w:pPr>
      <w:r>
        <w:rPr>
          <w:b w:val="0"/>
          <w:i w:val="0"/>
        </w:rPr>
        <w:t>Demand — Q1 2026 earnings season delivered a ~78% beat rate against a ~74% 10-year average. Sector winners are semiconductors, energy producers, defence primes, and industrials; consumer discretionary and commercial REITs are guiding cautiously. Mega-cap concentration remains high — equal-weight S&amp;P trails cap-weighted, signalling that index-level optimism is still leadership-driven rather than broad.</w:t>
      </w:r>
    </w:p>
    <w:p>
      <w:pPr>
        <w:spacing w:after="80" w:before="0"/>
      </w:pPr>
      <w:r>
        <w:rPr>
          <w:b w:val="0"/>
          <w:i w:val="0"/>
        </w:rPr>
        <w:t>Policy — the FOMC met 28–29 April and minutes are expected ~20 May. Powell's chair tenure formally ends 15 May; Senate vote on Kevin Warsh's nomination is sequenced for this week. Communication regime change is itself a policy variable: Warsh has signalled fewer press conferences and reduced forward guidance. The market is unwilling to fully price a 2026 cut until the energy pass-through into core CPI is settled.</w:t>
      </w:r>
    </w:p>
    <w:p>
      <w:pPr>
        <w:spacing w:after="80" w:before="0"/>
      </w:pPr>
      <w:r>
        <w:rPr>
          <w:b w:val="0"/>
          <w:i w:val="0"/>
        </w:rPr>
        <w:t>Macro — energy-driven inflation risk is the dominant macro overhang; the Iran conflict has kept the Strait of Hormuz at ~80% reduced flow for ~10 weeks, with crude near $98/bbl. Labour data is firming — April NFP +115k beat +62k consensus, second consecutive monthly gain.</w:t>
      </w:r>
    </w:p>
    <w:p>
      <w:pPr>
        <w:spacing w:after="80" w:before="0"/>
      </w:pPr>
      <w:r>
        <w:rPr>
          <w:b w:val="0"/>
          <w:i w:val="0"/>
        </w:rPr>
        <w:t>Catalysts — Tuesday 12 May April CPI (8:30 ET) is the single most market-moving event in the 5-day window. Wednesday 13 May April PPI follows. Thursday 14 May April Retail Sales. Friday 15 May Powell's chair term ends and University of Michigan preliminary sentiment is released. Mega-cap earnings to watch: Cisco, Alibaba, Applied Materials.</w:t>
      </w:r>
    </w:p>
    <w:p>
      <w:pPr>
        <w:spacing w:before="200" w:after="80"/>
        <w:pBdr>
          <w:bottom w:val="single" w:sz="6" w:color="1F3A68" w:space="1"/>
        </w:pBdr>
      </w:pPr>
      <w:r>
        <w:rPr>
          <w:b/>
          <w:color w:val="1F3A68"/>
          <w:sz w:val="25"/>
        </w:rPr>
        <w:t>§13  Sentiment, News &amp; Calendar</w:t>
      </w:r>
    </w:p>
    <w:p>
      <w:pPr>
        <w:spacing w:after="80" w:before="0"/>
      </w:pPr>
      <w:r>
        <w:rPr>
          <w:b/>
          <w:i w:val="0"/>
        </w:rPr>
        <w:t>13a — Per-article table (most recent 5 sessions):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5C5D8"/>
          <w:left w:val="single" w:sz="4" w:color="B5C5D8"/>
          <w:bottom w:val="single" w:sz="4" w:color="B5C5D8"/>
          <w:right w:val="single" w:sz="4" w:color="B5C5D8"/>
          <w:insideH w:val="single" w:sz="4" w:color="B5C5D8"/>
          <w:insideV w:val="single" w:sz="4" w:color="B5C5D8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36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016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880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Headline (paraphrased)</w:t>
            </w:r>
          </w:p>
        </w:tc>
        <w:tc>
          <w:tcPr>
            <w:tcW w:type="dxa" w:w="1296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Categorical</w:t>
            </w:r>
          </w:p>
        </w:tc>
        <w:tc>
          <w:tcPr>
            <w:tcW w:type="dxa" w:w="100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Conviction</w:t>
            </w:r>
          </w:p>
        </w:tc>
        <w:tc>
          <w:tcPr>
            <w:tcW w:type="dxa" w:w="936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Tilt</w:t>
            </w:r>
          </w:p>
        </w:tc>
      </w:tr>
      <w:tr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08 May 2026</w:t>
            </w:r>
          </w:p>
        </w:tc>
        <w:tc>
          <w:tcPr>
            <w:tcW w:type="dxa" w:w="2016"/>
            <w:shd w:val="clear" w:color="auto" w:fill="F4F7FB"/>
          </w:tcPr>
          <w:p>
            <w:r/>
            <w:r>
              <w:rPr>
                <w:sz w:val="19"/>
              </w:rPr>
              <w:t>CNBC market wrap</w:t>
            </w:r>
          </w:p>
        </w:tc>
        <w:tc>
          <w:tcPr>
            <w:tcW w:type="dxa" w:w="2880"/>
            <w:shd w:val="clear" w:color="auto" w:fill="F4F7FB"/>
          </w:tcPr>
          <w:p>
            <w:r/>
            <w:r>
              <w:rPr>
                <w:sz w:val="19"/>
              </w:rPr>
              <w:t>S&amp;P 500 hits record on jobs beat; longest weekly streak since 2024</w:t>
            </w:r>
          </w:p>
        </w:tc>
        <w:tc>
          <w:tcPr>
            <w:tcW w:type="dxa" w:w="1296"/>
            <w:shd w:val="clear" w:color="auto" w:fill="F4F7FB"/>
          </w:tcPr>
          <w:p>
            <w:r/>
            <w:r>
              <w:rPr>
                <w:sz w:val="19"/>
              </w:rPr>
              <w:t>Bullish</w:t>
            </w:r>
          </w:p>
        </w:tc>
        <w:tc>
          <w:tcPr>
            <w:tcW w:type="dxa" w:w="1008"/>
            <w:shd w:val="clear" w:color="auto" w:fill="F4F7FB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936"/>
            <w:shd w:val="clear" w:color="auto" w:fill="F4F7FB"/>
          </w:tcPr>
          <w:p>
            <w:r/>
            <w:r>
              <w:rPr>
                <w:sz w:val="19"/>
              </w:rPr>
              <w:t>+0.70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9"/>
              </w:rPr>
              <w:t>07 May 2026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Reuters earnings recap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Q1 beat rate ~78%, mega-cap AI capex revisions higher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Bullish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+0.45</w:t>
            </w:r>
          </w:p>
        </w:tc>
      </w:tr>
      <w:tr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08 May 2026</w:t>
            </w:r>
          </w:p>
        </w:tc>
        <w:tc>
          <w:tcPr>
            <w:tcW w:type="dxa" w:w="2016"/>
            <w:shd w:val="clear" w:color="auto" w:fill="F4F7FB"/>
          </w:tcPr>
          <w:p>
            <w:r/>
            <w:r>
              <w:rPr>
                <w:sz w:val="19"/>
              </w:rPr>
              <w:t>TradingEconomics market commentary</w:t>
            </w:r>
          </w:p>
        </w:tc>
        <w:tc>
          <w:tcPr>
            <w:tcW w:type="dxa" w:w="2880"/>
            <w:shd w:val="clear" w:color="auto" w:fill="F4F7FB"/>
          </w:tcPr>
          <w:p>
            <w:r/>
            <w:r>
              <w:rPr>
                <w:sz w:val="19"/>
              </w:rPr>
              <w:t>DXY at 10-week low despite strong NFP; rate-cut bets resilient</w:t>
            </w:r>
          </w:p>
        </w:tc>
        <w:tc>
          <w:tcPr>
            <w:tcW w:type="dxa" w:w="1296"/>
            <w:shd w:val="clear" w:color="auto" w:fill="F4F7FB"/>
          </w:tcPr>
          <w:p>
            <w:r/>
            <w:r>
              <w:rPr>
                <w:sz w:val="19"/>
              </w:rPr>
              <w:t>Bullish (for equities)</w:t>
            </w:r>
          </w:p>
        </w:tc>
        <w:tc>
          <w:tcPr>
            <w:tcW w:type="dxa" w:w="1008"/>
            <w:shd w:val="clear" w:color="auto" w:fill="F4F7FB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936"/>
            <w:shd w:val="clear" w:color="auto" w:fill="F4F7FB"/>
          </w:tcPr>
          <w:p>
            <w:r/>
            <w:r>
              <w:rPr>
                <w:sz w:val="19"/>
              </w:rPr>
              <w:t>+0.40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9"/>
              </w:rPr>
              <w:t>11 May 2026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Trading Economics US500 note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AI hyperscalers mixed; Amazon/Alphabet tap FX credit for AI capex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Mixed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Low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+0.05</w:t>
            </w:r>
          </w:p>
        </w:tc>
      </w:tr>
      <w:tr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10 May 2026</w:t>
            </w:r>
          </w:p>
        </w:tc>
        <w:tc>
          <w:tcPr>
            <w:tcW w:type="dxa" w:w="2016"/>
            <w:shd w:val="clear" w:color="auto" w:fill="F4F7FB"/>
          </w:tcPr>
          <w:p>
            <w:r/>
            <w:r>
              <w:rPr>
                <w:sz w:val="19"/>
              </w:rPr>
              <w:t>Gotrade week-ahead</w:t>
            </w:r>
          </w:p>
        </w:tc>
        <w:tc>
          <w:tcPr>
            <w:tcW w:type="dxa" w:w="2880"/>
            <w:shd w:val="clear" w:color="auto" w:fill="F4F7FB"/>
          </w:tcPr>
          <w:p>
            <w:r/>
            <w:r>
              <w:rPr>
                <w:sz w:val="19"/>
              </w:rPr>
              <w:t>CPI risk: core above 0.3% MoM may unwind rate-cut bid</w:t>
            </w:r>
          </w:p>
        </w:tc>
        <w:tc>
          <w:tcPr>
            <w:tcW w:type="dxa" w:w="1296"/>
            <w:shd w:val="clear" w:color="auto" w:fill="F4F7FB"/>
          </w:tcPr>
          <w:p>
            <w:r/>
            <w:r>
              <w:rPr>
                <w:sz w:val="19"/>
              </w:rPr>
              <w:t>Bearish (risk)</w:t>
            </w:r>
          </w:p>
        </w:tc>
        <w:tc>
          <w:tcPr>
            <w:tcW w:type="dxa" w:w="1008"/>
            <w:shd w:val="clear" w:color="auto" w:fill="F4F7FB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936"/>
            <w:shd w:val="clear" w:color="auto" w:fill="F4F7FB"/>
          </w:tcPr>
          <w:p>
            <w:r/>
            <w:r>
              <w:rPr>
                <w:sz w:val="19"/>
              </w:rPr>
              <w:t>−0.30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9"/>
              </w:rPr>
              <w:t>09 May 2026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TradingKey CPI preview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BoA: no Fed cuts in 2026; first cut pushed to H2 2027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Bearish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−0.35</w:t>
            </w:r>
          </w:p>
        </w:tc>
      </w:tr>
    </w:tbl>
    <w:p>
      <w:pPr>
        <w:spacing w:after="80" w:before="0"/>
      </w:pPr>
      <w:r>
        <w:rPr>
          <w:b w:val="0"/>
          <w:i w:val="0"/>
        </w:rPr>
      </w:r>
    </w:p>
    <w:p>
      <w:pPr>
        <w:spacing w:after="80" w:before="0"/>
      </w:pPr>
      <w:r>
        <w:rPr>
          <w:b/>
          <w:i w:val="0"/>
        </w:rPr>
        <w:t>13b — Aggregate sentiment summary:</w:t>
      </w:r>
    </w:p>
    <w:p>
      <w:pPr>
        <w:spacing w:after="80" w:before="0"/>
      </w:pPr>
      <w:r>
        <w:rPr>
          <w:b w:val="0"/>
          <w:i w:val="0"/>
        </w:rPr>
        <w:t>Predominantly Bullish (tilt = +0.16). Six observations; the bullish print pool clusters around the equity tape itself (record closes, earnings beats, dollar softness) while the bearish pool is concentrated on rate-path repricing risk. The Bullish categorical label and the modest positive numeric tilt agree directionally but the magnitude is meaningfully tempered — this is a 'walk, not run' bullish signal rather than a one-way conviction print.</w:t>
      </w:r>
    </w:p>
    <w:p>
      <w:pPr>
        <w:spacing w:after="80" w:before="0"/>
      </w:pPr>
      <w:r>
        <w:rPr>
          <w:b w:val="0"/>
          <w:i w:val="0"/>
        </w:rPr>
        <w:t>13c — Divergence flag: none material. Aggregate sentiment direction agrees with current price action.</w:t>
      </w:r>
    </w:p>
    <w:p>
      <w:pPr>
        <w:spacing w:after="80" w:before="0"/>
      </w:pPr>
      <w:r>
        <w:rPr>
          <w:b/>
          <w:i w:val="0"/>
        </w:rPr>
        <w:t>13d — Two-part news calendar:</w:t>
      </w:r>
    </w:p>
    <w:p>
      <w:pPr>
        <w:spacing w:after="80" w:before="0"/>
      </w:pPr>
      <w:r>
        <w:rPr>
          <w:b w:val="0"/>
          <w:i/>
        </w:rPr>
        <w:t>Previous period (last 5 sessions) — material events: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5C5D8"/>
          <w:left w:val="single" w:sz="4" w:color="B5C5D8"/>
          <w:bottom w:val="single" w:sz="4" w:color="B5C5D8"/>
          <w:right w:val="single" w:sz="4" w:color="B5C5D8"/>
          <w:insideH w:val="single" w:sz="4" w:color="B5C5D8"/>
          <w:insideV w:val="single" w:sz="4" w:color="B5C5D8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224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4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Event</w:t>
            </w:r>
          </w:p>
        </w:tc>
        <w:tc>
          <w:tcPr>
            <w:tcW w:type="dxa" w:w="2160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Prior / Context</w:t>
            </w:r>
          </w:p>
        </w:tc>
        <w:tc>
          <w:tcPr>
            <w:tcW w:type="dxa" w:w="864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280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Market implication</w:t>
            </w:r>
          </w:p>
        </w:tc>
      </w:tr>
      <w:tr>
        <w:tc>
          <w:tcPr>
            <w:tcW w:type="dxa" w:w="1224"/>
            <w:shd w:val="clear" w:color="auto" w:fill="F4F7FB"/>
          </w:tcPr>
          <w:p>
            <w:r/>
            <w:r>
              <w:rPr>
                <w:sz w:val="19"/>
              </w:rPr>
              <w:t>05 May</w:t>
            </w:r>
          </w:p>
        </w:tc>
        <w:tc>
          <w:tcPr>
            <w:tcW w:type="dxa" w:w="2448"/>
            <w:shd w:val="clear" w:color="auto" w:fill="F4F7FB"/>
          </w:tcPr>
          <w:p>
            <w:r/>
            <w:r>
              <w:rPr>
                <w:sz w:val="19"/>
              </w:rPr>
              <w:t>AMD Q1 + raised Q2 guide</w:t>
            </w:r>
          </w:p>
        </w:tc>
        <w:tc>
          <w:tcPr>
            <w:tcW w:type="dxa" w:w="2160"/>
            <w:shd w:val="clear" w:color="auto" w:fill="F4F7FB"/>
          </w:tcPr>
          <w:p>
            <w:r/>
            <w:r>
              <w:rPr>
                <w:sz w:val="19"/>
              </w:rPr>
              <w:t>Q1 beat top &amp; bottom; +18.6% intraday</w:t>
            </w:r>
          </w:p>
        </w:tc>
        <w:tc>
          <w:tcPr>
            <w:tcW w:type="dxa" w:w="864"/>
            <w:shd w:val="clear" w:color="auto" w:fill="F4F7FB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2808"/>
            <w:shd w:val="clear" w:color="auto" w:fill="F4F7FB"/>
          </w:tcPr>
          <w:p>
            <w:r/>
            <w:r>
              <w:rPr>
                <w:sz w:val="19"/>
              </w:rPr>
              <w:t>Led semi sector higher; broader risk-on; S&amp;P +1.4% on cumulative AI capex revisions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9"/>
              </w:rPr>
              <w:t>06 May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U.S.–Iran ceasefire framework leaked (Axios)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Geopolitical de-escalation surprise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2808"/>
          </w:tcPr>
          <w:p>
            <w:r/>
            <w:r>
              <w:rPr>
                <w:sz w:val="19"/>
              </w:rPr>
              <w:t>Energy −4.2% intraday; risk assets surge; record close at 7,365 (since exceeded)</w:t>
            </w:r>
          </w:p>
        </w:tc>
      </w:tr>
      <w:tr>
        <w:tc>
          <w:tcPr>
            <w:tcW w:type="dxa" w:w="1224"/>
            <w:shd w:val="clear" w:color="auto" w:fill="F4F7FB"/>
          </w:tcPr>
          <w:p>
            <w:r/>
            <w:r>
              <w:rPr>
                <w:sz w:val="19"/>
              </w:rPr>
              <w:t>08 May</w:t>
            </w:r>
          </w:p>
        </w:tc>
        <w:tc>
          <w:tcPr>
            <w:tcW w:type="dxa" w:w="2448"/>
            <w:shd w:val="clear" w:color="auto" w:fill="F4F7FB"/>
          </w:tcPr>
          <w:p>
            <w:r/>
            <w:r>
              <w:rPr>
                <w:sz w:val="19"/>
              </w:rPr>
              <w:t>April Nonfarm Payrolls</w:t>
            </w:r>
          </w:p>
        </w:tc>
        <w:tc>
          <w:tcPr>
            <w:tcW w:type="dxa" w:w="2160"/>
            <w:shd w:val="clear" w:color="auto" w:fill="F4F7FB"/>
          </w:tcPr>
          <w:p>
            <w:r/>
            <w:r>
              <w:rPr>
                <w:sz w:val="19"/>
              </w:rPr>
              <w:t>+115k vs +62k consensus; UR steady at 4.3%</w:t>
            </w:r>
          </w:p>
        </w:tc>
        <w:tc>
          <w:tcPr>
            <w:tcW w:type="dxa" w:w="864"/>
            <w:shd w:val="clear" w:color="auto" w:fill="F4F7FB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2808"/>
            <w:shd w:val="clear" w:color="auto" w:fill="F4F7FB"/>
          </w:tcPr>
          <w:p>
            <w:r/>
            <w:r>
              <w:rPr>
                <w:sz w:val="19"/>
              </w:rPr>
              <w:t>Resilient-labour read offset by softer DXY; equities lifted +0.84%, S&amp;P closed record</w:t>
            </w:r>
          </w:p>
        </w:tc>
      </w:tr>
    </w:tbl>
    <w:p>
      <w:pPr>
        <w:spacing w:after="80" w:before="0"/>
      </w:pPr>
      <w:r>
        <w:rPr>
          <w:b w:val="0"/>
          <w:i w:val="0"/>
        </w:rPr>
      </w:r>
    </w:p>
    <w:p>
      <w:pPr>
        <w:spacing w:after="80" w:before="0"/>
      </w:pPr>
      <w:r>
        <w:rPr>
          <w:b w:val="0"/>
          <w:i/>
        </w:rPr>
        <w:t>Upcoming period (5-day horizon) — watch list: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5C5D8"/>
          <w:left w:val="single" w:sz="4" w:color="B5C5D8"/>
          <w:bottom w:val="single" w:sz="4" w:color="B5C5D8"/>
          <w:right w:val="single" w:sz="4" w:color="B5C5D8"/>
          <w:insideH w:val="single" w:sz="4" w:color="B5C5D8"/>
          <w:insideV w:val="single" w:sz="4" w:color="B5C5D8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440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4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Event</w:t>
            </w:r>
          </w:p>
        </w:tc>
        <w:tc>
          <w:tcPr>
            <w:tcW w:type="dxa" w:w="2160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Consensus / Context</w:t>
            </w:r>
          </w:p>
        </w:tc>
        <w:tc>
          <w:tcPr>
            <w:tcW w:type="dxa" w:w="1224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Impact (prospective)</w:t>
            </w:r>
          </w:p>
        </w:tc>
        <w:tc>
          <w:tcPr>
            <w:tcW w:type="dxa" w:w="2880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Mechanism for S&amp;P 500</w:t>
            </w:r>
          </w:p>
        </w:tc>
      </w:tr>
      <w:tr>
        <w:tc>
          <w:tcPr>
            <w:tcW w:type="dxa" w:w="1440"/>
            <w:shd w:val="clear" w:color="auto" w:fill="F4F7FB"/>
          </w:tcPr>
          <w:p>
            <w:r/>
            <w:r>
              <w:rPr>
                <w:sz w:val="19"/>
              </w:rPr>
              <w:t>12 May (Tue)</w:t>
            </w:r>
          </w:p>
        </w:tc>
        <w:tc>
          <w:tcPr>
            <w:tcW w:type="dxa" w:w="2448"/>
            <w:shd w:val="clear" w:color="auto" w:fill="F4F7FB"/>
          </w:tcPr>
          <w:p>
            <w:r/>
            <w:r>
              <w:rPr>
                <w:sz w:val="19"/>
              </w:rPr>
              <w:t>April CPI (08:30 ET)  [HIGHEST IMPACT]</w:t>
            </w:r>
          </w:p>
        </w:tc>
        <w:tc>
          <w:tcPr>
            <w:tcW w:type="dxa" w:w="2160"/>
            <w:shd w:val="clear" w:color="auto" w:fill="F4F7FB"/>
          </w:tcPr>
          <w:p>
            <w:r/>
            <w:r>
              <w:rPr>
                <w:sz w:val="19"/>
              </w:rPr>
              <w:t>Headline +0.6 to +0.7% MoM / +3.7–3.8% YoY; core +0.3% MoM / +2.7% YoY</w:t>
            </w:r>
          </w:p>
        </w:tc>
        <w:tc>
          <w:tcPr>
            <w:tcW w:type="dxa" w:w="1224"/>
            <w:shd w:val="clear" w:color="auto" w:fill="F4F7FB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2880"/>
            <w:shd w:val="clear" w:color="auto" w:fill="F4F7FB"/>
          </w:tcPr>
          <w:p>
            <w:r/>
            <w:r>
              <w:rPr>
                <w:sz w:val="19"/>
              </w:rPr>
              <w:t>Core &gt; 0.3% MoM signals energy pass-through into stickier components; Fed-cut bid weakens; equities likely down 0.8–1.5%. Core ≤ 0.3% likely sustains breakout; +0.5% extension into 7,460–7,500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13 May (Wed)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April PPI (08:30 ET)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Confirms or diverges from CPI energy/transportation mix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Medium-High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Hot PPI after soft CPI = inflation pipeline persists; cleaner read if both align</w:t>
            </w:r>
          </w:p>
        </w:tc>
      </w:tr>
      <w:tr>
        <w:tc>
          <w:tcPr>
            <w:tcW w:type="dxa" w:w="1440"/>
            <w:shd w:val="clear" w:color="auto" w:fill="F4F7FB"/>
          </w:tcPr>
          <w:p>
            <w:r/>
            <w:r>
              <w:rPr>
                <w:sz w:val="19"/>
              </w:rPr>
              <w:t>14 May (Thu)</w:t>
            </w:r>
          </w:p>
        </w:tc>
        <w:tc>
          <w:tcPr>
            <w:tcW w:type="dxa" w:w="2448"/>
            <w:shd w:val="clear" w:color="auto" w:fill="F4F7FB"/>
          </w:tcPr>
          <w:p>
            <w:r/>
            <w:r>
              <w:rPr>
                <w:sz w:val="19"/>
              </w:rPr>
              <w:t>April Retail Sales</w:t>
            </w:r>
          </w:p>
        </w:tc>
        <w:tc>
          <w:tcPr>
            <w:tcW w:type="dxa" w:w="2160"/>
            <w:shd w:val="clear" w:color="auto" w:fill="F4F7FB"/>
          </w:tcPr>
          <w:p>
            <w:r/>
            <w:r>
              <w:rPr>
                <w:sz w:val="19"/>
              </w:rPr>
              <w:t>Consumer demand post-energy shock</w:t>
            </w:r>
          </w:p>
        </w:tc>
        <w:tc>
          <w:tcPr>
            <w:tcW w:type="dxa" w:w="1224"/>
            <w:shd w:val="clear" w:color="auto" w:fill="F4F7FB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2880"/>
            <w:shd w:val="clear" w:color="auto" w:fill="F4F7FB"/>
          </w:tcPr>
          <w:p>
            <w:r/>
            <w:r>
              <w:rPr>
                <w:sz w:val="19"/>
              </w:rPr>
              <w:t>Soft print = stagflation fear (worst case for multiples); resilient print = soft-landing reaffirm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14 May (Thu)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Cisco / Applied Materials earnings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AI infrastructure capex read-through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Beats reinforce mega-cap leadership; misses challenge concentration risk</w:t>
            </w:r>
          </w:p>
        </w:tc>
      </w:tr>
      <w:tr>
        <w:tc>
          <w:tcPr>
            <w:tcW w:type="dxa" w:w="1440"/>
            <w:shd w:val="clear" w:color="auto" w:fill="F4F7FB"/>
          </w:tcPr>
          <w:p>
            <w:r/>
            <w:r>
              <w:rPr>
                <w:sz w:val="19"/>
              </w:rPr>
              <w:t>15 May (Fri)</w:t>
            </w:r>
          </w:p>
        </w:tc>
        <w:tc>
          <w:tcPr>
            <w:tcW w:type="dxa" w:w="2448"/>
            <w:shd w:val="clear" w:color="auto" w:fill="F4F7FB"/>
          </w:tcPr>
          <w:p>
            <w:r/>
            <w:r>
              <w:rPr>
                <w:sz w:val="19"/>
              </w:rPr>
              <w:t>Powell chair term ends; UMich Sentiment (prelim)</w:t>
            </w:r>
          </w:p>
        </w:tc>
        <w:tc>
          <w:tcPr>
            <w:tcW w:type="dxa" w:w="2160"/>
            <w:shd w:val="clear" w:color="auto" w:fill="F4F7FB"/>
          </w:tcPr>
          <w:p>
            <w:r/>
            <w:r>
              <w:rPr>
                <w:sz w:val="19"/>
              </w:rPr>
              <w:t>Fed leadership transition; consumer mood</w:t>
            </w:r>
          </w:p>
        </w:tc>
        <w:tc>
          <w:tcPr>
            <w:tcW w:type="dxa" w:w="1224"/>
            <w:shd w:val="clear" w:color="auto" w:fill="F4F7FB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2880"/>
            <w:shd w:val="clear" w:color="auto" w:fill="F4F7FB"/>
          </w:tcPr>
          <w:p>
            <w:r/>
            <w:r>
              <w:rPr>
                <w:sz w:val="19"/>
              </w:rPr>
              <w:t>Warsh confirmation timing the variable; sentiment release secondary</w:t>
            </w:r>
          </w:p>
        </w:tc>
      </w:tr>
    </w:tbl>
    <w:p>
      <w:pPr>
        <w:spacing w:after="80" w:before="0"/>
      </w:pPr>
      <w:r>
        <w:rPr>
          <w:b w:val="0"/>
          <w:i w:val="0"/>
        </w:rPr>
      </w:r>
    </w:p>
    <w:p>
      <w:pPr>
        <w:spacing w:after="80" w:before="0"/>
      </w:pPr>
      <w:r>
        <w:rPr>
          <w:b/>
          <w:i w:val="0"/>
        </w:rPr>
        <w:t>Single highest-impact upcoming event: April CPI (12 May 08:30 ET). Core MoM is the discriminating data point — a print at or below 0.3% sustains the rate-cut bid that underpins the breakout; above 0.3% triggers a hard repricing of the Fed path and most likely a 1.0–1.5% S&amp;P drawdown on the print.</w:t>
      </w:r>
    </w:p>
    <w:p>
      <w:pPr>
        <w:spacing w:before="200" w:after="80"/>
        <w:pBdr>
          <w:bottom w:val="single" w:sz="6" w:color="1F3A68" w:space="1"/>
        </w:pBdr>
      </w:pPr>
      <w:r>
        <w:rPr>
          <w:b/>
          <w:color w:val="1F3A68"/>
          <w:sz w:val="25"/>
        </w:rPr>
        <w:t>§14  Macro Context</w:t>
      </w:r>
    </w:p>
    <w:p>
      <w:pPr>
        <w:spacing w:after="80" w:before="0"/>
      </w:pPr>
      <w:r>
        <w:rPr>
          <w:b w:val="0"/>
          <w:i w:val="0"/>
        </w:rPr>
        <w:t>Rates — 2y Treasury continues to price in roughly one 2026 cut, materially less than levels seen in early Q1; the 10y has been range-bound on the post-NFP read. The rate path is the single most CPI-sensitive macro variable for equities over the horizon.</w:t>
      </w:r>
    </w:p>
    <w:p>
      <w:pPr>
        <w:spacing w:after="80" w:before="0"/>
      </w:pPr>
      <w:r>
        <w:rPr>
          <w:b w:val="0"/>
          <w:i w:val="0"/>
        </w:rPr>
        <w:t>Inflation — March CPI ran +0.9% MoM headline / +3.3% YoY. April energy pass-through is the binary in §13d. Cleveland Fed nowcasts and JPMorgan three-scenario CPI work both suggest inflation remains above 2% through at least early 2027.</w:t>
      </w:r>
    </w:p>
    <w:p>
      <w:pPr>
        <w:spacing w:after="80" w:before="0"/>
      </w:pPr>
      <w:r>
        <w:rPr>
          <w:b w:val="0"/>
          <w:i w:val="0"/>
        </w:rPr>
        <w:t>Liquidity &amp; FX — dollar softness (DXY 97.84) reduces global dollar-funding friction; cross-asset read in §10 confirms a CONFIRMS-status counter direction. This is one of the most material supports of the current breakout.</w:t>
      </w:r>
    </w:p>
    <w:p>
      <w:pPr>
        <w:spacing w:after="80" w:before="0"/>
      </w:pPr>
      <w:r>
        <w:rPr>
          <w:b w:val="0"/>
          <w:i w:val="0"/>
        </w:rPr>
        <w:t>Energy — crude near $98/bbl with Strait of Hormuz disruption; energy is the carry-channel into inflation, the input cost into US multinationals, and the primary geopolitical risk premium. Cross-reference §10 — energy is not directly an equity counter here but underwrites the CPI risk.</w:t>
      </w:r>
    </w:p>
    <w:p>
      <w:pPr>
        <w:spacing w:after="80" w:before="0"/>
      </w:pPr>
      <w:r>
        <w:rPr>
          <w:b w:val="0"/>
          <w:i w:val="0"/>
        </w:rPr>
        <w:t>Positioning — VIX at 18.4 (creeping up but below 20); the rise is consistent with hedge demand into CPI rather than directional bearish positioning. COT/options positioning is short-vol skewed, which is itself a tail-risk vulnerability if CPI delivers a hard surprise.</w:t>
      </w:r>
    </w:p>
    <w:p>
      <w:pPr>
        <w:spacing w:before="200" w:after="80"/>
        <w:pBdr>
          <w:bottom w:val="single" w:sz="6" w:color="1F3A68" w:space="1"/>
        </w:pBdr>
      </w:pPr>
      <w:r>
        <w:rPr>
          <w:b/>
          <w:color w:val="1F3A68"/>
          <w:sz w:val="25"/>
        </w:rPr>
        <w:t>§15  Bull / Bear Balance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5C5D8"/>
          <w:left w:val="single" w:sz="4" w:color="B5C5D8"/>
          <w:bottom w:val="single" w:sz="4" w:color="B5C5D8"/>
          <w:right w:val="single" w:sz="4" w:color="B5C5D8"/>
          <w:insideH w:val="single" w:sz="4" w:color="B5C5D8"/>
          <w:insideV w:val="single" w:sz="4" w:color="B5C5D8"/>
        </w:tblBorders>
      </w:tblPr>
      <w:tblGrid>
        <w:gridCol w:w="4824"/>
        <w:gridCol w:w="4824"/>
      </w:tblGrid>
      <w:tr>
        <w:tc>
          <w:tcPr>
            <w:tcW w:type="dxa" w:w="4752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Main upside risks (bull case)</w:t>
            </w:r>
          </w:p>
        </w:tc>
        <w:tc>
          <w:tcPr>
            <w:tcW w:type="dxa" w:w="4752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Main downside risks (bear case)</w:t>
            </w:r>
          </w:p>
        </w:tc>
      </w:tr>
      <w:tr>
        <w:tc>
          <w:tcPr>
            <w:tcW w:type="dxa" w:w="4752"/>
            <w:shd w:val="clear" w:color="auto" w:fill="F4F7FB"/>
          </w:tcPr>
          <w:p>
            <w:r/>
            <w:r>
              <w:rPr>
                <w:sz w:val="19"/>
              </w:rPr>
              <w:t>Sustained AI mega-cap earnings leadership and capex commitments (Amazon/Alphabet FX-credit deals)</w:t>
            </w:r>
          </w:p>
        </w:tc>
        <w:tc>
          <w:tcPr>
            <w:tcW w:type="dxa" w:w="4752"/>
            <w:shd w:val="clear" w:color="auto" w:fill="F4F7FB"/>
          </w:tcPr>
          <w:p>
            <w:r/>
            <w:r>
              <w:rPr>
                <w:sz w:val="19"/>
              </w:rPr>
              <w:t>Hot April CPI core (&gt;0.3% MoM) — unwinds rate-cut bid; sharp multiple compression risk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Softer DXY tailwind for multinationals (cross-asset §10 CONFIRMS)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Six-week winning streak extension at record highs raises drawdown asymmetry</w:t>
            </w:r>
          </w:p>
        </w:tc>
      </w:tr>
      <w:tr>
        <w:tc>
          <w:tcPr>
            <w:tcW w:type="dxa" w:w="4752"/>
            <w:shd w:val="clear" w:color="auto" w:fill="F4F7FB"/>
          </w:tcPr>
          <w:p>
            <w:r/>
            <w:r>
              <w:rPr>
                <w:sz w:val="19"/>
              </w:rPr>
              <w:t>Confirmed weekly close above weekly R1 (7,429.9) opens 7,500 round number</w:t>
            </w:r>
          </w:p>
        </w:tc>
        <w:tc>
          <w:tcPr>
            <w:tcW w:type="dxa" w:w="4752"/>
            <w:shd w:val="clear" w:color="auto" w:fill="F4F7FB"/>
          </w:tcPr>
          <w:p>
            <w:r/>
            <w:r>
              <w:rPr>
                <w:sz w:val="19"/>
              </w:rPr>
              <w:t>Weekly R1 + intraday-high confluence at 7,429 is the cleanest supply zone in the surface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Iran-ceasefire framework progression reopens Strait of Hormuz; energy reverts and the inflation pipeline cools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Strait of Hormuz disruption intensifies; crude through $105 sustains energy pass-through and stagflation tail</w:t>
            </w:r>
          </w:p>
        </w:tc>
      </w:tr>
      <w:tr>
        <w:tc>
          <w:tcPr>
            <w:tcW w:type="dxa" w:w="4752"/>
            <w:shd w:val="clear" w:color="auto" w:fill="F4F7FB"/>
          </w:tcPr>
          <w:p>
            <w:r/>
            <w:r>
              <w:rPr>
                <w:sz w:val="19"/>
              </w:rPr>
              <w:t>Powell-to-Warsh transition perceived as dovish-leaning; market re-prices toward earlier cuts</w:t>
            </w:r>
          </w:p>
        </w:tc>
        <w:tc>
          <w:tcPr>
            <w:tcW w:type="dxa" w:w="4752"/>
            <w:shd w:val="clear" w:color="auto" w:fill="F4F7FB"/>
          </w:tcPr>
          <w:p>
            <w:r/>
            <w:r>
              <w:rPr>
                <w:sz w:val="19"/>
              </w:rPr>
              <w:t>Warsh communication-frequency cuts misread as hawkish; volatility spike during transition</w:t>
            </w:r>
          </w:p>
        </w:tc>
      </w:tr>
    </w:tbl>
    <w:p>
      <w:pPr>
        <w:spacing w:after="80" w:before="0"/>
      </w:pPr>
      <w:r>
        <w:rPr>
          <w:b w:val="0"/>
          <w:i w:val="0"/>
        </w:rPr>
      </w:r>
    </w:p>
    <w:p>
      <w:pPr>
        <w:spacing w:before="200" w:after="80"/>
        <w:pBdr>
          <w:bottom w:val="single" w:sz="6" w:color="1F3A68" w:space="1"/>
        </w:pBdr>
      </w:pPr>
      <w:r>
        <w:rPr>
          <w:b/>
          <w:color w:val="1F3A68"/>
          <w:sz w:val="25"/>
        </w:rPr>
        <w:t>§16  Forward View</w:t>
      </w:r>
    </w:p>
    <w:p>
      <w:pPr>
        <w:spacing w:after="80" w:before="0"/>
      </w:pPr>
      <w:r>
        <w:rPr>
          <w:b w:val="0"/>
          <w:i w:val="0"/>
        </w:rPr>
        <w:t>Base case (probability ~55%): the S&amp;P 500 holds the 7,360–7,385 support shelf and either grinds to a fresh marginal record or consolidates sideways into the 12 May CPI print. Expected trading range over the 5-day horizon: 7,310 (CPI dip support) to 7,500 (extension target on soft CPI + hard close through weekly R1). Bull case (~25%): core CPI prints at or below 0.3% MoM, weekly R1 (7,429.9) breaks on a confirmed daily close, and the rally extends to 7,475–7,510 by mid-week. Bear case (~20%): core CPI prints above 0.3%, the 7,360 daily S1 and 7,344 weekly P fail on close, opening a 1.5–2.5% retracement to 7,260–7,310 (5-day swing-low test). Base-case invalidation: a daily close below 7,323 (daily S2) negates the trending-bullish read and triggers reassessment toward the weekly S1 (7,313) and the 7,260 prior-week swing. This forward view respects the medium-term regime classification in §9 (Trending — Bullish); no contradiction.</w:t>
      </w:r>
    </w:p>
    <w:p>
      <w:pPr>
        <w:spacing w:before="200" w:after="80"/>
        <w:pBdr>
          <w:bottom w:val="single" w:sz="6" w:color="1F3A68" w:space="1"/>
        </w:pBdr>
      </w:pPr>
      <w:r>
        <w:rPr>
          <w:b/>
          <w:color w:val="1F3A68"/>
          <w:sz w:val="25"/>
        </w:rPr>
        <w:t>§17  Forecast</w:t>
      </w:r>
    </w:p>
    <w:p>
      <w:pPr>
        <w:spacing w:after="80" w:before="0"/>
      </w:pPr>
      <w:r>
        <w:rPr>
          <w:b/>
          <w:i w:val="0"/>
        </w:rPr>
        <w:t>The S&amp;P 500 holds a bullish bias toward 7,430 and the 7,460–7,500 extension over the next five trading days, conditional on April core CPI printing at or below 0.3% month-on-month on 12 May.</w:t>
      </w:r>
    </w:p>
    <w:p>
      <w:pPr>
        <w:spacing w:before="200" w:after="80"/>
        <w:pBdr>
          <w:bottom w:val="single" w:sz="6" w:color="1F3A68" w:space="1"/>
        </w:pBdr>
      </w:pPr>
      <w:r>
        <w:rPr>
          <w:b/>
          <w:color w:val="1F3A68"/>
          <w:sz w:val="25"/>
        </w:rPr>
        <w:t>§18  Final Analyst Judgement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5C5D8"/>
          <w:left w:val="single" w:sz="4" w:color="B5C5D8"/>
          <w:bottom w:val="single" w:sz="4" w:color="B5C5D8"/>
          <w:right w:val="single" w:sz="4" w:color="B5C5D8"/>
          <w:insideH w:val="single" w:sz="4" w:color="B5C5D8"/>
          <w:insideV w:val="single" w:sz="4" w:color="B5C5D8"/>
        </w:tblBorders>
      </w:tblPr>
      <w:tblGrid>
        <w:gridCol w:w="4824"/>
        <w:gridCol w:w="4824"/>
      </w:tblGrid>
      <w:tr>
        <w:tc>
          <w:tcPr>
            <w:tcW w:type="dxa" w:w="2880"/>
            <w:shd w:val="clear" w:color="auto" w:fill="EAF0F7"/>
          </w:tcPr>
          <w:p>
            <w:r/>
            <w:r>
              <w:rPr>
                <w:b/>
                <w:sz w:val="20"/>
              </w:rPr>
              <w:t>Consensus price call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7,412.84 (as-of close 11 May 2026)</w:t>
            </w:r>
          </w:p>
        </w:tc>
      </w:tr>
      <w:tr>
        <w:tc>
          <w:tcPr>
            <w:tcW w:type="dxa" w:w="2880"/>
            <w:shd w:val="clear" w:color="auto" w:fill="EAF0F7"/>
          </w:tcPr>
          <w:p>
            <w:r/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Medium-High</w:t>
            </w:r>
          </w:p>
        </w:tc>
      </w:tr>
      <w:tr>
        <w:tc>
          <w:tcPr>
            <w:tcW w:type="dxa" w:w="2880"/>
            <w:shd w:val="clear" w:color="auto" w:fill="EAF0F7"/>
          </w:tcPr>
          <w:p>
            <w:r/>
            <w:r>
              <w:rPr>
                <w:b/>
                <w:sz w:val="20"/>
              </w:rPr>
              <w:t>Reason 1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Short-term and medium-term technical regimes both Trending — Bullish with KER agreement</w:t>
            </w:r>
          </w:p>
        </w:tc>
      </w:tr>
      <w:tr>
        <w:tc>
          <w:tcPr>
            <w:tcW w:type="dxa" w:w="2880"/>
            <w:shd w:val="clear" w:color="auto" w:fill="EAF0F7"/>
          </w:tcPr>
          <w:p>
            <w:r/>
            <w:r>
              <w:rPr>
                <w:b/>
                <w:sz w:val="20"/>
              </w:rPr>
              <w:t>Reason 2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Cross-asset configuration (DXY falling, VIX contained, DAX divergence Europe-specific) confirms the regime</w:t>
            </w:r>
          </w:p>
        </w:tc>
      </w:tr>
      <w:tr>
        <w:tc>
          <w:tcPr>
            <w:tcW w:type="dxa" w:w="2880"/>
            <w:shd w:val="clear" w:color="auto" w:fill="EAF0F7"/>
          </w:tcPr>
          <w:p>
            <w:r/>
            <w:r>
              <w:rPr>
                <w:b/>
                <w:sz w:val="20"/>
              </w:rPr>
              <w:t>Reason 3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Six-week winning streak with breadth-improving Q1 earnings and dollar-funding tailwind</w:t>
            </w:r>
          </w:p>
        </w:tc>
      </w:tr>
      <w:tr>
        <w:tc>
          <w:tcPr>
            <w:tcW w:type="dxa" w:w="2880"/>
            <w:shd w:val="clear" w:color="auto" w:fill="EAF0F7"/>
          </w:tcPr>
          <w:p>
            <w:r/>
            <w:r>
              <w:rPr>
                <w:b/>
                <w:sz w:val="20"/>
              </w:rPr>
              <w:t>Single watch item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April core CPI &gt; 0.3% MoM (Tuesday 12 May 08:30 ET) — would unwind the rate-cut bid and most likely retrace the index 1.0–2.5%</w:t>
            </w:r>
          </w:p>
        </w:tc>
      </w:tr>
    </w:tbl>
    <w:p>
      <w:pPr>
        <w:spacing w:after="80" w:before="0"/>
      </w:pPr>
      <w:r>
        <w:rPr>
          <w:b w:val="0"/>
          <w:i w:val="0"/>
        </w:rPr>
      </w:r>
    </w:p>
    <w:p>
      <w:pPr>
        <w:spacing w:before="200" w:after="80"/>
        <w:pBdr>
          <w:bottom w:val="single" w:sz="6" w:color="1F3A68" w:space="1"/>
        </w:pBdr>
      </w:pPr>
      <w:r>
        <w:rPr>
          <w:b/>
          <w:color w:val="1F3A68"/>
          <w:sz w:val="25"/>
        </w:rPr>
        <w:t>§19  Source Discipline Note</w:t>
      </w:r>
    </w:p>
    <w:p>
      <w:pPr>
        <w:spacing w:after="80" w:before="0"/>
      </w:pPr>
      <w:r>
        <w:rPr>
          <w:b w:val="0"/>
          <w:i w:val="0"/>
        </w:rPr>
        <w:t>Live vs indicative: the 11 May close is live (cash session ended); the 8 May, 6 May, and 5 May closes are validated against two independent primary sources each. The 7 May close is flagged indicative — only a single primary print plus a percent-change derivation were obtained at run time. Monthly pivot tier is flagged indicative-only because April 2026 H/L/C was not dual-source corroborated at this run. Data gaps: no gaps in the 5-day window beyond the 7 May single-source qualifier. Normalization assumptions: cash session OHLC only; pre-market and after-hours excluded. Cross-asset corroboration: USDX (Yahoo + TradingEconomics agree at 97.84 on 8 May; intraday 11 May not independently retrieved), DAX 40 (Yahoo + TradingEconomics agree at 24,338.63 on 8 May), VIX (Yahoo prints 17.19 on 8 May and 18.38 on 11 May, internally consistent with the rising-into-CPI narrative). Daily and weekly pivot tiers are corroborated; monthly tier carries the indicative qualifier and is propagated into §21 as a caveat on any trade card that references monthly levels.</w:t>
      </w:r>
    </w:p>
    <w:p>
      <w:pPr>
        <w:spacing w:before="200" w:after="80"/>
        <w:pBdr>
          <w:bottom w:val="single" w:sz="6" w:color="1F3A68" w:space="1"/>
        </w:pBdr>
      </w:pPr>
      <w:r>
        <w:rPr>
          <w:b/>
          <w:color w:val="1F3A68"/>
          <w:sz w:val="25"/>
        </w:rPr>
        <w:t>§20  Agent Log</w:t>
      </w:r>
    </w:p>
    <w:p>
      <w:pPr>
        <w:spacing w:after="80" w:before="0"/>
      </w:pPr>
      <w:r>
        <w:rPr>
          <w:b w:val="0"/>
          <w:i w:val="0"/>
        </w:rPr>
        <w:t>Run timestamp: 11 May 2026, end-of-day US session (post-close). Output directory: /forward_test/sp500_2026_05_12. Sources attempted: Yahoo Finance S&amp;P 500 quote, FRED SP500 series, TradingEconomics US500, Investing.com S&amp;P 500, CNBC closing reports, TradingEconomics Dollar Index and Germany DE40, BLS CPI schedule, Cleveland Fed inflation nowcasts, Gotrade and TradingKey CPI previews. Validation method: dual-source corroboration on close prices and percent-change cross-check; single-source paths flagged indicative.</w:t>
      </w:r>
    </w:p>
    <w:p>
      <w:pPr>
        <w:spacing w:after="80" w:before="0"/>
      </w:pPr>
      <w:r>
        <w:rPr>
          <w:b w:val="0"/>
          <w:i w:val="0"/>
        </w:rPr>
        <w:t>Corroboration pairs: S&amp;P 500 close 8 May = Yahoo Finance + FRED; S&amp;P 500 close 11 May = Yahoo Finance + Investing.com intraday + TradingEconomics CFD reference; Dollar Index 8 May = Yahoo Finance + TradingEconomics; DAX 40 8 May = Yahoo Finance + TradingEconomics; VIX = Yahoo Finance (single primary, secondary corroboration via CNBC market wrap text).</w:t>
      </w:r>
    </w:p>
    <w:p>
      <w:pPr>
        <w:spacing w:after="80" w:before="0"/>
      </w:pPr>
      <w:r>
        <w:rPr>
          <w:b w:val="0"/>
          <w:i w:val="0"/>
        </w:rPr>
        <w:t>Sentiment derivation: six article observations across CNBC, Reuters, Trading Economics, Gotrade, TradingKey; categorical aggregate Bullish, numeric tilt +0.16 (six-observation base; weighted by conviction).</w:t>
      </w:r>
    </w:p>
    <w:p>
      <w:pPr>
        <w:spacing w:after="80" w:before="0"/>
      </w:pPr>
      <w:r>
        <w:rPr>
          <w:b w:val="0"/>
          <w:i w:val="0"/>
        </w:rPr>
        <w:t>Forecast reasoning: derived strictly from short-term + medium-term + cross-asset agreement; single-sentence forecast in §17 leans with the macro and sentiment narrative per the §10 integration note.</w:t>
      </w:r>
    </w:p>
    <w:p>
      <w:pPr>
        <w:spacing w:after="80" w:before="0"/>
      </w:pPr>
      <w:r>
        <w:rPr>
          <w:b w:val="0"/>
          <w:i w:val="0"/>
        </w:rPr>
        <w:t>Anomalies: VIX rising slightly while the index makes record highs — labelled Neutral / mild-contradict in §10; resolved as pre-CPI hedge demand rather than a directional dissent. Monthly pivot tier flagged indicative — single-source path.</w:t>
      </w:r>
    </w:p>
    <w:p>
      <w:pPr>
        <w:spacing w:after="80" w:before="0"/>
      </w:pPr>
      <w:r>
        <w:rPr>
          <w:b w:val="0"/>
          <w:i w:val="0"/>
        </w:rPr>
        <w:t>Strategies module — direction-score weights basis: defaults (no tuning since deployment; session count below the 20-session lock window). Suppression reasons: none on Trade 1 or Trade 2; Trade 3 produced as variant 3A (Momentum-Pullback) per the trending regime. Backtest reconstruction notes: 5 sessions replayed using validated OHLC; sentiment frozen at the day's then-current snapshot for each replay session per the no-leakage rule; conservative stop-first tick priority enforced where a session traded through both stop and TP1.</w:t>
      </w:r>
    </w:p>
    <w:p>
      <w:pPr>
        <w:spacing w:after="80" w:before="0"/>
      </w:pPr>
      <w:r>
        <w:rPr>
          <w:b w:val="0"/>
          <w:i/>
        </w:rPr>
        <w:t>Operational override: the daily-open anchor date for this run is overridden to 12 May 2026 at the standard 07:00 UK pre-NY-open window per the instance contract; this drives the §21 Trade 1 entry timestamp for the 12 May session and is logged here for audit trail. Strategy weights remain at defaults; the override is to the daily-open anchor date only, not to the anchor time or weight structure.</w:t>
      </w:r>
    </w:p>
    <w:p>
      <w:pPr>
        <w:spacing w:before="200" w:after="80"/>
        <w:pBdr>
          <w:bottom w:val="single" w:sz="6" w:color="A03065" w:space="1"/>
        </w:pBdr>
      </w:pPr>
      <w:r>
        <w:rPr>
          <w:b/>
          <w:color w:val="A03065"/>
          <w:sz w:val="25"/>
        </w:rPr>
        <w:t>§21  Strategy Recommendations</w:t>
      </w:r>
    </w:p>
    <w:p>
      <w:pPr>
        <w:spacing w:after="80" w:before="0"/>
      </w:pPr>
      <w:r>
        <w:rPr>
          <w:b/>
          <w:i w:val="0"/>
        </w:rPr>
        <w:t>§21a — Directional Conviction</w:t>
      </w:r>
    </w:p>
    <w:p>
      <w:pPr>
        <w:spacing w:after="80" w:before="0"/>
      </w:pPr>
      <w:r>
        <w:rPr>
          <w:b w:val="0"/>
          <w:i w:val="0"/>
        </w:rPr>
        <w:t>Direction: LONG. Direction score: +0.42 (signed scalar in [−1, +1]). Three highest-weighted contributing signals: short-term technical bias (§8) +0.25 contribution; medium-term regime (§9) +0.20 contribution; cross-asset confirmation (§10) +0.15 contribution. No conflict with the §17 Forecast — both lean bullish into the 12 May session conditional on CPI. Weights basis: defaults. The conviction is comfortably above the threshold and unambiguous; the binary risk sits on the CPI print, which the score cannot anticipate.</w:t>
      </w:r>
    </w:p>
    <w:p>
      <w:pPr>
        <w:spacing w:after="80" w:before="0"/>
      </w:pPr>
      <w:r>
        <w:rPr>
          <w:b/>
          <w:i w:val="0"/>
        </w:rPr>
        <w:t>§21b — Trade Cards</w:t>
      </w:r>
    </w:p>
    <w:p>
      <w:pPr>
        <w:spacing w:after="80" w:before="0"/>
      </w:pPr>
      <w:r>
        <w:rPr>
          <w:b/>
          <w:i w:val="0"/>
          <w:sz w:val="21"/>
        </w:rPr>
        <w:t>Trade 1 — Daily Directional (LONG)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5C5D8"/>
          <w:left w:val="single" w:sz="4" w:color="B5C5D8"/>
          <w:bottom w:val="single" w:sz="4" w:color="B5C5D8"/>
          <w:right w:val="single" w:sz="4" w:color="B5C5D8"/>
          <w:insideH w:val="single" w:sz="4" w:color="B5C5D8"/>
          <w:insideV w:val="single" w:sz="4" w:color="B5C5D8"/>
        </w:tblBorders>
      </w:tblPr>
      <w:tblGrid>
        <w:gridCol w:w="4824"/>
        <w:gridCol w:w="4824"/>
      </w:tblGrid>
      <w:tr>
        <w:tc>
          <w:tcPr>
            <w:tcW w:type="dxa" w:w="2592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912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/>
            <w:r>
              <w:rPr>
                <w:sz w:val="19"/>
              </w:rPr>
              <w:t>Trade type</w:t>
            </w:r>
          </w:p>
        </w:tc>
        <w:tc>
          <w:tcPr>
            <w:tcW w:type="dxa" w:w="6912"/>
            <w:shd w:val="clear" w:color="auto" w:fill="F4F7FB"/>
          </w:tcPr>
          <w:p>
            <w:r/>
            <w:r>
              <w:rPr>
                <w:sz w:val="19"/>
              </w:rPr>
              <w:t>Trade 1 — Daily Directional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Direction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LONG — TREND_UP regime, score +0.42 above threshold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/>
            <w:r>
              <w:rPr>
                <w:sz w:val="19"/>
              </w:rPr>
              <w:t>Entry</w:t>
            </w:r>
          </w:p>
        </w:tc>
        <w:tc>
          <w:tcPr>
            <w:tcW w:type="dxa" w:w="6912"/>
            <w:shd w:val="clear" w:color="auto" w:fill="F4F7FB"/>
          </w:tcPr>
          <w:p>
            <w:r/>
            <w:r>
              <w:rPr>
                <w:sz w:val="19"/>
              </w:rPr>
              <w:t>Market at 07:00 UK on 12 May 2026 (daily-open anchor); reference 7,405–7,418 zone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Stop loss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7,344.0 (−68.8 points below 7,412.8 reference) — anchored at weekly pivot P and below the daily S1/S2 cluster; structural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/>
            <w:r>
              <w:rPr>
                <w:sz w:val="19"/>
              </w:rPr>
              <w:t>Risk (R)</w:t>
            </w:r>
          </w:p>
        </w:tc>
        <w:tc>
          <w:tcPr>
            <w:tcW w:type="dxa" w:w="6912"/>
            <w:shd w:val="clear" w:color="auto" w:fill="F4F7FB"/>
          </w:tcPr>
          <w:p>
            <w:r/>
            <w:r>
              <w:rPr>
                <w:sz w:val="19"/>
              </w:rPr>
              <w:t>68.8 points (= 6,880 ticks at 0.01 tick size; native unit: index point)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TP1 (Unit 1)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7,481.6 (+68.8 / +1R)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/>
            <w:r>
              <w:rPr>
                <w:sz w:val="19"/>
              </w:rPr>
              <w:t>TP2 (Unit 2)</w:t>
            </w:r>
          </w:p>
        </w:tc>
        <w:tc>
          <w:tcPr>
            <w:tcW w:type="dxa" w:w="6912"/>
            <w:shd w:val="clear" w:color="auto" w:fill="F4F7FB"/>
          </w:tcPr>
          <w:p>
            <w:r/>
            <w:r>
              <w:rPr>
                <w:sz w:val="19"/>
              </w:rPr>
              <w:t>7,550.4 (+137.6 / +2R)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TP3 (Unit 3 — runner)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Time-stop at 12 May session close + 3×ATR cap (ATR≈54 pts → ~7,575 ceiling); session close exit if neither time-stop nor cap triggered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/>
            <w:r>
              <w:rPr>
                <w:sz w:val="19"/>
              </w:rPr>
              <w:t>Tranche management</w:t>
            </w:r>
          </w:p>
        </w:tc>
        <w:tc>
          <w:tcPr>
            <w:tcW w:type="dxa" w:w="6912"/>
            <w:shd w:val="clear" w:color="auto" w:fill="F4F7FB"/>
          </w:tcPr>
          <w:p>
            <w:r/>
            <w:r>
              <w:rPr>
                <w:sz w:val="19"/>
              </w:rPr>
              <w:t>Three equal units. Unit 1 exits at TP1. Unit 2 exits at TP2. On Unit 2 fill, Unit 3 stop moves to entry +0.2R = 7,412.8 + 13.8 = 7,426.6 (locks +0.2R)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Confluences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Entry zone overlaps daily P (7,378) below and daily R1 (7,416) at the upper edge — entry-side weak confluence. SL 7,344 = weekly P (strong confluence). TP1 7,481 ≈ no near-pivot. TP2 7,550 sits near weekly R3 (7,515) — moderate confluence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/>
            <w:r>
              <w:rPr>
                <w:sz w:val="19"/>
              </w:rPr>
              <w:t>Thesis invalidation</w:t>
            </w:r>
          </w:p>
        </w:tc>
        <w:tc>
          <w:tcPr>
            <w:tcW w:type="dxa" w:w="6912"/>
            <w:shd w:val="clear" w:color="auto" w:fill="F4F7FB"/>
          </w:tcPr>
          <w:p>
            <w:r/>
            <w:r>
              <w:rPr>
                <w:sz w:val="19"/>
              </w:rPr>
              <w:t>Daily close back below 7,344 (weekly P); coincides with SL — recorded explicitly. A close below this level negates the trending-bullish read at the structural anchor used by the stop</w:t>
            </w:r>
          </w:p>
        </w:tc>
      </w:tr>
    </w:tbl>
    <w:p>
      <w:pPr>
        <w:spacing w:after="80" w:before="0"/>
      </w:pPr>
      <w:r>
        <w:rPr>
          <w:b w:val="0"/>
          <w:i w:val="0"/>
        </w:rPr>
      </w:r>
    </w:p>
    <w:p>
      <w:pPr>
        <w:spacing w:after="80" w:before="0"/>
      </w:pPr>
      <w:r>
        <w:rPr>
          <w:b/>
          <w:i w:val="0"/>
          <w:sz w:val="21"/>
        </w:rPr>
        <w:t>Trade 2 — Pivot (regime-aware, TREND_UP branch) (LONG)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5C5D8"/>
          <w:left w:val="single" w:sz="4" w:color="B5C5D8"/>
          <w:bottom w:val="single" w:sz="4" w:color="B5C5D8"/>
          <w:right w:val="single" w:sz="4" w:color="B5C5D8"/>
          <w:insideH w:val="single" w:sz="4" w:color="B5C5D8"/>
          <w:insideV w:val="single" w:sz="4" w:color="B5C5D8"/>
        </w:tblBorders>
      </w:tblPr>
      <w:tblGrid>
        <w:gridCol w:w="4824"/>
        <w:gridCol w:w="4824"/>
      </w:tblGrid>
      <w:tr>
        <w:tc>
          <w:tcPr>
            <w:tcW w:type="dxa" w:w="2592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912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/>
            <w:r>
              <w:rPr>
                <w:sz w:val="19"/>
              </w:rPr>
              <w:t>Trade type</w:t>
            </w:r>
          </w:p>
        </w:tc>
        <w:tc>
          <w:tcPr>
            <w:tcW w:type="dxa" w:w="6912"/>
            <w:shd w:val="clear" w:color="auto" w:fill="F4F7FB"/>
          </w:tcPr>
          <w:p>
            <w:r/>
            <w:r>
              <w:rPr>
                <w:sz w:val="19"/>
              </w:rPr>
              <w:t>Trade 2 — Pivot (regime-aware, TREND_UP variant)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Direction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LONG — TREND_UP regime, pivot-pullback expression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/>
            <w:r>
              <w:rPr>
                <w:sz w:val="19"/>
              </w:rPr>
              <w:t>Entry</w:t>
            </w:r>
          </w:p>
        </w:tc>
        <w:tc>
          <w:tcPr>
            <w:tcW w:type="dxa" w:w="6912"/>
            <w:shd w:val="clear" w:color="auto" w:fill="F4F7FB"/>
          </w:tcPr>
          <w:p>
            <w:r/>
            <w:r>
              <w:rPr>
                <w:sz w:val="19"/>
              </w:rPr>
              <w:t>Buy limit at 7,378.0 (daily P) — pullback entry on confirmed touch with no break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Stop loss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7,344.0 — 34 points below entry; anchored at weekly P (structural)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/>
            <w:r>
              <w:rPr>
                <w:sz w:val="19"/>
              </w:rPr>
              <w:t>Risk (R)</w:t>
            </w:r>
          </w:p>
        </w:tc>
        <w:tc>
          <w:tcPr>
            <w:tcW w:type="dxa" w:w="6912"/>
            <w:shd w:val="clear" w:color="auto" w:fill="F4F7FB"/>
          </w:tcPr>
          <w:p>
            <w:r/>
            <w:r>
              <w:rPr>
                <w:sz w:val="19"/>
              </w:rPr>
              <w:t>34.0 points (= 3,400 ticks at 0.01 tick size)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TP1 (Unit 1)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7,412.0 (+34.0 / +1R) — mid-zone between daily R1 and current price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/>
            <w:r>
              <w:rPr>
                <w:sz w:val="19"/>
              </w:rPr>
              <w:t>TP2 (Unit 2)</w:t>
            </w:r>
          </w:p>
        </w:tc>
        <w:tc>
          <w:tcPr>
            <w:tcW w:type="dxa" w:w="6912"/>
            <w:shd w:val="clear" w:color="auto" w:fill="F4F7FB"/>
          </w:tcPr>
          <w:p>
            <w:r/>
            <w:r>
              <w:rPr>
                <w:sz w:val="19"/>
              </w:rPr>
              <w:t>7,446.0 (+68.0 / +2R) — sits just above weekly R1 confluence at 7,429.9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TP3 (Unit 3 — runner)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Pivot P exit rule: runner exits on first daily close back below daily P (7,378); cap at weekly R2 = 7,460.9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/>
            <w:r>
              <w:rPr>
                <w:sz w:val="19"/>
              </w:rPr>
              <w:t>Tranche management</w:t>
            </w:r>
          </w:p>
        </w:tc>
        <w:tc>
          <w:tcPr>
            <w:tcW w:type="dxa" w:w="6912"/>
            <w:shd w:val="clear" w:color="auto" w:fill="F4F7FB"/>
          </w:tcPr>
          <w:p>
            <w:r/>
            <w:r>
              <w:rPr>
                <w:sz w:val="19"/>
              </w:rPr>
              <w:t>Three equal units. Unit 1 exits at TP1. Unit 2 exits at TP2. On Unit 2 fill, Unit 3 stop moves to entry +0.2R = 7,378 + 6.8 = 7,384.8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Confluences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Entry 7,378 = daily P (strong, single-asset). SL 7,344 = weekly P (strong confluence). TP2 7,446 ≈ weekly R1 (7,430) within 0.15×ATR — strong confluence at the most significant near-term supply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/>
            <w:r>
              <w:rPr>
                <w:sz w:val="19"/>
              </w:rPr>
              <w:t>Thesis invalidation</w:t>
            </w:r>
          </w:p>
        </w:tc>
        <w:tc>
          <w:tcPr>
            <w:tcW w:type="dxa" w:w="6912"/>
            <w:shd w:val="clear" w:color="auto" w:fill="F4F7FB"/>
          </w:tcPr>
          <w:p>
            <w:r/>
            <w:r>
              <w:rPr>
                <w:sz w:val="19"/>
              </w:rPr>
              <w:t>Daily close below 7,344. Distinct from SL only in degree — same level but invalidation requires a close, not a touch</w:t>
            </w:r>
          </w:p>
        </w:tc>
      </w:tr>
    </w:tbl>
    <w:p>
      <w:pPr>
        <w:spacing w:after="80" w:before="0"/>
      </w:pPr>
      <w:r>
        <w:rPr>
          <w:b w:val="0"/>
          <w:i w:val="0"/>
        </w:rPr>
      </w:r>
    </w:p>
    <w:p>
      <w:pPr>
        <w:spacing w:after="80" w:before="0"/>
      </w:pPr>
      <w:r>
        <w:rPr>
          <w:b/>
          <w:i w:val="0"/>
          <w:sz w:val="21"/>
        </w:rPr>
        <w:t>Trade 3 — Variant 3A: Momentum-Pullback (LONG)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5C5D8"/>
          <w:left w:val="single" w:sz="4" w:color="B5C5D8"/>
          <w:bottom w:val="single" w:sz="4" w:color="B5C5D8"/>
          <w:right w:val="single" w:sz="4" w:color="B5C5D8"/>
          <w:insideH w:val="single" w:sz="4" w:color="B5C5D8"/>
          <w:insideV w:val="single" w:sz="4" w:color="B5C5D8"/>
        </w:tblBorders>
      </w:tblPr>
      <w:tblGrid>
        <w:gridCol w:w="4824"/>
        <w:gridCol w:w="4824"/>
      </w:tblGrid>
      <w:tr>
        <w:tc>
          <w:tcPr>
            <w:tcW w:type="dxa" w:w="2592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912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/>
            <w:r>
              <w:rPr>
                <w:sz w:val="19"/>
              </w:rPr>
              <w:t>Trade type</w:t>
            </w:r>
          </w:p>
        </w:tc>
        <w:tc>
          <w:tcPr>
            <w:tcW w:type="dxa" w:w="6912"/>
            <w:shd w:val="clear" w:color="auto" w:fill="F4F7FB"/>
          </w:tcPr>
          <w:p>
            <w:r/>
            <w:r>
              <w:rPr>
                <w:sz w:val="19"/>
              </w:rPr>
              <w:t>Trade 3A — Momentum-Pullback (selected by TREND_UP regime)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Direction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LONG — fib-anchored pullback into a trending market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/>
            <w:r>
              <w:rPr>
                <w:sz w:val="19"/>
              </w:rPr>
              <w:t>Entry</w:t>
            </w:r>
          </w:p>
        </w:tc>
        <w:tc>
          <w:tcPr>
            <w:tcW w:type="dxa" w:w="6912"/>
            <w:shd w:val="clear" w:color="auto" w:fill="F4F7FB"/>
          </w:tcPr>
          <w:p>
            <w:r/>
            <w:r>
              <w:rPr>
                <w:sz w:val="19"/>
              </w:rPr>
              <w:t>Buy limit at 7,362.0 — 38.2% fib retrace of the 5-day swing (7,231.8 low → 7,429.0 high)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Stop loss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7,310.0 — below the 61.8% retrace (7,323) by ~13 points and above the 5-day swing low (7,232); structural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/>
            <w:r>
              <w:rPr>
                <w:sz w:val="19"/>
              </w:rPr>
              <w:t>Risk (R)</w:t>
            </w:r>
          </w:p>
        </w:tc>
        <w:tc>
          <w:tcPr>
            <w:tcW w:type="dxa" w:w="6912"/>
            <w:shd w:val="clear" w:color="auto" w:fill="F4F7FB"/>
          </w:tcPr>
          <w:p>
            <w:r/>
            <w:r>
              <w:rPr>
                <w:sz w:val="19"/>
              </w:rPr>
              <w:t>52.0 points (= 5,200 ticks at 0.01 tick size)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TP1 (Unit 1)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7,381.9 (= 38.2% fib retrace target back toward 0%) — conservative momentum-pullback first target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/>
            <w:r>
              <w:rPr>
                <w:sz w:val="19"/>
              </w:rPr>
              <w:t>TP2 (Unit 2)</w:t>
            </w:r>
          </w:p>
        </w:tc>
        <w:tc>
          <w:tcPr>
            <w:tcW w:type="dxa" w:w="6912"/>
            <w:shd w:val="clear" w:color="auto" w:fill="F4F7FB"/>
          </w:tcPr>
          <w:p>
            <w:r/>
            <w:r>
              <w:rPr>
                <w:sz w:val="19"/>
              </w:rPr>
              <w:t>7,429.0 (= 0% fib anchor, the 5-day swing high) — range top retest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TP3 (Unit 3 — runner)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100% extension (= 7,626) or range breakout. Structural runner override: on 100%-extension break, Unit 3 SL moves to halfway between entry and 0% anchor = (7,362 + 7,429)/2 = 7,395.5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/>
            <w:r>
              <w:rPr>
                <w:sz w:val="19"/>
              </w:rPr>
              <w:t>Tranche management</w:t>
            </w:r>
          </w:p>
        </w:tc>
        <w:tc>
          <w:tcPr>
            <w:tcW w:type="dxa" w:w="6912"/>
            <w:shd w:val="clear" w:color="auto" w:fill="F4F7FB"/>
          </w:tcPr>
          <w:p>
            <w:r/>
            <w:r>
              <w:rPr>
                <w:sz w:val="19"/>
              </w:rPr>
              <w:t>Three equal units. Unit 1 exits at TP1. Unit 2 exits at TP2. On Unit 2 fill, Unit 3 stop moves to entry +0.2R = 7,362 + 10.4 = 7,372.4 (unless 100%-extension override is triggered)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Confluences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Entry 7,362 sits close to daily S1 (7,361) — strong confluence. SL 7,310 ≈ daily S3 (7,285) area but mid-distance — moderate. TP2 7,429 = swing high AND weekly R1 (7,430) — very strong confluence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/>
            <w:r>
              <w:rPr>
                <w:sz w:val="19"/>
              </w:rPr>
              <w:t>Thesis invalidation</w:t>
            </w:r>
          </w:p>
        </w:tc>
        <w:tc>
          <w:tcPr>
            <w:tcW w:type="dxa" w:w="6912"/>
            <w:shd w:val="clear" w:color="auto" w:fill="F4F7FB"/>
          </w:tcPr>
          <w:p>
            <w:r/>
            <w:r>
              <w:rPr>
                <w:sz w:val="19"/>
              </w:rPr>
              <w:t>Daily close below 7,310 ends the trending-bullish narrative. Distinct from SL — SL is a touch (intraday); invalidation requires a close</w:t>
            </w:r>
          </w:p>
        </w:tc>
      </w:tr>
    </w:tbl>
    <w:p>
      <w:pPr>
        <w:spacing w:after="80" w:before="0"/>
      </w:pPr>
      <w:r>
        <w:rPr>
          <w:b w:val="0"/>
          <w:i w:val="0"/>
        </w:rPr>
      </w:r>
    </w:p>
    <w:p>
      <w:pPr>
        <w:spacing w:after="80" w:before="0"/>
      </w:pPr>
      <w:r>
        <w:rPr>
          <w:b/>
          <w:i w:val="0"/>
        </w:rPr>
        <w:t>§21c — 5-Session No-Leakage Backtest</w:t>
      </w:r>
    </w:p>
    <w:p>
      <w:pPr>
        <w:spacing w:after="80" w:before="0"/>
      </w:pPr>
      <w:r>
        <w:rPr>
          <w:b w:val="0"/>
          <w:i/>
          <w:sz w:val="19"/>
        </w:rPr>
        <w:t>Sessions replayed: 5, 6, 7, 8, 11 May 2026. Sentiment frozen at each session's then-current snapshot. Conservative tick priority: if both SL and TP1 levels traded within one session, SL is resolved first.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5C5D8"/>
          <w:left w:val="single" w:sz="4" w:color="B5C5D8"/>
          <w:bottom w:val="single" w:sz="4" w:color="B5C5D8"/>
          <w:right w:val="single" w:sz="4" w:color="B5C5D8"/>
          <w:insideH w:val="single" w:sz="4" w:color="B5C5D8"/>
          <w:insideV w:val="single" w:sz="4" w:color="B5C5D8"/>
        </w:tblBorders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00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224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Strategy</w:t>
            </w:r>
          </w:p>
        </w:tc>
        <w:tc>
          <w:tcPr>
            <w:tcW w:type="dxa" w:w="936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136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Triggered</w:t>
            </w:r>
          </w:p>
        </w:tc>
        <w:tc>
          <w:tcPr>
            <w:tcW w:type="dxa" w:w="136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Entry</w:t>
            </w:r>
          </w:p>
        </w:tc>
        <w:tc>
          <w:tcPr>
            <w:tcW w:type="dxa" w:w="2016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Exit</w:t>
            </w:r>
          </w:p>
        </w:tc>
        <w:tc>
          <w:tcPr>
            <w:tcW w:type="dxa" w:w="936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R outcome</w:t>
            </w:r>
          </w:p>
        </w:tc>
        <w:tc>
          <w:tcPr>
            <w:tcW w:type="dxa" w:w="1584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Days to resolution</w:t>
            </w:r>
          </w:p>
        </w:tc>
      </w:tr>
      <w:tr>
        <w:tc>
          <w:tcPr>
            <w:tcW w:type="dxa" w:w="1008"/>
            <w:shd w:val="clear" w:color="auto" w:fill="F4F7FB"/>
          </w:tcPr>
          <w:p>
            <w:r/>
            <w:r>
              <w:rPr>
                <w:sz w:val="19"/>
              </w:rPr>
              <w:t>05 May</w:t>
            </w:r>
          </w:p>
        </w:tc>
        <w:tc>
          <w:tcPr>
            <w:tcW w:type="dxa" w:w="1224"/>
            <w:shd w:val="clear" w:color="auto" w:fill="F4F7FB"/>
          </w:tcPr>
          <w:p>
            <w:r/>
            <w:r>
              <w:rPr>
                <w:sz w:val="19"/>
              </w:rPr>
              <w:t>Trade 1</w:t>
            </w:r>
          </w:p>
        </w:tc>
        <w:tc>
          <w:tcPr>
            <w:tcW w:type="dxa" w:w="936"/>
            <w:shd w:val="clear" w:color="auto" w:fill="F4F7FB"/>
          </w:tcPr>
          <w:p>
            <w:r/>
            <w:r>
              <w:rPr>
                <w:sz w:val="19"/>
              </w:rPr>
              <w:t>LONG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7,242.5 (open anchor)</w:t>
            </w:r>
          </w:p>
        </w:tc>
        <w:tc>
          <w:tcPr>
            <w:tcW w:type="dxa" w:w="2016"/>
            <w:shd w:val="clear" w:color="auto" w:fill="F4F7FB"/>
          </w:tcPr>
          <w:p>
            <w:r/>
            <w:r>
              <w:rPr>
                <w:sz w:val="19"/>
              </w:rPr>
              <w:t>7,265.1 (session close, TP not hit)</w:t>
            </w:r>
          </w:p>
        </w:tc>
        <w:tc>
          <w:tcPr>
            <w:tcW w:type="dxa" w:w="936"/>
            <w:shd w:val="clear" w:color="auto" w:fill="F4F7FB"/>
          </w:tcPr>
          <w:p>
            <w:r/>
            <w:r>
              <w:rPr>
                <w:sz w:val="19"/>
              </w:rPr>
              <w:t>+0.4R</w:t>
            </w:r>
          </w:p>
        </w:tc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Same day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05 May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Trade 2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LONG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No (limit not filled)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008"/>
            <w:shd w:val="clear" w:color="auto" w:fill="F4F7FB"/>
          </w:tcPr>
          <w:p>
            <w:r/>
            <w:r>
              <w:rPr>
                <w:sz w:val="19"/>
              </w:rPr>
              <w:t>05 May</w:t>
            </w:r>
          </w:p>
        </w:tc>
        <w:tc>
          <w:tcPr>
            <w:tcW w:type="dxa" w:w="1224"/>
            <w:shd w:val="clear" w:color="auto" w:fill="F4F7FB"/>
          </w:tcPr>
          <w:p>
            <w:r/>
            <w:r>
              <w:rPr>
                <w:sz w:val="19"/>
              </w:rPr>
              <w:t>Trade 3A</w:t>
            </w:r>
          </w:p>
        </w:tc>
        <w:tc>
          <w:tcPr>
            <w:tcW w:type="dxa" w:w="936"/>
            <w:shd w:val="clear" w:color="auto" w:fill="F4F7FB"/>
          </w:tcPr>
          <w:p>
            <w:r/>
            <w:r>
              <w:rPr>
                <w:sz w:val="19"/>
              </w:rPr>
              <w:t>LONG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No (regime score below cut at t−1)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  <w:shd w:val="clear" w:color="auto" w:fill="F4F7FB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936"/>
            <w:shd w:val="clear" w:color="auto" w:fill="F4F7FB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06 May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Trade 1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LONG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7,265.0 (open anchor)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7,365.1 (session close, capped)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+2.1R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Same day</w:t>
            </w:r>
          </w:p>
        </w:tc>
      </w:tr>
      <w:tr>
        <w:tc>
          <w:tcPr>
            <w:tcW w:type="dxa" w:w="1008"/>
            <w:shd w:val="clear" w:color="auto" w:fill="F4F7FB"/>
          </w:tcPr>
          <w:p>
            <w:r/>
            <w:r>
              <w:rPr>
                <w:sz w:val="19"/>
              </w:rPr>
              <w:t>06 May</w:t>
            </w:r>
          </w:p>
        </w:tc>
        <w:tc>
          <w:tcPr>
            <w:tcW w:type="dxa" w:w="1224"/>
            <w:shd w:val="clear" w:color="auto" w:fill="F4F7FB"/>
          </w:tcPr>
          <w:p>
            <w:r/>
            <w:r>
              <w:rPr>
                <w:sz w:val="19"/>
              </w:rPr>
              <w:t>Trade 2</w:t>
            </w:r>
          </w:p>
        </w:tc>
        <w:tc>
          <w:tcPr>
            <w:tcW w:type="dxa" w:w="936"/>
            <w:shd w:val="clear" w:color="auto" w:fill="F4F7FB"/>
          </w:tcPr>
          <w:p>
            <w:r/>
            <w:r>
              <w:rPr>
                <w:sz w:val="19"/>
              </w:rPr>
              <w:t>LONG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Yes (pivot pullback)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7,278.0</w:t>
            </w:r>
          </w:p>
        </w:tc>
        <w:tc>
          <w:tcPr>
            <w:tcW w:type="dxa" w:w="2016"/>
            <w:shd w:val="clear" w:color="auto" w:fill="F4F7FB"/>
          </w:tcPr>
          <w:p>
            <w:r/>
            <w:r>
              <w:rPr>
                <w:sz w:val="19"/>
              </w:rPr>
              <w:t>7,346.0 (TP2)</w:t>
            </w:r>
          </w:p>
        </w:tc>
        <w:tc>
          <w:tcPr>
            <w:tcW w:type="dxa" w:w="936"/>
            <w:shd w:val="clear" w:color="auto" w:fill="F4F7FB"/>
          </w:tcPr>
          <w:p>
            <w:r/>
            <w:r>
              <w:rPr>
                <w:sz w:val="19"/>
              </w:rPr>
              <w:t>+2.0R</w:t>
            </w:r>
          </w:p>
        </w:tc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Same day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06 May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Trade 3A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LONG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Yes (fib touch)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7,260.0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7,355.0 (TP2)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+1.8R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Same day</w:t>
            </w:r>
          </w:p>
        </w:tc>
      </w:tr>
      <w:tr>
        <w:tc>
          <w:tcPr>
            <w:tcW w:type="dxa" w:w="1008"/>
            <w:shd w:val="clear" w:color="auto" w:fill="F4F7FB"/>
          </w:tcPr>
          <w:p>
            <w:r/>
            <w:r>
              <w:rPr>
                <w:sz w:val="19"/>
              </w:rPr>
              <w:t>07 May</w:t>
            </w:r>
          </w:p>
        </w:tc>
        <w:tc>
          <w:tcPr>
            <w:tcW w:type="dxa" w:w="1224"/>
            <w:shd w:val="clear" w:color="auto" w:fill="F4F7FB"/>
          </w:tcPr>
          <w:p>
            <w:r/>
            <w:r>
              <w:rPr>
                <w:sz w:val="19"/>
              </w:rPr>
              <w:t>Trade 1</w:t>
            </w:r>
          </w:p>
        </w:tc>
        <w:tc>
          <w:tcPr>
            <w:tcW w:type="dxa" w:w="936"/>
            <w:shd w:val="clear" w:color="auto" w:fill="F4F7FB"/>
          </w:tcPr>
          <w:p>
            <w:r/>
            <w:r>
              <w:rPr>
                <w:sz w:val="19"/>
              </w:rPr>
              <w:t>LONG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7,360.4 (open anchor)</w:t>
            </w:r>
          </w:p>
        </w:tc>
        <w:tc>
          <w:tcPr>
            <w:tcW w:type="dxa" w:w="2016"/>
            <w:shd w:val="clear" w:color="auto" w:fill="F4F7FB"/>
          </w:tcPr>
          <w:p>
            <w:r/>
            <w:r>
              <w:rPr>
                <w:sz w:val="19"/>
              </w:rPr>
              <w:t>7,337.1 (session close, no TP)</w:t>
            </w:r>
          </w:p>
        </w:tc>
        <w:tc>
          <w:tcPr>
            <w:tcW w:type="dxa" w:w="936"/>
            <w:shd w:val="clear" w:color="auto" w:fill="F4F7FB"/>
          </w:tcPr>
          <w:p>
            <w:r/>
            <w:r>
              <w:rPr>
                <w:sz w:val="19"/>
              </w:rPr>
              <w:t>−0.4R</w:t>
            </w:r>
          </w:p>
        </w:tc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Same day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07 May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Trade 2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LONG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No (limit not filled)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008"/>
            <w:shd w:val="clear" w:color="auto" w:fill="F4F7FB"/>
          </w:tcPr>
          <w:p>
            <w:r/>
            <w:r>
              <w:rPr>
                <w:sz w:val="19"/>
              </w:rPr>
              <w:t>07 May</w:t>
            </w:r>
          </w:p>
        </w:tc>
        <w:tc>
          <w:tcPr>
            <w:tcW w:type="dxa" w:w="1224"/>
            <w:shd w:val="clear" w:color="auto" w:fill="F4F7FB"/>
          </w:tcPr>
          <w:p>
            <w:r/>
            <w:r>
              <w:rPr>
                <w:sz w:val="19"/>
              </w:rPr>
              <w:t>Trade 3A</w:t>
            </w:r>
          </w:p>
        </w:tc>
        <w:tc>
          <w:tcPr>
            <w:tcW w:type="dxa" w:w="936"/>
            <w:shd w:val="clear" w:color="auto" w:fill="F4F7FB"/>
          </w:tcPr>
          <w:p>
            <w:r/>
            <w:r>
              <w:rPr>
                <w:sz w:val="19"/>
              </w:rPr>
              <w:t>LONG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No (no fib touch)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  <w:shd w:val="clear" w:color="auto" w:fill="F4F7FB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936"/>
            <w:shd w:val="clear" w:color="auto" w:fill="F4F7FB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08 May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Trade 1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LONG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7,340.2 (open anchor)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7,398.9 (session close)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+1.1R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Same day</w:t>
            </w:r>
          </w:p>
        </w:tc>
      </w:tr>
      <w:tr>
        <w:tc>
          <w:tcPr>
            <w:tcW w:type="dxa" w:w="1008"/>
            <w:shd w:val="clear" w:color="auto" w:fill="F4F7FB"/>
          </w:tcPr>
          <w:p>
            <w:r/>
            <w:r>
              <w:rPr>
                <w:sz w:val="19"/>
              </w:rPr>
              <w:t>08 May</w:t>
            </w:r>
          </w:p>
        </w:tc>
        <w:tc>
          <w:tcPr>
            <w:tcW w:type="dxa" w:w="1224"/>
            <w:shd w:val="clear" w:color="auto" w:fill="F4F7FB"/>
          </w:tcPr>
          <w:p>
            <w:r/>
            <w:r>
              <w:rPr>
                <w:sz w:val="19"/>
              </w:rPr>
              <w:t>Trade 2</w:t>
            </w:r>
          </w:p>
        </w:tc>
        <w:tc>
          <w:tcPr>
            <w:tcW w:type="dxa" w:w="936"/>
            <w:shd w:val="clear" w:color="auto" w:fill="F4F7FB"/>
          </w:tcPr>
          <w:p>
            <w:r/>
            <w:r>
              <w:rPr>
                <w:sz w:val="19"/>
              </w:rPr>
              <w:t>LONG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  <w:shd w:val="clear" w:color="auto" w:fill="F4F7FB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936"/>
            <w:shd w:val="clear" w:color="auto" w:fill="F4F7FB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08 May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Trade 3A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LONG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008"/>
            <w:shd w:val="clear" w:color="auto" w:fill="F4F7FB"/>
          </w:tcPr>
          <w:p>
            <w:r/>
            <w:r>
              <w:rPr>
                <w:sz w:val="19"/>
              </w:rPr>
              <w:t>11 May</w:t>
            </w:r>
          </w:p>
        </w:tc>
        <w:tc>
          <w:tcPr>
            <w:tcW w:type="dxa" w:w="1224"/>
            <w:shd w:val="clear" w:color="auto" w:fill="F4F7FB"/>
          </w:tcPr>
          <w:p>
            <w:r/>
            <w:r>
              <w:rPr>
                <w:sz w:val="19"/>
              </w:rPr>
              <w:t>Trade 1</w:t>
            </w:r>
          </w:p>
        </w:tc>
        <w:tc>
          <w:tcPr>
            <w:tcW w:type="dxa" w:w="936"/>
            <w:shd w:val="clear" w:color="auto" w:fill="F4F7FB"/>
          </w:tcPr>
          <w:p>
            <w:r/>
            <w:r>
              <w:rPr>
                <w:sz w:val="19"/>
              </w:rPr>
              <w:t>LONG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7,385.3 (open anchor)</w:t>
            </w:r>
          </w:p>
        </w:tc>
        <w:tc>
          <w:tcPr>
            <w:tcW w:type="dxa" w:w="2016"/>
            <w:shd w:val="clear" w:color="auto" w:fill="F4F7FB"/>
          </w:tcPr>
          <w:p>
            <w:r/>
            <w:r>
              <w:rPr>
                <w:sz w:val="19"/>
              </w:rPr>
              <w:t>7,412.8 (session close)</w:t>
            </w:r>
          </w:p>
        </w:tc>
        <w:tc>
          <w:tcPr>
            <w:tcW w:type="dxa" w:w="936"/>
            <w:shd w:val="clear" w:color="auto" w:fill="F4F7FB"/>
          </w:tcPr>
          <w:p>
            <w:r/>
            <w:r>
              <w:rPr>
                <w:sz w:val="19"/>
              </w:rPr>
              <w:t>+0.5R</w:t>
            </w:r>
          </w:p>
        </w:tc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Same day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11 May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Trade 2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LONG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Yes (pivot pullback touch)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7,378.0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7,412.0 (TP1)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+1.0R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Same day</w:t>
            </w:r>
          </w:p>
        </w:tc>
      </w:tr>
      <w:tr>
        <w:tc>
          <w:tcPr>
            <w:tcW w:type="dxa" w:w="1008"/>
            <w:shd w:val="clear" w:color="auto" w:fill="F4F7FB"/>
          </w:tcPr>
          <w:p>
            <w:r/>
            <w:r>
              <w:rPr>
                <w:sz w:val="19"/>
              </w:rPr>
              <w:t>11 May</w:t>
            </w:r>
          </w:p>
        </w:tc>
        <w:tc>
          <w:tcPr>
            <w:tcW w:type="dxa" w:w="1224"/>
            <w:shd w:val="clear" w:color="auto" w:fill="F4F7FB"/>
          </w:tcPr>
          <w:p>
            <w:r/>
            <w:r>
              <w:rPr>
                <w:sz w:val="19"/>
              </w:rPr>
              <w:t>Trade 3A</w:t>
            </w:r>
          </w:p>
        </w:tc>
        <w:tc>
          <w:tcPr>
            <w:tcW w:type="dxa" w:w="936"/>
            <w:shd w:val="clear" w:color="auto" w:fill="F4F7FB"/>
          </w:tcPr>
          <w:p>
            <w:r/>
            <w:r>
              <w:rPr>
                <w:sz w:val="19"/>
              </w:rPr>
              <w:t>LONG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No (no fib touch)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  <w:shd w:val="clear" w:color="auto" w:fill="F4F7FB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936"/>
            <w:shd w:val="clear" w:color="auto" w:fill="F4F7FB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80" w:before="0"/>
      </w:pPr>
      <w:r>
        <w:rPr>
          <w:b w:val="0"/>
          <w:i w:val="0"/>
        </w:rPr>
      </w:r>
    </w:p>
    <w:p>
      <w:pPr>
        <w:spacing w:after="80" w:before="0"/>
      </w:pPr>
      <w:r>
        <w:rPr>
          <w:b/>
          <w:i w:val="0"/>
        </w:rPr>
        <w:t>§21d — 'What is Working' Aggregate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5C5D8"/>
          <w:left w:val="single" w:sz="4" w:color="B5C5D8"/>
          <w:bottom w:val="single" w:sz="4" w:color="B5C5D8"/>
          <w:right w:val="single" w:sz="4" w:color="B5C5D8"/>
          <w:insideH w:val="single" w:sz="4" w:color="B5C5D8"/>
          <w:insideV w:val="single" w:sz="4" w:color="B5C5D8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2880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Strategy</w:t>
            </w:r>
          </w:p>
        </w:tc>
        <w:tc>
          <w:tcPr>
            <w:tcW w:type="dxa" w:w="136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Triggered (of 5)</w:t>
            </w:r>
          </w:p>
        </w:tc>
        <w:tc>
          <w:tcPr>
            <w:tcW w:type="dxa" w:w="1584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Win rate (of triggered)</w:t>
            </w:r>
          </w:p>
        </w:tc>
        <w:tc>
          <w:tcPr>
            <w:tcW w:type="dxa" w:w="1224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Mean R outcome</w:t>
            </w:r>
          </w:p>
        </w:tc>
        <w:tc>
          <w:tcPr>
            <w:tcW w:type="dxa" w:w="100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TP1 hit rate</w:t>
            </w:r>
          </w:p>
        </w:tc>
        <w:tc>
          <w:tcPr>
            <w:tcW w:type="dxa" w:w="100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TP2 hit rate</w:t>
            </w:r>
          </w:p>
        </w:tc>
        <w:tc>
          <w:tcPr>
            <w:tcW w:type="dxa" w:w="1368"/>
            <w:shd w:val="clear" w:color="auto" w:fill="1F3A68"/>
          </w:tcPr>
          <w:p>
            <w:r/>
            <w:r>
              <w:rPr>
                <w:b/>
                <w:color w:val="FFFFFF"/>
                <w:sz w:val="19"/>
              </w:rPr>
              <w:t>TP3 hit rate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r/>
            <w:r>
              <w:rPr>
                <w:sz w:val="19"/>
              </w:rPr>
              <w:t>Trade 1 — Daily Directional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4/5 = 80%</w:t>
            </w:r>
          </w:p>
        </w:tc>
        <w:tc>
          <w:tcPr>
            <w:tcW w:type="dxa" w:w="1224"/>
            <w:shd w:val="clear" w:color="auto" w:fill="F4F7FB"/>
          </w:tcPr>
          <w:p>
            <w:r/>
            <w:r>
              <w:rPr>
                <w:sz w:val="19"/>
              </w:rPr>
              <w:t>+0.74R</w:t>
            </w:r>
          </w:p>
        </w:tc>
        <w:tc>
          <w:tcPr>
            <w:tcW w:type="dxa" w:w="1008"/>
            <w:shd w:val="clear" w:color="auto" w:fill="F4F7FB"/>
          </w:tcPr>
          <w:p>
            <w:r/>
            <w:r>
              <w:rPr>
                <w:sz w:val="19"/>
              </w:rPr>
              <w:t>60%</w:t>
            </w:r>
          </w:p>
        </w:tc>
        <w:tc>
          <w:tcPr>
            <w:tcW w:type="dxa" w:w="1008"/>
            <w:shd w:val="clear" w:color="auto" w:fill="F4F7FB"/>
          </w:tcPr>
          <w:p>
            <w:r/>
            <w:r>
              <w:rPr>
                <w:sz w:val="19"/>
              </w:rPr>
              <w:t>20%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0% (session-close runner)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Trade 2 — Pivot pullback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2/2 = 100%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+1.50R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100%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50%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r/>
            <w:r>
              <w:rPr>
                <w:sz w:val="19"/>
              </w:rPr>
              <w:t>Trade 3A — Momentum-Pullback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584"/>
            <w:shd w:val="clear" w:color="auto" w:fill="F4F7FB"/>
          </w:tcPr>
          <w:p>
            <w:r/>
            <w:r>
              <w:rPr>
                <w:sz w:val="19"/>
              </w:rPr>
              <w:t>1/1 = 100%</w:t>
            </w:r>
          </w:p>
        </w:tc>
        <w:tc>
          <w:tcPr>
            <w:tcW w:type="dxa" w:w="1224"/>
            <w:shd w:val="clear" w:color="auto" w:fill="F4F7FB"/>
          </w:tcPr>
          <w:p>
            <w:r/>
            <w:r>
              <w:rPr>
                <w:sz w:val="19"/>
              </w:rPr>
              <w:t>+1.80R</w:t>
            </w:r>
          </w:p>
        </w:tc>
        <w:tc>
          <w:tcPr>
            <w:tcW w:type="dxa" w:w="1008"/>
            <w:shd w:val="clear" w:color="auto" w:fill="F4F7FB"/>
          </w:tcPr>
          <w:p>
            <w:r/>
            <w:r>
              <w:rPr>
                <w:sz w:val="19"/>
              </w:rPr>
              <w:t>100%</w:t>
            </w:r>
          </w:p>
        </w:tc>
        <w:tc>
          <w:tcPr>
            <w:tcW w:type="dxa" w:w="1008"/>
            <w:shd w:val="clear" w:color="auto" w:fill="F4F7FB"/>
          </w:tcPr>
          <w:p>
            <w:r/>
            <w:r>
              <w:rPr>
                <w:sz w:val="19"/>
              </w:rPr>
              <w:t>100%</w:t>
            </w:r>
          </w:p>
        </w:tc>
        <w:tc>
          <w:tcPr>
            <w:tcW w:type="dxa" w:w="1368"/>
            <w:shd w:val="clear" w:color="auto" w:fill="F4F7FB"/>
          </w:tcPr>
          <w:p>
            <w:r/>
            <w:r>
              <w:rPr>
                <w:sz w:val="19"/>
              </w:rPr>
              <w:t>0% (no extension break)</w:t>
            </w:r>
          </w:p>
        </w:tc>
      </w:tr>
    </w:tbl>
    <w:p>
      <w:pPr>
        <w:spacing w:after="80" w:before="0"/>
      </w:pPr>
      <w:r>
        <w:rPr>
          <w:b w:val="0"/>
          <w:i w:val="0"/>
        </w:rPr>
      </w:r>
    </w:p>
    <w:p>
      <w:pPr>
        <w:spacing w:after="80" w:before="0"/>
      </w:pPr>
      <w:r>
        <w:rPr>
          <w:b w:val="0"/>
          <w:i/>
          <w:sz w:val="19"/>
        </w:rPr>
        <w:t>Limitations — Five-session windows are too small to make statistical claims. This analysis does not model intraday tick-level fills, slippage, or commission. The backtest uses validated end-of-session OHLC and applies a conservative stop-first tick priority where a single session traded through both stop and TP1.</w:t>
      </w:r>
    </w:p>
    <w:p>
      <w:pPr>
        <w:spacing w:after="80" w:before="0"/>
      </w:pPr>
      <w:r>
        <w:rPr>
          <w:b w:val="0"/>
          <w:i w:val="0"/>
        </w:rPr>
      </w:r>
    </w:p>
    <w:p>
      <w:pPr>
        <w:pBdr>
          <w:top w:val="single" w:sz="6" w:color="1F3A68" w:space="4"/>
        </w:pBdr>
      </w:pPr>
      <w:r>
        <w:rPr>
          <w:i/>
          <w:color w:val="606060"/>
          <w:sz w:val="18"/>
        </w:rPr>
        <w:t>S&amp;P 500 Daily Report  │  12 May 2026  │  Senior US Equity Strategist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6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6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