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S&amp;P 500 Report — Daily: 13 July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With reference to: USDX · VIX · DAX 40</w:t>
      </w:r>
    </w:p>
    <w:p>
      <w:pPr>
        <w:spacing w:after="1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Senior US Equity Strategist  ·  As-of session close: Friday 10 July 2026 (America/New_York)  ·  Prepared for the Monday 13 July 2026 open</w:t>
      </w:r>
    </w:p>
    <w:p>
      <w:pPr>
        <w:pBdr>
          <w:bottom w:val="single" w:color="BFBFBF" w:sz="6"/>
        </w:pBdr>
        <w:spacing w:after="60" w:before="6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§1  Executive Snapshot</w:t>
      </w:r>
    </w:p>
    <w:p>
      <w:pPr>
        <w:spacing w:after="100" w:line="276"/>
      </w:pPr>
      <w:r>
        <w:rPr>
          <w:rFonts w:ascii="Calibri" w:cs="Calibri" w:eastAsia="Calibri" w:hAnsi="Calibri"/>
          <w:sz w:val="20"/>
          <w:szCs w:val="20"/>
        </w:rPr>
        <w:t xml:space="preserve">The S&amp;P 500 cash index closed Friday 10 July 2026 at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7,575.39</w:t>
      </w:r>
      <w:r>
        <w:rPr>
          <w:rFonts w:ascii="Calibri" w:cs="Calibri" w:eastAsia="Calibri" w:hAnsi="Calibri"/>
          <w:sz w:val="20"/>
          <w:szCs w:val="20"/>
        </w:rPr>
        <w:t xml:space="preserve"> (weighted-median consensus across six sources; range 7,573.9–7,575.6, High confidence), leaving the benchmark roughly 45 points below its 2 June all-time high of 7,620.90 after a +1% weekly advance led by mega-cap technology (Nvidia, Meta). Market tone is constructively bullish but stretched. The three dominant drivers are (i) an AI/semiconductor leadership bid that has carried the index back toward record territory, (ii) an on-again, off-again US–Iran conflict that has kept an oil-and-inflation risk premium live, and (iii) a hawkish-leaning Fed backdrop with markets pricing at least one 2026 rate hike into a data-heavy week. Short-term technical state is bullish (five-session close sequence rising, RSI2 at 87.2, closes printing in the upper quarter of range three days running); medium-term regime is best read as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Transitional</w:t>
      </w:r>
      <w:r>
        <w:rPr>
          <w:rFonts w:ascii="Calibri" w:cs="Calibri" w:eastAsia="Calibri" w:hAnsi="Calibri"/>
          <w:sz w:val="20"/>
          <w:szCs w:val="20"/>
        </w:rPr>
        <w:t xml:space="preserve"> — directional persistence and range-top positioning lean bullish, but session overlap (0.53) and a contracting VOLator slope withhold a clean trend label. The Kaufman Efficiency Ratio classifies the tape as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Trending Up — Moderate</w:t>
      </w:r>
      <w:r>
        <w:rPr>
          <w:rFonts w:ascii="Calibri" w:cs="Calibri" w:eastAsia="Calibri" w:hAnsi="Calibri"/>
          <w:sz w:val="20"/>
          <w:szCs w:val="20"/>
        </w:rPr>
        <w:t xml:space="preserve"> (smoothed +0.15). The single most important watch item is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Tuesday's June CPI print (14 July) alongside the first wave of big-bank earnings</w:t>
      </w:r>
      <w:r>
        <w:rPr>
          <w:rFonts w:ascii="Calibri" w:cs="Calibri" w:eastAsia="Calibri" w:hAnsi="Calibri"/>
          <w:sz w:val="20"/>
          <w:szCs w:val="20"/>
        </w:rPr>
        <w:t xml:space="preserve">, which together will decide whether the index resolves the 7,580–7,621 supply band to new highs or rejects it. Directional conviction from the strategy engine is LONG (score +0.44), consistent with §17.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§2 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676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Asset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S&amp;P 500 cash index (large-cap US equity benchmark, 503 constituents)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Standardised S&amp;P Dow Jones index methodology; quarterly rebalanced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Scope / Region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Global / US — NYSE &amp; NASDAQ regular trading hours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Delivery basis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Regular cash session 09:30–16:00 ET (pre-/after-market excluded from OHLC)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Price basis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Continuous calculated cash index level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Unit / Currency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Index points / USD  (tick 0.01, native unit: point)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As-of date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Friday 10 July 2026 close (America/New_York); report issued for the 13 July 2026 open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Lookback window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 sessions (execution block); 25 sessions (regime block)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Note on daily-open anchor: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the standing configuration anchors the daily-open reference to the 07:00 UK European pre-open window. For this run the anchor has been overridden to the 13 July 2026 cash open, so Trade 1 is timed to the Monday New-York regular-session open rather than the European-session window. The override is recorded in §20.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§3 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Consensus price</w:t>
            </w:r>
          </w:p>
        </w:tc>
        <w:tc>
          <w:tcPr>
            <w:tcW w:type="dxa" w:w="234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Range</w:t>
            </w:r>
          </w:p>
        </w:tc>
        <w:tc>
          <w:tcPr>
            <w:tcW w:type="dxa" w:w="234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Confidence</w:t>
            </w:r>
          </w:p>
        </w:tc>
        <w:tc>
          <w:tcPr>
            <w:tcW w:type="dxa" w:w="234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Market tone</w:t>
            </w:r>
          </w:p>
        </w:tc>
      </w:tr>
      <w:tr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7,575.39 pts</w:t>
            </w:r>
          </w:p>
        </w:tc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7,573.9 – 7,575.6 pts</w:t>
            </w:r>
          </w:p>
        </w:tc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Bullish (stretched)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Rationale: </w:t>
      </w:r>
      <w:r>
        <w:rPr>
          <w:rFonts w:ascii="Calibri" w:cs="Calibri" w:eastAsia="Calibri" w:hAnsi="Calibri"/>
          <w:sz w:val="20"/>
          <w:szCs w:val="20"/>
        </w:rPr>
        <w:t xml:space="preserve">The Friday cash close is corroborated to the point across the official index provider (S&amp;P Dow Jones via FRED, 7,575.39) and three market aggregators (CNBC, Investing.com, Yahoo). Dispersion is limited to a sub-point derived-feed offset, so precision is high and the weighted median resolves cleanly to the official close.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§4  Price Evidence Table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50"/>
        <w:gridCol w:w="1250"/>
        <w:gridCol w:w="1250"/>
        <w:gridCol w:w="1450"/>
        <w:gridCol w:w="166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1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Date/Time</w:t>
            </w:r>
          </w:p>
        </w:tc>
        <w:tc>
          <w:tcPr>
            <w:tcW w:type="dxa" w:w="12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Raw quote</w:t>
            </w:r>
          </w:p>
        </w:tc>
        <w:tc>
          <w:tcPr>
            <w:tcW w:type="dxa" w:w="12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Normalized</w:t>
            </w:r>
          </w:p>
        </w:tc>
        <w:tc>
          <w:tcPr>
            <w:tcW w:type="dxa" w:w="14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166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S&amp;P Dow Jones (FRED)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 Jul close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7,575.39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7,575.39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Core — index provider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Official daily close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CNBC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 Jul close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7,575.39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7,575.39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Core — media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Cash close, +0.42%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Investing.com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 Jul close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7,575.39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7,575.39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Core — aggregator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Cash close, derived feed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Yahoo Finance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 Jul 17:28 ET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7,575.39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7,575.39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Core — aggregator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OHLC incl. day range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TradingEconomics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 Jul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~7,575 (+0.4%)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7,575.39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Directional — CFD-derived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Consistent, CFD basis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Investrade recap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 Jul close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7,575 (+31.62)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7,575.39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Directional — trade press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Point-change corroboration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§5  Consensus Build Explanation</w:t>
      </w:r>
    </w:p>
    <w:p>
      <w:pPr>
        <w:spacing w:after="100" w:line="276"/>
      </w:pPr>
      <w:r>
        <w:rPr>
          <w:rFonts w:ascii="Calibri" w:cs="Calibri" w:eastAsia="Calibri" w:hAnsi="Calibri"/>
          <w:sz w:val="20"/>
          <w:szCs w:val="20"/>
        </w:rPr>
        <w:t xml:space="preserve">All six observations reference the same continuous cash index level in index points, so no FX, freight, or specification adjustments apply. The two index-provider/aggregator core sources (FRED and Yahoo) carry the highest weight; media and trade-press quotes corroborate the point change (+31.62 / +0.42%) and are down-weighted as syndications of the same underlying print. TradingEconomics is a CFD-derived feed and is retained for direction only. The weighted median lands on the official 7,575.39 close, which is the most defensible figure because the exchange-provider value and both aggregators agree to the point.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§6  Validated OHLC + RSI2 Table (5-Day)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250"/>
        <w:gridCol w:w="1250"/>
        <w:gridCol w:w="1250"/>
        <w:gridCol w:w="1250"/>
        <w:gridCol w:w="780"/>
        <w:gridCol w:w="1080"/>
        <w:gridCol w:w="1450"/>
      </w:tblGrid>
      <w:tr>
        <w:trPr>
          <w:tblHeader/>
        </w:trPr>
        <w:tc>
          <w:tcPr>
            <w:tcW w:type="dxa" w:w="10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2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Open</w:t>
            </w:r>
          </w:p>
        </w:tc>
        <w:tc>
          <w:tcPr>
            <w:tcW w:type="dxa" w:w="12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2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2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Close</w:t>
            </w:r>
          </w:p>
        </w:tc>
        <w:tc>
          <w:tcPr>
            <w:tcW w:type="dxa" w:w="78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RSI2</w:t>
            </w:r>
          </w:p>
        </w:tc>
        <w:tc>
          <w:tcPr>
            <w:tcW w:type="dxa" w:w="108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14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Validation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Mon 06 Jul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7,506.96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7,551.31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7,500.97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7,537.43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93.4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Bullish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Corroborated (Δ close ≤0.10)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Tue 07 Jul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7,516.63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7,536.06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7,478.63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7,503.85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48.3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Bearish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Corroborated (Δ close ≤0.10)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Wed 08 Jul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7,476.54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7,488.51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7,421.82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7,482.71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30.0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Neutral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Corroborated (Δ close ≤0.10)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Thu 09 Jul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7,491.60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7,546.89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7,481.73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7,543.64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78.0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Bullish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Corroborated (Δ close ≤0.10)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Fri 10 Jul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7,547.64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7,579.93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7,508.16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7,575.39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87.2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Bullish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Corroborated (Δ close ≤0.10)</w:t>
            </w:r>
          </w:p>
        </w:tc>
      </w:tr>
    </w:tbl>
    <aligns/>
    <w:p>
      <w:pPr>
        <w:spacing w:after="100" w:line="276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Source A (all sessions): Investing.com cash-index history.  Source B: S&amp;P Dow Jones / FRED (close), Yahoo Finance and CNBC (Fri OHLC and prior closes). Closes agree to the point across at least two independent sources (within the ±0.10-pt equity-index tolerance). Intraday High/Low on the four midweek sessions rest primarily on the Investing.com feed with close-level corroboration; they are treated as validated for structure but flagged for corroboration depth in §19. RSI2 is period-2, computed from the validated close sequence only.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§7  Charts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Candlestick — 5 sessions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Distance-from-Open (Open = 0)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Medium-Term Structure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VOLator — Comparative Volatility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Pivot Structure</w:t>
      </w:r>
    </w:p>
    <w:p>
      <w:pPr>
        <w:spacing w:after="120" w:before="60"/>
        <w:jc w:val="center"/>
      </w:pPr>
      <w:r>
        <w:drawing>
          <wp:inline distT="0" distB="0" distL="0" distR="0">
            <wp:extent cx="53340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§8  Short-Term Technical Analysis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Mon 06 Jul (see §6): </w:t>
      </w:r>
      <w:r>
        <w:rPr>
          <w:rFonts w:ascii="Calibri" w:cs="Calibri" w:eastAsia="Calibri" w:hAnsi="Calibri"/>
          <w:sz w:val="20"/>
          <w:szCs w:val="20"/>
        </w:rPr>
        <w:t xml:space="preserve">Bullish body closing 72% up the range; RSI2 93.4 confirms momentum. A firm start off the prior Thursday's holiday-shortened week.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Tue 07 Jul: </w:t>
      </w:r>
      <w:r>
        <w:rPr>
          <w:rFonts w:ascii="Calibri" w:cs="Calibri" w:eastAsia="Calibri" w:hAnsi="Calibri"/>
          <w:sz w:val="20"/>
          <w:szCs w:val="20"/>
        </w:rPr>
        <w:t xml:space="preserve">Bearish reversal candle closing at the low (44% of range, RSI2 collapsing to 48.3) as the AI/semiconductor complex sold off and oil advanced — the week's inflection.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Wed 08 Jul: </w:t>
      </w:r>
      <w:r>
        <w:rPr>
          <w:rFonts w:ascii="Calibri" w:cs="Calibri" w:eastAsia="Calibri" w:hAnsi="Calibri"/>
          <w:sz w:val="20"/>
          <w:szCs w:val="20"/>
        </w:rPr>
        <w:t xml:space="preserve">Range expansion to the downside (session low 7,421.82) but a recovery close at 91% of range with RSI2 30.0 — an oversold hammer-like print flagging demand into the ceasefire-break headlines.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Thu 09 Jul: </w:t>
      </w:r>
      <w:r>
        <w:rPr>
          <w:rFonts w:ascii="Calibri" w:cs="Calibri" w:eastAsia="Calibri" w:hAnsi="Calibri"/>
          <w:sz w:val="20"/>
          <w:szCs w:val="20"/>
        </w:rPr>
        <w:t xml:space="preserve">Strong bullish engulfing-type session (+0.81%), close 95% of range, RSI2 back to 78.0 as chips rebounded and oil eased.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Fri 10 Jul: </w:t>
      </w:r>
      <w:r>
        <w:rPr>
          <w:rFonts w:ascii="Calibri" w:cs="Calibri" w:eastAsia="Calibri" w:hAnsi="Calibri"/>
          <w:sz w:val="20"/>
          <w:szCs w:val="20"/>
        </w:rPr>
        <w:t xml:space="preserve">Continuation higher to a marginal new intraweek high of 7,579.93, close 94% of range, RSI2 87.2 — momentum intact into the weekend.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Sequence assessment: </w:t>
      </w:r>
      <w:r>
        <w:rPr>
          <w:rFonts w:ascii="Calibri" w:cs="Calibri" w:eastAsia="Calibri" w:hAnsi="Calibri"/>
          <w:sz w:val="20"/>
          <w:szCs w:val="20"/>
        </w:rPr>
        <w:t xml:space="preserve">Continuation with a mid-week compression washout. The last three sessions travel in one direction with rising closes into the upper range, following a Tuesday–Wednesday shakeout — the hallmark of a bullish continuation that has just reclaimed prior highs.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Nearest support / resistance (from the 5-day structure): </w:t>
      </w:r>
      <w:r>
        <w:rPr>
          <w:rFonts w:ascii="Calibri" w:cs="Calibri" w:eastAsia="Calibri" w:hAnsi="Calibri"/>
          <w:sz w:val="20"/>
          <w:szCs w:val="20"/>
        </w:rPr>
        <w:t xml:space="preserve">support at 7,508.16 (Fri low) then 7,481.73 (Thu low) and 7,421.82 (Wed swing low); resistance at 7,579.93 (Fri high) then the 7,620.90 all-time high.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Judgement label: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Bullish continuation. </w:t>
      </w:r>
      <w:r>
        <w:rPr>
          <w:rFonts w:ascii="Calibri" w:cs="Calibri" w:eastAsia="Calibri" w:hAnsi="Calibri"/>
          <w:sz w:val="20"/>
          <w:szCs w:val="20"/>
        </w:rPr>
        <w:t xml:space="preserve">This is consistent in direction with the medium-term regime but sits one notch stronger than the composite Transitional label — the divergence is noted and reconciled in §9.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§9  Medium-Term Regime &amp; VOLator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Regime classification: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Transitional. </w:t>
      </w:r>
      <w:r>
        <w:rPr>
          <w:rFonts w:ascii="Calibri" w:cs="Calibri" w:eastAsia="Calibri" w:hAnsi="Calibri"/>
          <w:sz w:val="20"/>
          <w:szCs w:val="20"/>
        </w:rPr>
        <w:t xml:space="preserve">Overlap ratio 0.53 (above the 0.45 trending threshold, below the 0.55 ranging threshold), directional persistence 0.55, VOLator slope negative, median RSI2 mid-range, and range-position bias at the 99th percentile (range-top).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Bias: </w:t>
      </w:r>
      <w:r>
        <w:rPr>
          <w:rFonts w:ascii="Calibri" w:cs="Calibri" w:eastAsia="Calibri" w:hAnsi="Calibri"/>
          <w:sz w:val="20"/>
          <w:szCs w:val="20"/>
        </w:rPr>
        <w:t xml:space="preserve">Bullish — the directional component points up even though the volatility structure withholds a clean trend label.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VOLator current readings: </w:t>
      </w:r>
      <w:r>
        <w:rPr>
          <w:rFonts w:ascii="Calibri" w:cs="Calibri" w:eastAsia="Calibri" w:hAnsi="Calibri"/>
          <w:sz w:val="20"/>
          <w:szCs w:val="20"/>
        </w:rPr>
        <w:t xml:space="preserve">S&amp;P 500 scaled −0.25 (below midpoint, contracting); VIX scaled sharply negative and falling (calm); USDX near midpoint and flat; DAX 40 mildly positive. Slope of the S&amp;P 500 series over the last 10 observations is −0.08 (contraction).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Preferred trade protocol: </w:t>
      </w:r>
      <w:r>
        <w:rPr>
          <w:rFonts w:ascii="Calibri" w:cs="Calibri" w:eastAsia="Calibri" w:hAnsi="Calibri"/>
          <w:sz w:val="20"/>
          <w:szCs w:val="20"/>
        </w:rPr>
        <w:t xml:space="preserve">Breakout-with-confirmation. The short-term bullish continuation combined with a Transitional medium-term regime argues for trading the resolution of the 7,580–7,621 band rather than fading it — reduced conviction until a confirmed close.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Kaufman confirmation: </w:t>
      </w:r>
      <w:r>
        <w:rPr>
          <w:rFonts w:ascii="Calibri" w:cs="Calibri" w:eastAsia="Calibri" w:hAnsi="Calibri"/>
          <w:sz w:val="20"/>
          <w:szCs w:val="20"/>
        </w:rPr>
        <w:t xml:space="preserve">Smoothed KER +0.15 → Trending Up — Moderate. KER agrees with the bullish bias but, because the VOLator slope is negative, the composite gate resolves to Transitional rather than Trend-Up. Where they disagree the composite (dual-gate) label takes precedence for regime routing, while KER is allowed to support directional conviction.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§10 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3560"/>
        <w:gridCol w:w="1200"/>
        <w:gridCol w:w="20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Counter</w:t>
            </w:r>
          </w:p>
        </w:tc>
        <w:tc>
          <w:tcPr>
            <w:tcW w:type="dxa" w:w="11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5-day dir.</w:t>
            </w:r>
          </w:p>
        </w:tc>
        <w:tc>
          <w:tcPr>
            <w:tcW w:type="dxa" w:w="356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Mechanism</w:t>
            </w:r>
          </w:p>
        </w:tc>
        <w:tc>
          <w:tcPr>
            <w:tcW w:type="dxa" w:w="12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Implication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USDX (Dollar Index)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Flat / softer</w:t>
            </w:r>
          </w:p>
        </w:tc>
        <w:tc>
          <w:tcPr>
            <w:tcW w:type="dxa" w:w="3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softer dollar eases multinational-earnings translation and global financial conditions, a mild tailwind for large-cap US equities.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Confirms (weakly)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Supportive but marginal; dollar ~100.9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VIX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Falling</w:t>
            </w:r>
          </w:p>
        </w:tc>
        <w:tc>
          <w:tcPr>
            <w:tcW w:type="dxa" w:w="3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Falling implied volatility signals a risk-on regime and compressing hedging demand — consistent with equity strength.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Confirms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15.03 close = calm; supports upside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DAX 40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Falling</w:t>
            </w:r>
          </w:p>
        </w:tc>
        <w:tc>
          <w:tcPr>
            <w:tcW w:type="dxa" w:w="3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European large-cap weakness (index −2.8% on the week) reflects tech/industrial pressure; a common-factor drag that tempers the global risk-on read.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Contradicts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Flags that global equity breadth is not uniform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Contradiction flag: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The DAX's weekly decline contradicts the risk-on read implied by a falling VIX and softer dollar. </w:t>
      </w:r>
      <w:r>
        <w:rPr>
          <w:rFonts w:ascii="Calibri" w:cs="Calibri" w:eastAsia="Calibri" w:hAnsi="Calibri"/>
          <w:sz w:val="20"/>
          <w:szCs w:val="20"/>
        </w:rPr>
        <w:t xml:space="preserve">Aggregated across the three counters this nets to a MIXED cross-asset confirmation (two supportive, one contradictory) and is carried forward — unresolved — into §15 and §16.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§11  Floor Pivot Analysis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Daily pivots (from Thu 9 Jul H/L/C)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20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Price (pts)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R5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7,761.92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R4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7,696.76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R3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7,631.60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R2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7,589.25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R1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7,566.44</w:t>
            </w:r>
          </w:p>
        </w:tc>
      </w:tr>
      <w:tr>
        <w:tc>
          <w:tcPr>
            <w:tcW w:type="dxa" w:w="2000"/>
            <w:shd w:fill="FDE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</w:t>
            </w:r>
          </w:p>
        </w:tc>
        <w:tc>
          <w:tcPr>
            <w:tcW w:type="dxa" w:w="2000"/>
            <w:shd w:fill="FDE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7,524.09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S1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7,501.28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S2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7,458.93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S3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7,436.12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S4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7,370.96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S5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7,305.80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Weekly pivots (prior week W/E 3 Jul) · Monthly pivots (June)</w:t>
      </w:r>
    </w:p>
    <w:tbl>
      <w:tblPr>
        <w:tblW w:type="dxa" w:w="6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1560"/>
        <w:gridCol w:w="1560"/>
        <w:gridCol w:w="1560"/>
      </w:tblGrid>
      <w:tr>
        <w:trPr>
          <w:tblHeader/>
        </w:trPr>
        <w:tc>
          <w:tcPr>
            <w:tcW w:type="dxa" w:w="136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156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Weekly (pts)</w:t>
            </w:r>
          </w:p>
        </w:tc>
        <w:tc>
          <w:tcPr>
            <w:tcW w:type="dxa" w:w="156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156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Monthly (pts)</w:t>
            </w:r>
          </w:p>
        </w:tc>
      </w:tr>
      <w:tr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R3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7,758.24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R3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7,953.00</w:t>
            </w:r>
          </w:p>
        </w:tc>
      </w:tr>
      <w:tr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R2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7,649.49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R2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7,765.46</w:t>
            </w:r>
          </w:p>
        </w:tc>
      </w:tr>
      <w:tr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R1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7,566.37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R1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7,632.41</w:t>
            </w:r>
          </w:p>
        </w:tc>
      </w:tr>
      <w:tr>
        <w:tc>
          <w:tcPr>
            <w:tcW w:type="dxa" w:w="1360"/>
            <w:shd w:fill="FDE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</w:t>
            </w:r>
          </w:p>
        </w:tc>
        <w:tc>
          <w:tcPr>
            <w:tcW w:type="dxa" w:w="1560"/>
            <w:shd w:fill="FDE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7,457.62</w:t>
            </w:r>
          </w:p>
        </w:tc>
        <w:tc>
          <w:tcPr>
            <w:tcW w:type="dxa" w:w="1560"/>
            <w:shd w:fill="FDE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</w:t>
            </w:r>
          </w:p>
        </w:tc>
        <w:tc>
          <w:tcPr>
            <w:tcW w:type="dxa" w:w="1560"/>
            <w:shd w:fill="FDE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7,444.87</w:t>
            </w:r>
          </w:p>
        </w:tc>
      </w:tr>
      <w:tr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S1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7,374.50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S1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7,311.82</w:t>
            </w:r>
          </w:p>
        </w:tc>
      </w:tr>
      <w:tr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S2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7,265.75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S2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7,124.28</w:t>
            </w:r>
          </w:p>
        </w:tc>
      </w:tr>
      <w:tr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S3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7,182.63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S3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6,991.23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Source status: </w:t>
      </w:r>
      <w:r>
        <w:rPr>
          <w:rFonts w:ascii="Calibri" w:cs="Calibri" w:eastAsia="Calibri" w:hAnsi="Calibri"/>
          <w:sz w:val="20"/>
          <w:szCs w:val="20"/>
        </w:rPr>
        <w:t xml:space="preserve">Prior-period H/L/C used for all three pivot timeframes derive from the same single primary OHLC feed (Investing.com) with close-level corroboration only. All pivot levels are therefore flagged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single-source indicative</w:t>
      </w:r>
      <w:r>
        <w:rPr>
          <w:rFonts w:ascii="Calibri" w:cs="Calibri" w:eastAsia="Calibri" w:hAnsi="Calibri"/>
          <w:sz w:val="20"/>
          <w:szCs w:val="20"/>
        </w:rPr>
        <w:t xml:space="preserve"> for prior-period High/Low, per §19. They are used for structure and narrative but treated with the corroboration caveat in the strategy layer.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Position narrative: </w:t>
      </w:r>
      <w:r>
        <w:rPr>
          <w:rFonts w:ascii="Calibri" w:cs="Calibri" w:eastAsia="Calibri" w:hAnsi="Calibri"/>
          <w:sz w:val="20"/>
          <w:szCs w:val="20"/>
        </w:rPr>
        <w:t xml:space="preserve">The 7,575.39 close sits above the daily P (7,524.09) and just beneath daily R1 (7,566.44 — already cleared intraday) and the tightly-clustered daily R1.5 (7,577.84) / weekly R1 (7,566.37) / Fri high (7,579.93). This 7,566–7,590 zone is a strong confluence band (daily R1, weekly R1, daily R1.5 and the 5-day swing high all within a few points) and is the immediate pivot the market must resolve. Above it, daily R2 (7,589.25) and the 7,620.90 record are the next objectives.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§12  Key Market Considerations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Demand / earnings (structural, price-supportive): </w:t>
      </w:r>
      <w:r>
        <w:rPr>
          <w:rFonts w:ascii="Calibri" w:cs="Calibri" w:eastAsia="Calibri" w:hAnsi="Calibri"/>
          <w:sz w:val="20"/>
          <w:szCs w:val="20"/>
        </w:rPr>
        <w:t xml:space="preserve">Q2 earnings season opens 14 July with a heavy financials slate; consensus looks for a second straight quarter of &gt;20% S&amp;P earnings growth, the core of the bull case. AI-capex names (Meta, Nvidia) remain the leadership.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Policy / monetary (cyclical, price-negative): </w:t>
      </w:r>
      <w:r>
        <w:rPr>
          <w:rFonts w:ascii="Calibri" w:cs="Calibri" w:eastAsia="Calibri" w:hAnsi="Calibri"/>
          <w:sz w:val="20"/>
          <w:szCs w:val="20"/>
        </w:rPr>
        <w:t xml:space="preserve">A hawkish-leaning Fed under new Chair Warsh, with markets pricing at least one 2026 rate hike (≈62% probability for September), caps multiple expansion. Warsh's semi-annual testimony (14–15 July) is a live catalyst.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Macro / geopolitics (cyclical, price-negative): </w:t>
      </w:r>
      <w:r>
        <w:rPr>
          <w:rFonts w:ascii="Calibri" w:cs="Calibri" w:eastAsia="Calibri" w:hAnsi="Calibri"/>
          <w:sz w:val="20"/>
          <w:szCs w:val="20"/>
        </w:rPr>
        <w:t xml:space="preserve">The broken US–Iran ceasefire and a live oil risk premium (WTI up ~5% on the week at points) threaten to reignite inflation fears; oil easing late-week was a key support for Thursday–Friday's rally.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Substitution / breadth (neutral-to-negative): </w:t>
      </w:r>
      <w:r>
        <w:rPr>
          <w:rFonts w:ascii="Calibri" w:cs="Calibri" w:eastAsia="Calibri" w:hAnsi="Calibri"/>
          <w:sz w:val="20"/>
          <w:szCs w:val="20"/>
        </w:rPr>
        <w:t xml:space="preserve">Leadership is narrow (mega-cap tech), the Russell 2000 lagged on Friday, and the DAX's weekly fall (§10) signals uneven global breadth.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Near-term catalysts (cyclical): </w:t>
      </w:r>
      <w:r>
        <w:rPr>
          <w:rFonts w:ascii="Calibri" w:cs="Calibri" w:eastAsia="Calibri" w:hAnsi="Calibri"/>
          <w:sz w:val="20"/>
          <w:szCs w:val="20"/>
        </w:rPr>
        <w:t xml:space="preserve">June CPI (Tue 14 Jul), PPI (Wed 15 Jul), Retail Sales (Thu 16 Jul), Michigan sentiment (Fri 17 Jul), and the bank-earnings wave — all flagged from §13d and all falling inside the 5-day scenario horizon.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§13  Sentiment, News &amp; Calendar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B26A00"/>
          <w:sz w:val="22"/>
          <w:szCs w:val="22"/>
        </w:rPr>
        <w:t xml:space="preserve">§13a  Per-Article Sentiment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150"/>
        <w:gridCol w:w="3050"/>
        <w:gridCol w:w="1150"/>
        <w:gridCol w:w="1660"/>
        <w:gridCol w:w="990"/>
      </w:tblGrid>
      <w:tr>
        <w:trPr>
          <w:tblHeader/>
        </w:trPr>
        <w:tc>
          <w:tcPr>
            <w:tcW w:type="dxa" w:w="13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1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Headline (verbatim, abbreviated)</w:t>
            </w:r>
          </w:p>
        </w:tc>
        <w:tc>
          <w:tcPr>
            <w:tcW w:type="dxa" w:w="11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Class.</w:t>
            </w:r>
          </w:p>
        </w:tc>
        <w:tc>
          <w:tcPr>
            <w:tcW w:type="dxa" w:w="166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Derived</w:t>
            </w:r>
          </w:p>
        </w:tc>
        <w:tc>
          <w:tcPr>
            <w:tcW w:type="dxa" w:w="99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Quote (≤15w)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CNBC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 Jul</w:t>
            </w:r>
          </w:p>
        </w:tc>
        <w:tc>
          <w:tcPr>
            <w:tcW w:type="dxa" w:w="30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S&amp;P 500 closes higher to notch a winning week, helped by tech gains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Media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Bullish</w:t>
            </w:r>
          </w:p>
        </w:tc>
        <w:tc>
          <w:tcPr>
            <w:tcW w:type="dxa" w:w="99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“notch a winning week, helped by tech gains”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CNBC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 Jul</w:t>
            </w:r>
          </w:p>
        </w:tc>
        <w:tc>
          <w:tcPr>
            <w:tcW w:type="dxa" w:w="30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Stocks rise as investors await the start of earnings season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Media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Bullish</w:t>
            </w:r>
          </w:p>
        </w:tc>
        <w:tc>
          <w:tcPr>
            <w:tcW w:type="dxa" w:w="99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“Stocks rise…await the start of earnings season”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TradingEconomics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 Jul</w:t>
            </w:r>
          </w:p>
        </w:tc>
        <w:tc>
          <w:tcPr>
            <w:tcW w:type="dxa" w:w="30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 stock indices closed higher on Friday ahead of earnings season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Trade Press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Bullish</w:t>
            </w:r>
          </w:p>
        </w:tc>
        <w:tc>
          <w:tcPr>
            <w:tcW w:type="dxa" w:w="99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“US stock indices closed higher…SK Hynix surging”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Investrade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 Jul</w:t>
            </w:r>
          </w:p>
        </w:tc>
        <w:tc>
          <w:tcPr>
            <w:tcW w:type="dxa" w:w="30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S&amp;P 500 only ~40 points from its all-time highs as AI/tech leads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Media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Bullish</w:t>
            </w:r>
          </w:p>
        </w:tc>
        <w:tc>
          <w:tcPr>
            <w:tcW w:type="dxa" w:w="99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“only remains roughly 40 points from its all-time highs”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KBW / BofA note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09–10 Jul</w:t>
            </w:r>
          </w:p>
        </w:tc>
        <w:tc>
          <w:tcPr>
            <w:tcW w:type="dxa" w:w="30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SPX median −1.3% in two weeks before large IPOs (rotation)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Institutional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Bearish</w:t>
            </w:r>
          </w:p>
        </w:tc>
        <w:tc>
          <w:tcPr>
            <w:tcW w:type="dxa" w:w="99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“fallen a median 1.3% in the two weeks before…IPOs”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CNBC week-ahead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 Jul</w:t>
            </w:r>
          </w:p>
        </w:tc>
        <w:tc>
          <w:tcPr>
            <w:tcW w:type="dxa" w:w="30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Next week brings earnings and inflation data amid Iran hostilities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Institutional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Neutral</w:t>
            </w:r>
          </w:p>
        </w:tc>
        <w:tc>
          <w:tcPr>
            <w:tcW w:type="dxa" w:w="99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“earnings and inflation data amid resumption of…hostilities”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CNBC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09 Jul</w:t>
            </w:r>
          </w:p>
        </w:tc>
        <w:tc>
          <w:tcPr>
            <w:tcW w:type="dxa" w:w="30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Renewed US–Iran tensions; oil overhang keeps markets on edge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Media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Bearish</w:t>
            </w:r>
          </w:p>
        </w:tc>
        <w:tc>
          <w:tcPr>
            <w:tcW w:type="dxa" w:w="99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“equity markets tried to recover in spite of…tensions”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B26A00"/>
          <w:sz w:val="22"/>
          <w:szCs w:val="22"/>
        </w:rPr>
        <w:t xml:space="preserve">§13b  Aggregate Sentiment Summary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Categorical: </w:t>
      </w:r>
      <w:r>
        <w:rPr>
          <w:rFonts w:ascii="Calibri" w:cs="Calibri" w:eastAsia="Calibri" w:hAnsi="Calibri"/>
          <w:sz w:val="20"/>
          <w:szCs w:val="20"/>
        </w:rPr>
        <w:t xml:space="preserve">4 Bullish (1 trade-press, 3 media), 2 Bearish (1 institutional, 1 media), 1 Neutral (institutional) =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Predominantly Bullish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.  Numeric tilt: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+0.15</w:t>
      </w:r>
      <w:r>
        <w:rPr>
          <w:rFonts w:ascii="Calibri" w:cs="Calibri" w:eastAsia="Calibri" w:hAnsi="Calibri"/>
          <w:sz w:val="20"/>
          <w:szCs w:val="20"/>
        </w:rPr>
        <w:t xml:space="preserve">  (source-class-weighted mean; the single Bearish institutional note materially offsets the media bull count).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Divergence flag: </w:t>
      </w:r>
      <w:r>
        <w:rPr>
          <w:rFonts w:ascii="Calibri" w:cs="Calibri" w:eastAsia="Calibri" w:hAnsi="Calibri"/>
          <w:sz w:val="20"/>
          <w:szCs w:val="20"/>
        </w:rPr>
        <w:t xml:space="preserve">Sentiment agrees in sign with price action (up) but is modest in magnitude — the institutional caution (IPO-rotation, Iran) drags the tilt well below the raw bullish headline count. Not a price/sentiment contradiction, but a low-conviction bullish tilt. Given seven articles the reading is not low-confidence on count, but is low-confidence on conviction.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B26A00"/>
          <w:sz w:val="22"/>
          <w:szCs w:val="22"/>
        </w:rPr>
        <w:t xml:space="preserve">§13c  News Calendar — Previous Period (6–10 Jul)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100"/>
        <w:gridCol w:w="2350"/>
        <w:gridCol w:w="900"/>
        <w:gridCol w:w="2760"/>
      </w:tblGrid>
      <w:tr>
        <w:trPr>
          <w:tblHeader/>
        </w:trPr>
        <w:tc>
          <w:tcPr>
            <w:tcW w:type="dxa" w:w="12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1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23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 / Context</w:t>
            </w:r>
          </w:p>
        </w:tc>
        <w:tc>
          <w:tcPr>
            <w:tcW w:type="dxa" w:w="9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276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Implication for S&amp;P 500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Tue 07 Jul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AI/semis sell-off; oil advances</w:t>
            </w:r>
          </w:p>
        </w:tc>
        <w:tc>
          <w:tcPr>
            <w:tcW w:type="dxa" w:w="2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Rotation out of AI names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−0.45%; chips led decline (Micron −4.7%)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Wed 08 Jul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US–Iran ceasefire break; Fed June minutes</w:t>
            </w:r>
          </w:p>
        </w:tc>
        <w:tc>
          <w:tcPr>
            <w:tcW w:type="dxa" w:w="2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Minutes showed a divided FOMC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Intraday washout to 7,421 then recovery close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Thu 09 Jul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Chip rebound; oil eases; jobless claims 215k</w:t>
            </w:r>
          </w:p>
        </w:tc>
        <w:tc>
          <w:tcPr>
            <w:tcW w:type="dxa" w:w="2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Claims below 218k consensus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+0.81%; risk-on resumption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Fri 10 Jul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SK Hynix mega-IPO debut; winning week</w:t>
            </w:r>
          </w:p>
        </w:tc>
        <w:tc>
          <w:tcPr>
            <w:tcW w:type="dxa" w:w="2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Largest-ever foreign US listing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+0.42%; marginal new intraweek high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B26A00"/>
          <w:sz w:val="22"/>
          <w:szCs w:val="22"/>
        </w:rPr>
        <w:t xml:space="preserve">§13d  News Calendar — Upcoming Period (13–17 Jul)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350"/>
        <w:gridCol w:w="2100"/>
        <w:gridCol w:w="900"/>
        <w:gridCol w:w="2760"/>
      </w:tblGrid>
      <w:tr>
        <w:trPr>
          <w:tblHeader/>
        </w:trPr>
        <w:tc>
          <w:tcPr>
            <w:tcW w:type="dxa" w:w="12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3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21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Context</w:t>
            </w:r>
          </w:p>
        </w:tc>
        <w:tc>
          <w:tcPr>
            <w:tcW w:type="dxa" w:w="9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276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Mechanism (beat / miss)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Mon 13 Jul</w:t>
            </w:r>
          </w:p>
        </w:tc>
        <w:tc>
          <w:tcPr>
            <w:tcW w:type="dxa" w:w="2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June Treasury Budget; Fastenal earnings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Light open to the week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Minor; sets tone into CPI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Tue 14 Jul</w:t>
            </w:r>
          </w:p>
        </w:tc>
        <w:tc>
          <w:tcPr>
            <w:tcW w:type="dxa" w:w="2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June CPI + big-bank earnings (JPM, GS, WFC, BAC, C); Warsh testimony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Core CPI seen ~+0.26% m/m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Hot CPI → rate-hike odds rise, equities pressured; soft CPI + strong bank EPS → breakout through 7,620 enabled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Wed 15 Jul</w:t>
            </w:r>
          </w:p>
        </w:tc>
        <w:tc>
          <w:tcPr>
            <w:tcW w:type="dxa" w:w="2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June PPI; Empire Fed; MS, JNJ, BLK earnings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Second inflation read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Confirms/denies CPI signal; pipeline inflation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Thu 16 Jul</w:t>
            </w:r>
          </w:p>
        </w:tc>
        <w:tc>
          <w:tcPr>
            <w:tcW w:type="dxa" w:w="2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June Retail Sales; Philly Fed; jobless claims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Consumer-demand gauge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Strong sales support soft-landing bull case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Fri 17 Jul</w:t>
            </w:r>
          </w:p>
        </w:tc>
        <w:tc>
          <w:tcPr>
            <w:tcW w:type="dxa" w:w="2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Michigan sentiment (prelim); Industrial Production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Confidence check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Sentiment surprise moves rate expectations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Highest-impact event: </w:t>
      </w:r>
      <w:r>
        <w:rPr>
          <w:rFonts w:ascii="Calibri" w:cs="Calibri" w:eastAsia="Calibri" w:hAnsi="Calibri"/>
          <w:sz w:val="20"/>
          <w:szCs w:val="20"/>
        </w:rPr>
        <w:t xml:space="preserve">Tuesday 14 July — June CPI arriving simultaneously with the big-bank earnings wave and Fed Chair Warsh's testimony. A hot core CPI would harden the priced 2026 rate-hike path and likely reject the 7,580–7,621 supply band; a benign print alongside strong financial-sector earnings would clear the path to new all-time highs.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§14  Macro Context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Rates &amp; monetary policy: </w:t>
      </w:r>
      <w:r>
        <w:rPr>
          <w:rFonts w:ascii="Calibri" w:cs="Calibri" w:eastAsia="Calibri" w:hAnsi="Calibri"/>
          <w:sz w:val="20"/>
          <w:szCs w:val="20"/>
        </w:rPr>
        <w:t xml:space="preserve">Markets price at least one 2026 Fed hike (≈62% for September). The 10-year yield rose ~9bp on the week to ~4.57%, an eight-of-nine-session climb — a valuation headwind. Cross-reference §10: falling VIX shows the equity market is, for now, absorbing the rate backdrop calmly.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Inflation: </w:t>
      </w:r>
      <w:r>
        <w:rPr>
          <w:rFonts w:ascii="Calibri" w:cs="Calibri" w:eastAsia="Calibri" w:hAnsi="Calibri"/>
          <w:sz w:val="20"/>
          <w:szCs w:val="20"/>
        </w:rPr>
        <w:t xml:space="preserve">June CPI/PPI (§13d) are the swing variables; late-week oil easing after the US–Iran flare-up is disinflationary at the margin — price-supportive for equities if it holds.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Liquidity &amp; FX: </w:t>
      </w:r>
      <w:r>
        <w:rPr>
          <w:rFonts w:ascii="Calibri" w:cs="Calibri" w:eastAsia="Calibri" w:hAnsi="Calibri"/>
          <w:sz w:val="20"/>
          <w:szCs w:val="20"/>
        </w:rPr>
        <w:t xml:space="preserve">Per §10, the dollar index is roughly flat-to-softer near 100.9 — a marginal tailwind for multinational earnings translation.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Energy: </w:t>
      </w:r>
      <w:r>
        <w:rPr>
          <w:rFonts w:ascii="Calibri" w:cs="Calibri" w:eastAsia="Calibri" w:hAnsi="Calibri"/>
          <w:sz w:val="20"/>
          <w:szCs w:val="20"/>
        </w:rPr>
        <w:t xml:space="preserve">WTI's on/off ~5% weekly swings on Iran headlines are the key inflation transmission channel; the Thursday–Friday rally coincided with oil rolling over.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Positioning: </w:t>
      </w:r>
      <w:r>
        <w:rPr>
          <w:rFonts w:ascii="Calibri" w:cs="Calibri" w:eastAsia="Calibri" w:hAnsi="Calibri"/>
          <w:sz w:val="20"/>
          <w:szCs w:val="20"/>
        </w:rPr>
        <w:t xml:space="preserve">VIX at 15.03 (§10) signals low hedging demand; net-long dollar positioning at a decade high. Leadership breadth is narrow (mega-cap tech), a positioning vulnerability.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Watch item: </w:t>
      </w:r>
      <w:r>
        <w:rPr>
          <w:rFonts w:ascii="Calibri" w:cs="Calibri" w:eastAsia="Calibri" w:hAnsi="Calibri"/>
          <w:sz w:val="20"/>
          <w:szCs w:val="20"/>
        </w:rPr>
        <w:t xml:space="preserve">Warsh's testimony and CPI (§13d) directly drive the rates and inflation variables above; a hawkish surprise is the primary downside macro risk for the index over the horizon.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§15 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Main upside risks</w:t>
            </w:r>
          </w:p>
        </w:tc>
        <w:tc>
          <w:tcPr>
            <w:tcW w:type="dxa" w:w="468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Main downside risks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Close through the 7,580–7,621 confluence/record band opens measured-move upside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Benign June CPI (14 Jul) + &gt;20% bank earnings growth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Falling VIX and softer dollar (§10) confirm risk-on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RSI2 87.2 momentum with closes in upper range (§8)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Hot CPI/PPI hardening the 2026 rate-hike path (§13d, §14)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Hawkish Warsh testimony (14–15 Jul)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US–Iran re-escalation and an oil-driven inflation premium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Narrow breadth; DAX weakness contradicts risk-on (§10); index at range-top (§11)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Balance: </w:t>
      </w:r>
      <w:r>
        <w:rPr>
          <w:rFonts w:ascii="Calibri" w:cs="Calibri" w:eastAsia="Calibri" w:hAnsi="Calibri"/>
          <w:sz w:val="20"/>
          <w:szCs w:val="20"/>
        </w:rPr>
        <w:t xml:space="preserve">Tilted modestly bullish on momentum and the pivot position just under a decisive confluence band, but the risk is heavily event-gated — the single CPI/earnings session on 14 July (§13d) dominates the distribution.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§16  Forward View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Expected direction (next 5 sessions): </w:t>
      </w:r>
      <w:r>
        <w:rPr>
          <w:rFonts w:ascii="Calibri" w:cs="Calibri" w:eastAsia="Calibri" w:hAnsi="Calibri"/>
          <w:sz w:val="20"/>
          <w:szCs w:val="20"/>
        </w:rPr>
        <w:t xml:space="preserve">modestly higher with a bullish bias, contingent on the 14 July CPI/earnings cluster (§13d). Expected trading range 7,470–7,660: the lower bound anchored on daily S2 / the 5-day recovery zone, the upper bound a measured push through the record after a confirmed breakout. This respects the Transitional regime of §9 — it favours the resolution of the range-top rather than assuming an established trend.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Base-case invalidation: </w:t>
      </w:r>
      <w:r>
        <w:rPr>
          <w:rFonts w:ascii="Calibri" w:cs="Calibri" w:eastAsia="Calibri" w:hAnsi="Calibri"/>
          <w:sz w:val="20"/>
          <w:szCs w:val="20"/>
        </w:rPr>
        <w:t xml:space="preserve">a daily close back below the daily pivot at 7,524.09, and more decisively below the 7,481–7,458 Thursday-low/daily-S2 shelf, would negate the bullish continuation and re-open the mid-week lows. The DAX/breadth contradiction (§10) is the main reason conviction is capped rather than high.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§17  Forecast</w:t>
      </w:r>
    </w:p>
    <w:p>
      <w:pPr>
        <w:spacing w:after="10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S&amp;P 500 is positioned to attempt a breakout through the 7,580–7,621 confluence-and-record band toward 7,650–7,660 over the coming week, provided the 14 July CPI print and bank earnings do not deliver a hawkish inflation surprise that forces a rejection back toward the 7,500 pivot shelf.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§18  Final Analyst Judgement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Consensus price: </w:t>
      </w:r>
      <w:r>
        <w:rPr>
          <w:rFonts w:ascii="Calibri" w:cs="Calibri" w:eastAsia="Calibri" w:hAnsi="Calibri"/>
          <w:sz w:val="20"/>
          <w:szCs w:val="20"/>
        </w:rPr>
        <w:t xml:space="preserve">7,575.39 pts (High confidence).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Tone: </w:t>
      </w:r>
      <w:r>
        <w:rPr>
          <w:rFonts w:ascii="Calibri" w:cs="Calibri" w:eastAsia="Calibri" w:hAnsi="Calibri"/>
          <w:sz w:val="20"/>
          <w:szCs w:val="20"/>
        </w:rPr>
        <w:t xml:space="preserve">Bullish, stretched, event-gated.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Three most important reasons: </w:t>
      </w:r>
      <w:r>
        <w:rPr>
          <w:rFonts w:ascii="Calibri" w:cs="Calibri" w:eastAsia="Calibri" w:hAnsi="Calibri"/>
          <w:sz w:val="20"/>
          <w:szCs w:val="20"/>
        </w:rPr>
        <w:t xml:space="preserve">(1) a five-session bullish continuation with RSI2 at 87.2 and closes in the upper range, reclaiming prior highs; (2) supportive cross-asset volatility (VIX 15.03) and a softer dollar; (3) a constructive earnings-season setup (&gt;20% expected S&amp;P growth) — all balanced against a hawkish Fed and a live oil/inflation premium.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Single watch item: </w:t>
      </w:r>
      <w:r>
        <w:rPr>
          <w:rFonts w:ascii="Calibri" w:cs="Calibri" w:eastAsia="Calibri" w:hAnsi="Calibri"/>
          <w:sz w:val="20"/>
          <w:szCs w:val="20"/>
        </w:rPr>
        <w:t xml:space="preserve">June CPI on Tuesday 14 July, alongside the big-bank earnings and Warsh testimony.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§19  Source Discipline Note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Live vs indicative: </w:t>
      </w:r>
      <w:r>
        <w:rPr>
          <w:rFonts w:ascii="Calibri" w:cs="Calibri" w:eastAsia="Calibri" w:hAnsi="Calibri"/>
          <w:sz w:val="20"/>
          <w:szCs w:val="20"/>
        </w:rPr>
        <w:t xml:space="preserve">The Friday close (7,575.39) is corroborated to the point across the index provider (FRED) and three aggregators — treated as live/definitive. Prior-session closes are similarly close-corroborated.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gaps: </w:t>
      </w:r>
      <w:r>
        <w:rPr>
          <w:rFonts w:ascii="Calibri" w:cs="Calibri" w:eastAsia="Calibri" w:hAnsi="Calibri"/>
          <w:sz w:val="20"/>
          <w:szCs w:val="20"/>
        </w:rPr>
        <w:t xml:space="preserve">Intraday High/Low for the four midweek sessions rest primarily on a single primary feed (Investing.com) with close-level corroboration only; free programmatic OHLC access (Stooq, yfinance) was unavailable in this run. These H/L values are accepted for structure but carry a corroboration-depth caveat.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Pivot corroboration: </w:t>
      </w:r>
      <w:r>
        <w:rPr>
          <w:rFonts w:ascii="Calibri" w:cs="Calibri" w:eastAsia="Calibri" w:hAnsi="Calibri"/>
          <w:sz w:val="20"/>
          <w:szCs w:val="20"/>
        </w:rPr>
        <w:t xml:space="preserve">All daily, weekly and monthly prior-period H/L/C are single-source (close-corroborated) → every pivot tier is flagged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SINGLE-SOURCE INDICATIVE</w:t>
      </w:r>
      <w:r>
        <w:rPr>
          <w:rFonts w:ascii="Calibri" w:cs="Calibri" w:eastAsia="Calibri" w:hAnsi="Calibri"/>
          <w:sz w:val="20"/>
          <w:szCs w:val="20"/>
        </w:rPr>
        <w:t xml:space="preserve">. This flag is the contract the strategy layer reads for suppression decisions.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Counters: </w:t>
      </w:r>
      <w:r>
        <w:rPr>
          <w:rFonts w:ascii="Calibri" w:cs="Calibri" w:eastAsia="Calibri" w:hAnsi="Calibri"/>
          <w:sz w:val="20"/>
          <w:szCs w:val="20"/>
        </w:rPr>
        <w:t xml:space="preserve">VIX, USDX and DAX are used directionally and corroborated at the close level across sources; VIX is directional-only (no pivots).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Normalization: </w:t>
      </w:r>
      <w:r>
        <w:rPr>
          <w:rFonts w:ascii="Calibri" w:cs="Calibri" w:eastAsia="Calibri" w:hAnsi="Calibri"/>
          <w:sz w:val="20"/>
          <w:szCs w:val="20"/>
        </w:rPr>
        <w:t xml:space="preserve">All values are cash-index points in USD; no FX or basis conversions applied. Per instruction for this run, trading strategies are produced despite the reduced pivot-corroboration depth, with the indicative caveat carried onto every affected card.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§20  Agent Log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Sources attempted (OHLC): </w:t>
      </w:r>
      <w:r>
        <w:rPr>
          <w:rFonts w:ascii="Calibri" w:cs="Calibri" w:eastAsia="Calibri" w:hAnsi="Calibri"/>
          <w:sz w:val="20"/>
          <w:szCs w:val="20"/>
        </w:rPr>
        <w:t xml:space="preserve">Investing.com (primary, corroborated closes), S&amp;P Dow Jones/FRED (close), Yahoo Finance (Fri OHLC + prior closes), CNBC (closes), TradingEconomics (directional), Investrade (point-change). Stooq and yfinance not reachable in this environment (network/allowlist) — logged as failed-not-attempted for intraday H/L depth.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Validation method: </w:t>
      </w:r>
      <w:r>
        <w:rPr>
          <w:rFonts w:ascii="Calibri" w:cs="Calibri" w:eastAsia="Calibri" w:hAnsi="Calibri"/>
          <w:sz w:val="20"/>
          <w:szCs w:val="20"/>
        </w:rPr>
        <w:t xml:space="preserve">Two-source close corroboration within ±0.10-pt equity tolerance; corroborated pair FRED × Investing.com (Δ = 0.00) for the Friday close.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Sentiment derivation: </w:t>
      </w:r>
      <w:r>
        <w:rPr>
          <w:rFonts w:ascii="Calibri" w:cs="Calibri" w:eastAsia="Calibri" w:hAnsi="Calibri"/>
          <w:sz w:val="20"/>
          <w:szCs w:val="20"/>
        </w:rPr>
        <w:t xml:space="preserve">7 articles, source-class-weighted mean → tilt +0.15 (Predominantly Bullish). Method per the fixed research standard; the numeric tilt is forwarded to the direction score.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Direction score: </w:t>
      </w:r>
      <w:r>
        <w:rPr>
          <w:rFonts w:ascii="Calibri" w:cs="Calibri" w:eastAsia="Calibri" w:hAnsi="Calibri"/>
          <w:sz w:val="20"/>
          <w:szCs w:val="20"/>
        </w:rPr>
        <w:t xml:space="preserve">+0.44 → LONG. Weights basis: defaults (baseline vector, unchanged). Contributions: short-term technical +0.25, medium-term regime +0.10, Kaufman +0.02, cross-asset +0.045, sentiment +0.02, VOLator 0.00.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Regime label: </w:t>
      </w:r>
      <w:r>
        <w:rPr>
          <w:rFonts w:ascii="Calibri" w:cs="Calibri" w:eastAsia="Calibri" w:hAnsi="Calibri"/>
          <w:sz w:val="20"/>
          <w:szCs w:val="20"/>
        </w:rPr>
        <w:t xml:space="preserve">TRANSITION — TREND_UP gate fails on a negative VOLator slope (−0.08); RANGE gate fails because |KER| 0.15 exceeds the 0.13 trend threshold. Fall-through to Transition routes Trade 3 to the 3C breakout variant.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Backtest: </w:t>
      </w:r>
      <w:r>
        <w:rPr>
          <w:rFonts w:ascii="Calibri" w:cs="Calibri" w:eastAsia="Calibri" w:hAnsi="Calibri"/>
          <w:sz w:val="20"/>
          <w:szCs w:val="20"/>
        </w:rPr>
        <w:t xml:space="preserve">5 prior sessions reconstructed at each t−1 close with frozen sentiment and recomputed structure (see §21c). No forward leakage; single-bar resolution with conservative stop-first tick priority.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Overrides / anomalies: </w:t>
      </w:r>
      <w:r>
        <w:rPr>
          <w:rFonts w:ascii="Calibri" w:cs="Calibri" w:eastAsia="Calibri" w:hAnsi="Calibri"/>
          <w:sz w:val="20"/>
          <w:szCs w:val="20"/>
        </w:rPr>
        <w:t xml:space="preserve">Daily-open anchor overridden from the standing 07:00-UK European-pre-open reference to the 13 July 2026 New-York cash open, per run instruction; Trade 1 timed accordingly. Pivot corroboration depth reduced (single-source indicative) — strategies produced regardless per instruction, with the caveat propagated. Timestamp: run prepared 12 July 2026 for the 13 July open.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§21  Strategy Recommendations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AD1457"/>
          <w:sz w:val="22"/>
          <w:szCs w:val="22"/>
        </w:rPr>
        <w:t xml:space="preserve">§21a  Directional Conviction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Direction: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LONG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·  Score: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+0.44</w:t>
      </w:r>
      <w:r>
        <w:rPr>
          <w:rFonts w:ascii="Calibri" w:cs="Calibri" w:eastAsia="Calibri" w:hAnsi="Calibri"/>
          <w:sz w:val="20"/>
          <w:szCs w:val="20"/>
        </w:rPr>
        <w:t xml:space="preserve">  ·  Weights basis: defaults. The three highest-weighted contributing signals are short-term technical bias (§8) +0.25, medium-term regime (§9) +0.10, and cross-asset confirmation (§10) +0.045, supported by Kaufman (§9) +0.02 and the sentiment tilt (§13b) +0.02. The score sits comfortably above the conviction threshold, so Trade 1 is produced. No conflict with §17 — both lean bullish, gated on CPI. The composite regime is TRANSITION, so Trade 2 plays the breakout side only and Trade 3 forks to the 3C breakout variant.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AD1457"/>
          <w:sz w:val="22"/>
          <w:szCs w:val="22"/>
        </w:rPr>
        <w:t xml:space="preserve">§21b  Trade Cards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AD1457"/>
          <w:sz w:val="20"/>
          <w:szCs w:val="20"/>
        </w:rPr>
        <w:t xml:space="preserve">Trade 1 — Daily Directional (LONG)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AD145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shd w:fill="AD145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Direction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LONG — bullish direction-score (+0.44) above threshold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Entry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Market at the 13 Jul 2026 cash open (anchor overridden to NY open); reference 7,575.39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Stop loss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7,480.25 pts — 95 points below entry. Anchor: nearest support (daily S1 7,501.28) − 0.25×ATR buffer; tighter than the 5-day swing-low anchor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Risk (R)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95 points (7,575.39 → 7,480.25)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TP1 (Unit 1)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7,670.53 pts — +1R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TP2 (Unit 2)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7,765.67 pts — +2R (flag: ambitious for a daily horizon; ~2.3×ATR)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TP3 (Unit 3, runner)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Session-close time-stop, or 3×ATR cap at 7,827.75 pts, whichever first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Tranche mgmt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 equal units; U1 exits TP1, U2 exits TP2; on U2 fill U3 stop → entry +0.2R (7,594.4)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Confluences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Entry near daily R1/weekly R1/daily-R1.5 band (7,566–7,590, strong confluence just above); TP1 near daily R4 region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Thesis invalidation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Daily close back below daily P 7,524.09 (sits above the SL; stop ahead of invalidation)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Caveats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Single-source-indicative pivots (§19); TP2 ambitious for daily horizon; holding period collides with 14 Jul CPI / bank earnings (§13d)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b/>
          <w:bCs/>
          <w:color w:val="AD1457"/>
          <w:sz w:val="20"/>
          <w:szCs w:val="20"/>
        </w:rPr>
        <w:t xml:space="preserve">Trade 2 — Pivot, TRANSITION breakout-side (LONG)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AD145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shd w:fill="AD145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Direction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LONG breakout side only — TRANSITION regime; counter-side (short) limit suppressed to avoid front-running Trade 3C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Entry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Stop-entry on a confirmed push above daily R1 7,566.44 (already tested); trigger through the 7,577.84 daily-R1.5 confluence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Stop loss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7,505.84 pts — structural, P − 0.8×(P−S1). Distance ~72 points below the R1.5 trigger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Risk (R)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~72 points (trigger 7,577.84 → 7,505.84)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TP1 / TP2 / TP3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R1.5 7,577.84 (near trigger) → R2 7,589.25 → runner toward daily R3 / record 7,620.90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Tranche mgmt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 equal units; standard tranche/BE+0.2R management on U2 fill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Confluences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Strong confluence at the 7,566–7,590 band (daily R1, weekly R1, daily R1.5, 5-day swing high)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Thesis invalidation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Daily close back through daily P 7,524.09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Caveats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Single-source-indicative pivots (§19); tight TP1/entry spacing inside the confluence band; 14 Jul CPI collision (§13d)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b/>
          <w:bCs/>
          <w:color w:val="AD1457"/>
          <w:sz w:val="20"/>
          <w:szCs w:val="20"/>
        </w:rPr>
        <w:t xml:space="preserve">Trade 3C — Momentum-Breakout (TRANSITION)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Trade 3C — Momentum-Breakout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SUPPRESSED — no confirmed break.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upside breakout requires a daily close beyond the 25-session high 7,579.93 by ≥0.25×ATR (≥7,600.96). Friday closed at 7,575.39, below the boundary, so the trade is not yet eligible. If a confirmed close prints above 7,600.96, the card activates with SL 7,386.37 (range_low + 0.40×width), TP1 7,902.53 (1× measured move) and TP2 8,063.83 (1.5× MM). Monitor into the 14 Jul CPI catalyst.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AD1457"/>
          <w:sz w:val="22"/>
          <w:szCs w:val="22"/>
        </w:rPr>
        <w:t xml:space="preserve">§21c 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150"/>
        <w:gridCol w:w="1150"/>
        <w:gridCol w:w="1150"/>
        <w:gridCol w:w="1700"/>
        <w:gridCol w:w="1250"/>
        <w:gridCol w:w="1400"/>
      </w:tblGrid>
      <w:tr>
        <w:trPr>
          <w:tblHeader/>
        </w:trPr>
        <w:tc>
          <w:tcPr>
            <w:tcW w:type="dxa" w:w="156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 (t−N)</w:t>
            </w:r>
          </w:p>
        </w:tc>
        <w:tc>
          <w:tcPr>
            <w:tcW w:type="dxa" w:w="11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  <w:tc>
          <w:tcPr>
            <w:tcW w:type="dxa" w:w="11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Direction</w:t>
            </w:r>
          </w:p>
        </w:tc>
        <w:tc>
          <w:tcPr>
            <w:tcW w:type="dxa" w:w="11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Triggered</w:t>
            </w:r>
          </w:p>
        </w:tc>
        <w:tc>
          <w:tcPr>
            <w:tcW w:type="dxa" w:w="17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Entry / Exit</w:t>
            </w:r>
          </w:p>
        </w:tc>
        <w:tc>
          <w:tcPr>
            <w:tcW w:type="dxa" w:w="12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Outcome (R)</w:t>
            </w:r>
          </w:p>
        </w:tc>
        <w:tc>
          <w:tcPr>
            <w:tcW w:type="dxa" w:w="14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</w:tr>
      <w:tr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Tue 07 Jul (t−4)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Trade 1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7,516.6 / 7,478.6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−1.0 (SL)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Wed 08 Jul (t−3)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Trade 1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7,476.5 / 7,482.7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+0.1 (close)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Thu 09 Jul (t−2)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Trade 1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7,491.6 / 7,543.6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+0.6 (close)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Fri 10 Jul (t−1)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Trade 1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7,547.6 / 7,575.4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+0.8 (close)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Tue–Fri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Trade 2 (breakout)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Partial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Triggered Thu–Fri only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+0.4 avg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1–2</w:t>
            </w:r>
          </w:p>
        </w:tc>
      </w:tr>
      <w:tr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Tue–Fri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Trade 3C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SUPPRESSED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confirmed break in window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Reconstruction was performed at each t−1 close with sentiment frozen and ATR/swings/regime recomputed; single-bar resolution with stop-first tick priority. Trade 3C never became eligible (no confirmed close beyond the 25-day boundary during the window).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AD1457"/>
          <w:sz w:val="22"/>
          <w:szCs w:val="22"/>
        </w:rPr>
        <w:t xml:space="preserve">§21d  What Is Working</w:t>
      </w:r>
    </w:p>
    <w:p>
      <w:pPr>
        <w:spacing w:after="100" w:line="276"/>
      </w:pPr>
      <w:r>
        <w:rPr>
          <w:rFonts w:ascii="Calibri" w:cs="Calibri" w:eastAsia="Calibri" w:hAnsi="Calibri"/>
          <w:sz w:val="20"/>
          <w:szCs w:val="20"/>
        </w:rPr>
        <w:t xml:space="preserve">Over the last 5 sessions the Daily Directional (Trade 1) long triggered 4/4 times with a mean of roughly +0.1R, dragged by one full stop on the Tuesday reversal and lifted by three constructive closes into Friday; TP1/TP2/TP3 hit rates were low as most sessions resolved at the time-stop rather than a full target. The breakout Trade 2 triggered only late-week as price reclaimed R1, netting a small positive mean R. Trade 3C produced no triggers (suppressed on no confirmed break). Strongest performer: Trade 1 (only meaningfully-triggered strategy). Weakest performer: insufficient triggers to rank Trades 2 and 3C.</w:t>
      </w:r>
    </w:p>
    <w:p>
      <w:pPr>
        <w:spacing w:after="100" w:line="276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bottom w:val="single" w:color="BFBFBF" w:sz="6"/>
        </w:pBdr>
        <w:spacing w:after="60" w:before="60"/>
      </w:pPr>
    </w:p>
    <w:p>
      <w:pPr>
        <w:spacing w:after="100" w:line="276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S&amp;P 500 Daily Report │ 10 July 2026 close, for 13 July 2026 open │ Senior US Equity Strategist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S&amp;P 500 Daily Report │ 13 July 2026 │ Senior US Equity Strategist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ba66e90365ce724fe9a4aa97f98b0c9e1dc44a4.png"/><Relationship Id="rId9" Type="http://schemas.openxmlformats.org/officeDocument/2006/relationships/image" Target="media/b14f3b824cab6fd881681a5cdcb315f76cb68570.png"/><Relationship Id="rId10" Type="http://schemas.openxmlformats.org/officeDocument/2006/relationships/image" Target="media/ab716af93ba27e1163d3d4c322aa3ec5a120b0ad.png"/><Relationship Id="rId11" Type="http://schemas.openxmlformats.org/officeDocument/2006/relationships/image" Target="media/82ef7415ce0c22fa304265442c87f427e3eb8cd3.png"/><Relationship Id="rId12" Type="http://schemas.openxmlformats.org/officeDocument/2006/relationships/image" Target="media/f50d052699ae7b2069c8b2e929d31b90742febd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2026-07-12T21:44:52.520Z</dcterms:created>
  <dcterms:modified xsi:type="dcterms:W3CDTF">2026-07-12T21:44:52.531Z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