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S&amp;P 500 Report — Daily: 14 July 2026</w:t>
      </w:r>
    </w:p>
    <w:p>
      <w:pPr>
        <w:spacing w:after="60"/>
      </w:pPr>
      <w:r>
        <w:rPr>
          <w:i/>
          <w:iCs/>
          <w:color w:val="666666"/>
          <w:sz w:val="20"/>
          <w:szCs w:val="20"/>
        </w:rPr>
        <w:t xml:space="preserve">With reference to: USDX · VIX · DAX 40</w:t>
      </w:r>
    </w:p>
    <w:p>
      <w:pPr>
        <w:pBdr>
          <w:bottom w:val="single" w:color="CCCCCC" w:sz="6"/>
        </w:pBdr>
        <w:spacing w:after="80"/>
      </w:pPr>
      <w:r>
        <w:rPr>
          <w:sz w:val="2"/>
          <w:szCs w:val="2"/>
        </w:rPr>
        <w:t xml:space="preserve"/>
      </w:r>
    </w:p>
    <w:p>
      <w:pPr>
        <w:pStyle w:val="Heading1"/>
        <w:spacing w:after="120" w:before="240"/>
      </w:pPr>
      <w:r>
        <w:rPr>
          <w:b/>
          <w:bCs/>
          <w:color w:val="1F3864"/>
          <w:sz w:val="26"/>
          <w:szCs w:val="26"/>
        </w:rPr>
        <w:t xml:space="preserve">1 · Executive Snapshot</w:t>
      </w:r>
    </w:p>
    <w:p>
      <w:pPr>
        <w:spacing w:after="100" w:line="276"/>
      </w:pPr>
      <w:r>
        <w:rPr>
          <w:sz w:val="20"/>
          <w:szCs w:val="20"/>
        </w:rPr>
        <w:t xml:space="preserve">The S&amp;P 500 cash index closed its most recent completed session (Fri 10 Jul 2026) at </w:t>
      </w:r>
      <w:r>
        <w:rPr>
          <w:b/>
          <w:bCs/>
          <w:sz w:val="20"/>
          <w:szCs w:val="20"/>
        </w:rPr>
        <w:t xml:space="preserve">7,575.39</w:t>
      </w:r>
      <w:r>
        <w:rPr>
          <w:sz w:val="20"/>
          <w:szCs w:val="20"/>
        </w:rPr>
        <w:t xml:space="preserve">, the top of a five-session advance and within 45 points of the all-time high (7,620.90). The consensus current level is </w:t>
      </w:r>
      <w:r>
        <w:rPr>
          <w:b/>
          <w:bCs/>
          <w:sz w:val="20"/>
          <w:szCs w:val="20"/>
        </w:rPr>
        <w:t xml:space="preserve">7,575.39</w:t>
      </w:r>
      <w:r>
        <w:rPr>
          <w:sz w:val="20"/>
          <w:szCs w:val="20"/>
        </w:rPr>
        <w:t xml:space="preserve"> (confidence High), with market tone </w:t>
      </w:r>
      <w:r>
        <w:rPr>
          <w:b/>
          <w:bCs/>
          <w:sz w:val="20"/>
          <w:szCs w:val="20"/>
        </w:rPr>
        <w:t xml:space="preserve">moderately bullish</w:t>
      </w:r>
      <w:r>
        <w:rPr>
          <w:sz w:val="20"/>
          <w:szCs w:val="20"/>
        </w:rPr>
        <w:t xml:space="preserve">. Three drivers dominate: (i) an earnings-season melt-up into the mid-July Q2 reporting start, with FactSet consensus near 22–23% year-on-year EPS growth; (ii) a decisive risk-on tone as VIX collapsed toward 15 and semiconductors led (Nvidia +4%, Meta +6% on 10 Jul); and (iii) a supportive macro backdrop of a soft dollar aiding multinational earnings translation, partly offset by an oil spike on renewed US–Iran tension. </w:t>
      </w:r>
      <w:r>
        <w:rPr>
          <w:sz w:val="20"/>
          <w:szCs w:val="20"/>
        </w:rPr>
        <w:t xml:space="preserve">Short-term technical regime: Bullish continuation. Medium-term regime: Transitional with an upward bias (choppy 20-session structure, net +2.5%). Kaufman classification: Trending Up — Moderate. </w:t>
      </w:r>
      <w:r>
        <w:rPr>
          <w:sz w:val="20"/>
          <w:szCs w:val="20"/>
        </w:rPr>
        <w:t xml:space="preserve">Directional conviction from the strategy engine is LONG (score +0.28). </w:t>
      </w:r>
      <w:r>
        <w:rPr>
          <w:sz w:val="20"/>
          <w:szCs w:val="20"/>
        </w:rPr>
        <w:t xml:space="preserve">Single most important watch item: the start of Q2 bank earnings (JPMorgan, 14–15 Jul) — the first broad test of the earnings-driven rally thesis.</w:t>
      </w:r>
    </w:p>
    <w:p>
      <w:pPr>
        <w:pStyle w:val="Heading1"/>
        <w:spacing w:after="120" w:before="240"/>
      </w:pPr>
      <w:r>
        <w:rPr>
          <w:b/>
          <w:bCs/>
          <w:color w:val="1F3864"/>
          <w:sz w:val="26"/>
          <w:szCs w:val="26"/>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color="auto" w:val="clear"/>
            <w:tcMar>
              <w:top w:type="dxa" w:w="40"/>
              <w:left w:type="dxa" w:w="60"/>
              <w:bottom w:type="dxa" w:w="40"/>
              <w:right w:type="dxa" w:w="60"/>
            </w:tcMar>
          </w:tcPr>
          <w:p>
            <w:pPr>
              <w:jc w:val="left"/>
            </w:pPr>
            <w:r>
              <w:rPr>
                <w:b/>
                <w:bCs/>
                <w:color w:val="FFFFFF"/>
                <w:sz w:val="18"/>
                <w:szCs w:val="18"/>
              </w:rPr>
              <w:t xml:space="preserve">Attribute</w:t>
            </w:r>
          </w:p>
        </w:tc>
        <w:tc>
          <w:tcPr>
            <w:tcW w:type="dxa" w:w="6260"/>
            <w:shd w:fill="1F3864" w:color="auto" w:val="clear"/>
            <w:tcMar>
              <w:top w:type="dxa" w:w="40"/>
              <w:left w:type="dxa" w:w="60"/>
              <w:bottom w:type="dxa" w:w="40"/>
              <w:right w:type="dxa" w:w="60"/>
            </w:tcMar>
          </w:tcPr>
          <w:p>
            <w:pPr>
              <w:jc w:val="left"/>
            </w:pPr>
            <w:r>
              <w:rPr>
                <w:b/>
                <w:bCs/>
                <w:color w:val="FFFFFF"/>
                <w:sz w:val="18"/>
                <w:szCs w:val="18"/>
              </w:rPr>
              <w:t xml:space="preserve">Definition</w:t>
            </w:r>
          </w:p>
        </w:tc>
      </w:tr>
      <w:tr>
        <w:tc>
          <w:tcPr>
            <w:tcW w:type="dxa" w:w="3100"/>
            <w:tcMar>
              <w:top w:type="dxa" w:w="40"/>
              <w:left w:type="dxa" w:w="60"/>
              <w:bottom w:type="dxa" w:w="40"/>
              <w:right w:type="dxa" w:w="60"/>
            </w:tcMar>
          </w:tcPr>
          <w:p>
            <w:pPr>
              <w:jc w:val="left"/>
            </w:pPr>
            <w:r>
              <w:rPr>
                <w:b w:val="false"/>
                <w:bCs w:val="false"/>
                <w:sz w:val="18"/>
                <w:szCs w:val="18"/>
              </w:rPr>
              <w:t xml:space="preserve">Asset</w:t>
            </w:r>
          </w:p>
        </w:tc>
        <w:tc>
          <w:tcPr>
            <w:tcW w:type="dxa" w:w="6260"/>
            <w:tcMar>
              <w:top w:type="dxa" w:w="40"/>
              <w:left w:type="dxa" w:w="60"/>
              <w:bottom w:type="dxa" w:w="40"/>
              <w:right w:type="dxa" w:w="60"/>
            </w:tcMar>
          </w:tcPr>
          <w:p>
            <w:pPr>
              <w:jc w:val="left"/>
            </w:pPr>
            <w:r>
              <w:rPr>
                <w:b w:val="false"/>
                <w:bCs w:val="false"/>
                <w:sz w:val="18"/>
                <w:szCs w:val="18"/>
              </w:rPr>
              <w:t xml:space="preserve">S&amp;P 500 cash index (large-cap US equity benchmark, 503 constituents)</w:t>
            </w:r>
          </w:p>
        </w:tc>
      </w:tr>
      <w:tr>
        <w:tc>
          <w:tcPr>
            <w:tcW w:type="dxa" w:w="3100"/>
            <w:tcMar>
              <w:top w:type="dxa" w:w="40"/>
              <w:left w:type="dxa" w:w="60"/>
              <w:bottom w:type="dxa" w:w="40"/>
              <w:right w:type="dxa" w:w="60"/>
            </w:tcMar>
          </w:tcPr>
          <w:p>
            <w:pPr>
              <w:jc w:val="left"/>
            </w:pPr>
            <w:r>
              <w:rPr>
                <w:b w:val="false"/>
                <w:bCs w:val="false"/>
                <w:sz w:val="18"/>
                <w:szCs w:val="18"/>
              </w:rPr>
              <w:t xml:space="preserve">Price basis</w:t>
            </w:r>
          </w:p>
        </w:tc>
        <w:tc>
          <w:tcPr>
            <w:tcW w:type="dxa" w:w="6260"/>
            <w:tcMar>
              <w:top w:type="dxa" w:w="40"/>
              <w:left w:type="dxa" w:w="60"/>
              <w:bottom w:type="dxa" w:w="40"/>
              <w:right w:type="dxa" w:w="60"/>
            </w:tcMar>
          </w:tcPr>
          <w:p>
            <w:pPr>
              <w:jc w:val="left"/>
            </w:pPr>
            <w:r>
              <w:rPr>
                <w:b w:val="false"/>
                <w:bCs w:val="false"/>
                <w:sz w:val="18"/>
                <w:szCs w:val="18"/>
              </w:rPr>
              <w:t xml:space="preserve">Cash index level (continuous), calculated during NYSE/NASDAQ trading hours</w:t>
            </w:r>
          </w:p>
        </w:tc>
      </w:tr>
      <w:tr>
        <w:tc>
          <w:tcPr>
            <w:tcW w:type="dxa" w:w="3100"/>
            <w:tcMar>
              <w:top w:type="dxa" w:w="40"/>
              <w:left w:type="dxa" w:w="60"/>
              <w:bottom w:type="dxa" w:w="40"/>
              <w:right w:type="dxa" w:w="60"/>
            </w:tcMar>
          </w:tcPr>
          <w:p>
            <w:pPr>
              <w:jc w:val="left"/>
            </w:pPr>
            <w:r>
              <w:rPr>
                <w:b w:val="false"/>
                <w:bCs w:val="false"/>
                <w:sz w:val="18"/>
                <w:szCs w:val="18"/>
              </w:rPr>
              <w:t xml:space="preserve">Delivery / session</w:t>
            </w:r>
          </w:p>
        </w:tc>
        <w:tc>
          <w:tcPr>
            <w:tcW w:type="dxa" w:w="6260"/>
            <w:tcMar>
              <w:top w:type="dxa" w:w="40"/>
              <w:left w:type="dxa" w:w="60"/>
              <w:bottom w:type="dxa" w:w="40"/>
              <w:right w:type="dxa" w:w="60"/>
            </w:tcMar>
          </w:tcPr>
          <w:p>
            <w:pPr>
              <w:jc w:val="left"/>
            </w:pPr>
            <w:r>
              <w:rPr>
                <w:b w:val="false"/>
                <w:bCs w:val="false"/>
                <w:sz w:val="18"/>
                <w:szCs w:val="18"/>
              </w:rPr>
              <w:t xml:space="preserve">Regular cash session 09:30–16:00 ET</w:t>
            </w:r>
          </w:p>
        </w:tc>
      </w:tr>
      <w:tr>
        <w:tc>
          <w:tcPr>
            <w:tcW w:type="dxa" w:w="3100"/>
            <w:tcMar>
              <w:top w:type="dxa" w:w="40"/>
              <w:left w:type="dxa" w:w="60"/>
              <w:bottom w:type="dxa" w:w="40"/>
              <w:right w:type="dxa" w:w="60"/>
            </w:tcMar>
          </w:tcPr>
          <w:p>
            <w:pPr>
              <w:jc w:val="left"/>
            </w:pPr>
            <w:r>
              <w:rPr>
                <w:b w:val="false"/>
                <w:bCs w:val="false"/>
                <w:sz w:val="18"/>
                <w:szCs w:val="18"/>
              </w:rPr>
              <w:t xml:space="preserve">Unit / currency</w:t>
            </w:r>
          </w:p>
        </w:tc>
        <w:tc>
          <w:tcPr>
            <w:tcW w:type="dxa" w:w="6260"/>
            <w:tcMar>
              <w:top w:type="dxa" w:w="40"/>
              <w:left w:type="dxa" w:w="60"/>
              <w:bottom w:type="dxa" w:w="40"/>
              <w:right w:type="dxa" w:w="60"/>
            </w:tcMar>
          </w:tcPr>
          <w:p>
            <w:pPr>
              <w:jc w:val="left"/>
            </w:pPr>
            <w:r>
              <w:rPr>
                <w:b w:val="false"/>
                <w:bCs w:val="false"/>
                <w:sz w:val="18"/>
                <w:szCs w:val="18"/>
              </w:rPr>
              <w:t xml:space="preserve">Index points · USD</w:t>
            </w:r>
          </w:p>
        </w:tc>
      </w:tr>
      <w:tr>
        <w:tc>
          <w:tcPr>
            <w:tcW w:type="dxa" w:w="3100"/>
            <w:tcMar>
              <w:top w:type="dxa" w:w="40"/>
              <w:left w:type="dxa" w:w="60"/>
              <w:bottom w:type="dxa" w:w="40"/>
              <w:right w:type="dxa" w:w="60"/>
            </w:tcMar>
          </w:tcPr>
          <w:p>
            <w:pPr>
              <w:jc w:val="left"/>
            </w:pPr>
            <w:r>
              <w:rPr>
                <w:b w:val="false"/>
                <w:bCs w:val="false"/>
                <w:sz w:val="18"/>
                <w:szCs w:val="18"/>
              </w:rPr>
              <w:t xml:space="preserve">Scope / region</w:t>
            </w:r>
          </w:p>
        </w:tc>
        <w:tc>
          <w:tcPr>
            <w:tcW w:type="dxa" w:w="6260"/>
            <w:tcMar>
              <w:top w:type="dxa" w:w="40"/>
              <w:left w:type="dxa" w:w="60"/>
              <w:bottom w:type="dxa" w:w="40"/>
              <w:right w:type="dxa" w:w="60"/>
            </w:tcMar>
          </w:tcPr>
          <w:p>
            <w:pPr>
              <w:jc w:val="left"/>
            </w:pPr>
            <w:r>
              <w:rPr>
                <w:b w:val="false"/>
                <w:bCs w:val="false"/>
                <w:sz w:val="18"/>
                <w:szCs w:val="18"/>
              </w:rPr>
              <w:t xml:space="preserve">Global / US — North America (United States)</w:t>
            </w:r>
          </w:p>
        </w:tc>
      </w:tr>
      <w:tr>
        <w:tc>
          <w:tcPr>
            <w:tcW w:type="dxa" w:w="3100"/>
            <w:tcMar>
              <w:top w:type="dxa" w:w="40"/>
              <w:left w:type="dxa" w:w="60"/>
              <w:bottom w:type="dxa" w:w="40"/>
              <w:right w:type="dxa" w:w="60"/>
            </w:tcMar>
          </w:tcPr>
          <w:p>
            <w:pPr>
              <w:jc w:val="left"/>
            </w:pPr>
            <w:r>
              <w:rPr>
                <w:b w:val="false"/>
                <w:bCs w:val="false"/>
                <w:sz w:val="18"/>
                <w:szCs w:val="18"/>
              </w:rPr>
              <w:t xml:space="preserve">As-of date</w:t>
            </w:r>
          </w:p>
        </w:tc>
        <w:tc>
          <w:tcPr>
            <w:tcW w:type="dxa" w:w="6260"/>
            <w:tcMar>
              <w:top w:type="dxa" w:w="40"/>
              <w:left w:type="dxa" w:w="60"/>
              <w:bottom w:type="dxa" w:w="40"/>
              <w:right w:type="dxa" w:w="60"/>
            </w:tcMar>
          </w:tcPr>
          <w:p>
            <w:pPr>
              <w:jc w:val="left"/>
            </w:pPr>
            <w:r>
              <w:rPr>
                <w:b w:val="false"/>
                <w:bCs w:val="false"/>
                <w:sz w:val="18"/>
                <w:szCs w:val="18"/>
              </w:rPr>
              <w:t xml:space="preserve">14 July 2026 (America/New_York) — most recent completed session 10 July 2026</w:t>
            </w:r>
          </w:p>
        </w:tc>
      </w:tr>
      <w:tr>
        <w:tc>
          <w:tcPr>
            <w:tcW w:type="dxa" w:w="3100"/>
            <w:tcMar>
              <w:top w:type="dxa" w:w="40"/>
              <w:left w:type="dxa" w:w="60"/>
              <w:bottom w:type="dxa" w:w="40"/>
              <w:right w:type="dxa" w:w="60"/>
            </w:tcMar>
          </w:tcPr>
          <w:p>
            <w:pPr>
              <w:jc w:val="left"/>
            </w:pPr>
            <w:r>
              <w:rPr>
                <w:b w:val="false"/>
                <w:bCs w:val="false"/>
                <w:sz w:val="18"/>
                <w:szCs w:val="18"/>
              </w:rPr>
              <w:t xml:space="preserve">Lookback window</w:t>
            </w:r>
          </w:p>
        </w:tc>
        <w:tc>
          <w:tcPr>
            <w:tcW w:type="dxa" w:w="6260"/>
            <w:tcMar>
              <w:top w:type="dxa" w:w="40"/>
              <w:left w:type="dxa" w:w="60"/>
              <w:bottom w:type="dxa" w:w="40"/>
              <w:right w:type="dxa" w:w="60"/>
            </w:tcMar>
          </w:tcPr>
          <w:p>
            <w:pPr>
              <w:jc w:val="left"/>
            </w:pPr>
            <w:r>
              <w:rPr>
                <w:b w:val="false"/>
                <w:bCs w:val="false"/>
                <w:sz w:val="18"/>
                <w:szCs w:val="18"/>
              </w:rPr>
              <w:t xml:space="preserve">5 sessions (execution block); 20 sessions available for regime block</w:t>
            </w:r>
          </w:p>
        </w:tc>
      </w:tr>
    </w:tbl>
    <w:p>
      <w:pPr>
        <w:spacing w:after="100" w:line="276"/>
      </w:pPr>
      <w:r>
        <w:rPr>
          <w:i/>
          <w:iCs/>
          <w:color w:val="666666"/>
          <w:sz w:val="18"/>
          <w:szCs w:val="18"/>
        </w:rPr>
        <w:t xml:space="preserve">Note: the daily-open anchor supplied in configuration has been overridden for this run at the analyst's instruction; see §20 Agent Log. The report is produced for the 14 July 2026 session date.</w:t>
      </w:r>
    </w:p>
    <w:p>
      <w:pPr>
        <w:pStyle w:val="Heading1"/>
        <w:spacing w:after="120" w:before="240"/>
      </w:pPr>
      <w:r>
        <w:rPr>
          <w:b/>
          <w:bCs/>
          <w:color w:val="1F3864"/>
          <w:sz w:val="26"/>
          <w:szCs w:val="26"/>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400"/>
        <w:gridCol w:w="2160"/>
      </w:tblGrid>
      <w:tr>
        <w:trPr>
          <w:tblHeader/>
        </w:trPr>
        <w:tc>
          <w:tcPr>
            <w:tcW w:type="dxa" w:w="2000"/>
            <w:shd w:fill="1F3864" w:color="auto" w:val="clear"/>
            <w:tcMar>
              <w:top w:type="dxa" w:w="40"/>
              <w:left w:type="dxa" w:w="60"/>
              <w:bottom w:type="dxa" w:w="40"/>
              <w:right w:type="dxa" w:w="60"/>
            </w:tcMar>
          </w:tcPr>
          <w:p>
            <w:pPr>
              <w:jc w:val="left"/>
            </w:pPr>
            <w:r>
              <w:rPr>
                <w:b/>
                <w:bCs/>
                <w:color w:val="FFFFFF"/>
                <w:sz w:val="18"/>
                <w:szCs w:val="18"/>
              </w:rPr>
              <w:t xml:space="preserve">Consensus</w:t>
            </w:r>
          </w:p>
        </w:tc>
        <w:tc>
          <w:tcPr>
            <w:tcW w:type="dxa" w:w="1800"/>
            <w:shd w:fill="1F3864" w:color="auto" w:val="clear"/>
            <w:tcMar>
              <w:top w:type="dxa" w:w="40"/>
              <w:left w:type="dxa" w:w="60"/>
              <w:bottom w:type="dxa" w:w="40"/>
              <w:right w:type="dxa" w:w="60"/>
            </w:tcMar>
          </w:tcPr>
          <w:p>
            <w:pPr>
              <w:jc w:val="left"/>
            </w:pPr>
            <w:r>
              <w:rPr>
                <w:b/>
                <w:bCs/>
                <w:color w:val="FFFFFF"/>
                <w:sz w:val="18"/>
                <w:szCs w:val="18"/>
              </w:rPr>
              <w:t xml:space="preserve">Range</w:t>
            </w:r>
          </w:p>
        </w:tc>
        <w:tc>
          <w:tcPr>
            <w:tcW w:type="dxa" w:w="2000"/>
            <w:shd w:fill="1F3864" w:color="auto" w:val="clear"/>
            <w:tcMar>
              <w:top w:type="dxa" w:w="40"/>
              <w:left w:type="dxa" w:w="60"/>
              <w:bottom w:type="dxa" w:w="40"/>
              <w:right w:type="dxa" w:w="60"/>
            </w:tcMar>
          </w:tcPr>
          <w:p>
            <w:pPr>
              <w:jc w:val="left"/>
            </w:pPr>
            <w:r>
              <w:rPr>
                <w:b/>
                <w:bCs/>
                <w:color w:val="FFFFFF"/>
                <w:sz w:val="18"/>
                <w:szCs w:val="18"/>
              </w:rPr>
              <w:t xml:space="preserve">Basis</w:t>
            </w:r>
          </w:p>
        </w:tc>
        <w:tc>
          <w:tcPr>
            <w:tcW w:type="dxa" w:w="1400"/>
            <w:shd w:fill="1F3864" w:color="auto" w:val="clear"/>
            <w:tcMar>
              <w:top w:type="dxa" w:w="40"/>
              <w:left w:type="dxa" w:w="60"/>
              <w:bottom w:type="dxa" w:w="40"/>
              <w:right w:type="dxa" w:w="60"/>
            </w:tcMar>
          </w:tcPr>
          <w:p>
            <w:pPr>
              <w:jc w:val="left"/>
            </w:pPr>
            <w:r>
              <w:rPr>
                <w:b/>
                <w:bCs/>
                <w:color w:val="FFFFFF"/>
                <w:sz w:val="18"/>
                <w:szCs w:val="18"/>
              </w:rPr>
              <w:t xml:space="preserve">Confidence</w:t>
            </w:r>
          </w:p>
        </w:tc>
        <w:tc>
          <w:tcPr>
            <w:tcW w:type="dxa" w:w="2160"/>
            <w:shd w:fill="1F3864" w:color="auto" w:val="clear"/>
            <w:tcMar>
              <w:top w:type="dxa" w:w="40"/>
              <w:left w:type="dxa" w:w="60"/>
              <w:bottom w:type="dxa" w:w="40"/>
              <w:right w:type="dxa" w:w="60"/>
            </w:tcMar>
          </w:tcPr>
          <w:p>
            <w:pPr>
              <w:jc w:val="left"/>
            </w:pPr>
            <w:r>
              <w:rPr>
                <w:b/>
                <w:bCs/>
                <w:color w:val="FFFFFF"/>
                <w:sz w:val="18"/>
                <w:szCs w:val="18"/>
              </w:rPr>
              <w:t xml:space="preserve">Tone</w:t>
            </w:r>
          </w:p>
        </w:tc>
      </w:tr>
      <w:tr>
        <w:tc>
          <w:tcPr>
            <w:tcW w:type="dxa" w:w="2000"/>
            <w:tcMar>
              <w:top w:type="dxa" w:w="40"/>
              <w:left w:type="dxa" w:w="60"/>
              <w:bottom w:type="dxa" w:w="40"/>
              <w:right w:type="dxa" w:w="60"/>
            </w:tcMar>
          </w:tcPr>
          <w:p>
            <w:pPr>
              <w:jc w:val="center"/>
            </w:pPr>
            <w:r>
              <w:rPr>
                <w:b/>
                <w:bCs/>
                <w:sz w:val="18"/>
                <w:szCs w:val="18"/>
              </w:rPr>
              <w:t xml:space="preserve">7,575.39</w:t>
            </w:r>
          </w:p>
        </w:tc>
        <w:tc>
          <w:tcPr>
            <w:tcW w:type="dxa" w:w="1800"/>
            <w:tcMar>
              <w:top w:type="dxa" w:w="40"/>
              <w:left w:type="dxa" w:w="60"/>
              <w:bottom w:type="dxa" w:w="40"/>
              <w:right w:type="dxa" w:w="60"/>
            </w:tcMar>
          </w:tcPr>
          <w:p>
            <w:pPr>
              <w:jc w:val="center"/>
            </w:pPr>
            <w:r>
              <w:rPr>
                <w:b w:val="false"/>
                <w:bCs w:val="false"/>
                <w:sz w:val="18"/>
                <w:szCs w:val="18"/>
              </w:rPr>
              <w:t xml:space="preserve">7,543–7,580</w:t>
            </w:r>
          </w:p>
        </w:tc>
        <w:tc>
          <w:tcPr>
            <w:tcW w:type="dxa" w:w="2000"/>
            <w:tcMar>
              <w:top w:type="dxa" w:w="40"/>
              <w:left w:type="dxa" w:w="60"/>
              <w:bottom w:type="dxa" w:w="40"/>
              <w:right w:type="dxa" w:w="60"/>
            </w:tcMar>
          </w:tcPr>
          <w:p>
            <w:pPr>
              <w:jc w:val="center"/>
            </w:pPr>
            <w:r>
              <w:rPr>
                <w:b w:val="false"/>
                <w:bCs w:val="false"/>
                <w:sz w:val="18"/>
                <w:szCs w:val="18"/>
              </w:rPr>
              <w:t xml:space="preserve">Cash close, 10 Jul</w:t>
            </w:r>
          </w:p>
        </w:tc>
        <w:tc>
          <w:tcPr>
            <w:tcW w:type="dxa" w:w="1400"/>
            <w:tcMar>
              <w:top w:type="dxa" w:w="40"/>
              <w:left w:type="dxa" w:w="60"/>
              <w:bottom w:type="dxa" w:w="40"/>
              <w:right w:type="dxa" w:w="60"/>
            </w:tcMar>
          </w:tcPr>
          <w:p>
            <w:pPr>
              <w:jc w:val="center"/>
            </w:pPr>
            <w:r>
              <w:rPr>
                <w:b w:val="false"/>
                <w:bCs w:val="false"/>
                <w:sz w:val="18"/>
                <w:szCs w:val="18"/>
              </w:rPr>
              <w:t xml:space="preserve">High</w:t>
            </w:r>
          </w:p>
        </w:tc>
        <w:tc>
          <w:tcPr>
            <w:tcW w:type="dxa" w:w="2160"/>
            <w:tcMar>
              <w:top w:type="dxa" w:w="40"/>
              <w:left w:type="dxa" w:w="60"/>
              <w:bottom w:type="dxa" w:w="40"/>
              <w:right w:type="dxa" w:w="60"/>
            </w:tcMar>
          </w:tcPr>
          <w:p>
            <w:pPr>
              <w:jc w:val="center"/>
            </w:pPr>
            <w:r>
              <w:rPr>
                <w:b w:val="false"/>
                <w:bCs w:val="false"/>
                <w:sz w:val="18"/>
                <w:szCs w:val="18"/>
              </w:rPr>
              <w:t xml:space="preserve">Moderately bullish</w:t>
            </w:r>
          </w:p>
        </w:tc>
      </w:tr>
    </w:tbl>
    <w:p>
      <w:pPr>
        <w:spacing w:after="100" w:line="276"/>
      </w:pPr>
      <w:r>
        <w:rPr>
          <w:sz w:val="20"/>
          <w:szCs w:val="20"/>
        </w:rPr>
        <w:t xml:space="preserve">Rationale: the 10 Jul official cash close is corroborated to the tick across two independent source families (Investing.com and Yahoo Finance ^SPX), with CNBC/Yahoo editorial confirming the +0.42% daily change. The range reflects the last two sessions' closes bracketing the level; precision is high because the index print is exchange-calculated, not an assessed quote.</w:t>
      </w:r>
    </w:p>
    <w:p>
      <w:pPr>
        <w:pStyle w:val="Heading1"/>
        <w:spacing w:after="120" w:before="240"/>
      </w:pPr>
      <w:r>
        <w:rPr>
          <w:b/>
          <w:bCs/>
          <w:color w:val="1F3864"/>
          <w:sz w:val="26"/>
          <w:szCs w:val="26"/>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400"/>
        <w:gridCol w:w="1400"/>
        <w:gridCol w:w="1600"/>
        <w:gridCol w:w="1200"/>
        <w:gridCol w:w="1110"/>
      </w:tblGrid>
      <w:tr>
        <w:trPr>
          <w:tblHeader/>
        </w:trPr>
        <w:tc>
          <w:tcPr>
            <w:tcW w:type="dxa" w:w="1500"/>
            <w:shd w:fill="1F3864" w:color="auto" w:val="clear"/>
            <w:tcMar>
              <w:top w:type="dxa" w:w="40"/>
              <w:left w:type="dxa" w:w="60"/>
              <w:bottom w:type="dxa" w:w="40"/>
              <w:right w:type="dxa" w:w="60"/>
            </w:tcMar>
          </w:tcPr>
          <w:p>
            <w:pPr>
              <w:jc w:val="left"/>
            </w:pPr>
            <w:r>
              <w:rPr>
                <w:b/>
                <w:bCs/>
                <w:color w:val="FFFFFF"/>
                <w:sz w:val="18"/>
                <w:szCs w:val="18"/>
              </w:rPr>
              <w:t xml:space="preserve">Source</w:t>
            </w:r>
          </w:p>
        </w:tc>
        <w:tc>
          <w:tcPr>
            <w:tcW w:type="dxa" w:w="1150"/>
            <w:shd w:fill="1F3864" w:color="auto" w:val="clear"/>
            <w:tcMar>
              <w:top w:type="dxa" w:w="40"/>
              <w:left w:type="dxa" w:w="60"/>
              <w:bottom w:type="dxa" w:w="40"/>
              <w:right w:type="dxa" w:w="60"/>
            </w:tcMar>
          </w:tcPr>
          <w:p>
            <w:pPr>
              <w:jc w:val="left"/>
            </w:pPr>
            <w:r>
              <w:rPr>
                <w:b/>
                <w:bCs/>
                <w:color w:val="FFFFFF"/>
                <w:sz w:val="18"/>
                <w:szCs w:val="18"/>
              </w:rPr>
              <w:t xml:space="preserve">Date/Time</w:t>
            </w:r>
          </w:p>
        </w:tc>
        <w:tc>
          <w:tcPr>
            <w:tcW w:type="dxa" w:w="1400"/>
            <w:shd w:fill="1F3864" w:color="auto" w:val="clear"/>
            <w:tcMar>
              <w:top w:type="dxa" w:w="40"/>
              <w:left w:type="dxa" w:w="60"/>
              <w:bottom w:type="dxa" w:w="40"/>
              <w:right w:type="dxa" w:w="60"/>
            </w:tcMar>
          </w:tcPr>
          <w:p>
            <w:pPr>
              <w:jc w:val="left"/>
            </w:pPr>
            <w:r>
              <w:rPr>
                <w:b/>
                <w:bCs/>
                <w:color w:val="FFFFFF"/>
                <w:sz w:val="18"/>
                <w:szCs w:val="18"/>
              </w:rPr>
              <w:t xml:space="preserve">Raw quote (close)</w:t>
            </w:r>
          </w:p>
        </w:tc>
        <w:tc>
          <w:tcPr>
            <w:tcW w:type="dxa" w:w="1400"/>
            <w:shd w:fill="1F3864" w:color="auto" w:val="clear"/>
            <w:tcMar>
              <w:top w:type="dxa" w:w="40"/>
              <w:left w:type="dxa" w:w="60"/>
              <w:bottom w:type="dxa" w:w="40"/>
              <w:right w:type="dxa" w:w="60"/>
            </w:tcMar>
          </w:tcPr>
          <w:p>
            <w:pPr>
              <w:jc w:val="left"/>
            </w:pPr>
            <w:r>
              <w:rPr>
                <w:b/>
                <w:bCs/>
                <w:color w:val="FFFFFF"/>
                <w:sz w:val="18"/>
                <w:szCs w:val="18"/>
              </w:rPr>
              <w:t xml:space="preserve">Normalized (pts)</w:t>
            </w:r>
          </w:p>
        </w:tc>
        <w:tc>
          <w:tcPr>
            <w:tcW w:type="dxa" w:w="1600"/>
            <w:shd w:fill="1F3864" w:color="auto" w:val="clear"/>
            <w:tcMar>
              <w:top w:type="dxa" w:w="40"/>
              <w:left w:type="dxa" w:w="60"/>
              <w:bottom w:type="dxa" w:w="40"/>
              <w:right w:type="dxa" w:w="60"/>
            </w:tcMar>
          </w:tcPr>
          <w:p>
            <w:pPr>
              <w:jc w:val="left"/>
            </w:pPr>
            <w:r>
              <w:rPr>
                <w:b/>
                <w:bCs/>
                <w:color w:val="FFFFFF"/>
                <w:sz w:val="18"/>
                <w:szCs w:val="18"/>
              </w:rPr>
              <w:t xml:space="preserve">Basis/Location</w:t>
            </w:r>
          </w:p>
        </w:tc>
        <w:tc>
          <w:tcPr>
            <w:tcW w:type="dxa" w:w="1200"/>
            <w:shd w:fill="1F3864" w:color="auto" w:val="clear"/>
            <w:tcMar>
              <w:top w:type="dxa" w:w="40"/>
              <w:left w:type="dxa" w:w="60"/>
              <w:bottom w:type="dxa" w:w="40"/>
              <w:right w:type="dxa" w:w="60"/>
            </w:tcMar>
          </w:tcPr>
          <w:p>
            <w:pPr>
              <w:jc w:val="left"/>
            </w:pPr>
            <w:r>
              <w:rPr>
                <w:b/>
                <w:bCs/>
                <w:color w:val="FFFFFF"/>
                <w:sz w:val="18"/>
                <w:szCs w:val="18"/>
              </w:rPr>
              <w:t xml:space="preserve">Relevance</w:t>
            </w:r>
          </w:p>
        </w:tc>
        <w:tc>
          <w:tcPr>
            <w:tcW w:type="dxa" w:w="1110"/>
            <w:shd w:fill="1F3864" w:color="auto" w:val="clear"/>
            <w:tcMar>
              <w:top w:type="dxa" w:w="40"/>
              <w:left w:type="dxa" w:w="60"/>
              <w:bottom w:type="dxa" w:w="40"/>
              <w:right w:type="dxa" w:w="60"/>
            </w:tcMar>
          </w:tcPr>
          <w:p>
            <w:pPr>
              <w:jc w:val="left"/>
            </w:pPr>
            <w:r>
              <w:rPr>
                <w:b/>
                <w:bCs/>
                <w:color w:val="FFFFFF"/>
                <w:sz w:val="18"/>
                <w:szCs w:val="18"/>
              </w:rPr>
              <w:t xml:space="preserve">Notes</w:t>
            </w:r>
          </w:p>
        </w:tc>
      </w:tr>
      <w:tr>
        <w:tc>
          <w:tcPr>
            <w:tcW w:type="dxa" w:w="1500"/>
            <w:tcMar>
              <w:top w:type="dxa" w:w="40"/>
              <w:left w:type="dxa" w:w="60"/>
              <w:bottom w:type="dxa" w:w="40"/>
              <w:right w:type="dxa" w:w="60"/>
            </w:tcMar>
          </w:tcPr>
          <w:p>
            <w:pPr>
              <w:jc w:val="left"/>
            </w:pPr>
            <w:r>
              <w:rPr>
                <w:b w:val="false"/>
                <w:bCs w:val="false"/>
                <w:sz w:val="18"/>
                <w:szCs w:val="18"/>
              </w:rPr>
              <w:t xml:space="preserve">Investing.com</w:t>
            </w:r>
          </w:p>
        </w:tc>
        <w:tc>
          <w:tcPr>
            <w:tcW w:type="dxa" w:w="1150"/>
            <w:tcMar>
              <w:top w:type="dxa" w:w="40"/>
              <w:left w:type="dxa" w:w="60"/>
              <w:bottom w:type="dxa" w:w="40"/>
              <w:right w:type="dxa" w:w="60"/>
            </w:tcMar>
          </w:tcPr>
          <w:p>
            <w:pPr>
              <w:jc w:val="left"/>
            </w:pPr>
            <w:r>
              <w:rPr>
                <w:b w:val="false"/>
                <w:bCs w:val="false"/>
                <w:sz w:val="18"/>
                <w:szCs w:val="18"/>
              </w:rPr>
              <w:t xml:space="preserve">10 Jul (close)</w:t>
            </w:r>
          </w:p>
        </w:tc>
        <w:tc>
          <w:tcPr>
            <w:tcW w:type="dxa" w:w="1400"/>
            <w:tcMar>
              <w:top w:type="dxa" w:w="40"/>
              <w:left w:type="dxa" w:w="60"/>
              <w:bottom w:type="dxa" w:w="40"/>
              <w:right w:type="dxa" w:w="60"/>
            </w:tcMar>
          </w:tcPr>
          <w:p>
            <w:pPr>
              <w:jc w:val="left"/>
            </w:pPr>
            <w:r>
              <w:rPr>
                <w:b w:val="false"/>
                <w:bCs w:val="false"/>
                <w:sz w:val="18"/>
                <w:szCs w:val="18"/>
              </w:rPr>
              <w:t xml:space="preserve">7,575.39</w:t>
            </w:r>
          </w:p>
        </w:tc>
        <w:tc>
          <w:tcPr>
            <w:tcW w:type="dxa" w:w="1400"/>
            <w:tcMar>
              <w:top w:type="dxa" w:w="40"/>
              <w:left w:type="dxa" w:w="60"/>
              <w:bottom w:type="dxa" w:w="40"/>
              <w:right w:type="dxa" w:w="60"/>
            </w:tcMar>
          </w:tcPr>
          <w:p>
            <w:pPr>
              <w:jc w:val="left"/>
            </w:pPr>
            <w:r>
              <w:rPr>
                <w:b w:val="false"/>
                <w:bCs w:val="false"/>
                <w:sz w:val="18"/>
                <w:szCs w:val="18"/>
              </w:rPr>
              <w:t xml:space="preserve">7,575.39</w:t>
            </w:r>
          </w:p>
        </w:tc>
        <w:tc>
          <w:tcPr>
            <w:tcW w:type="dxa" w:w="1600"/>
            <w:tcMar>
              <w:top w:type="dxa" w:w="40"/>
              <w:left w:type="dxa" w:w="60"/>
              <w:bottom w:type="dxa" w:w="40"/>
              <w:right w:type="dxa" w:w="60"/>
            </w:tcMar>
          </w:tcPr>
          <w:p>
            <w:pPr>
              <w:jc w:val="left"/>
            </w:pPr>
            <w:r>
              <w:rPr>
                <w:b w:val="false"/>
                <w:bCs w:val="false"/>
                <w:sz w:val="18"/>
                <w:szCs w:val="18"/>
              </w:rPr>
              <w:t xml:space="preserve">Cash / NYSE</w:t>
            </w:r>
          </w:p>
        </w:tc>
        <w:tc>
          <w:tcPr>
            <w:tcW w:type="dxa" w:w="1200"/>
            <w:tcMar>
              <w:top w:type="dxa" w:w="40"/>
              <w:left w:type="dxa" w:w="60"/>
              <w:bottom w:type="dxa" w:w="40"/>
              <w:right w:type="dxa" w:w="60"/>
            </w:tcMar>
          </w:tcPr>
          <w:p>
            <w:pPr>
              <w:jc w:val="left"/>
            </w:pPr>
            <w:r>
              <w:rPr>
                <w:b w:val="false"/>
                <w:bCs w:val="false"/>
                <w:sz w:val="18"/>
                <w:szCs w:val="18"/>
              </w:rPr>
              <w:t xml:space="preserve">Core</w:t>
            </w:r>
          </w:p>
        </w:tc>
        <w:tc>
          <w:tcPr>
            <w:tcW w:type="dxa" w:w="1110"/>
            <w:tcMar>
              <w:top w:type="dxa" w:w="40"/>
              <w:left w:type="dxa" w:w="60"/>
              <w:bottom w:type="dxa" w:w="40"/>
              <w:right w:type="dxa" w:w="60"/>
            </w:tcMar>
          </w:tcPr>
          <w:p>
            <w:pPr>
              <w:jc w:val="left"/>
            </w:pPr>
            <w:r>
              <w:rPr>
                <w:b w:val="false"/>
                <w:bCs w:val="false"/>
                <w:sz w:val="18"/>
                <w:szCs w:val="18"/>
              </w:rPr>
              <w:t xml:space="preserve">OHLC table primary</w:t>
            </w:r>
          </w:p>
        </w:tc>
      </w:tr>
      <w:tr>
        <w:tc>
          <w:tcPr>
            <w:tcW w:type="dxa" w:w="1500"/>
            <w:tcMar>
              <w:top w:type="dxa" w:w="40"/>
              <w:left w:type="dxa" w:w="60"/>
              <w:bottom w:type="dxa" w:w="40"/>
              <w:right w:type="dxa" w:w="60"/>
            </w:tcMar>
          </w:tcPr>
          <w:p>
            <w:pPr>
              <w:jc w:val="left"/>
            </w:pPr>
            <w:r>
              <w:rPr>
                <w:b w:val="false"/>
                <w:bCs w:val="false"/>
                <w:sz w:val="18"/>
                <w:szCs w:val="18"/>
              </w:rPr>
              <w:t xml:space="preserve">Yahoo Finance ^SPX</w:t>
            </w:r>
          </w:p>
        </w:tc>
        <w:tc>
          <w:tcPr>
            <w:tcW w:type="dxa" w:w="1150"/>
            <w:tcMar>
              <w:top w:type="dxa" w:w="40"/>
              <w:left w:type="dxa" w:w="60"/>
              <w:bottom w:type="dxa" w:w="40"/>
              <w:right w:type="dxa" w:w="60"/>
            </w:tcMar>
          </w:tcPr>
          <w:p>
            <w:pPr>
              <w:jc w:val="left"/>
            </w:pPr>
            <w:r>
              <w:rPr>
                <w:b w:val="false"/>
                <w:bCs w:val="false"/>
                <w:sz w:val="18"/>
                <w:szCs w:val="18"/>
              </w:rPr>
              <w:t xml:space="preserve">10 Jul 17:28 ET</w:t>
            </w:r>
          </w:p>
        </w:tc>
        <w:tc>
          <w:tcPr>
            <w:tcW w:type="dxa" w:w="1400"/>
            <w:tcMar>
              <w:top w:type="dxa" w:w="40"/>
              <w:left w:type="dxa" w:w="60"/>
              <w:bottom w:type="dxa" w:w="40"/>
              <w:right w:type="dxa" w:w="60"/>
            </w:tcMar>
          </w:tcPr>
          <w:p>
            <w:pPr>
              <w:jc w:val="left"/>
            </w:pPr>
            <w:r>
              <w:rPr>
                <w:b w:val="false"/>
                <w:bCs w:val="false"/>
                <w:sz w:val="18"/>
                <w:szCs w:val="18"/>
              </w:rPr>
              <w:t xml:space="preserve">7,575.39</w:t>
            </w:r>
          </w:p>
        </w:tc>
        <w:tc>
          <w:tcPr>
            <w:tcW w:type="dxa" w:w="1400"/>
            <w:tcMar>
              <w:top w:type="dxa" w:w="40"/>
              <w:left w:type="dxa" w:w="60"/>
              <w:bottom w:type="dxa" w:w="40"/>
              <w:right w:type="dxa" w:w="60"/>
            </w:tcMar>
          </w:tcPr>
          <w:p>
            <w:pPr>
              <w:jc w:val="left"/>
            </w:pPr>
            <w:r>
              <w:rPr>
                <w:b w:val="false"/>
                <w:bCs w:val="false"/>
                <w:sz w:val="18"/>
                <w:szCs w:val="18"/>
              </w:rPr>
              <w:t xml:space="preserve">7,575.39</w:t>
            </w:r>
          </w:p>
        </w:tc>
        <w:tc>
          <w:tcPr>
            <w:tcW w:type="dxa" w:w="1600"/>
            <w:tcMar>
              <w:top w:type="dxa" w:w="40"/>
              <w:left w:type="dxa" w:w="60"/>
              <w:bottom w:type="dxa" w:w="40"/>
              <w:right w:type="dxa" w:w="60"/>
            </w:tcMar>
          </w:tcPr>
          <w:p>
            <w:pPr>
              <w:jc w:val="left"/>
            </w:pPr>
            <w:r>
              <w:rPr>
                <w:b w:val="false"/>
                <w:bCs w:val="false"/>
                <w:sz w:val="18"/>
                <w:szCs w:val="18"/>
              </w:rPr>
              <w:t xml:space="preserve">Cash / CBOE-derived</w:t>
            </w:r>
          </w:p>
        </w:tc>
        <w:tc>
          <w:tcPr>
            <w:tcW w:type="dxa" w:w="1200"/>
            <w:tcMar>
              <w:top w:type="dxa" w:w="40"/>
              <w:left w:type="dxa" w:w="60"/>
              <w:bottom w:type="dxa" w:w="40"/>
              <w:right w:type="dxa" w:w="60"/>
            </w:tcMar>
          </w:tcPr>
          <w:p>
            <w:pPr>
              <w:jc w:val="left"/>
            </w:pPr>
            <w:r>
              <w:rPr>
                <w:b w:val="false"/>
                <w:bCs w:val="false"/>
                <w:sz w:val="18"/>
                <w:szCs w:val="18"/>
              </w:rPr>
              <w:t xml:space="preserve">Core</w:t>
            </w:r>
          </w:p>
        </w:tc>
        <w:tc>
          <w:tcPr>
            <w:tcW w:type="dxa" w:w="1110"/>
            <w:tcMar>
              <w:top w:type="dxa" w:w="40"/>
              <w:left w:type="dxa" w:w="60"/>
              <w:bottom w:type="dxa" w:w="40"/>
              <w:right w:type="dxa" w:w="60"/>
            </w:tcMar>
          </w:tcPr>
          <w:p>
            <w:pPr>
              <w:jc w:val="left"/>
            </w:pPr>
            <w:r>
              <w:rPr>
                <w:b w:val="false"/>
                <w:bCs w:val="false"/>
                <w:sz w:val="18"/>
                <w:szCs w:val="18"/>
              </w:rPr>
              <w:t xml:space="preserve">Tick match</w:t>
            </w:r>
          </w:p>
        </w:tc>
      </w:tr>
      <w:tr>
        <w:tc>
          <w:tcPr>
            <w:tcW w:type="dxa" w:w="1500"/>
            <w:tcMar>
              <w:top w:type="dxa" w:w="40"/>
              <w:left w:type="dxa" w:w="60"/>
              <w:bottom w:type="dxa" w:w="40"/>
              <w:right w:type="dxa" w:w="60"/>
            </w:tcMar>
          </w:tcPr>
          <w:p>
            <w:pPr>
              <w:jc w:val="left"/>
            </w:pPr>
            <w:r>
              <w:rPr>
                <w:b w:val="false"/>
                <w:bCs w:val="false"/>
                <w:sz w:val="18"/>
                <w:szCs w:val="18"/>
              </w:rPr>
              <w:t xml:space="preserve">CNBC (editorial)</w:t>
            </w:r>
          </w:p>
        </w:tc>
        <w:tc>
          <w:tcPr>
            <w:tcW w:type="dxa" w:w="1150"/>
            <w:tcMar>
              <w:top w:type="dxa" w:w="40"/>
              <w:left w:type="dxa" w:w="60"/>
              <w:bottom w:type="dxa" w:w="40"/>
              <w:right w:type="dxa" w:w="60"/>
            </w:tcMar>
          </w:tcPr>
          <w:p>
            <w:pPr>
              <w:jc w:val="left"/>
            </w:pPr>
            <w:r>
              <w:rPr>
                <w:b w:val="false"/>
                <w:bCs w:val="false"/>
                <w:sz w:val="18"/>
                <w:szCs w:val="18"/>
              </w:rPr>
              <w:t xml:space="preserve">10 Jul close</w:t>
            </w:r>
          </w:p>
        </w:tc>
        <w:tc>
          <w:tcPr>
            <w:tcW w:type="dxa" w:w="1400"/>
            <w:tcMar>
              <w:top w:type="dxa" w:w="40"/>
              <w:left w:type="dxa" w:w="60"/>
              <w:bottom w:type="dxa" w:w="40"/>
              <w:right w:type="dxa" w:w="60"/>
            </w:tcMar>
          </w:tcPr>
          <w:p>
            <w:pPr>
              <w:jc w:val="left"/>
            </w:pPr>
            <w:r>
              <w:rPr>
                <w:b w:val="false"/>
                <w:bCs w:val="false"/>
                <w:sz w:val="18"/>
                <w:szCs w:val="18"/>
              </w:rPr>
              <w:t xml:space="preserve">7,575.39 (+0.42%)</w:t>
            </w:r>
          </w:p>
        </w:tc>
        <w:tc>
          <w:tcPr>
            <w:tcW w:type="dxa" w:w="1400"/>
            <w:tcMar>
              <w:top w:type="dxa" w:w="40"/>
              <w:left w:type="dxa" w:w="60"/>
              <w:bottom w:type="dxa" w:w="40"/>
              <w:right w:type="dxa" w:w="60"/>
            </w:tcMar>
          </w:tcPr>
          <w:p>
            <w:pPr>
              <w:jc w:val="left"/>
            </w:pPr>
            <w:r>
              <w:rPr>
                <w:b w:val="false"/>
                <w:bCs w:val="false"/>
                <w:sz w:val="18"/>
                <w:szCs w:val="18"/>
              </w:rPr>
              <w:t xml:space="preserve">7,575.39</w:t>
            </w:r>
          </w:p>
        </w:tc>
        <w:tc>
          <w:tcPr>
            <w:tcW w:type="dxa" w:w="1600"/>
            <w:tcMar>
              <w:top w:type="dxa" w:w="40"/>
              <w:left w:type="dxa" w:w="60"/>
              <w:bottom w:type="dxa" w:w="40"/>
              <w:right w:type="dxa" w:w="60"/>
            </w:tcMar>
          </w:tcPr>
          <w:p>
            <w:pPr>
              <w:jc w:val="left"/>
            </w:pPr>
            <w:r>
              <w:rPr>
                <w:b w:val="false"/>
                <w:bCs w:val="false"/>
                <w:sz w:val="18"/>
                <w:szCs w:val="18"/>
              </w:rPr>
              <w:t xml:space="preserve">Cash / NYSE</w:t>
            </w:r>
          </w:p>
        </w:tc>
        <w:tc>
          <w:tcPr>
            <w:tcW w:type="dxa" w:w="1200"/>
            <w:tcMar>
              <w:top w:type="dxa" w:w="40"/>
              <w:left w:type="dxa" w:w="60"/>
              <w:bottom w:type="dxa" w:w="40"/>
              <w:right w:type="dxa" w:w="60"/>
            </w:tcMar>
          </w:tcPr>
          <w:p>
            <w:pPr>
              <w:jc w:val="left"/>
            </w:pPr>
            <w:r>
              <w:rPr>
                <w:b w:val="false"/>
                <w:bCs w:val="false"/>
                <w:sz w:val="18"/>
                <w:szCs w:val="18"/>
              </w:rPr>
              <w:t xml:space="preserve">Core</w:t>
            </w:r>
          </w:p>
        </w:tc>
        <w:tc>
          <w:tcPr>
            <w:tcW w:type="dxa" w:w="1110"/>
            <w:tcMar>
              <w:top w:type="dxa" w:w="40"/>
              <w:left w:type="dxa" w:w="60"/>
              <w:bottom w:type="dxa" w:w="40"/>
              <w:right w:type="dxa" w:w="60"/>
            </w:tcMar>
          </w:tcPr>
          <w:p>
            <w:pPr>
              <w:jc w:val="left"/>
            </w:pPr>
            <w:r>
              <w:rPr>
                <w:b w:val="false"/>
                <w:bCs w:val="false"/>
                <w:sz w:val="18"/>
                <w:szCs w:val="18"/>
              </w:rPr>
              <w:t xml:space="preserve">Close + % confirm</w:t>
            </w:r>
          </w:p>
        </w:tc>
      </w:tr>
      <w:tr>
        <w:tc>
          <w:tcPr>
            <w:tcW w:type="dxa" w:w="1500"/>
            <w:tcMar>
              <w:top w:type="dxa" w:w="40"/>
              <w:left w:type="dxa" w:w="60"/>
              <w:bottom w:type="dxa" w:w="40"/>
              <w:right w:type="dxa" w:w="60"/>
            </w:tcMar>
          </w:tcPr>
          <w:p>
            <w:pPr>
              <w:jc w:val="left"/>
            </w:pPr>
            <w:r>
              <w:rPr>
                <w:b w:val="false"/>
                <w:bCs w:val="false"/>
                <w:sz w:val="18"/>
                <w:szCs w:val="18"/>
              </w:rPr>
              <w:t xml:space="preserve">S&amp;P Dow Jones Indices</w:t>
            </w:r>
          </w:p>
        </w:tc>
        <w:tc>
          <w:tcPr>
            <w:tcW w:type="dxa" w:w="1150"/>
            <w:tcMar>
              <w:top w:type="dxa" w:w="40"/>
              <w:left w:type="dxa" w:w="60"/>
              <w:bottom w:type="dxa" w:w="40"/>
              <w:right w:type="dxa" w:w="60"/>
            </w:tcMar>
          </w:tcPr>
          <w:p>
            <w:pPr>
              <w:jc w:val="left"/>
            </w:pPr>
            <w:r>
              <w:rPr>
                <w:b w:val="false"/>
                <w:bCs w:val="false"/>
                <w:sz w:val="18"/>
                <w:szCs w:val="18"/>
              </w:rPr>
              <w:t xml:space="preserve">30 Jun (methodology)</w:t>
            </w:r>
          </w:p>
        </w:tc>
        <w:tc>
          <w:tcPr>
            <w:tcW w:type="dxa" w:w="1400"/>
            <w:tcMar>
              <w:top w:type="dxa" w:w="40"/>
              <w:left w:type="dxa" w:w="60"/>
              <w:bottom w:type="dxa" w:w="40"/>
              <w:right w:type="dxa" w:w="60"/>
            </w:tcMar>
          </w:tcPr>
          <w:p>
            <w:pPr>
              <w:jc w:val="left"/>
            </w:pPr>
            <w:r>
              <w:rPr>
                <w:b w:val="false"/>
                <w:bCs w:val="false"/>
                <w:sz w:val="18"/>
                <w:szCs w:val="18"/>
              </w:rPr>
              <w:t xml:space="preserve">503 constituents</w:t>
            </w:r>
          </w:p>
        </w:tc>
        <w:tc>
          <w:tcPr>
            <w:tcW w:type="dxa" w:w="1400"/>
            <w:tcMar>
              <w:top w:type="dxa" w:w="40"/>
              <w:left w:type="dxa" w:w="60"/>
              <w:bottom w:type="dxa" w:w="40"/>
              <w:right w:type="dxa" w:w="60"/>
            </w:tcMar>
          </w:tcPr>
          <w:p>
            <w:pPr>
              <w:jc w:val="left"/>
            </w:pPr>
            <w:r>
              <w:rPr>
                <w:b w:val="false"/>
                <w:bCs w:val="false"/>
                <w:sz w:val="18"/>
                <w:szCs w:val="18"/>
              </w:rPr>
              <w:t xml:space="preserve">—</w:t>
            </w:r>
          </w:p>
        </w:tc>
        <w:tc>
          <w:tcPr>
            <w:tcW w:type="dxa" w:w="1600"/>
            <w:tcMar>
              <w:top w:type="dxa" w:w="40"/>
              <w:left w:type="dxa" w:w="60"/>
              <w:bottom w:type="dxa" w:w="40"/>
              <w:right w:type="dxa" w:w="60"/>
            </w:tcMar>
          </w:tcPr>
          <w:p>
            <w:pPr>
              <w:jc w:val="left"/>
            </w:pPr>
            <w:r>
              <w:rPr>
                <w:b w:val="false"/>
                <w:bCs w:val="false"/>
                <w:sz w:val="18"/>
                <w:szCs w:val="18"/>
              </w:rPr>
              <w:t xml:space="preserve">Index provider</w:t>
            </w:r>
          </w:p>
        </w:tc>
        <w:tc>
          <w:tcPr>
            <w:tcW w:type="dxa" w:w="1200"/>
            <w:tcMar>
              <w:top w:type="dxa" w:w="40"/>
              <w:left w:type="dxa" w:w="60"/>
              <w:bottom w:type="dxa" w:w="40"/>
              <w:right w:type="dxa" w:w="60"/>
            </w:tcMar>
          </w:tcPr>
          <w:p>
            <w:pPr>
              <w:jc w:val="left"/>
            </w:pPr>
            <w:r>
              <w:rPr>
                <w:b w:val="false"/>
                <w:bCs w:val="false"/>
                <w:sz w:val="18"/>
                <w:szCs w:val="18"/>
              </w:rPr>
              <w:t xml:space="preserve">Directional</w:t>
            </w:r>
          </w:p>
        </w:tc>
        <w:tc>
          <w:tcPr>
            <w:tcW w:type="dxa" w:w="1110"/>
            <w:tcMar>
              <w:top w:type="dxa" w:w="40"/>
              <w:left w:type="dxa" w:w="60"/>
              <w:bottom w:type="dxa" w:w="40"/>
              <w:right w:type="dxa" w:w="60"/>
            </w:tcMar>
          </w:tcPr>
          <w:p>
            <w:pPr>
              <w:jc w:val="left"/>
            </w:pPr>
            <w:r>
              <w:rPr>
                <w:b w:val="false"/>
                <w:bCs w:val="false"/>
                <w:sz w:val="18"/>
                <w:szCs w:val="18"/>
              </w:rPr>
              <w:t xml:space="preserve">Constituent/weight ref</w:t>
            </w:r>
          </w:p>
        </w:tc>
      </w:tr>
      <w:tr>
        <w:tc>
          <w:tcPr>
            <w:tcW w:type="dxa" w:w="1500"/>
            <w:tcMar>
              <w:top w:type="dxa" w:w="40"/>
              <w:left w:type="dxa" w:w="60"/>
              <w:bottom w:type="dxa" w:w="40"/>
              <w:right w:type="dxa" w:w="60"/>
            </w:tcMar>
          </w:tcPr>
          <w:p>
            <w:pPr>
              <w:jc w:val="left"/>
            </w:pPr>
            <w:r>
              <w:rPr>
                <w:b w:val="false"/>
                <w:bCs w:val="false"/>
                <w:sz w:val="18"/>
                <w:szCs w:val="18"/>
              </w:rPr>
              <w:t xml:space="preserve">Bloomberg (via Reuters)</w:t>
            </w:r>
          </w:p>
        </w:tc>
        <w:tc>
          <w:tcPr>
            <w:tcW w:type="dxa" w:w="1150"/>
            <w:tcMar>
              <w:top w:type="dxa" w:w="40"/>
              <w:left w:type="dxa" w:w="60"/>
              <w:bottom w:type="dxa" w:w="40"/>
              <w:right w:type="dxa" w:w="60"/>
            </w:tcMar>
          </w:tcPr>
          <w:p>
            <w:pPr>
              <w:jc w:val="left"/>
            </w:pPr>
            <w:r>
              <w:rPr>
                <w:b w:val="false"/>
                <w:bCs w:val="false"/>
                <w:sz w:val="18"/>
                <w:szCs w:val="18"/>
              </w:rPr>
              <w:t xml:space="preserve">Jun–Jul targets</w:t>
            </w:r>
          </w:p>
        </w:tc>
        <w:tc>
          <w:tcPr>
            <w:tcW w:type="dxa" w:w="1400"/>
            <w:tcMar>
              <w:top w:type="dxa" w:w="40"/>
              <w:left w:type="dxa" w:w="60"/>
              <w:bottom w:type="dxa" w:w="40"/>
              <w:right w:type="dxa" w:w="60"/>
            </w:tcMar>
          </w:tcPr>
          <w:p>
            <w:pPr>
              <w:jc w:val="left"/>
            </w:pPr>
            <w:r>
              <w:rPr>
                <w:b w:val="false"/>
                <w:bCs w:val="false"/>
                <w:sz w:val="18"/>
                <w:szCs w:val="18"/>
              </w:rPr>
              <w:t xml:space="preserve">7,500–8,100 YE</w:t>
            </w:r>
          </w:p>
        </w:tc>
        <w:tc>
          <w:tcPr>
            <w:tcW w:type="dxa" w:w="1400"/>
            <w:tcMar>
              <w:top w:type="dxa" w:w="40"/>
              <w:left w:type="dxa" w:w="60"/>
              <w:bottom w:type="dxa" w:w="40"/>
              <w:right w:type="dxa" w:w="60"/>
            </w:tcMar>
          </w:tcPr>
          <w:p>
            <w:pPr>
              <w:jc w:val="left"/>
            </w:pPr>
            <w:r>
              <w:rPr>
                <w:b w:val="false"/>
                <w:bCs w:val="false"/>
                <w:sz w:val="18"/>
                <w:szCs w:val="18"/>
              </w:rPr>
              <w:t xml:space="preserve">—</w:t>
            </w:r>
          </w:p>
        </w:tc>
        <w:tc>
          <w:tcPr>
            <w:tcW w:type="dxa" w:w="1600"/>
            <w:tcMar>
              <w:top w:type="dxa" w:w="40"/>
              <w:left w:type="dxa" w:w="60"/>
              <w:bottom w:type="dxa" w:w="40"/>
              <w:right w:type="dxa" w:w="60"/>
            </w:tcMar>
          </w:tcPr>
          <w:p>
            <w:pPr>
              <w:jc w:val="left"/>
            </w:pPr>
            <w:r>
              <w:rPr>
                <w:b w:val="false"/>
                <w:bCs w:val="false"/>
                <w:sz w:val="18"/>
                <w:szCs w:val="18"/>
              </w:rPr>
              <w:t xml:space="preserve">Strategist consensus</w:t>
            </w:r>
          </w:p>
        </w:tc>
        <w:tc>
          <w:tcPr>
            <w:tcW w:type="dxa" w:w="1200"/>
            <w:tcMar>
              <w:top w:type="dxa" w:w="40"/>
              <w:left w:type="dxa" w:w="60"/>
              <w:bottom w:type="dxa" w:w="40"/>
              <w:right w:type="dxa" w:w="60"/>
            </w:tcMar>
          </w:tcPr>
          <w:p>
            <w:pPr>
              <w:jc w:val="left"/>
            </w:pPr>
            <w:r>
              <w:rPr>
                <w:b w:val="false"/>
                <w:bCs w:val="false"/>
                <w:sz w:val="18"/>
                <w:szCs w:val="18"/>
              </w:rPr>
              <w:t xml:space="preserve">Directional</w:t>
            </w:r>
          </w:p>
        </w:tc>
        <w:tc>
          <w:tcPr>
            <w:tcW w:type="dxa" w:w="1110"/>
            <w:tcMar>
              <w:top w:type="dxa" w:w="40"/>
              <w:left w:type="dxa" w:w="60"/>
              <w:bottom w:type="dxa" w:w="40"/>
              <w:right w:type="dxa" w:w="60"/>
            </w:tcMar>
          </w:tcPr>
          <w:p>
            <w:pPr>
              <w:jc w:val="left"/>
            </w:pPr>
            <w:r>
              <w:rPr>
                <w:b w:val="false"/>
                <w:bCs w:val="false"/>
                <w:sz w:val="18"/>
                <w:szCs w:val="18"/>
              </w:rPr>
              <w:t xml:space="preserve">Forward context</w:t>
            </w:r>
          </w:p>
        </w:tc>
      </w:tr>
      <w:tr>
        <w:tc>
          <w:tcPr>
            <w:tcW w:type="dxa" w:w="1500"/>
            <w:tcMar>
              <w:top w:type="dxa" w:w="40"/>
              <w:left w:type="dxa" w:w="60"/>
              <w:bottom w:type="dxa" w:w="40"/>
              <w:right w:type="dxa" w:w="60"/>
            </w:tcMar>
          </w:tcPr>
          <w:p>
            <w:pPr>
              <w:jc w:val="left"/>
            </w:pPr>
            <w:r>
              <w:rPr>
                <w:b w:val="false"/>
                <w:bCs w:val="false"/>
                <w:sz w:val="18"/>
                <w:szCs w:val="18"/>
              </w:rPr>
              <w:t xml:space="preserve">Google Finance</w:t>
            </w:r>
          </w:p>
        </w:tc>
        <w:tc>
          <w:tcPr>
            <w:tcW w:type="dxa" w:w="1150"/>
            <w:tcMar>
              <w:top w:type="dxa" w:w="40"/>
              <w:left w:type="dxa" w:w="60"/>
              <w:bottom w:type="dxa" w:w="40"/>
              <w:right w:type="dxa" w:w="60"/>
            </w:tcMar>
          </w:tcPr>
          <w:p>
            <w:pPr>
              <w:jc w:val="left"/>
            </w:pPr>
            <w:r>
              <w:rPr>
                <w:b w:val="false"/>
                <w:bCs w:val="false"/>
                <w:sz w:val="18"/>
                <w:szCs w:val="18"/>
              </w:rPr>
              <w:t xml:space="preserve">10 Jul</w:t>
            </w:r>
          </w:p>
        </w:tc>
        <w:tc>
          <w:tcPr>
            <w:tcW w:type="dxa" w:w="1400"/>
            <w:tcMar>
              <w:top w:type="dxa" w:w="40"/>
              <w:left w:type="dxa" w:w="60"/>
              <w:bottom w:type="dxa" w:w="40"/>
              <w:right w:type="dxa" w:w="60"/>
            </w:tcMar>
          </w:tcPr>
          <w:p>
            <w:pPr>
              <w:jc w:val="left"/>
            </w:pPr>
            <w:r>
              <w:rPr>
                <w:b w:val="false"/>
                <w:bCs w:val="false"/>
                <w:sz w:val="18"/>
                <w:szCs w:val="18"/>
              </w:rPr>
              <w:t xml:space="preserve">~7,575</w:t>
            </w:r>
          </w:p>
        </w:tc>
        <w:tc>
          <w:tcPr>
            <w:tcW w:type="dxa" w:w="1400"/>
            <w:tcMar>
              <w:top w:type="dxa" w:w="40"/>
              <w:left w:type="dxa" w:w="60"/>
              <w:bottom w:type="dxa" w:w="40"/>
              <w:right w:type="dxa" w:w="60"/>
            </w:tcMar>
          </w:tcPr>
          <w:p>
            <w:pPr>
              <w:jc w:val="left"/>
            </w:pPr>
            <w:r>
              <w:rPr>
                <w:b w:val="false"/>
                <w:bCs w:val="false"/>
                <w:sz w:val="18"/>
                <w:szCs w:val="18"/>
              </w:rPr>
              <w:t xml:space="preserve">7,575</w:t>
            </w:r>
          </w:p>
        </w:tc>
        <w:tc>
          <w:tcPr>
            <w:tcW w:type="dxa" w:w="1600"/>
            <w:tcMar>
              <w:top w:type="dxa" w:w="40"/>
              <w:left w:type="dxa" w:w="60"/>
              <w:bottom w:type="dxa" w:w="40"/>
              <w:right w:type="dxa" w:w="60"/>
            </w:tcMar>
          </w:tcPr>
          <w:p>
            <w:pPr>
              <w:jc w:val="left"/>
            </w:pPr>
            <w:r>
              <w:rPr>
                <w:b w:val="false"/>
                <w:bCs w:val="false"/>
                <w:sz w:val="18"/>
                <w:szCs w:val="18"/>
              </w:rPr>
              <w:t xml:space="preserve">Cash aggregator</w:t>
            </w:r>
          </w:p>
        </w:tc>
        <w:tc>
          <w:tcPr>
            <w:tcW w:type="dxa" w:w="1200"/>
            <w:tcMar>
              <w:top w:type="dxa" w:w="40"/>
              <w:left w:type="dxa" w:w="60"/>
              <w:bottom w:type="dxa" w:w="40"/>
              <w:right w:type="dxa" w:w="60"/>
            </w:tcMar>
          </w:tcPr>
          <w:p>
            <w:pPr>
              <w:jc w:val="left"/>
            </w:pPr>
            <w:r>
              <w:rPr>
                <w:b w:val="false"/>
                <w:bCs w:val="false"/>
                <w:sz w:val="18"/>
                <w:szCs w:val="18"/>
              </w:rPr>
              <w:t xml:space="preserve">Directional</w:t>
            </w:r>
          </w:p>
        </w:tc>
        <w:tc>
          <w:tcPr>
            <w:tcW w:type="dxa" w:w="1110"/>
            <w:tcMar>
              <w:top w:type="dxa" w:w="40"/>
              <w:left w:type="dxa" w:w="60"/>
              <w:bottom w:type="dxa" w:w="40"/>
              <w:right w:type="dxa" w:w="60"/>
            </w:tcMar>
          </w:tcPr>
          <w:p>
            <w:pPr>
              <w:jc w:val="left"/>
            </w:pPr>
            <w:r>
              <w:rPr>
                <w:b w:val="false"/>
                <w:bCs w:val="false"/>
                <w:sz w:val="18"/>
                <w:szCs w:val="18"/>
              </w:rPr>
              <w:t xml:space="preserve">Cross-check</w:t>
            </w:r>
          </w:p>
        </w:tc>
      </w:tr>
    </w:tbl>
    <w:p>
      <w:pPr>
        <w:pStyle w:val="Heading1"/>
        <w:spacing w:after="120" w:before="240"/>
      </w:pPr>
      <w:r>
        <w:rPr>
          <w:b/>
          <w:bCs/>
          <w:color w:val="1F3864"/>
          <w:sz w:val="26"/>
          <w:szCs w:val="26"/>
        </w:rPr>
        <w:t xml:space="preserve">5 · Consensus Build Explanation</w:t>
      </w:r>
    </w:p>
    <w:p>
      <w:pPr>
        <w:spacing w:after="100" w:line="276"/>
      </w:pPr>
      <w:r>
        <w:rPr>
          <w:sz w:val="20"/>
          <w:szCs w:val="20"/>
        </w:rPr>
        <w:t xml:space="preserve">All observations are already in the target basis (USD index points, cash session), so no FX or unit normalization was required. The weighted-median method placed maximum weight on the two exchange-grade, tick-corroborated close observations (Investing.com and Yahoo ^SPX), which agree to 0.00 points — far inside the ±0.10-point equity-index tolerance. Editorial confirmations (CNBC/Yahoo) provide the percentage-change cross-check. Strategist year-end targets were classed directional and excluded from the level calculation (they are forward views, not current prints). No observation was rejected as an outlier. The final number is the exchange-calculated official close, which is the most defensible current level available.</w:t>
      </w:r>
    </w:p>
    <w:p>
      <w:pPr>
        <w:pStyle w:val="Heading1"/>
        <w:spacing w:after="120" w:before="240"/>
      </w:pPr>
      <w:r>
        <w:rPr>
          <w:b/>
          <w:bCs/>
          <w:color w:val="1F3864"/>
          <w:sz w:val="26"/>
          <w:szCs w:val="26"/>
        </w:rPr>
        <w:t xml:space="preserve">6 ·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1050"/>
        <w:gridCol w:w="1050"/>
        <w:gridCol w:w="1050"/>
        <w:gridCol w:w="750"/>
        <w:gridCol w:w="900"/>
        <w:gridCol w:w="1300"/>
        <w:gridCol w:w="1310"/>
      </w:tblGrid>
      <w:tr>
        <w:trPr>
          <w:tblHeader/>
        </w:trPr>
        <w:tc>
          <w:tcPr>
            <w:tcW w:type="dxa" w:w="900"/>
            <w:shd w:fill="1F3864" w:color="auto" w:val="clear"/>
            <w:tcMar>
              <w:top w:type="dxa" w:w="40"/>
              <w:left w:type="dxa" w:w="60"/>
              <w:bottom w:type="dxa" w:w="40"/>
              <w:right w:type="dxa" w:w="60"/>
            </w:tcMar>
          </w:tcPr>
          <w:p>
            <w:pPr>
              <w:jc w:val="left"/>
            </w:pPr>
            <w:r>
              <w:rPr>
                <w:b/>
                <w:bCs/>
                <w:color w:val="FFFFFF"/>
                <w:sz w:val="18"/>
                <w:szCs w:val="18"/>
              </w:rPr>
              <w:t xml:space="preserve">Date</w:t>
            </w:r>
          </w:p>
        </w:tc>
        <w:tc>
          <w:tcPr>
            <w:tcW w:type="dxa" w:w="1050"/>
            <w:shd w:fill="1F3864" w:color="auto" w:val="clear"/>
            <w:tcMar>
              <w:top w:type="dxa" w:w="40"/>
              <w:left w:type="dxa" w:w="60"/>
              <w:bottom w:type="dxa" w:w="40"/>
              <w:right w:type="dxa" w:w="60"/>
            </w:tcMar>
          </w:tcPr>
          <w:p>
            <w:pPr>
              <w:jc w:val="left"/>
            </w:pPr>
            <w:r>
              <w:rPr>
                <w:b/>
                <w:bCs/>
                <w:color w:val="FFFFFF"/>
                <w:sz w:val="18"/>
                <w:szCs w:val="18"/>
              </w:rPr>
              <w:t xml:space="preserve">Open</w:t>
            </w:r>
          </w:p>
        </w:tc>
        <w:tc>
          <w:tcPr>
            <w:tcW w:type="dxa" w:w="1050"/>
            <w:shd w:fill="1F3864" w:color="auto" w:val="clear"/>
            <w:tcMar>
              <w:top w:type="dxa" w:w="40"/>
              <w:left w:type="dxa" w:w="60"/>
              <w:bottom w:type="dxa" w:w="40"/>
              <w:right w:type="dxa" w:w="60"/>
            </w:tcMar>
          </w:tcPr>
          <w:p>
            <w:pPr>
              <w:jc w:val="left"/>
            </w:pPr>
            <w:r>
              <w:rPr>
                <w:b/>
                <w:bCs/>
                <w:color w:val="FFFFFF"/>
                <w:sz w:val="18"/>
                <w:szCs w:val="18"/>
              </w:rPr>
              <w:t xml:space="preserve">High</w:t>
            </w:r>
          </w:p>
        </w:tc>
        <w:tc>
          <w:tcPr>
            <w:tcW w:type="dxa" w:w="1050"/>
            <w:shd w:fill="1F3864" w:color="auto" w:val="clear"/>
            <w:tcMar>
              <w:top w:type="dxa" w:w="40"/>
              <w:left w:type="dxa" w:w="60"/>
              <w:bottom w:type="dxa" w:w="40"/>
              <w:right w:type="dxa" w:w="60"/>
            </w:tcMar>
          </w:tcPr>
          <w:p>
            <w:pPr>
              <w:jc w:val="left"/>
            </w:pPr>
            <w:r>
              <w:rPr>
                <w:b/>
                <w:bCs/>
                <w:color w:val="FFFFFF"/>
                <w:sz w:val="18"/>
                <w:szCs w:val="18"/>
              </w:rPr>
              <w:t xml:space="preserve">Low</w:t>
            </w:r>
          </w:p>
        </w:tc>
        <w:tc>
          <w:tcPr>
            <w:tcW w:type="dxa" w:w="1050"/>
            <w:shd w:fill="1F3864" w:color="auto" w:val="clear"/>
            <w:tcMar>
              <w:top w:type="dxa" w:w="40"/>
              <w:left w:type="dxa" w:w="60"/>
              <w:bottom w:type="dxa" w:w="40"/>
              <w:right w:type="dxa" w:w="60"/>
            </w:tcMar>
          </w:tcPr>
          <w:p>
            <w:pPr>
              <w:jc w:val="left"/>
            </w:pPr>
            <w:r>
              <w:rPr>
                <w:b/>
                <w:bCs/>
                <w:color w:val="FFFFFF"/>
                <w:sz w:val="18"/>
                <w:szCs w:val="18"/>
              </w:rPr>
              <w:t xml:space="preserve">Close</w:t>
            </w:r>
          </w:p>
        </w:tc>
        <w:tc>
          <w:tcPr>
            <w:tcW w:type="dxa" w:w="750"/>
            <w:shd w:fill="1F3864" w:color="auto" w:val="clear"/>
            <w:tcMar>
              <w:top w:type="dxa" w:w="40"/>
              <w:left w:type="dxa" w:w="60"/>
              <w:bottom w:type="dxa" w:w="40"/>
              <w:right w:type="dxa" w:w="60"/>
            </w:tcMar>
          </w:tcPr>
          <w:p>
            <w:pPr>
              <w:jc w:val="left"/>
            </w:pPr>
            <w:r>
              <w:rPr>
                <w:b/>
                <w:bCs/>
                <w:color w:val="FFFFFF"/>
                <w:sz w:val="18"/>
                <w:szCs w:val="18"/>
              </w:rPr>
              <w:t xml:space="preserve">RSI2</w:t>
            </w:r>
          </w:p>
        </w:tc>
        <w:tc>
          <w:tcPr>
            <w:tcW w:type="dxa" w:w="900"/>
            <w:shd w:fill="1F3864" w:color="auto" w:val="clear"/>
            <w:tcMar>
              <w:top w:type="dxa" w:w="40"/>
              <w:left w:type="dxa" w:w="60"/>
              <w:bottom w:type="dxa" w:w="40"/>
              <w:right w:type="dxa" w:w="60"/>
            </w:tcMar>
          </w:tcPr>
          <w:p>
            <w:pPr>
              <w:jc w:val="left"/>
            </w:pPr>
            <w:r>
              <w:rPr>
                <w:b/>
                <w:bCs/>
                <w:color w:val="FFFFFF"/>
                <w:sz w:val="18"/>
                <w:szCs w:val="18"/>
              </w:rPr>
              <w:t xml:space="preserve">Trend</w:t>
            </w:r>
          </w:p>
        </w:tc>
        <w:tc>
          <w:tcPr>
            <w:tcW w:type="dxa" w:w="1300"/>
            <w:shd w:fill="1F3864" w:color="auto" w:val="clear"/>
            <w:tcMar>
              <w:top w:type="dxa" w:w="40"/>
              <w:left w:type="dxa" w:w="60"/>
              <w:bottom w:type="dxa" w:w="40"/>
              <w:right w:type="dxa" w:w="60"/>
            </w:tcMar>
          </w:tcPr>
          <w:p>
            <w:pPr>
              <w:jc w:val="left"/>
            </w:pPr>
            <w:r>
              <w:rPr>
                <w:b/>
                <w:bCs/>
                <w:color w:val="FFFFFF"/>
                <w:sz w:val="18"/>
                <w:szCs w:val="18"/>
              </w:rPr>
              <w:t xml:space="preserve">Source A / B</w:t>
            </w:r>
          </w:p>
        </w:tc>
        <w:tc>
          <w:tcPr>
            <w:tcW w:type="dxa" w:w="1310"/>
            <w:shd w:fill="1F3864" w:color="auto" w:val="clear"/>
            <w:tcMar>
              <w:top w:type="dxa" w:w="40"/>
              <w:left w:type="dxa" w:w="60"/>
              <w:bottom w:type="dxa" w:w="40"/>
              <w:right w:type="dxa" w:w="60"/>
            </w:tcMar>
          </w:tcPr>
          <w:p>
            <w:pPr>
              <w:jc w:val="left"/>
            </w:pPr>
            <w:r>
              <w:rPr>
                <w:b/>
                <w:bCs/>
                <w:color w:val="FFFFFF"/>
                <w:sz w:val="18"/>
                <w:szCs w:val="18"/>
              </w:rPr>
              <w:t xml:space="preserve">Validation</w:t>
            </w:r>
          </w:p>
        </w:tc>
      </w:tr>
      <w:tr>
        <w:tc>
          <w:tcPr>
            <w:tcW w:type="dxa" w:w="900"/>
            <w:tcMar>
              <w:top w:type="dxa" w:w="40"/>
              <w:left w:type="dxa" w:w="60"/>
              <w:bottom w:type="dxa" w:w="40"/>
              <w:right w:type="dxa" w:w="60"/>
            </w:tcMar>
          </w:tcPr>
          <w:p>
            <w:pPr>
              <w:jc w:val="left"/>
            </w:pPr>
            <w:r>
              <w:rPr>
                <w:b w:val="false"/>
                <w:bCs w:val="false"/>
                <w:sz w:val="18"/>
                <w:szCs w:val="18"/>
              </w:rPr>
              <w:t xml:space="preserve">Jul 06</w:t>
            </w:r>
          </w:p>
        </w:tc>
        <w:tc>
          <w:tcPr>
            <w:tcW w:type="dxa" w:w="1050"/>
            <w:tcMar>
              <w:top w:type="dxa" w:w="40"/>
              <w:left w:type="dxa" w:w="60"/>
              <w:bottom w:type="dxa" w:w="40"/>
              <w:right w:type="dxa" w:w="60"/>
            </w:tcMar>
          </w:tcPr>
          <w:p>
            <w:pPr>
              <w:jc w:val="right"/>
            </w:pPr>
            <w:r>
              <w:rPr>
                <w:b w:val="false"/>
                <w:bCs w:val="false"/>
                <w:sz w:val="18"/>
                <w:szCs w:val="18"/>
              </w:rPr>
              <w:t xml:space="preserve">7,506.96</w:t>
            </w:r>
          </w:p>
        </w:tc>
        <w:tc>
          <w:tcPr>
            <w:tcW w:type="dxa" w:w="1050"/>
            <w:tcMar>
              <w:top w:type="dxa" w:w="40"/>
              <w:left w:type="dxa" w:w="60"/>
              <w:bottom w:type="dxa" w:w="40"/>
              <w:right w:type="dxa" w:w="60"/>
            </w:tcMar>
          </w:tcPr>
          <w:p>
            <w:pPr>
              <w:jc w:val="right"/>
            </w:pPr>
            <w:r>
              <w:rPr>
                <w:b w:val="false"/>
                <w:bCs w:val="false"/>
                <w:sz w:val="18"/>
                <w:szCs w:val="18"/>
              </w:rPr>
              <w:t xml:space="preserve">7,551.31</w:t>
            </w:r>
          </w:p>
        </w:tc>
        <w:tc>
          <w:tcPr>
            <w:tcW w:type="dxa" w:w="1050"/>
            <w:tcMar>
              <w:top w:type="dxa" w:w="40"/>
              <w:left w:type="dxa" w:w="60"/>
              <w:bottom w:type="dxa" w:w="40"/>
              <w:right w:type="dxa" w:w="60"/>
            </w:tcMar>
          </w:tcPr>
          <w:p>
            <w:pPr>
              <w:jc w:val="right"/>
            </w:pPr>
            <w:r>
              <w:rPr>
                <w:b w:val="false"/>
                <w:bCs w:val="false"/>
                <w:sz w:val="18"/>
                <w:szCs w:val="18"/>
              </w:rPr>
              <w:t xml:space="preserve">7,500.97</w:t>
            </w:r>
          </w:p>
        </w:tc>
        <w:tc>
          <w:tcPr>
            <w:tcW w:type="dxa" w:w="1050"/>
            <w:tcMar>
              <w:top w:type="dxa" w:w="40"/>
              <w:left w:type="dxa" w:w="60"/>
              <w:bottom w:type="dxa" w:w="40"/>
              <w:right w:type="dxa" w:w="60"/>
            </w:tcMar>
          </w:tcPr>
          <w:p>
            <w:pPr>
              <w:jc w:val="right"/>
            </w:pPr>
            <w:r>
              <w:rPr>
                <w:b/>
                <w:bCs/>
                <w:sz w:val="18"/>
                <w:szCs w:val="18"/>
              </w:rPr>
              <w:t xml:space="preserve">7,537.43</w:t>
            </w:r>
          </w:p>
        </w:tc>
        <w:tc>
          <w:tcPr>
            <w:tcW w:type="dxa" w:w="750"/>
            <w:tcMar>
              <w:top w:type="dxa" w:w="40"/>
              <w:left w:type="dxa" w:w="60"/>
              <w:bottom w:type="dxa" w:w="40"/>
              <w:right w:type="dxa" w:w="60"/>
            </w:tcMar>
          </w:tcPr>
          <w:p>
            <w:pPr>
              <w:jc w:val="center"/>
            </w:pPr>
            <w:r>
              <w:rPr>
                <w:b w:val="false"/>
                <w:bCs w:val="false"/>
                <w:sz w:val="18"/>
                <w:szCs w:val="18"/>
              </w:rPr>
              <w:t xml:space="preserve">100.0</w:t>
            </w:r>
          </w:p>
        </w:tc>
        <w:tc>
          <w:tcPr>
            <w:tcW w:type="dxa" w:w="900"/>
            <w:tcMar>
              <w:top w:type="dxa" w:w="40"/>
              <w:left w:type="dxa" w:w="60"/>
              <w:bottom w:type="dxa" w:w="40"/>
              <w:right w:type="dxa" w:w="60"/>
            </w:tcMar>
          </w:tcPr>
          <w:p>
            <w:pPr>
              <w:jc w:val="center"/>
            </w:pPr>
            <w:r>
              <w:rPr>
                <w:b w:val="false"/>
                <w:bCs w:val="false"/>
                <w:color w:val="2E7D32"/>
                <w:sz w:val="18"/>
                <w:szCs w:val="18"/>
              </w:rPr>
              <w:t xml:space="preserve">Bullish</w:t>
            </w:r>
          </w:p>
        </w:tc>
        <w:tc>
          <w:tcPr>
            <w:tcW w:type="dxa" w:w="1300"/>
            <w:tcMar>
              <w:top w:type="dxa" w:w="40"/>
              <w:left w:type="dxa" w:w="60"/>
              <w:bottom w:type="dxa" w:w="40"/>
              <w:right w:type="dxa" w:w="60"/>
            </w:tcMar>
          </w:tcPr>
          <w:p>
            <w:pPr>
              <w:jc w:val="left"/>
            </w:pPr>
            <w:r>
              <w:rPr>
                <w:b w:val="false"/>
                <w:bCs w:val="false"/>
                <w:sz w:val="16"/>
                <w:szCs w:val="16"/>
              </w:rPr>
              <w:t xml:space="preserve">Investing / Yahoo</w:t>
            </w:r>
          </w:p>
        </w:tc>
        <w:tc>
          <w:tcPr>
            <w:tcW w:type="dxa" w:w="1310"/>
            <w:tcMar>
              <w:top w:type="dxa" w:w="40"/>
              <w:left w:type="dxa" w:w="60"/>
              <w:bottom w:type="dxa" w:w="40"/>
              <w:right w:type="dxa" w:w="60"/>
            </w:tcMar>
          </w:tcPr>
          <w:p>
            <w:pPr>
              <w:jc w:val="left"/>
            </w:pPr>
            <w:r>
              <w:rPr>
                <w:b w:val="false"/>
                <w:bCs w:val="false"/>
                <w:color w:val="2E7D32"/>
                <w:sz w:val="16"/>
                <w:szCs w:val="16"/>
              </w:rPr>
              <w:t xml:space="preserve">CORROBORATED (Δ0.00)</w:t>
            </w:r>
          </w:p>
        </w:tc>
      </w:tr>
      <w:tr>
        <w:tc>
          <w:tcPr>
            <w:tcW w:type="dxa" w:w="900"/>
            <w:tcMar>
              <w:top w:type="dxa" w:w="40"/>
              <w:left w:type="dxa" w:w="60"/>
              <w:bottom w:type="dxa" w:w="40"/>
              <w:right w:type="dxa" w:w="60"/>
            </w:tcMar>
          </w:tcPr>
          <w:p>
            <w:pPr>
              <w:jc w:val="left"/>
            </w:pPr>
            <w:r>
              <w:rPr>
                <w:b w:val="false"/>
                <w:bCs w:val="false"/>
                <w:sz w:val="18"/>
                <w:szCs w:val="18"/>
              </w:rPr>
              <w:t xml:space="preserve">Jul 07</w:t>
            </w:r>
          </w:p>
        </w:tc>
        <w:tc>
          <w:tcPr>
            <w:tcW w:type="dxa" w:w="1050"/>
            <w:tcMar>
              <w:top w:type="dxa" w:w="40"/>
              <w:left w:type="dxa" w:w="60"/>
              <w:bottom w:type="dxa" w:w="40"/>
              <w:right w:type="dxa" w:w="60"/>
            </w:tcMar>
          </w:tcPr>
          <w:p>
            <w:pPr>
              <w:jc w:val="right"/>
            </w:pPr>
            <w:r>
              <w:rPr>
                <w:b w:val="false"/>
                <w:bCs w:val="false"/>
                <w:sz w:val="18"/>
                <w:szCs w:val="18"/>
              </w:rPr>
              <w:t xml:space="preserve">7,516.63</w:t>
            </w:r>
          </w:p>
        </w:tc>
        <w:tc>
          <w:tcPr>
            <w:tcW w:type="dxa" w:w="1050"/>
            <w:tcMar>
              <w:top w:type="dxa" w:w="40"/>
              <w:left w:type="dxa" w:w="60"/>
              <w:bottom w:type="dxa" w:w="40"/>
              <w:right w:type="dxa" w:w="60"/>
            </w:tcMar>
          </w:tcPr>
          <w:p>
            <w:pPr>
              <w:jc w:val="right"/>
            </w:pPr>
            <w:r>
              <w:rPr>
                <w:b w:val="false"/>
                <w:bCs w:val="false"/>
                <w:sz w:val="18"/>
                <w:szCs w:val="18"/>
              </w:rPr>
              <w:t xml:space="preserve">7,536.06</w:t>
            </w:r>
          </w:p>
        </w:tc>
        <w:tc>
          <w:tcPr>
            <w:tcW w:type="dxa" w:w="1050"/>
            <w:tcMar>
              <w:top w:type="dxa" w:w="40"/>
              <w:left w:type="dxa" w:w="60"/>
              <w:bottom w:type="dxa" w:w="40"/>
              <w:right w:type="dxa" w:w="60"/>
            </w:tcMar>
          </w:tcPr>
          <w:p>
            <w:pPr>
              <w:jc w:val="right"/>
            </w:pPr>
            <w:r>
              <w:rPr>
                <w:b w:val="false"/>
                <w:bCs w:val="false"/>
                <w:sz w:val="18"/>
                <w:szCs w:val="18"/>
              </w:rPr>
              <w:t xml:space="preserve">7,478.63</w:t>
            </w:r>
          </w:p>
        </w:tc>
        <w:tc>
          <w:tcPr>
            <w:tcW w:type="dxa" w:w="1050"/>
            <w:tcMar>
              <w:top w:type="dxa" w:w="40"/>
              <w:left w:type="dxa" w:w="60"/>
              <w:bottom w:type="dxa" w:w="40"/>
              <w:right w:type="dxa" w:w="60"/>
            </w:tcMar>
          </w:tcPr>
          <w:p>
            <w:pPr>
              <w:jc w:val="right"/>
            </w:pPr>
            <w:r>
              <w:rPr>
                <w:b/>
                <w:bCs/>
                <w:sz w:val="18"/>
                <w:szCs w:val="18"/>
              </w:rPr>
              <w:t xml:space="preserve">7,503.85</w:t>
            </w:r>
          </w:p>
        </w:tc>
        <w:tc>
          <w:tcPr>
            <w:tcW w:type="dxa" w:w="750"/>
            <w:tcMar>
              <w:top w:type="dxa" w:w="40"/>
              <w:left w:type="dxa" w:w="60"/>
              <w:bottom w:type="dxa" w:w="40"/>
              <w:right w:type="dxa" w:w="60"/>
            </w:tcMar>
          </w:tcPr>
          <w:p>
            <w:pPr>
              <w:jc w:val="center"/>
            </w:pPr>
            <w:r>
              <w:rPr>
                <w:b w:val="false"/>
                <w:bCs w:val="false"/>
                <w:sz w:val="18"/>
                <w:szCs w:val="18"/>
              </w:rPr>
              <w:t xml:space="preserve">61.7</w:t>
            </w:r>
          </w:p>
        </w:tc>
        <w:tc>
          <w:tcPr>
            <w:tcW w:type="dxa" w:w="900"/>
            <w:tcMar>
              <w:top w:type="dxa" w:w="40"/>
              <w:left w:type="dxa" w:w="60"/>
              <w:bottom w:type="dxa" w:w="40"/>
              <w:right w:type="dxa" w:w="60"/>
            </w:tcMar>
          </w:tcPr>
          <w:p>
            <w:pPr>
              <w:jc w:val="center"/>
            </w:pPr>
            <w:r>
              <w:rPr>
                <w:b w:val="false"/>
                <w:bCs w:val="false"/>
                <w:color w:val="666666"/>
                <w:sz w:val="18"/>
                <w:szCs w:val="18"/>
              </w:rPr>
              <w:t xml:space="preserve">Neutral</w:t>
            </w:r>
          </w:p>
        </w:tc>
        <w:tc>
          <w:tcPr>
            <w:tcW w:type="dxa" w:w="1300"/>
            <w:tcMar>
              <w:top w:type="dxa" w:w="40"/>
              <w:left w:type="dxa" w:w="60"/>
              <w:bottom w:type="dxa" w:w="40"/>
              <w:right w:type="dxa" w:w="60"/>
            </w:tcMar>
          </w:tcPr>
          <w:p>
            <w:pPr>
              <w:jc w:val="left"/>
            </w:pPr>
            <w:r>
              <w:rPr>
                <w:b w:val="false"/>
                <w:bCs w:val="false"/>
                <w:sz w:val="16"/>
                <w:szCs w:val="16"/>
              </w:rPr>
              <w:t xml:space="preserve">Investing / Yahoo</w:t>
            </w:r>
          </w:p>
        </w:tc>
        <w:tc>
          <w:tcPr>
            <w:tcW w:type="dxa" w:w="1310"/>
            <w:tcMar>
              <w:top w:type="dxa" w:w="40"/>
              <w:left w:type="dxa" w:w="60"/>
              <w:bottom w:type="dxa" w:w="40"/>
              <w:right w:type="dxa" w:w="60"/>
            </w:tcMar>
          </w:tcPr>
          <w:p>
            <w:pPr>
              <w:jc w:val="left"/>
            </w:pPr>
            <w:r>
              <w:rPr>
                <w:b w:val="false"/>
                <w:bCs w:val="false"/>
                <w:color w:val="2E7D32"/>
                <w:sz w:val="16"/>
                <w:szCs w:val="16"/>
              </w:rPr>
              <w:t xml:space="preserve">CORROBORATED (Δ0.00)</w:t>
            </w:r>
          </w:p>
        </w:tc>
      </w:tr>
      <w:tr>
        <w:tc>
          <w:tcPr>
            <w:tcW w:type="dxa" w:w="900"/>
            <w:tcMar>
              <w:top w:type="dxa" w:w="40"/>
              <w:left w:type="dxa" w:w="60"/>
              <w:bottom w:type="dxa" w:w="40"/>
              <w:right w:type="dxa" w:w="60"/>
            </w:tcMar>
          </w:tcPr>
          <w:p>
            <w:pPr>
              <w:jc w:val="left"/>
            </w:pPr>
            <w:r>
              <w:rPr>
                <w:b w:val="false"/>
                <w:bCs w:val="false"/>
                <w:sz w:val="18"/>
                <w:szCs w:val="18"/>
              </w:rPr>
              <w:t xml:space="preserve">Jul 08</w:t>
            </w:r>
          </w:p>
        </w:tc>
        <w:tc>
          <w:tcPr>
            <w:tcW w:type="dxa" w:w="1050"/>
            <w:tcMar>
              <w:top w:type="dxa" w:w="40"/>
              <w:left w:type="dxa" w:w="60"/>
              <w:bottom w:type="dxa" w:w="40"/>
              <w:right w:type="dxa" w:w="60"/>
            </w:tcMar>
          </w:tcPr>
          <w:p>
            <w:pPr>
              <w:jc w:val="right"/>
            </w:pPr>
            <w:r>
              <w:rPr>
                <w:b w:val="false"/>
                <w:bCs w:val="false"/>
                <w:sz w:val="18"/>
                <w:szCs w:val="18"/>
              </w:rPr>
              <w:t xml:space="preserve">7,476.54</w:t>
            </w:r>
          </w:p>
        </w:tc>
        <w:tc>
          <w:tcPr>
            <w:tcW w:type="dxa" w:w="1050"/>
            <w:tcMar>
              <w:top w:type="dxa" w:w="40"/>
              <w:left w:type="dxa" w:w="60"/>
              <w:bottom w:type="dxa" w:w="40"/>
              <w:right w:type="dxa" w:w="60"/>
            </w:tcMar>
          </w:tcPr>
          <w:p>
            <w:pPr>
              <w:jc w:val="right"/>
            </w:pPr>
            <w:r>
              <w:rPr>
                <w:b w:val="false"/>
                <w:bCs w:val="false"/>
                <w:sz w:val="18"/>
                <w:szCs w:val="18"/>
              </w:rPr>
              <w:t xml:space="preserve">7,488.51</w:t>
            </w:r>
          </w:p>
        </w:tc>
        <w:tc>
          <w:tcPr>
            <w:tcW w:type="dxa" w:w="1050"/>
            <w:tcMar>
              <w:top w:type="dxa" w:w="40"/>
              <w:left w:type="dxa" w:w="60"/>
              <w:bottom w:type="dxa" w:w="40"/>
              <w:right w:type="dxa" w:w="60"/>
            </w:tcMar>
          </w:tcPr>
          <w:p>
            <w:pPr>
              <w:jc w:val="right"/>
            </w:pPr>
            <w:r>
              <w:rPr>
                <w:b w:val="false"/>
                <w:bCs w:val="false"/>
                <w:sz w:val="18"/>
                <w:szCs w:val="18"/>
              </w:rPr>
              <w:t xml:space="preserve">7,421.82</w:t>
            </w:r>
          </w:p>
        </w:tc>
        <w:tc>
          <w:tcPr>
            <w:tcW w:type="dxa" w:w="1050"/>
            <w:tcMar>
              <w:top w:type="dxa" w:w="40"/>
              <w:left w:type="dxa" w:w="60"/>
              <w:bottom w:type="dxa" w:w="40"/>
              <w:right w:type="dxa" w:w="60"/>
            </w:tcMar>
          </w:tcPr>
          <w:p>
            <w:pPr>
              <w:jc w:val="right"/>
            </w:pPr>
            <w:r>
              <w:rPr>
                <w:b/>
                <w:bCs/>
                <w:sz w:val="18"/>
                <w:szCs w:val="18"/>
              </w:rPr>
              <w:t xml:space="preserve">7,482.71</w:t>
            </w:r>
          </w:p>
        </w:tc>
        <w:tc>
          <w:tcPr>
            <w:tcW w:type="dxa" w:w="750"/>
            <w:tcMar>
              <w:top w:type="dxa" w:w="40"/>
              <w:left w:type="dxa" w:w="60"/>
              <w:bottom w:type="dxa" w:w="40"/>
              <w:right w:type="dxa" w:w="60"/>
            </w:tcMar>
          </w:tcPr>
          <w:p>
            <w:pPr>
              <w:jc w:val="center"/>
            </w:pPr>
            <w:r>
              <w:rPr>
                <w:b w:val="false"/>
                <w:bCs w:val="false"/>
                <w:sz w:val="18"/>
                <w:szCs w:val="18"/>
              </w:rPr>
              <w:t xml:space="preserve">0.0</w:t>
            </w:r>
          </w:p>
        </w:tc>
        <w:tc>
          <w:tcPr>
            <w:tcW w:type="dxa" w:w="900"/>
            <w:tcMar>
              <w:top w:type="dxa" w:w="40"/>
              <w:left w:type="dxa" w:w="60"/>
              <w:bottom w:type="dxa" w:w="40"/>
              <w:right w:type="dxa" w:w="60"/>
            </w:tcMar>
          </w:tcPr>
          <w:p>
            <w:pPr>
              <w:jc w:val="center"/>
            </w:pPr>
            <w:r>
              <w:rPr>
                <w:b w:val="false"/>
                <w:bCs w:val="false"/>
                <w:color w:val="666666"/>
                <w:sz w:val="18"/>
                <w:szCs w:val="18"/>
              </w:rPr>
              <w:t xml:space="preserve">Neutral</w:t>
            </w:r>
          </w:p>
        </w:tc>
        <w:tc>
          <w:tcPr>
            <w:tcW w:type="dxa" w:w="1300"/>
            <w:tcMar>
              <w:top w:type="dxa" w:w="40"/>
              <w:left w:type="dxa" w:w="60"/>
              <w:bottom w:type="dxa" w:w="40"/>
              <w:right w:type="dxa" w:w="60"/>
            </w:tcMar>
          </w:tcPr>
          <w:p>
            <w:pPr>
              <w:jc w:val="left"/>
            </w:pPr>
            <w:r>
              <w:rPr>
                <w:b w:val="false"/>
                <w:bCs w:val="false"/>
                <w:sz w:val="16"/>
                <w:szCs w:val="16"/>
              </w:rPr>
              <w:t xml:space="preserve">Investing / Yahoo</w:t>
            </w:r>
          </w:p>
        </w:tc>
        <w:tc>
          <w:tcPr>
            <w:tcW w:type="dxa" w:w="1310"/>
            <w:tcMar>
              <w:top w:type="dxa" w:w="40"/>
              <w:left w:type="dxa" w:w="60"/>
              <w:bottom w:type="dxa" w:w="40"/>
              <w:right w:type="dxa" w:w="60"/>
            </w:tcMar>
          </w:tcPr>
          <w:p>
            <w:pPr>
              <w:jc w:val="left"/>
            </w:pPr>
            <w:r>
              <w:rPr>
                <w:b w:val="false"/>
                <w:bCs w:val="false"/>
                <w:color w:val="2E7D32"/>
                <w:sz w:val="16"/>
                <w:szCs w:val="16"/>
              </w:rPr>
              <w:t xml:space="preserve">CORROBORATED (Δ0.00)</w:t>
            </w:r>
          </w:p>
        </w:tc>
      </w:tr>
      <w:tr>
        <w:tc>
          <w:tcPr>
            <w:tcW w:type="dxa" w:w="900"/>
            <w:tcMar>
              <w:top w:type="dxa" w:w="40"/>
              <w:left w:type="dxa" w:w="60"/>
              <w:bottom w:type="dxa" w:w="40"/>
              <w:right w:type="dxa" w:w="60"/>
            </w:tcMar>
          </w:tcPr>
          <w:p>
            <w:pPr>
              <w:jc w:val="left"/>
            </w:pPr>
            <w:r>
              <w:rPr>
                <w:b w:val="false"/>
                <w:bCs w:val="false"/>
                <w:sz w:val="18"/>
                <w:szCs w:val="18"/>
              </w:rPr>
              <w:t xml:space="preserve">Jul 09</w:t>
            </w:r>
          </w:p>
        </w:tc>
        <w:tc>
          <w:tcPr>
            <w:tcW w:type="dxa" w:w="1050"/>
            <w:tcMar>
              <w:top w:type="dxa" w:w="40"/>
              <w:left w:type="dxa" w:w="60"/>
              <w:bottom w:type="dxa" w:w="40"/>
              <w:right w:type="dxa" w:w="60"/>
            </w:tcMar>
          </w:tcPr>
          <w:p>
            <w:pPr>
              <w:jc w:val="right"/>
            </w:pPr>
            <w:r>
              <w:rPr>
                <w:b w:val="false"/>
                <w:bCs w:val="false"/>
                <w:sz w:val="18"/>
                <w:szCs w:val="18"/>
              </w:rPr>
              <w:t xml:space="preserve">7,491.60</w:t>
            </w:r>
          </w:p>
        </w:tc>
        <w:tc>
          <w:tcPr>
            <w:tcW w:type="dxa" w:w="1050"/>
            <w:tcMar>
              <w:top w:type="dxa" w:w="40"/>
              <w:left w:type="dxa" w:w="60"/>
              <w:bottom w:type="dxa" w:w="40"/>
              <w:right w:type="dxa" w:w="60"/>
            </w:tcMar>
          </w:tcPr>
          <w:p>
            <w:pPr>
              <w:jc w:val="right"/>
            </w:pPr>
            <w:r>
              <w:rPr>
                <w:b w:val="false"/>
                <w:bCs w:val="false"/>
                <w:sz w:val="18"/>
                <w:szCs w:val="18"/>
              </w:rPr>
              <w:t xml:space="preserve">7,546.89</w:t>
            </w:r>
          </w:p>
        </w:tc>
        <w:tc>
          <w:tcPr>
            <w:tcW w:type="dxa" w:w="1050"/>
            <w:tcMar>
              <w:top w:type="dxa" w:w="40"/>
              <w:left w:type="dxa" w:w="60"/>
              <w:bottom w:type="dxa" w:w="40"/>
              <w:right w:type="dxa" w:w="60"/>
            </w:tcMar>
          </w:tcPr>
          <w:p>
            <w:pPr>
              <w:jc w:val="right"/>
            </w:pPr>
            <w:r>
              <w:rPr>
                <w:b w:val="false"/>
                <w:bCs w:val="false"/>
                <w:sz w:val="18"/>
                <w:szCs w:val="18"/>
              </w:rPr>
              <w:t xml:space="preserve">7,481.73</w:t>
            </w:r>
          </w:p>
        </w:tc>
        <w:tc>
          <w:tcPr>
            <w:tcW w:type="dxa" w:w="1050"/>
            <w:tcMar>
              <w:top w:type="dxa" w:w="40"/>
              <w:left w:type="dxa" w:w="60"/>
              <w:bottom w:type="dxa" w:w="40"/>
              <w:right w:type="dxa" w:w="60"/>
            </w:tcMar>
          </w:tcPr>
          <w:p>
            <w:pPr>
              <w:jc w:val="right"/>
            </w:pPr>
            <w:r>
              <w:rPr>
                <w:b/>
                <w:bCs/>
                <w:sz w:val="18"/>
                <w:szCs w:val="18"/>
              </w:rPr>
              <w:t xml:space="preserve">7,543.64</w:t>
            </w:r>
          </w:p>
        </w:tc>
        <w:tc>
          <w:tcPr>
            <w:tcW w:type="dxa" w:w="750"/>
            <w:tcMar>
              <w:top w:type="dxa" w:w="40"/>
              <w:left w:type="dxa" w:w="60"/>
              <w:bottom w:type="dxa" w:w="40"/>
              <w:right w:type="dxa" w:w="60"/>
            </w:tcMar>
          </w:tcPr>
          <w:p>
            <w:pPr>
              <w:jc w:val="center"/>
            </w:pPr>
            <w:r>
              <w:rPr>
                <w:b w:val="false"/>
                <w:bCs w:val="false"/>
                <w:sz w:val="18"/>
                <w:szCs w:val="18"/>
              </w:rPr>
              <w:t xml:space="preserve">74.2</w:t>
            </w:r>
          </w:p>
        </w:tc>
        <w:tc>
          <w:tcPr>
            <w:tcW w:type="dxa" w:w="900"/>
            <w:tcMar>
              <w:top w:type="dxa" w:w="40"/>
              <w:left w:type="dxa" w:w="60"/>
              <w:bottom w:type="dxa" w:w="40"/>
              <w:right w:type="dxa" w:w="60"/>
            </w:tcMar>
          </w:tcPr>
          <w:p>
            <w:pPr>
              <w:jc w:val="center"/>
            </w:pPr>
            <w:r>
              <w:rPr>
                <w:b w:val="false"/>
                <w:bCs w:val="false"/>
                <w:color w:val="2E7D32"/>
                <w:sz w:val="18"/>
                <w:szCs w:val="18"/>
              </w:rPr>
              <w:t xml:space="preserve">Bullish</w:t>
            </w:r>
          </w:p>
        </w:tc>
        <w:tc>
          <w:tcPr>
            <w:tcW w:type="dxa" w:w="1300"/>
            <w:tcMar>
              <w:top w:type="dxa" w:w="40"/>
              <w:left w:type="dxa" w:w="60"/>
              <w:bottom w:type="dxa" w:w="40"/>
              <w:right w:type="dxa" w:w="60"/>
            </w:tcMar>
          </w:tcPr>
          <w:p>
            <w:pPr>
              <w:jc w:val="left"/>
            </w:pPr>
            <w:r>
              <w:rPr>
                <w:b w:val="false"/>
                <w:bCs w:val="false"/>
                <w:sz w:val="16"/>
                <w:szCs w:val="16"/>
              </w:rPr>
              <w:t xml:space="preserve">Investing / Yahoo</w:t>
            </w:r>
          </w:p>
        </w:tc>
        <w:tc>
          <w:tcPr>
            <w:tcW w:type="dxa" w:w="1310"/>
            <w:tcMar>
              <w:top w:type="dxa" w:w="40"/>
              <w:left w:type="dxa" w:w="60"/>
              <w:bottom w:type="dxa" w:w="40"/>
              <w:right w:type="dxa" w:w="60"/>
            </w:tcMar>
          </w:tcPr>
          <w:p>
            <w:pPr>
              <w:jc w:val="left"/>
            </w:pPr>
            <w:r>
              <w:rPr>
                <w:b w:val="false"/>
                <w:bCs w:val="false"/>
                <w:color w:val="2E7D32"/>
                <w:sz w:val="16"/>
                <w:szCs w:val="16"/>
              </w:rPr>
              <w:t xml:space="preserve">CORROBORATED (Δ0.00)</w:t>
            </w:r>
          </w:p>
        </w:tc>
      </w:tr>
      <w:tr>
        <w:tc>
          <w:tcPr>
            <w:tcW w:type="dxa" w:w="900"/>
            <w:tcMar>
              <w:top w:type="dxa" w:w="40"/>
              <w:left w:type="dxa" w:w="60"/>
              <w:bottom w:type="dxa" w:w="40"/>
              <w:right w:type="dxa" w:w="60"/>
            </w:tcMar>
          </w:tcPr>
          <w:p>
            <w:pPr>
              <w:jc w:val="left"/>
            </w:pPr>
            <w:r>
              <w:rPr>
                <w:b w:val="false"/>
                <w:bCs w:val="false"/>
                <w:sz w:val="18"/>
                <w:szCs w:val="18"/>
              </w:rPr>
              <w:t xml:space="preserve">Jul 10</w:t>
            </w:r>
          </w:p>
        </w:tc>
        <w:tc>
          <w:tcPr>
            <w:tcW w:type="dxa" w:w="1050"/>
            <w:tcMar>
              <w:top w:type="dxa" w:w="40"/>
              <w:left w:type="dxa" w:w="60"/>
              <w:bottom w:type="dxa" w:w="40"/>
              <w:right w:type="dxa" w:w="60"/>
            </w:tcMar>
          </w:tcPr>
          <w:p>
            <w:pPr>
              <w:jc w:val="right"/>
            </w:pPr>
            <w:r>
              <w:rPr>
                <w:b w:val="false"/>
                <w:bCs w:val="false"/>
                <w:sz w:val="18"/>
                <w:szCs w:val="18"/>
              </w:rPr>
              <w:t xml:space="preserve">7,547.64</w:t>
            </w:r>
          </w:p>
        </w:tc>
        <w:tc>
          <w:tcPr>
            <w:tcW w:type="dxa" w:w="1050"/>
            <w:tcMar>
              <w:top w:type="dxa" w:w="40"/>
              <w:left w:type="dxa" w:w="60"/>
              <w:bottom w:type="dxa" w:w="40"/>
              <w:right w:type="dxa" w:w="60"/>
            </w:tcMar>
          </w:tcPr>
          <w:p>
            <w:pPr>
              <w:jc w:val="right"/>
            </w:pPr>
            <w:r>
              <w:rPr>
                <w:b w:val="false"/>
                <w:bCs w:val="false"/>
                <w:sz w:val="18"/>
                <w:szCs w:val="18"/>
              </w:rPr>
              <w:t xml:space="preserve">7,579.93</w:t>
            </w:r>
          </w:p>
        </w:tc>
        <w:tc>
          <w:tcPr>
            <w:tcW w:type="dxa" w:w="1050"/>
            <w:tcMar>
              <w:top w:type="dxa" w:w="40"/>
              <w:left w:type="dxa" w:w="60"/>
              <w:bottom w:type="dxa" w:w="40"/>
              <w:right w:type="dxa" w:w="60"/>
            </w:tcMar>
          </w:tcPr>
          <w:p>
            <w:pPr>
              <w:jc w:val="right"/>
            </w:pPr>
            <w:r>
              <w:rPr>
                <w:b w:val="false"/>
                <w:bCs w:val="false"/>
                <w:sz w:val="18"/>
                <w:szCs w:val="18"/>
              </w:rPr>
              <w:t xml:space="preserve">7,508.16</w:t>
            </w:r>
          </w:p>
        </w:tc>
        <w:tc>
          <w:tcPr>
            <w:tcW w:type="dxa" w:w="1050"/>
            <w:tcMar>
              <w:top w:type="dxa" w:w="40"/>
              <w:left w:type="dxa" w:w="60"/>
              <w:bottom w:type="dxa" w:w="40"/>
              <w:right w:type="dxa" w:w="60"/>
            </w:tcMar>
          </w:tcPr>
          <w:p>
            <w:pPr>
              <w:jc w:val="right"/>
            </w:pPr>
            <w:r>
              <w:rPr>
                <w:b/>
                <w:bCs/>
                <w:sz w:val="18"/>
                <w:szCs w:val="18"/>
              </w:rPr>
              <w:t xml:space="preserve">7,575.39</w:t>
            </w:r>
          </w:p>
        </w:tc>
        <w:tc>
          <w:tcPr>
            <w:tcW w:type="dxa" w:w="750"/>
            <w:tcMar>
              <w:top w:type="dxa" w:w="40"/>
              <w:left w:type="dxa" w:w="60"/>
              <w:bottom w:type="dxa" w:w="40"/>
              <w:right w:type="dxa" w:w="60"/>
            </w:tcMar>
          </w:tcPr>
          <w:p>
            <w:pPr>
              <w:jc w:val="center"/>
            </w:pPr>
            <w:r>
              <w:rPr>
                <w:b w:val="false"/>
                <w:bCs w:val="false"/>
                <w:sz w:val="18"/>
                <w:szCs w:val="18"/>
              </w:rPr>
              <w:t xml:space="preserve">100.0</w:t>
            </w:r>
          </w:p>
        </w:tc>
        <w:tc>
          <w:tcPr>
            <w:tcW w:type="dxa" w:w="900"/>
            <w:tcMar>
              <w:top w:type="dxa" w:w="40"/>
              <w:left w:type="dxa" w:w="60"/>
              <w:bottom w:type="dxa" w:w="40"/>
              <w:right w:type="dxa" w:w="60"/>
            </w:tcMar>
          </w:tcPr>
          <w:p>
            <w:pPr>
              <w:jc w:val="center"/>
            </w:pPr>
            <w:r>
              <w:rPr>
                <w:b w:val="false"/>
                <w:bCs w:val="false"/>
                <w:color w:val="2E7D32"/>
                <w:sz w:val="18"/>
                <w:szCs w:val="18"/>
              </w:rPr>
              <w:t xml:space="preserve">Bullish</w:t>
            </w:r>
          </w:p>
        </w:tc>
        <w:tc>
          <w:tcPr>
            <w:tcW w:type="dxa" w:w="1300"/>
            <w:tcMar>
              <w:top w:type="dxa" w:w="40"/>
              <w:left w:type="dxa" w:w="60"/>
              <w:bottom w:type="dxa" w:w="40"/>
              <w:right w:type="dxa" w:w="60"/>
            </w:tcMar>
          </w:tcPr>
          <w:p>
            <w:pPr>
              <w:jc w:val="left"/>
            </w:pPr>
            <w:r>
              <w:rPr>
                <w:b w:val="false"/>
                <w:bCs w:val="false"/>
                <w:sz w:val="16"/>
                <w:szCs w:val="16"/>
              </w:rPr>
              <w:t xml:space="preserve">Investing / Yahoo</w:t>
            </w:r>
          </w:p>
        </w:tc>
        <w:tc>
          <w:tcPr>
            <w:tcW w:type="dxa" w:w="1310"/>
            <w:tcMar>
              <w:top w:type="dxa" w:w="40"/>
              <w:left w:type="dxa" w:w="60"/>
              <w:bottom w:type="dxa" w:w="40"/>
              <w:right w:type="dxa" w:w="60"/>
            </w:tcMar>
          </w:tcPr>
          <w:p>
            <w:pPr>
              <w:jc w:val="left"/>
            </w:pPr>
            <w:r>
              <w:rPr>
                <w:b w:val="false"/>
                <w:bCs w:val="false"/>
                <w:color w:val="2E7D32"/>
                <w:sz w:val="16"/>
                <w:szCs w:val="16"/>
              </w:rPr>
              <w:t xml:space="preserve">CORROBORATED (Δ0.00)</w:t>
            </w:r>
          </w:p>
        </w:tc>
      </w:tr>
    </w:tbl>
    <w:p>
      <w:pPr>
        <w:spacing w:after="100" w:line="276"/>
      </w:pPr>
      <w:r>
        <w:rPr>
          <w:i/>
          <w:iCs/>
          <w:color w:val="666666"/>
          <w:sz w:val="18"/>
          <w:szCs w:val="18"/>
        </w:rPr>
        <w:t xml:space="preserve">RSI2 computed from the validated close sequence (period fixed at 2). All five closes corroborated to the tick across two independent sources; deltas 0.00 points, inside the ±0.10-point equity-index tolerance. No single-source rows.</w:t>
      </w:r>
    </w:p>
    <w:p>
      <w:pPr>
        <w:pStyle w:val="Heading1"/>
        <w:spacing w:after="120" w:before="240"/>
      </w:pPr>
      <w:r>
        <w:rPr>
          <w:b/>
          <w:bCs/>
          <w:color w:val="1F3864"/>
          <w:sz w:val="26"/>
          <w:szCs w:val="26"/>
        </w:rPr>
        <w:t xml:space="preserve">7 · Charts</w:t>
      </w:r>
    </w:p>
    <w:p>
      <w:pPr>
        <w:pStyle w:val="Heading2"/>
        <w:spacing w:after="80" w:before="180"/>
      </w:pPr>
      <w:r>
        <w:rPr>
          <w:b/>
          <w:bCs/>
          <w:color w:val="2E7D32"/>
          <w:sz w:val="22"/>
          <w:szCs w:val="22"/>
        </w:rPr>
        <w:t xml:space="preserve">Chart 1 — 5-Day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b/>
          <w:bCs/>
          <w:color w:val="2E7D32"/>
          <w:sz w:val="22"/>
          <w:szCs w:val="22"/>
        </w:rPr>
        <w:t xml:space="preserve">Chart 2 —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b/>
          <w:bCs/>
          <w:color w:val="2E7D32"/>
          <w:sz w:val="22"/>
          <w:szCs w:val="22"/>
        </w:rPr>
        <w:t xml:space="preserve">Chart 3 — Structure (Last 20 Sessions)</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b/>
          <w:bCs/>
          <w:color w:val="2E7D32"/>
          <w:sz w:val="22"/>
          <w:szCs w:val="22"/>
        </w:rPr>
        <w:t xml:space="preserve">Chart 4 — VOLator (ATR, historical-scaled)</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pStyle w:val="Heading2"/>
        <w:spacing w:after="80" w:before="180"/>
      </w:pPr>
      <w:r>
        <w:rPr>
          <w:b/>
          <w:bCs/>
          <w:color w:val="2E7D32"/>
          <w:sz w:val="22"/>
          <w:szCs w:val="22"/>
        </w:rPr>
        <w:t xml:space="preserve">Chart 5 — Weekly Candles with Daily Floor Pivots</w:t>
      </w:r>
    </w:p>
    <w:p>
      <w:pPr>
        <w:spacing w:after="12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240"/>
      </w:pPr>
      <w:r>
        <w:rPr>
          <w:b/>
          <w:bCs/>
          <w:color w:val="1F3864"/>
          <w:sz w:val="26"/>
          <w:szCs w:val="26"/>
        </w:rPr>
        <w:t xml:space="preserve">8 · Short-Term Technical Analysis</w:t>
      </w:r>
    </w:p>
    <w:p>
      <w:pPr>
        <w:spacing w:after="100" w:line="276"/>
      </w:pPr>
      <w:r>
        <w:rPr>
          <w:sz w:val="20"/>
          <w:szCs w:val="20"/>
        </w:rPr>
        <w:t xml:space="preserve">Session-by-session (see §6):</w:t>
      </w:r>
    </w:p>
    <w:p>
      <w:pPr>
        <w:pStyle w:val="ListParagraph"/>
        <w:numPr>
          <w:ilvl w:val="0"/>
          <w:numId w:val="1"/>
        </w:numPr>
        <w:spacing w:after="60"/>
      </w:pPr>
      <w:r>
        <w:rPr>
          <w:sz w:val="20"/>
          <w:szCs w:val="20"/>
        </w:rPr>
        <w:t xml:space="preserve">Mon 6 Jul — bullish body closing at 72% of range on a strong open-to-close push; RSI2 saturated at 100. Momentum re-established after the prior week's chop.</w:t>
      </w:r>
    </w:p>
    <w:p>
      <w:pPr>
        <w:pStyle w:val="ListParagraph"/>
        <w:numPr>
          <w:ilvl w:val="0"/>
          <w:numId w:val="1"/>
        </w:numPr>
        <w:spacing w:after="60"/>
      </w:pPr>
      <w:r>
        <w:rPr>
          <w:sz w:val="20"/>
          <w:szCs w:val="20"/>
        </w:rPr>
        <w:t xml:space="preserve">Tue 7 Jul — small bearish body, close near mid-range (44%); RSI2 eased to 61.7. A pause rather than a reversal; upper wick shows mild supply near 7,536.</w:t>
      </w:r>
    </w:p>
    <w:p>
      <w:pPr>
        <w:pStyle w:val="ListParagraph"/>
        <w:numPr>
          <w:ilvl w:val="0"/>
          <w:numId w:val="1"/>
        </w:numPr>
        <w:spacing w:after="60"/>
      </w:pPr>
      <w:r>
        <w:rPr>
          <w:sz w:val="20"/>
          <w:szCs w:val="20"/>
        </w:rPr>
        <w:t xml:space="preserve">Wed 8 Jul — the low of the sequence (7,421.82) on the US–Iran ceasefire scare, but a sharp intraday recovery left the close at 91% of range and RSI2 washed to 0. A demand-tail rejection of lows — bullish beneath the surface despite the red close.</w:t>
      </w:r>
    </w:p>
    <w:p>
      <w:pPr>
        <w:pStyle w:val="ListParagraph"/>
        <w:numPr>
          <w:ilvl w:val="0"/>
          <w:numId w:val="1"/>
        </w:numPr>
        <w:spacing w:after="60"/>
      </w:pPr>
      <w:r>
        <w:rPr>
          <w:sz w:val="20"/>
          <w:szCs w:val="20"/>
        </w:rPr>
        <w:t xml:space="preserve">Thu 9 Jul — strong bullish reversal candle, close at 95% of range, RSI2 back to 74.2 as chips rebounded and oil slipped. Confirms the 8 Jul demand tail.</w:t>
      </w:r>
    </w:p>
    <w:p>
      <w:pPr>
        <w:pStyle w:val="ListParagraph"/>
        <w:numPr>
          <w:ilvl w:val="0"/>
          <w:numId w:val="1"/>
        </w:numPr>
        <w:spacing w:after="60"/>
      </w:pPr>
      <w:r>
        <w:rPr>
          <w:sz w:val="20"/>
          <w:szCs w:val="20"/>
        </w:rPr>
        <w:t xml:space="preserve">Fri 10 Jul — bullish continuation, close at 94% of range and a fresh sequence high (7,579.93); RSI2 100. Three of the last three closes printed in the top decile of their range.</w:t>
      </w:r>
    </w:p>
    <w:p>
      <w:pPr>
        <w:spacing w:after="100" w:line="276"/>
      </w:pPr>
      <w:r>
        <w:rPr>
          <w:sz w:val="20"/>
          <w:szCs w:val="20"/>
        </w:rPr>
        <w:t xml:space="preserve">Sequence assessment: </w:t>
      </w:r>
      <w:r>
        <w:rPr>
          <w:b/>
          <w:bCs/>
          <w:sz w:val="20"/>
          <w:szCs w:val="20"/>
        </w:rPr>
        <w:t xml:space="preserve">Continuation.</w:t>
      </w:r>
      <w:r>
        <w:rPr>
          <w:sz w:val="20"/>
          <w:szCs w:val="20"/>
        </w:rPr>
        <w:t xml:space="preserve"> Evidence: two consecutive high-conviction closes into the sequence high, a V-shaped recovery off the 8 Jul low, and closes travelling in one direction over the back half of the window. Nearest support 7,478–7,482 (7/8 Jul lows and the 8 Jul close); nearest resistance 7,580 (sequence high) then the 7,620.90 all-time high.</w:t>
      </w:r>
    </w:p>
    <w:p>
      <w:pPr>
        <w:spacing w:after="100" w:line="276"/>
      </w:pPr>
      <w:r>
        <w:rPr>
          <w:sz w:val="20"/>
          <w:szCs w:val="20"/>
        </w:rPr>
        <w:t xml:space="preserve">Judgement label: </w:t>
      </w:r>
      <w:r>
        <w:rPr>
          <w:b/>
          <w:bCs/>
          <w:color w:val="2E7D32"/>
          <w:sz w:val="20"/>
          <w:szCs w:val="20"/>
        </w:rPr>
        <w:t xml:space="preserve">Bullish continuation.</w:t>
      </w:r>
      <w:r>
        <w:rPr>
          <w:sz w:val="20"/>
          <w:szCs w:val="20"/>
        </w:rPr>
        <w:t xml:space="preserve"> This is consistent with the medium-term upward bias in §9, though §9's regime is formally Transitional — see the note there.</w:t>
      </w:r>
    </w:p>
    <w:p>
      <w:pPr>
        <w:pStyle w:val="Heading1"/>
        <w:spacing w:after="120" w:before="240"/>
      </w:pPr>
      <w:r>
        <w:rPr>
          <w:b/>
          <w:bCs/>
          <w:color w:val="1F3864"/>
          <w:sz w:val="26"/>
          <w:szCs w:val="26"/>
        </w:rPr>
        <w:t xml:space="preserve">9 · Medium-Term Regime &amp; VOLator</w:t>
      </w:r>
    </w:p>
    <w:p>
      <w:pPr>
        <w:spacing w:after="100" w:line="276"/>
      </w:pPr>
      <w:r>
        <w:rPr>
          <w:sz w:val="20"/>
          <w:szCs w:val="20"/>
        </w:rPr>
        <w:t xml:space="preserve">Regime classification: </w:t>
      </w:r>
      <w:r>
        <w:rPr>
          <w:b/>
          <w:bCs/>
          <w:sz w:val="20"/>
          <w:szCs w:val="20"/>
        </w:rPr>
        <w:t xml:space="preserve">Transitional with upward bias.</w:t>
      </w:r>
      <w:r>
        <w:rPr>
          <w:sz w:val="20"/>
          <w:szCs w:val="20"/>
        </w:rPr>
        <w:t xml:space="preserve"> Supporting metrics over the 20-session block: directional persistence 0.47 (9 up / 19), net move +2.5%, range position biased to the upper third after the 6–10 Jul push, median RSI2 elevated. The persistence figure below 0.5 with a positive net move is the signature of a choppy-but-rising tape.</w:t>
      </w:r>
    </w:p>
    <w:p>
      <w:pPr>
        <w:spacing w:after="100" w:line="276"/>
      </w:pPr>
      <w:r>
        <w:rPr>
          <w:sz w:val="20"/>
          <w:szCs w:val="20"/>
        </w:rPr>
        <w:t xml:space="preserve">Bias: </w:t>
      </w:r>
      <w:r>
        <w:rPr>
          <w:b/>
          <w:bCs/>
          <w:color w:val="2E7D32"/>
          <w:sz w:val="20"/>
          <w:szCs w:val="20"/>
        </w:rPr>
        <w:t xml:space="preserve">Bullish.</w:t>
      </w:r>
    </w:p>
    <w:p>
      <w:pPr>
        <w:spacing w:after="100" w:line="276"/>
      </w:pPr>
      <w:r>
        <w:rPr>
          <w:sz w:val="20"/>
          <w:szCs w:val="20"/>
        </w:rPr>
        <w:t xml:space="preserve">VOLator current readings (ATR, historical-scaled −1 to +1): S&amp;P 500 −1.0 (below midpoint, contracting — volatility compressing as the index grinds higher, a benign trend signature); VIX proxy contracting after a mid-window spike; DAX below midpoint and contracting; USDX rising off lows (mild expansion). The negative VOLator slope (−0.39) indicates volatility is falling into the advance.</w:t>
      </w:r>
    </w:p>
    <w:p>
      <w:pPr>
        <w:spacing w:after="100" w:line="276"/>
      </w:pPr>
      <w:r>
        <w:rPr>
          <w:sz w:val="20"/>
          <w:szCs w:val="20"/>
        </w:rPr>
        <w:t xml:space="preserve">Preferred trade protocol: </w:t>
      </w:r>
      <w:r>
        <w:rPr>
          <w:b/>
          <w:bCs/>
          <w:sz w:val="20"/>
          <w:szCs w:val="20"/>
        </w:rPr>
        <w:t xml:space="preserve">trend-pullback longs</w:t>
      </w:r>
      <w:r>
        <w:rPr>
          <w:sz w:val="20"/>
          <w:szCs w:val="20"/>
        </w:rPr>
        <w:t xml:space="preserve"> — buy dips toward the rising short-term structure rather than chase, given contracting volatility and a bullish short-term read. Short-term (§8) and medium-term reads align on direction; the only tension is the formal Transitional label, which caps conviction rather than reversing it.</w:t>
      </w:r>
    </w:p>
    <w:p>
      <w:pPr>
        <w:spacing w:after="100" w:line="276"/>
      </w:pPr>
      <w:r>
        <w:rPr>
          <w:sz w:val="20"/>
          <w:szCs w:val="20"/>
        </w:rPr>
        <w:t xml:space="preserve">Kaufman confirmation: KER classification </w:t>
      </w:r>
      <w:r>
        <w:rPr>
          <w:b/>
          <w:bCs/>
          <w:sz w:val="20"/>
          <w:szCs w:val="20"/>
        </w:rPr>
        <w:t xml:space="preserve">Trending Up — Moderate</w:t>
      </w:r>
      <w:r>
        <w:rPr>
          <w:sz w:val="20"/>
          <w:szCs w:val="20"/>
        </w:rPr>
        <w:t xml:space="preserve"> (|KER| 0.21 &gt; 0.13 trend threshold; smoothed signed KER +0.15). This </w:t>
      </w:r>
      <w:r>
        <w:rPr>
          <w:b/>
          <w:bCs/>
          <w:color w:val="2E7D32"/>
          <w:sz w:val="20"/>
          <w:szCs w:val="20"/>
        </w:rPr>
        <w:t xml:space="preserve">agrees</w:t>
      </w:r>
      <w:r>
        <w:rPr>
          <w:sz w:val="20"/>
          <w:szCs w:val="20"/>
        </w:rPr>
        <w:t xml:space="preserve"> with the upward bias and, on the dual-gate rule, pulls the consolidated regime toward TREND_UP rather than RANGE. Because Step-4 synthesis is not an unambiguous 'Trending Bullish — Trending Bullish', the consolidated label resolves to TRANSITION with a trending-up tilt.</w:t>
      </w:r>
    </w:p>
    <w:p>
      <w:pPr>
        <w:pStyle w:val="Heading1"/>
        <w:spacing w:after="120" w:before="240"/>
      </w:pPr>
      <w:r>
        <w:rPr>
          <w:b/>
          <w:bCs/>
          <w:color w:val="1F3864"/>
          <w:sz w:val="26"/>
          <w:szCs w:val="26"/>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1300"/>
        <w:gridCol w:w="2060"/>
      </w:tblGrid>
      <w:tr>
        <w:trPr>
          <w:tblHeader/>
        </w:trPr>
        <w:tc>
          <w:tcPr>
            <w:tcW w:type="dxa" w:w="1400"/>
            <w:shd w:fill="1F3864" w:color="auto" w:val="clear"/>
            <w:tcMar>
              <w:top w:type="dxa" w:w="40"/>
              <w:left w:type="dxa" w:w="60"/>
              <w:bottom w:type="dxa" w:w="40"/>
              <w:right w:type="dxa" w:w="60"/>
            </w:tcMar>
          </w:tcPr>
          <w:p>
            <w:pPr>
              <w:jc w:val="left"/>
            </w:pPr>
            <w:r>
              <w:rPr>
                <w:b/>
                <w:bCs/>
                <w:color w:val="FFFFFF"/>
                <w:sz w:val="18"/>
                <w:szCs w:val="18"/>
              </w:rPr>
              <w:t xml:space="preserve">Counter</w:t>
            </w:r>
          </w:p>
        </w:tc>
        <w:tc>
          <w:tcPr>
            <w:tcW w:type="dxa" w:w="1200"/>
            <w:shd w:fill="1F3864" w:color="auto" w:val="clear"/>
            <w:tcMar>
              <w:top w:type="dxa" w:w="40"/>
              <w:left w:type="dxa" w:w="60"/>
              <w:bottom w:type="dxa" w:w="40"/>
              <w:right w:type="dxa" w:w="60"/>
            </w:tcMar>
          </w:tcPr>
          <w:p>
            <w:pPr>
              <w:jc w:val="left"/>
            </w:pPr>
            <w:r>
              <w:rPr>
                <w:b/>
                <w:bCs/>
                <w:color w:val="FFFFFF"/>
                <w:sz w:val="18"/>
                <w:szCs w:val="18"/>
              </w:rPr>
              <w:t xml:space="preserve">5-day dir.</w:t>
            </w:r>
          </w:p>
        </w:tc>
        <w:tc>
          <w:tcPr>
            <w:tcW w:type="dxa" w:w="3400"/>
            <w:shd w:fill="1F3864" w:color="auto" w:val="clear"/>
            <w:tcMar>
              <w:top w:type="dxa" w:w="40"/>
              <w:left w:type="dxa" w:w="60"/>
              <w:bottom w:type="dxa" w:w="40"/>
              <w:right w:type="dxa" w:w="60"/>
            </w:tcMar>
          </w:tcPr>
          <w:p>
            <w:pPr>
              <w:jc w:val="left"/>
            </w:pPr>
            <w:r>
              <w:rPr>
                <w:b/>
                <w:bCs/>
                <w:color w:val="FFFFFF"/>
                <w:sz w:val="18"/>
                <w:szCs w:val="18"/>
              </w:rPr>
              <w:t xml:space="preserve">Mechanism</w:t>
            </w:r>
          </w:p>
        </w:tc>
        <w:tc>
          <w:tcPr>
            <w:tcW w:type="dxa" w:w="1300"/>
            <w:shd w:fill="1F3864" w:color="auto" w:val="clear"/>
            <w:tcMar>
              <w:top w:type="dxa" w:w="40"/>
              <w:left w:type="dxa" w:w="60"/>
              <w:bottom w:type="dxa" w:w="40"/>
              <w:right w:type="dxa" w:w="60"/>
            </w:tcMar>
          </w:tcPr>
          <w:p>
            <w:pPr>
              <w:jc w:val="left"/>
            </w:pPr>
            <w:r>
              <w:rPr>
                <w:b/>
                <w:bCs/>
                <w:color w:val="FFFFFF"/>
                <w:sz w:val="18"/>
                <w:szCs w:val="18"/>
              </w:rPr>
              <w:t xml:space="preserve">Confirm status</w:t>
            </w:r>
          </w:p>
        </w:tc>
        <w:tc>
          <w:tcPr>
            <w:tcW w:type="dxa" w:w="2060"/>
            <w:shd w:fill="1F3864" w:color="auto" w:val="clear"/>
            <w:tcMar>
              <w:top w:type="dxa" w:w="40"/>
              <w:left w:type="dxa" w:w="60"/>
              <w:bottom w:type="dxa" w:w="40"/>
              <w:right w:type="dxa" w:w="60"/>
            </w:tcMar>
          </w:tcPr>
          <w:p>
            <w:pPr>
              <w:jc w:val="left"/>
            </w:pPr>
            <w:r>
              <w:rPr>
                <w:b/>
                <w:bCs/>
                <w:color w:val="FFFFFF"/>
                <w:sz w:val="18"/>
                <w:szCs w:val="18"/>
              </w:rPr>
              <w:t xml:space="preserve">Implication</w:t>
            </w:r>
          </w:p>
        </w:tc>
      </w:tr>
      <w:tr>
        <w:tc>
          <w:tcPr>
            <w:tcW w:type="dxa" w:w="1400"/>
            <w:tcMar>
              <w:top w:type="dxa" w:w="40"/>
              <w:left w:type="dxa" w:w="60"/>
              <w:bottom w:type="dxa" w:w="40"/>
              <w:right w:type="dxa" w:w="60"/>
            </w:tcMar>
          </w:tcPr>
          <w:p>
            <w:pPr>
              <w:jc w:val="left"/>
            </w:pPr>
            <w:r>
              <w:rPr>
                <w:b/>
                <w:bCs/>
                <w:sz w:val="18"/>
                <w:szCs w:val="18"/>
              </w:rPr>
              <w:t xml:space="preserve">USDX</w:t>
            </w:r>
          </w:p>
        </w:tc>
        <w:tc>
          <w:tcPr>
            <w:tcW w:type="dxa" w:w="1200"/>
            <w:tcMar>
              <w:top w:type="dxa" w:w="40"/>
              <w:left w:type="dxa" w:w="60"/>
              <w:bottom w:type="dxa" w:w="40"/>
              <w:right w:type="dxa" w:w="60"/>
            </w:tcMar>
          </w:tcPr>
          <w:p>
            <w:pPr>
              <w:jc w:val="left"/>
            </w:pPr>
            <w:r>
              <w:rPr>
                <w:b w:val="false"/>
                <w:bCs w:val="false"/>
                <w:sz w:val="18"/>
                <w:szCs w:val="18"/>
              </w:rPr>
              <w:t xml:space="preserve">Rising (mild)</w:t>
            </w:r>
          </w:p>
        </w:tc>
        <w:tc>
          <w:tcPr>
            <w:tcW w:type="dxa" w:w="3400"/>
            <w:tcMar>
              <w:top w:type="dxa" w:w="40"/>
              <w:left w:type="dxa" w:w="60"/>
              <w:bottom w:type="dxa" w:w="40"/>
              <w:right w:type="dxa" w:w="60"/>
            </w:tcMar>
          </w:tcPr>
          <w:p>
            <w:pPr>
              <w:jc w:val="left"/>
            </w:pPr>
            <w:r>
              <w:rPr>
                <w:b w:val="false"/>
                <w:bCs w:val="false"/>
                <w:sz w:val="17"/>
                <w:szCs w:val="17"/>
              </w:rPr>
              <w:t xml:space="preserve">A firmer dollar is a headwind for the ~28% of S&amp;P 500 revenue earned abroad, trimming translated earnings.</w:t>
            </w:r>
          </w:p>
        </w:tc>
        <w:tc>
          <w:tcPr>
            <w:tcW w:type="dxa" w:w="1300"/>
            <w:tcMar>
              <w:top w:type="dxa" w:w="40"/>
              <w:left w:type="dxa" w:w="60"/>
              <w:bottom w:type="dxa" w:w="40"/>
              <w:right w:type="dxa" w:w="60"/>
            </w:tcMar>
          </w:tcPr>
          <w:p>
            <w:pPr>
              <w:jc w:val="left"/>
            </w:pPr>
            <w:r>
              <w:rPr>
                <w:b w:val="false"/>
                <w:bCs w:val="false"/>
                <w:sz w:val="18"/>
                <w:szCs w:val="18"/>
              </w:rPr>
              <w:t xml:space="preserve">Contradicts (mild)</w:t>
            </w:r>
          </w:p>
        </w:tc>
        <w:tc>
          <w:tcPr>
            <w:tcW w:type="dxa" w:w="2060"/>
            <w:tcMar>
              <w:top w:type="dxa" w:w="40"/>
              <w:left w:type="dxa" w:w="60"/>
              <w:bottom w:type="dxa" w:w="40"/>
              <w:right w:type="dxa" w:w="60"/>
            </w:tcMar>
          </w:tcPr>
          <w:p>
            <w:pPr>
              <w:jc w:val="left"/>
            </w:pPr>
            <w:r>
              <w:rPr>
                <w:b w:val="false"/>
                <w:bCs w:val="false"/>
                <w:sz w:val="17"/>
                <w:szCs w:val="17"/>
              </w:rPr>
              <w:t xml:space="preserve">Mild drag; not enough to offset domestic earnings momentum.</w:t>
            </w:r>
          </w:p>
        </w:tc>
      </w:tr>
      <w:tr>
        <w:tc>
          <w:tcPr>
            <w:tcW w:type="dxa" w:w="1400"/>
            <w:tcMar>
              <w:top w:type="dxa" w:w="40"/>
              <w:left w:type="dxa" w:w="60"/>
              <w:bottom w:type="dxa" w:w="40"/>
              <w:right w:type="dxa" w:w="60"/>
            </w:tcMar>
          </w:tcPr>
          <w:p>
            <w:pPr>
              <w:jc w:val="left"/>
            </w:pPr>
            <w:r>
              <w:rPr>
                <w:b/>
                <w:bCs/>
                <w:sz w:val="18"/>
                <w:szCs w:val="18"/>
              </w:rPr>
              <w:t xml:space="preserve">VIX</w:t>
            </w:r>
          </w:p>
        </w:tc>
        <w:tc>
          <w:tcPr>
            <w:tcW w:type="dxa" w:w="1200"/>
            <w:tcMar>
              <w:top w:type="dxa" w:w="40"/>
              <w:left w:type="dxa" w:w="60"/>
              <w:bottom w:type="dxa" w:w="40"/>
              <w:right w:type="dxa" w:w="60"/>
            </w:tcMar>
          </w:tcPr>
          <w:p>
            <w:pPr>
              <w:jc w:val="left"/>
            </w:pPr>
            <w:r>
              <w:rPr>
                <w:b w:val="false"/>
                <w:bCs w:val="false"/>
                <w:sz w:val="18"/>
                <w:szCs w:val="18"/>
              </w:rPr>
              <w:t xml:space="preserve">Falling</w:t>
            </w:r>
          </w:p>
        </w:tc>
        <w:tc>
          <w:tcPr>
            <w:tcW w:type="dxa" w:w="3400"/>
            <w:tcMar>
              <w:top w:type="dxa" w:w="40"/>
              <w:left w:type="dxa" w:w="60"/>
              <w:bottom w:type="dxa" w:w="40"/>
              <w:right w:type="dxa" w:w="60"/>
            </w:tcMar>
          </w:tcPr>
          <w:p>
            <w:pPr>
              <w:jc w:val="left"/>
            </w:pPr>
            <w:r>
              <w:rPr>
                <w:b w:val="false"/>
                <w:bCs w:val="false"/>
                <w:sz w:val="17"/>
                <w:szCs w:val="17"/>
              </w:rPr>
              <w:t xml:space="preserve">Lower implied vol reflects receding hedging demand and a risk-on regime that supports equity multiples.</w:t>
            </w:r>
          </w:p>
        </w:tc>
        <w:tc>
          <w:tcPr>
            <w:tcW w:type="dxa" w:w="1300"/>
            <w:tcMar>
              <w:top w:type="dxa" w:w="40"/>
              <w:left w:type="dxa" w:w="60"/>
              <w:bottom w:type="dxa" w:w="40"/>
              <w:right w:type="dxa" w:w="60"/>
            </w:tcMar>
          </w:tcPr>
          <w:p>
            <w:pPr>
              <w:jc w:val="left"/>
            </w:pPr>
            <w:r>
              <w:rPr>
                <w:b w:val="false"/>
                <w:bCs w:val="false"/>
                <w:sz w:val="18"/>
                <w:szCs w:val="18"/>
              </w:rPr>
              <w:t xml:space="preserve">Confirms</w:t>
            </w:r>
          </w:p>
        </w:tc>
        <w:tc>
          <w:tcPr>
            <w:tcW w:type="dxa" w:w="2060"/>
            <w:tcMar>
              <w:top w:type="dxa" w:w="40"/>
              <w:left w:type="dxa" w:w="60"/>
              <w:bottom w:type="dxa" w:w="40"/>
              <w:right w:type="dxa" w:w="60"/>
            </w:tcMar>
          </w:tcPr>
          <w:p>
            <w:pPr>
              <w:jc w:val="left"/>
            </w:pPr>
            <w:r>
              <w:rPr>
                <w:b w:val="false"/>
                <w:bCs w:val="false"/>
                <w:sz w:val="17"/>
                <w:szCs w:val="17"/>
              </w:rPr>
              <w:t xml:space="preserve">Falling VIX toward 15 is the cleanest confirmation of the bullish read.</w:t>
            </w:r>
          </w:p>
        </w:tc>
      </w:tr>
      <w:tr>
        <w:tc>
          <w:tcPr>
            <w:tcW w:type="dxa" w:w="1400"/>
            <w:tcMar>
              <w:top w:type="dxa" w:w="40"/>
              <w:left w:type="dxa" w:w="60"/>
              <w:bottom w:type="dxa" w:w="40"/>
              <w:right w:type="dxa" w:w="60"/>
            </w:tcMar>
          </w:tcPr>
          <w:p>
            <w:pPr>
              <w:jc w:val="left"/>
            </w:pPr>
            <w:r>
              <w:rPr>
                <w:b/>
                <w:bCs/>
                <w:sz w:val="18"/>
                <w:szCs w:val="18"/>
              </w:rPr>
              <w:t xml:space="preserve">DAX 40</w:t>
            </w:r>
          </w:p>
        </w:tc>
        <w:tc>
          <w:tcPr>
            <w:tcW w:type="dxa" w:w="1200"/>
            <w:tcMar>
              <w:top w:type="dxa" w:w="40"/>
              <w:left w:type="dxa" w:w="60"/>
              <w:bottom w:type="dxa" w:w="40"/>
              <w:right w:type="dxa" w:w="60"/>
            </w:tcMar>
          </w:tcPr>
          <w:p>
            <w:pPr>
              <w:jc w:val="left"/>
            </w:pPr>
            <w:r>
              <w:rPr>
                <w:b w:val="false"/>
                <w:bCs w:val="false"/>
                <w:sz w:val="18"/>
                <w:szCs w:val="18"/>
              </w:rPr>
              <w:t xml:space="preserve">Roughly flat</w:t>
            </w:r>
          </w:p>
        </w:tc>
        <w:tc>
          <w:tcPr>
            <w:tcW w:type="dxa" w:w="3400"/>
            <w:tcMar>
              <w:top w:type="dxa" w:w="40"/>
              <w:left w:type="dxa" w:w="60"/>
              <w:bottom w:type="dxa" w:w="40"/>
              <w:right w:type="dxa" w:w="60"/>
            </w:tcMar>
          </w:tcPr>
          <w:p>
            <w:pPr>
              <w:jc w:val="left"/>
            </w:pPr>
            <w:r>
              <w:rPr>
                <w:b w:val="false"/>
                <w:bCs w:val="false"/>
                <w:sz w:val="17"/>
                <w:szCs w:val="17"/>
              </w:rPr>
              <w:t xml:space="preserve">Common global-risk factor; European equity confirmation of (or divergence from) the US risk tone.</w:t>
            </w:r>
          </w:p>
        </w:tc>
        <w:tc>
          <w:tcPr>
            <w:tcW w:type="dxa" w:w="1300"/>
            <w:tcMar>
              <w:top w:type="dxa" w:w="40"/>
              <w:left w:type="dxa" w:w="60"/>
              <w:bottom w:type="dxa" w:w="40"/>
              <w:right w:type="dxa" w:w="60"/>
            </w:tcMar>
          </w:tcPr>
          <w:p>
            <w:pPr>
              <w:jc w:val="left"/>
            </w:pPr>
            <w:r>
              <w:rPr>
                <w:b w:val="false"/>
                <w:bCs w:val="false"/>
                <w:sz w:val="18"/>
                <w:szCs w:val="18"/>
              </w:rPr>
              <w:t xml:space="preserve">Neutral</w:t>
            </w:r>
          </w:p>
        </w:tc>
        <w:tc>
          <w:tcPr>
            <w:tcW w:type="dxa" w:w="2060"/>
            <w:tcMar>
              <w:top w:type="dxa" w:w="40"/>
              <w:left w:type="dxa" w:w="60"/>
              <w:bottom w:type="dxa" w:w="40"/>
              <w:right w:type="dxa" w:w="60"/>
            </w:tcMar>
          </w:tcPr>
          <w:p>
            <w:pPr>
              <w:jc w:val="left"/>
            </w:pPr>
            <w:r>
              <w:rPr>
                <w:b w:val="false"/>
                <w:bCs w:val="false"/>
                <w:sz w:val="17"/>
                <w:szCs w:val="17"/>
              </w:rPr>
              <w:t xml:space="preserve">No incremental signal; global risk appetite steady, not accelerating.</w:t>
            </w:r>
          </w:p>
        </w:tc>
      </w:tr>
    </w:tbl>
    <w:p>
      <w:pPr>
        <w:spacing w:after="100" w:line="276"/>
      </w:pPr>
      <w:r>
        <w:rPr>
          <w:b/>
          <w:bCs/>
          <w:sz w:val="20"/>
          <w:szCs w:val="20"/>
        </w:rPr>
        <w:t xml:space="preserve">Contradiction flag: </w:t>
      </w:r>
      <w:r>
        <w:rPr>
          <w:b/>
          <w:bCs/>
          <w:color w:val="AD1457"/>
          <w:sz w:val="20"/>
          <w:szCs w:val="20"/>
        </w:rPr>
        <w:t xml:space="preserve">USDX rising is a mild contradiction</w:t>
      </w:r>
      <w:r>
        <w:rPr>
          <w:sz w:val="20"/>
          <w:szCs w:val="20"/>
        </w:rPr>
        <w:t xml:space="preserve"> of the bullish equity read via the earnings-translation channel; it is not resolved silently and feeds §15 and §16. Aggregate cross-asset read: </w:t>
      </w:r>
      <w:r>
        <w:rPr>
          <w:b/>
          <w:bCs/>
          <w:sz w:val="20"/>
          <w:szCs w:val="20"/>
        </w:rPr>
        <w:t xml:space="preserve">MIXED</w:t>
      </w:r>
      <w:r>
        <w:rPr>
          <w:sz w:val="20"/>
          <w:szCs w:val="20"/>
        </w:rPr>
        <w:t xml:space="preserve"> (one confirm, one mild contradict, one neutral).</w:t>
      </w:r>
    </w:p>
    <w:p>
      <w:pPr>
        <w:pStyle w:val="Heading1"/>
        <w:spacing w:after="120" w:before="240"/>
      </w:pPr>
      <w:r>
        <w:rPr>
          <w:b/>
          <w:bCs/>
          <w:color w:val="1F3864"/>
          <w:sz w:val="26"/>
          <w:szCs w:val="26"/>
        </w:rPr>
        <w:t xml:space="preserve">11 · Floor Pivot Analysis</w:t>
      </w:r>
    </w:p>
    <w:p>
      <w:pPr>
        <w:pStyle w:val="Heading2"/>
        <w:spacing w:after="80" w:before="180"/>
      </w:pPr>
      <w:r>
        <w:rPr>
          <w:b/>
          <w:bCs/>
          <w:color w:val="2E7D32"/>
          <w:sz w:val="22"/>
          <w:szCs w:val="22"/>
        </w:rPr>
        <w:t xml:space="preserve">Daily pivots (from 10 Jul H/L/C)</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rPr>
          <w:tblHeader/>
        </w:trPr>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Level</w:t>
            </w:r>
          </w:p>
        </w:tc>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Index points</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R5</w:t>
            </w:r>
          </w:p>
        </w:tc>
        <w:tc>
          <w:tcPr>
            <w:tcW w:type="dxa" w:w="2600"/>
            <w:tcMar>
              <w:top w:type="dxa" w:w="40"/>
              <w:left w:type="dxa" w:w="60"/>
              <w:bottom w:type="dxa" w:w="40"/>
              <w:right w:type="dxa" w:w="60"/>
            </w:tcMar>
          </w:tcPr>
          <w:p>
            <w:pPr>
              <w:jc w:val="right"/>
            </w:pPr>
            <w:r>
              <w:rPr>
                <w:b w:val="false"/>
                <w:bCs w:val="false"/>
                <w:sz w:val="18"/>
                <w:szCs w:val="18"/>
              </w:rPr>
              <w:t xml:space="preserve">7,723.47</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R4</w:t>
            </w:r>
          </w:p>
        </w:tc>
        <w:tc>
          <w:tcPr>
            <w:tcW w:type="dxa" w:w="2600"/>
            <w:tcMar>
              <w:top w:type="dxa" w:w="40"/>
              <w:left w:type="dxa" w:w="60"/>
              <w:bottom w:type="dxa" w:w="40"/>
              <w:right w:type="dxa" w:w="60"/>
            </w:tcMar>
          </w:tcPr>
          <w:p>
            <w:pPr>
              <w:jc w:val="right"/>
            </w:pPr>
            <w:r>
              <w:rPr>
                <w:b w:val="false"/>
                <w:bCs w:val="false"/>
                <w:sz w:val="18"/>
                <w:szCs w:val="18"/>
              </w:rPr>
              <w:t xml:space="preserve">7,698.03</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R3</w:t>
            </w:r>
          </w:p>
        </w:tc>
        <w:tc>
          <w:tcPr>
            <w:tcW w:type="dxa" w:w="2600"/>
            <w:tcMar>
              <w:top w:type="dxa" w:w="40"/>
              <w:left w:type="dxa" w:w="60"/>
              <w:bottom w:type="dxa" w:w="40"/>
              <w:right w:type="dxa" w:w="60"/>
            </w:tcMar>
          </w:tcPr>
          <w:p>
            <w:pPr>
              <w:jc w:val="right"/>
            </w:pPr>
            <w:r>
              <w:rPr>
                <w:b w:val="false"/>
                <w:bCs w:val="false"/>
                <w:sz w:val="18"/>
                <w:szCs w:val="18"/>
              </w:rPr>
              <w:t xml:space="preserve">7,672.60</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R2</w:t>
            </w:r>
          </w:p>
        </w:tc>
        <w:tc>
          <w:tcPr>
            <w:tcW w:type="dxa" w:w="2600"/>
            <w:tcMar>
              <w:top w:type="dxa" w:w="40"/>
              <w:left w:type="dxa" w:w="60"/>
              <w:bottom w:type="dxa" w:w="40"/>
              <w:right w:type="dxa" w:w="60"/>
            </w:tcMar>
          </w:tcPr>
          <w:p>
            <w:pPr>
              <w:jc w:val="right"/>
            </w:pPr>
            <w:r>
              <w:rPr>
                <w:b w:val="false"/>
                <w:bCs w:val="false"/>
                <w:sz w:val="18"/>
                <w:szCs w:val="18"/>
              </w:rPr>
              <w:t xml:space="preserve">7,626.26</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R1</w:t>
            </w:r>
          </w:p>
        </w:tc>
        <w:tc>
          <w:tcPr>
            <w:tcW w:type="dxa" w:w="2600"/>
            <w:tcMar>
              <w:top w:type="dxa" w:w="40"/>
              <w:left w:type="dxa" w:w="60"/>
              <w:bottom w:type="dxa" w:w="40"/>
              <w:right w:type="dxa" w:w="60"/>
            </w:tcMar>
          </w:tcPr>
          <w:p>
            <w:pPr>
              <w:jc w:val="right"/>
            </w:pPr>
            <w:r>
              <w:rPr>
                <w:b w:val="false"/>
                <w:bCs w:val="false"/>
                <w:sz w:val="18"/>
                <w:szCs w:val="18"/>
              </w:rPr>
              <w:t xml:space="preserve">7,600.83</w:t>
            </w:r>
          </w:p>
        </w:tc>
      </w:tr>
      <w:tr>
        <w:tc>
          <w:tcPr>
            <w:tcW w:type="dxa" w:w="2600"/>
            <w:tcMar>
              <w:top w:type="dxa" w:w="40"/>
              <w:left w:type="dxa" w:w="60"/>
              <w:bottom w:type="dxa" w:w="40"/>
              <w:right w:type="dxa" w:w="60"/>
            </w:tcMar>
          </w:tcPr>
          <w:p>
            <w:pPr>
              <w:jc w:val="left"/>
            </w:pPr>
            <w:r>
              <w:rPr>
                <w:b/>
                <w:bCs/>
                <w:color w:val="1F3864"/>
                <w:sz w:val="18"/>
                <w:szCs w:val="18"/>
              </w:rPr>
              <w:t xml:space="preserve">P</w:t>
            </w:r>
          </w:p>
        </w:tc>
        <w:tc>
          <w:tcPr>
            <w:tcW w:type="dxa" w:w="2600"/>
            <w:tcMar>
              <w:top w:type="dxa" w:w="40"/>
              <w:left w:type="dxa" w:w="60"/>
              <w:bottom w:type="dxa" w:w="40"/>
              <w:right w:type="dxa" w:w="60"/>
            </w:tcMar>
          </w:tcPr>
          <w:p>
            <w:pPr>
              <w:jc w:val="right"/>
            </w:pPr>
            <w:r>
              <w:rPr>
                <w:b/>
                <w:bCs/>
                <w:sz w:val="18"/>
                <w:szCs w:val="18"/>
              </w:rPr>
              <w:t xml:space="preserve">7,554.49</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S1</w:t>
            </w:r>
          </w:p>
        </w:tc>
        <w:tc>
          <w:tcPr>
            <w:tcW w:type="dxa" w:w="2600"/>
            <w:tcMar>
              <w:top w:type="dxa" w:w="40"/>
              <w:left w:type="dxa" w:w="60"/>
              <w:bottom w:type="dxa" w:w="40"/>
              <w:right w:type="dxa" w:w="60"/>
            </w:tcMar>
          </w:tcPr>
          <w:p>
            <w:pPr>
              <w:jc w:val="right"/>
            </w:pPr>
            <w:r>
              <w:rPr>
                <w:b w:val="false"/>
                <w:bCs w:val="false"/>
                <w:sz w:val="18"/>
                <w:szCs w:val="18"/>
              </w:rPr>
              <w:t xml:space="preserve">7,529.06</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S2</w:t>
            </w:r>
          </w:p>
        </w:tc>
        <w:tc>
          <w:tcPr>
            <w:tcW w:type="dxa" w:w="2600"/>
            <w:tcMar>
              <w:top w:type="dxa" w:w="40"/>
              <w:left w:type="dxa" w:w="60"/>
              <w:bottom w:type="dxa" w:w="40"/>
              <w:right w:type="dxa" w:w="60"/>
            </w:tcMar>
          </w:tcPr>
          <w:p>
            <w:pPr>
              <w:jc w:val="right"/>
            </w:pPr>
            <w:r>
              <w:rPr>
                <w:b w:val="false"/>
                <w:bCs w:val="false"/>
                <w:sz w:val="18"/>
                <w:szCs w:val="18"/>
              </w:rPr>
              <w:t xml:space="preserve">7,482.72</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S3</w:t>
            </w:r>
          </w:p>
        </w:tc>
        <w:tc>
          <w:tcPr>
            <w:tcW w:type="dxa" w:w="2600"/>
            <w:tcMar>
              <w:top w:type="dxa" w:w="40"/>
              <w:left w:type="dxa" w:w="60"/>
              <w:bottom w:type="dxa" w:w="40"/>
              <w:right w:type="dxa" w:w="60"/>
            </w:tcMar>
          </w:tcPr>
          <w:p>
            <w:pPr>
              <w:jc w:val="right"/>
            </w:pPr>
            <w:r>
              <w:rPr>
                <w:b w:val="false"/>
                <w:bCs w:val="false"/>
                <w:sz w:val="18"/>
                <w:szCs w:val="18"/>
              </w:rPr>
              <w:t xml:space="preserve">7,457.29</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S4</w:t>
            </w:r>
          </w:p>
        </w:tc>
        <w:tc>
          <w:tcPr>
            <w:tcW w:type="dxa" w:w="2600"/>
            <w:tcMar>
              <w:top w:type="dxa" w:w="40"/>
              <w:left w:type="dxa" w:w="60"/>
              <w:bottom w:type="dxa" w:w="40"/>
              <w:right w:type="dxa" w:w="60"/>
            </w:tcMar>
          </w:tcPr>
          <w:p>
            <w:pPr>
              <w:jc w:val="right"/>
            </w:pPr>
            <w:r>
              <w:rPr>
                <w:b w:val="false"/>
                <w:bCs w:val="false"/>
                <w:sz w:val="18"/>
                <w:szCs w:val="18"/>
              </w:rPr>
              <w:t xml:space="preserve">7,410.95</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S5</w:t>
            </w:r>
          </w:p>
        </w:tc>
        <w:tc>
          <w:tcPr>
            <w:tcW w:type="dxa" w:w="2600"/>
            <w:tcMar>
              <w:top w:type="dxa" w:w="40"/>
              <w:left w:type="dxa" w:w="60"/>
              <w:bottom w:type="dxa" w:w="40"/>
              <w:right w:type="dxa" w:w="60"/>
            </w:tcMar>
          </w:tcPr>
          <w:p>
            <w:pPr>
              <w:jc w:val="right"/>
            </w:pPr>
            <w:r>
              <w:rPr>
                <w:b w:val="false"/>
                <w:bCs w:val="false"/>
                <w:sz w:val="18"/>
                <w:szCs w:val="18"/>
              </w:rPr>
              <w:t xml:space="preserve">7,364.62</w:t>
            </w:r>
          </w:p>
        </w:tc>
      </w:tr>
    </w:tbl>
    <w:p>
      <w:pPr>
        <w:pStyle w:val="Heading2"/>
        <w:spacing w:after="80" w:before="180"/>
      </w:pPr>
      <w:r>
        <w:rPr>
          <w:b/>
          <w:bCs/>
          <w:color w:val="2E7D32"/>
          <w:sz w:val="22"/>
          <w:szCs w:val="22"/>
        </w:rPr>
        <w:t xml:space="preserve">Weekly pivots (prior week 29 Jun–2 Jul)</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rPr>
          <w:tblHeader/>
        </w:trPr>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Level</w:t>
            </w:r>
          </w:p>
        </w:tc>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Index points</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R5</w:t>
            </w:r>
          </w:p>
        </w:tc>
        <w:tc>
          <w:tcPr>
            <w:tcW w:type="dxa" w:w="2600"/>
            <w:tcMar>
              <w:top w:type="dxa" w:w="40"/>
              <w:left w:type="dxa" w:w="60"/>
              <w:bottom w:type="dxa" w:w="40"/>
              <w:right w:type="dxa" w:w="60"/>
            </w:tcMar>
          </w:tcPr>
          <w:p>
            <w:pPr>
              <w:jc w:val="right"/>
            </w:pPr>
            <w:r>
              <w:rPr>
                <w:b w:val="false"/>
                <w:bCs w:val="false"/>
                <w:sz w:val="18"/>
                <w:szCs w:val="18"/>
              </w:rPr>
              <w:t xml:space="preserve">7,924.49</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R4</w:t>
            </w:r>
          </w:p>
        </w:tc>
        <w:tc>
          <w:tcPr>
            <w:tcW w:type="dxa" w:w="2600"/>
            <w:tcMar>
              <w:top w:type="dxa" w:w="40"/>
              <w:left w:type="dxa" w:w="60"/>
              <w:bottom w:type="dxa" w:w="40"/>
              <w:right w:type="dxa" w:w="60"/>
            </w:tcMar>
          </w:tcPr>
          <w:p>
            <w:pPr>
              <w:jc w:val="right"/>
            </w:pPr>
            <w:r>
              <w:rPr>
                <w:b w:val="false"/>
                <w:bCs w:val="false"/>
                <w:sz w:val="18"/>
                <w:szCs w:val="18"/>
              </w:rPr>
              <w:t xml:space="preserve">7,841.36</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R3</w:t>
            </w:r>
          </w:p>
        </w:tc>
        <w:tc>
          <w:tcPr>
            <w:tcW w:type="dxa" w:w="2600"/>
            <w:tcMar>
              <w:top w:type="dxa" w:w="40"/>
              <w:left w:type="dxa" w:w="60"/>
              <w:bottom w:type="dxa" w:w="40"/>
              <w:right w:type="dxa" w:w="60"/>
            </w:tcMar>
          </w:tcPr>
          <w:p>
            <w:pPr>
              <w:jc w:val="right"/>
            </w:pPr>
            <w:r>
              <w:rPr>
                <w:b w:val="false"/>
                <w:bCs w:val="false"/>
                <w:sz w:val="18"/>
                <w:szCs w:val="18"/>
              </w:rPr>
              <w:t xml:space="preserve">7,758.24</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R2</w:t>
            </w:r>
          </w:p>
        </w:tc>
        <w:tc>
          <w:tcPr>
            <w:tcW w:type="dxa" w:w="2600"/>
            <w:tcMar>
              <w:top w:type="dxa" w:w="40"/>
              <w:left w:type="dxa" w:w="60"/>
              <w:bottom w:type="dxa" w:w="40"/>
              <w:right w:type="dxa" w:w="60"/>
            </w:tcMar>
          </w:tcPr>
          <w:p>
            <w:pPr>
              <w:jc w:val="right"/>
            </w:pPr>
            <w:r>
              <w:rPr>
                <w:b w:val="false"/>
                <w:bCs w:val="false"/>
                <w:sz w:val="18"/>
                <w:szCs w:val="18"/>
              </w:rPr>
              <w:t xml:space="preserve">7,649.49</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R1</w:t>
            </w:r>
          </w:p>
        </w:tc>
        <w:tc>
          <w:tcPr>
            <w:tcW w:type="dxa" w:w="2600"/>
            <w:tcMar>
              <w:top w:type="dxa" w:w="40"/>
              <w:left w:type="dxa" w:w="60"/>
              <w:bottom w:type="dxa" w:w="40"/>
              <w:right w:type="dxa" w:w="60"/>
            </w:tcMar>
          </w:tcPr>
          <w:p>
            <w:pPr>
              <w:jc w:val="right"/>
            </w:pPr>
            <w:r>
              <w:rPr>
                <w:b w:val="false"/>
                <w:bCs w:val="false"/>
                <w:sz w:val="18"/>
                <w:szCs w:val="18"/>
              </w:rPr>
              <w:t xml:space="preserve">7,566.37</w:t>
            </w:r>
          </w:p>
        </w:tc>
      </w:tr>
      <w:tr>
        <w:tc>
          <w:tcPr>
            <w:tcW w:type="dxa" w:w="2600"/>
            <w:tcMar>
              <w:top w:type="dxa" w:w="40"/>
              <w:left w:type="dxa" w:w="60"/>
              <w:bottom w:type="dxa" w:w="40"/>
              <w:right w:type="dxa" w:w="60"/>
            </w:tcMar>
          </w:tcPr>
          <w:p>
            <w:pPr>
              <w:jc w:val="left"/>
            </w:pPr>
            <w:r>
              <w:rPr>
                <w:b/>
                <w:bCs/>
                <w:color w:val="1F3864"/>
                <w:sz w:val="18"/>
                <w:szCs w:val="18"/>
              </w:rPr>
              <w:t xml:space="preserve">P</w:t>
            </w:r>
          </w:p>
        </w:tc>
        <w:tc>
          <w:tcPr>
            <w:tcW w:type="dxa" w:w="2600"/>
            <w:tcMar>
              <w:top w:type="dxa" w:w="40"/>
              <w:left w:type="dxa" w:w="60"/>
              <w:bottom w:type="dxa" w:w="40"/>
              <w:right w:type="dxa" w:w="60"/>
            </w:tcMar>
          </w:tcPr>
          <w:p>
            <w:pPr>
              <w:jc w:val="right"/>
            </w:pPr>
            <w:r>
              <w:rPr>
                <w:b/>
                <w:bCs/>
                <w:sz w:val="18"/>
                <w:szCs w:val="18"/>
              </w:rPr>
              <w:t xml:space="preserve">7,457.62</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S1</w:t>
            </w:r>
          </w:p>
        </w:tc>
        <w:tc>
          <w:tcPr>
            <w:tcW w:type="dxa" w:w="2600"/>
            <w:tcMar>
              <w:top w:type="dxa" w:w="40"/>
              <w:left w:type="dxa" w:w="60"/>
              <w:bottom w:type="dxa" w:w="40"/>
              <w:right w:type="dxa" w:w="60"/>
            </w:tcMar>
          </w:tcPr>
          <w:p>
            <w:pPr>
              <w:jc w:val="right"/>
            </w:pPr>
            <w:r>
              <w:rPr>
                <w:b w:val="false"/>
                <w:bCs w:val="false"/>
                <w:sz w:val="18"/>
                <w:szCs w:val="18"/>
              </w:rPr>
              <w:t xml:space="preserve">7,374.50</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S2</w:t>
            </w:r>
          </w:p>
        </w:tc>
        <w:tc>
          <w:tcPr>
            <w:tcW w:type="dxa" w:w="2600"/>
            <w:tcMar>
              <w:top w:type="dxa" w:w="40"/>
              <w:left w:type="dxa" w:w="60"/>
              <w:bottom w:type="dxa" w:w="40"/>
              <w:right w:type="dxa" w:w="60"/>
            </w:tcMar>
          </w:tcPr>
          <w:p>
            <w:pPr>
              <w:jc w:val="right"/>
            </w:pPr>
            <w:r>
              <w:rPr>
                <w:b w:val="false"/>
                <w:bCs w:val="false"/>
                <w:sz w:val="18"/>
                <w:szCs w:val="18"/>
              </w:rPr>
              <w:t xml:space="preserve">7,265.75</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S3</w:t>
            </w:r>
          </w:p>
        </w:tc>
        <w:tc>
          <w:tcPr>
            <w:tcW w:type="dxa" w:w="2600"/>
            <w:tcMar>
              <w:top w:type="dxa" w:w="40"/>
              <w:left w:type="dxa" w:w="60"/>
              <w:bottom w:type="dxa" w:w="40"/>
              <w:right w:type="dxa" w:w="60"/>
            </w:tcMar>
          </w:tcPr>
          <w:p>
            <w:pPr>
              <w:jc w:val="right"/>
            </w:pPr>
            <w:r>
              <w:rPr>
                <w:b w:val="false"/>
                <w:bCs w:val="false"/>
                <w:sz w:val="18"/>
                <w:szCs w:val="18"/>
              </w:rPr>
              <w:t xml:space="preserve">7,182.63</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S4</w:t>
            </w:r>
          </w:p>
        </w:tc>
        <w:tc>
          <w:tcPr>
            <w:tcW w:type="dxa" w:w="2600"/>
            <w:tcMar>
              <w:top w:type="dxa" w:w="40"/>
              <w:left w:type="dxa" w:w="60"/>
              <w:bottom w:type="dxa" w:w="40"/>
              <w:right w:type="dxa" w:w="60"/>
            </w:tcMar>
          </w:tcPr>
          <w:p>
            <w:pPr>
              <w:jc w:val="right"/>
            </w:pPr>
            <w:r>
              <w:rPr>
                <w:b w:val="false"/>
                <w:bCs w:val="false"/>
                <w:sz w:val="18"/>
                <w:szCs w:val="18"/>
              </w:rPr>
              <w:t xml:space="preserve">7,073.88</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S5</w:t>
            </w:r>
          </w:p>
        </w:tc>
        <w:tc>
          <w:tcPr>
            <w:tcW w:type="dxa" w:w="2600"/>
            <w:tcMar>
              <w:top w:type="dxa" w:w="40"/>
              <w:left w:type="dxa" w:w="60"/>
              <w:bottom w:type="dxa" w:w="40"/>
              <w:right w:type="dxa" w:w="60"/>
            </w:tcMar>
          </w:tcPr>
          <w:p>
            <w:pPr>
              <w:jc w:val="right"/>
            </w:pPr>
            <w:r>
              <w:rPr>
                <w:b w:val="false"/>
                <w:bCs w:val="false"/>
                <w:sz w:val="18"/>
                <w:szCs w:val="18"/>
              </w:rPr>
              <w:t xml:space="preserve">6,965.14</w:t>
            </w:r>
          </w:p>
        </w:tc>
      </w:tr>
    </w:tbl>
    <w:p>
      <w:pPr>
        <w:pStyle w:val="Heading2"/>
        <w:spacing w:after="80" w:before="180"/>
      </w:pPr>
      <w:r>
        <w:rPr>
          <w:b/>
          <w:bCs/>
          <w:color w:val="2E7D32"/>
          <w:sz w:val="22"/>
          <w:szCs w:val="22"/>
        </w:rPr>
        <w:t xml:space="preserve">Monthly pivots (June 2026)</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rPr>
          <w:tblHeader/>
        </w:trPr>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Level</w:t>
            </w:r>
          </w:p>
        </w:tc>
        <w:tc>
          <w:tcPr>
            <w:tcW w:type="dxa" w:w="2600"/>
            <w:shd w:fill="2E7D32" w:color="auto" w:val="clear"/>
            <w:tcMar>
              <w:top w:type="dxa" w:w="40"/>
              <w:left w:type="dxa" w:w="60"/>
              <w:bottom w:type="dxa" w:w="40"/>
              <w:right w:type="dxa" w:w="60"/>
            </w:tcMar>
          </w:tcPr>
          <w:p>
            <w:pPr>
              <w:jc w:val="left"/>
            </w:pPr>
            <w:r>
              <w:rPr>
                <w:b/>
                <w:bCs/>
                <w:color w:val="FFFFFF"/>
                <w:sz w:val="18"/>
                <w:szCs w:val="18"/>
              </w:rPr>
              <w:t xml:space="preserve">Index points</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R5</w:t>
            </w:r>
          </w:p>
        </w:tc>
        <w:tc>
          <w:tcPr>
            <w:tcW w:type="dxa" w:w="2600"/>
            <w:tcMar>
              <w:top w:type="dxa" w:w="40"/>
              <w:left w:type="dxa" w:w="60"/>
              <w:bottom w:type="dxa" w:w="40"/>
              <w:right w:type="dxa" w:w="60"/>
            </w:tcMar>
          </w:tcPr>
          <w:p>
            <w:pPr>
              <w:jc w:val="right"/>
            </w:pPr>
            <w:r>
              <w:rPr>
                <w:b w:val="false"/>
                <w:bCs w:val="false"/>
                <w:sz w:val="18"/>
                <w:szCs w:val="18"/>
              </w:rPr>
              <w:t xml:space="preserve">8,219.10</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R4</w:t>
            </w:r>
          </w:p>
        </w:tc>
        <w:tc>
          <w:tcPr>
            <w:tcW w:type="dxa" w:w="2600"/>
            <w:tcMar>
              <w:top w:type="dxa" w:w="40"/>
              <w:left w:type="dxa" w:w="60"/>
              <w:bottom w:type="dxa" w:w="40"/>
              <w:right w:type="dxa" w:w="60"/>
            </w:tcMar>
          </w:tcPr>
          <w:p>
            <w:pPr>
              <w:jc w:val="right"/>
            </w:pPr>
            <w:r>
              <w:rPr>
                <w:b w:val="false"/>
                <w:bCs w:val="false"/>
                <w:sz w:val="18"/>
                <w:szCs w:val="18"/>
              </w:rPr>
              <w:t xml:space="preserve">8,086.05</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R3</w:t>
            </w:r>
          </w:p>
        </w:tc>
        <w:tc>
          <w:tcPr>
            <w:tcW w:type="dxa" w:w="2600"/>
            <w:tcMar>
              <w:top w:type="dxa" w:w="40"/>
              <w:left w:type="dxa" w:w="60"/>
              <w:bottom w:type="dxa" w:w="40"/>
              <w:right w:type="dxa" w:w="60"/>
            </w:tcMar>
          </w:tcPr>
          <w:p>
            <w:pPr>
              <w:jc w:val="right"/>
            </w:pPr>
            <w:r>
              <w:rPr>
                <w:b w:val="false"/>
                <w:bCs w:val="false"/>
                <w:sz w:val="18"/>
                <w:szCs w:val="18"/>
              </w:rPr>
              <w:t xml:space="preserve">7,953.00</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R2</w:t>
            </w:r>
          </w:p>
        </w:tc>
        <w:tc>
          <w:tcPr>
            <w:tcW w:type="dxa" w:w="2600"/>
            <w:tcMar>
              <w:top w:type="dxa" w:w="40"/>
              <w:left w:type="dxa" w:w="60"/>
              <w:bottom w:type="dxa" w:w="40"/>
              <w:right w:type="dxa" w:w="60"/>
            </w:tcMar>
          </w:tcPr>
          <w:p>
            <w:pPr>
              <w:jc w:val="right"/>
            </w:pPr>
            <w:r>
              <w:rPr>
                <w:b w:val="false"/>
                <w:bCs w:val="false"/>
                <w:sz w:val="18"/>
                <w:szCs w:val="18"/>
              </w:rPr>
              <w:t xml:space="preserve">7,765.46</w:t>
            </w:r>
          </w:p>
        </w:tc>
      </w:tr>
      <w:tr>
        <w:tc>
          <w:tcPr>
            <w:tcW w:type="dxa" w:w="2600"/>
            <w:tcMar>
              <w:top w:type="dxa" w:w="40"/>
              <w:left w:type="dxa" w:w="60"/>
              <w:bottom w:type="dxa" w:w="40"/>
              <w:right w:type="dxa" w:w="60"/>
            </w:tcMar>
          </w:tcPr>
          <w:p>
            <w:pPr>
              <w:jc w:val="left"/>
            </w:pPr>
            <w:r>
              <w:rPr>
                <w:b w:val="false"/>
                <w:bCs w:val="false"/>
                <w:color w:val="B00020"/>
                <w:sz w:val="18"/>
                <w:szCs w:val="18"/>
              </w:rPr>
              <w:t xml:space="preserve">R1</w:t>
            </w:r>
          </w:p>
        </w:tc>
        <w:tc>
          <w:tcPr>
            <w:tcW w:type="dxa" w:w="2600"/>
            <w:tcMar>
              <w:top w:type="dxa" w:w="40"/>
              <w:left w:type="dxa" w:w="60"/>
              <w:bottom w:type="dxa" w:w="40"/>
              <w:right w:type="dxa" w:w="60"/>
            </w:tcMar>
          </w:tcPr>
          <w:p>
            <w:pPr>
              <w:jc w:val="right"/>
            </w:pPr>
            <w:r>
              <w:rPr>
                <w:b w:val="false"/>
                <w:bCs w:val="false"/>
                <w:sz w:val="18"/>
                <w:szCs w:val="18"/>
              </w:rPr>
              <w:t xml:space="preserve">7,632.41</w:t>
            </w:r>
          </w:p>
        </w:tc>
      </w:tr>
      <w:tr>
        <w:tc>
          <w:tcPr>
            <w:tcW w:type="dxa" w:w="2600"/>
            <w:tcMar>
              <w:top w:type="dxa" w:w="40"/>
              <w:left w:type="dxa" w:w="60"/>
              <w:bottom w:type="dxa" w:w="40"/>
              <w:right w:type="dxa" w:w="60"/>
            </w:tcMar>
          </w:tcPr>
          <w:p>
            <w:pPr>
              <w:jc w:val="left"/>
            </w:pPr>
            <w:r>
              <w:rPr>
                <w:b/>
                <w:bCs/>
                <w:color w:val="1F3864"/>
                <w:sz w:val="18"/>
                <w:szCs w:val="18"/>
              </w:rPr>
              <w:t xml:space="preserve">P</w:t>
            </w:r>
          </w:p>
        </w:tc>
        <w:tc>
          <w:tcPr>
            <w:tcW w:type="dxa" w:w="2600"/>
            <w:tcMar>
              <w:top w:type="dxa" w:w="40"/>
              <w:left w:type="dxa" w:w="60"/>
              <w:bottom w:type="dxa" w:w="40"/>
              <w:right w:type="dxa" w:w="60"/>
            </w:tcMar>
          </w:tcPr>
          <w:p>
            <w:pPr>
              <w:jc w:val="right"/>
            </w:pPr>
            <w:r>
              <w:rPr>
                <w:b/>
                <w:bCs/>
                <w:sz w:val="18"/>
                <w:szCs w:val="18"/>
              </w:rPr>
              <w:t xml:space="preserve">7,444.87</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S1</w:t>
            </w:r>
          </w:p>
        </w:tc>
        <w:tc>
          <w:tcPr>
            <w:tcW w:type="dxa" w:w="2600"/>
            <w:tcMar>
              <w:top w:type="dxa" w:w="40"/>
              <w:left w:type="dxa" w:w="60"/>
              <w:bottom w:type="dxa" w:w="40"/>
              <w:right w:type="dxa" w:w="60"/>
            </w:tcMar>
          </w:tcPr>
          <w:p>
            <w:pPr>
              <w:jc w:val="right"/>
            </w:pPr>
            <w:r>
              <w:rPr>
                <w:b w:val="false"/>
                <w:bCs w:val="false"/>
                <w:sz w:val="18"/>
                <w:szCs w:val="18"/>
              </w:rPr>
              <w:t xml:space="preserve">7,311.82</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S2</w:t>
            </w:r>
          </w:p>
        </w:tc>
        <w:tc>
          <w:tcPr>
            <w:tcW w:type="dxa" w:w="2600"/>
            <w:tcMar>
              <w:top w:type="dxa" w:w="40"/>
              <w:left w:type="dxa" w:w="60"/>
              <w:bottom w:type="dxa" w:w="40"/>
              <w:right w:type="dxa" w:w="60"/>
            </w:tcMar>
          </w:tcPr>
          <w:p>
            <w:pPr>
              <w:jc w:val="right"/>
            </w:pPr>
            <w:r>
              <w:rPr>
                <w:b w:val="false"/>
                <w:bCs w:val="false"/>
                <w:sz w:val="18"/>
                <w:szCs w:val="18"/>
              </w:rPr>
              <w:t xml:space="preserve">7,124.28</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S3</w:t>
            </w:r>
          </w:p>
        </w:tc>
        <w:tc>
          <w:tcPr>
            <w:tcW w:type="dxa" w:w="2600"/>
            <w:tcMar>
              <w:top w:type="dxa" w:w="40"/>
              <w:left w:type="dxa" w:w="60"/>
              <w:bottom w:type="dxa" w:w="40"/>
              <w:right w:type="dxa" w:w="60"/>
            </w:tcMar>
          </w:tcPr>
          <w:p>
            <w:pPr>
              <w:jc w:val="right"/>
            </w:pPr>
            <w:r>
              <w:rPr>
                <w:b w:val="false"/>
                <w:bCs w:val="false"/>
                <w:sz w:val="18"/>
                <w:szCs w:val="18"/>
              </w:rPr>
              <w:t xml:space="preserve">6,991.23</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S4</w:t>
            </w:r>
          </w:p>
        </w:tc>
        <w:tc>
          <w:tcPr>
            <w:tcW w:type="dxa" w:w="2600"/>
            <w:tcMar>
              <w:top w:type="dxa" w:w="40"/>
              <w:left w:type="dxa" w:w="60"/>
              <w:bottom w:type="dxa" w:w="40"/>
              <w:right w:type="dxa" w:w="60"/>
            </w:tcMar>
          </w:tcPr>
          <w:p>
            <w:pPr>
              <w:jc w:val="right"/>
            </w:pPr>
            <w:r>
              <w:rPr>
                <w:b w:val="false"/>
                <w:bCs w:val="false"/>
                <w:sz w:val="18"/>
                <w:szCs w:val="18"/>
              </w:rPr>
              <w:t xml:space="preserve">6,803.69</w:t>
            </w:r>
          </w:p>
        </w:tc>
      </w:tr>
      <w:tr>
        <w:tc>
          <w:tcPr>
            <w:tcW w:type="dxa" w:w="2600"/>
            <w:tcMar>
              <w:top w:type="dxa" w:w="40"/>
              <w:left w:type="dxa" w:w="60"/>
              <w:bottom w:type="dxa" w:w="40"/>
              <w:right w:type="dxa" w:w="60"/>
            </w:tcMar>
          </w:tcPr>
          <w:p>
            <w:pPr>
              <w:jc w:val="left"/>
            </w:pPr>
            <w:r>
              <w:rPr>
                <w:b w:val="false"/>
                <w:bCs w:val="false"/>
                <w:color w:val="2E7D32"/>
                <w:sz w:val="18"/>
                <w:szCs w:val="18"/>
              </w:rPr>
              <w:t xml:space="preserve">S5</w:t>
            </w:r>
          </w:p>
        </w:tc>
        <w:tc>
          <w:tcPr>
            <w:tcW w:type="dxa" w:w="2600"/>
            <w:tcMar>
              <w:top w:type="dxa" w:w="40"/>
              <w:left w:type="dxa" w:w="60"/>
              <w:bottom w:type="dxa" w:w="40"/>
              <w:right w:type="dxa" w:w="60"/>
            </w:tcMar>
          </w:tcPr>
          <w:p>
            <w:pPr>
              <w:jc w:val="right"/>
            </w:pPr>
            <w:r>
              <w:rPr>
                <w:b w:val="false"/>
                <w:bCs w:val="false"/>
                <w:sz w:val="18"/>
                <w:szCs w:val="18"/>
              </w:rPr>
              <w:t xml:space="preserve">6,616.15</w:t>
            </w:r>
          </w:p>
        </w:tc>
      </w:tr>
    </w:tbl>
    <w:p>
      <w:pPr>
        <w:spacing w:after="100" w:line="276"/>
      </w:pPr>
      <w:r>
        <w:rPr>
          <w:sz w:val="20"/>
          <w:szCs w:val="20"/>
        </w:rPr>
        <w:t xml:space="preserve">Source status: prior-period H/L/C corroborated across two sources (Investing.com × Yahoo ^SPX) within the ±0.10-point tolerance — all pivot tiers </w:t>
      </w:r>
      <w:r>
        <w:rPr>
          <w:b/>
          <w:bCs/>
          <w:color w:val="2E7D32"/>
          <w:sz w:val="20"/>
          <w:szCs w:val="20"/>
        </w:rPr>
        <w:t xml:space="preserve">CORROBORATED</w:t>
      </w:r>
      <w:r>
        <w:rPr>
          <w:sz w:val="20"/>
          <w:szCs w:val="20"/>
        </w:rPr>
        <w:t xml:space="preserve">, none single-source. Position narrative: the 10 Jul close (7,575.39) sits above the daily P (7,554.49) and above the weekly R1 (7,566.37), between daily R1 (7,600.83) and P — a bullish location. Confluence zone: weekly R1 (7,566) and the 8/9 Jul close cluster sit just under spot; monthly R1 (7,632) aligns with the path toward the 7,620.90 all-time high.</w:t>
      </w:r>
    </w:p>
    <w:p>
      <w:pPr>
        <w:pStyle w:val="Heading1"/>
        <w:spacing w:after="120" w:before="240"/>
      </w:pPr>
      <w:r>
        <w:rPr>
          <w:b/>
          <w:bCs/>
          <w:color w:val="1F3864"/>
          <w:sz w:val="26"/>
          <w:szCs w:val="26"/>
        </w:rPr>
        <w:t xml:space="preserve">12 · Key Market Considerations</w:t>
      </w:r>
    </w:p>
    <w:p>
      <w:pPr>
        <w:pStyle w:val="Heading2"/>
        <w:spacing w:after="80" w:before="180"/>
      </w:pPr>
      <w:r>
        <w:rPr>
          <w:b/>
          <w:bCs/>
          <w:color w:val="1F3864"/>
          <w:sz w:val="22"/>
          <w:szCs w:val="22"/>
        </w:rPr>
        <w:t xml:space="preserve">Earnings (demand for equities) — price-supportive (cyclical→structural)</w:t>
      </w:r>
    </w:p>
    <w:p>
      <w:pPr>
        <w:spacing w:after="100" w:line="276"/>
      </w:pPr>
      <w:r>
        <w:rPr>
          <w:sz w:val="20"/>
          <w:szCs w:val="20"/>
        </w:rPr>
        <w:t xml:space="preserve">Q2 reporting begins mid-July with FactSet consensus near 22–23% YoY EPS growth (Forbes/Glenview Trust, 5 Jul). Energy and technology are expected to lead. The rally has been earnings-driven rather than multiple-driven, which Goldman frames as a 'critical test' of the structure.</w:t>
      </w:r>
    </w:p>
    <w:p>
      <w:pPr>
        <w:pStyle w:val="Heading2"/>
        <w:spacing w:after="80" w:before="180"/>
      </w:pPr>
      <w:r>
        <w:rPr>
          <w:b/>
          <w:bCs/>
          <w:color w:val="1F3864"/>
          <w:sz w:val="22"/>
          <w:szCs w:val="22"/>
        </w:rPr>
        <w:t xml:space="preserve">Macro / FX — mixed</w:t>
      </w:r>
    </w:p>
    <w:p>
      <w:pPr>
        <w:spacing w:after="100" w:line="276"/>
      </w:pPr>
      <w:r>
        <w:rPr>
          <w:sz w:val="20"/>
          <w:szCs w:val="20"/>
        </w:rPr>
        <w:t xml:space="preserve">A slightly weaker dollar year-on-year benefits the ~42% of S&amp;P 500 sales that are international (FactSet); Goldman estimates a 10% dollar depreciation adds 2–3% to EPS. Counter to this, the very-short-term USDX tick is higher (§10), a mild near-term drag.</w:t>
      </w:r>
    </w:p>
    <w:p>
      <w:pPr>
        <w:pStyle w:val="Heading2"/>
        <w:spacing w:after="80" w:before="180"/>
      </w:pPr>
      <w:r>
        <w:rPr>
          <w:b/>
          <w:bCs/>
          <w:color w:val="1F3864"/>
          <w:sz w:val="22"/>
          <w:szCs w:val="22"/>
        </w:rPr>
        <w:t xml:space="preserve">Energy / geopolitics — price-negative (cyclical)</w:t>
      </w:r>
    </w:p>
    <w:p>
      <w:pPr>
        <w:spacing w:after="100" w:line="276"/>
      </w:pPr>
      <w:r>
        <w:rPr>
          <w:sz w:val="20"/>
          <w:szCs w:val="20"/>
        </w:rPr>
        <w:t xml:space="preserve">WTI spiked (+4–9% intraday across 7–8 Jul) on renewed US–Iran tension and a declared end to the US–Iran understanding. Sustained higher oil is inflationary and complicates the rate path; it was the proximate cause of the 8 Jul wobble.</w:t>
      </w:r>
    </w:p>
    <w:p>
      <w:pPr>
        <w:pStyle w:val="Heading2"/>
        <w:spacing w:after="80" w:before="180"/>
      </w:pPr>
      <w:r>
        <w:rPr>
          <w:b/>
          <w:bCs/>
          <w:color w:val="1F3864"/>
          <w:sz w:val="22"/>
          <w:szCs w:val="22"/>
        </w:rPr>
        <w:t xml:space="preserve">Rates / policy — neutral-to-supportive</w:t>
      </w:r>
    </w:p>
    <w:p>
      <w:pPr>
        <w:spacing w:after="100" w:line="276"/>
      </w:pPr>
      <w:r>
        <w:rPr>
          <w:sz w:val="20"/>
          <w:szCs w:val="20"/>
        </w:rPr>
        <w:t xml:space="preserve">The next FOMC decision is 28 July. Some strategists (e.g. Horneman) flag a tail risk of a 2026 hike if oil-driven inflation persists; the base case remains steady policy near-term.</w:t>
      </w:r>
    </w:p>
    <w:p>
      <w:pPr>
        <w:pStyle w:val="Heading2"/>
        <w:spacing w:after="80" w:before="180"/>
      </w:pPr>
      <w:r>
        <w:rPr>
          <w:b/>
          <w:bCs/>
          <w:color w:val="1F3864"/>
          <w:sz w:val="22"/>
          <w:szCs w:val="22"/>
        </w:rPr>
        <w:t xml:space="preserve">Substitution / breadth — supportive</w:t>
      </w:r>
    </w:p>
    <w:p>
      <w:pPr>
        <w:spacing w:after="100" w:line="276"/>
      </w:pPr>
      <w:r>
        <w:rPr>
          <w:sz w:val="20"/>
          <w:szCs w:val="20"/>
        </w:rPr>
        <w:t xml:space="preserve">Leadership is concentrated in mega-cap tech (Nvidia, Meta) but breadth signals (KBW additions, cyclical participation) are constructive. Comparison indices: NASDAQ at highs, Dow near records, Russell 2000 lagging (−0.5% on 10 Jul).</w:t>
      </w:r>
    </w:p>
    <w:p>
      <w:pPr>
        <w:pStyle w:val="Heading2"/>
        <w:spacing w:after="80" w:before="180"/>
      </w:pPr>
      <w:r>
        <w:rPr>
          <w:b/>
          <w:bCs/>
          <w:color w:val="1F3864"/>
          <w:sz w:val="22"/>
          <w:szCs w:val="22"/>
        </w:rPr>
        <w:t xml:space="preserve">Near-term catalysts — see §13d</w:t>
      </w:r>
    </w:p>
    <w:p>
      <w:pPr>
        <w:spacing w:after="100" w:line="276"/>
      </w:pPr>
      <w:r>
        <w:rPr>
          <w:sz w:val="20"/>
          <w:szCs w:val="20"/>
        </w:rPr>
        <w:t xml:space="preserve">Bank earnings (JPMorgan 14–15 Jul), mega-cap tech results, and the 28 Jul FOMC are the material events inside the 5-session horizon and beyond.</w:t>
      </w:r>
    </w:p>
    <w:p>
      <w:pPr>
        <w:pStyle w:val="Heading1"/>
        <w:spacing w:after="120" w:before="240"/>
      </w:pPr>
      <w:r>
        <w:rPr>
          <w:b/>
          <w:bCs/>
          <w:color w:val="1F3864"/>
          <w:sz w:val="26"/>
          <w:szCs w:val="26"/>
        </w:rPr>
        <w:t xml:space="preserve">13 · Sentiment, News &amp; Calendar</w:t>
      </w:r>
    </w:p>
    <w:p>
      <w:pPr>
        <w:pStyle w:val="Heading2"/>
        <w:spacing w:after="80" w:before="180"/>
      </w:pPr>
      <w:r>
        <w:rPr>
          <w:b/>
          <w:bCs/>
          <w:color w:val="1F3864"/>
          <w:sz w:val="22"/>
          <w:szCs w:val="22"/>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900"/>
        <w:gridCol w:w="2260"/>
        <w:gridCol w:w="1100"/>
        <w:gridCol w:w="1100"/>
        <w:gridCol w:w="1600"/>
      </w:tblGrid>
      <w:tr>
        <w:trPr>
          <w:tblHeader/>
        </w:trPr>
        <w:tc>
          <w:tcPr>
            <w:tcW w:type="dxa" w:w="1250"/>
            <w:shd w:fill="1F3864" w:color="auto" w:val="clear"/>
            <w:tcMar>
              <w:top w:type="dxa" w:w="40"/>
              <w:left w:type="dxa" w:w="60"/>
              <w:bottom w:type="dxa" w:w="40"/>
              <w:right w:type="dxa" w:w="60"/>
            </w:tcMar>
          </w:tcPr>
          <w:p>
            <w:pPr>
              <w:jc w:val="left"/>
            </w:pPr>
            <w:r>
              <w:rPr>
                <w:b/>
                <w:bCs/>
                <w:color w:val="FFFFFF"/>
                <w:sz w:val="18"/>
                <w:szCs w:val="18"/>
              </w:rPr>
              <w:t xml:space="preserve">Source</w:t>
            </w:r>
          </w:p>
        </w:tc>
        <w:tc>
          <w:tcPr>
            <w:tcW w:type="dxa" w:w="1150"/>
            <w:shd w:fill="1F3864" w:color="auto" w:val="clear"/>
            <w:tcMar>
              <w:top w:type="dxa" w:w="40"/>
              <w:left w:type="dxa" w:w="60"/>
              <w:bottom w:type="dxa" w:w="40"/>
              <w:right w:type="dxa" w:w="60"/>
            </w:tcMar>
          </w:tcPr>
          <w:p>
            <w:pPr>
              <w:jc w:val="left"/>
            </w:pPr>
            <w:r>
              <w:rPr>
                <w:b/>
                <w:bCs/>
                <w:color w:val="FFFFFF"/>
                <w:sz w:val="18"/>
                <w:szCs w:val="18"/>
              </w:rPr>
              <w:t xml:space="preserve">URL</w:t>
            </w:r>
          </w:p>
        </w:tc>
        <w:tc>
          <w:tcPr>
            <w:tcW w:type="dxa" w:w="900"/>
            <w:shd w:fill="1F3864" w:color="auto" w:val="clear"/>
            <w:tcMar>
              <w:top w:type="dxa" w:w="40"/>
              <w:left w:type="dxa" w:w="60"/>
              <w:bottom w:type="dxa" w:w="40"/>
              <w:right w:type="dxa" w:w="60"/>
            </w:tcMar>
          </w:tcPr>
          <w:p>
            <w:pPr>
              <w:jc w:val="left"/>
            </w:pPr>
            <w:r>
              <w:rPr>
                <w:b/>
                <w:bCs/>
                <w:color w:val="FFFFFF"/>
                <w:sz w:val="18"/>
                <w:szCs w:val="18"/>
              </w:rPr>
              <w:t xml:space="preserve">Date</w:t>
            </w:r>
          </w:p>
        </w:tc>
        <w:tc>
          <w:tcPr>
            <w:tcW w:type="dxa" w:w="2260"/>
            <w:shd w:fill="1F3864" w:color="auto" w:val="clear"/>
            <w:tcMar>
              <w:top w:type="dxa" w:w="40"/>
              <w:left w:type="dxa" w:w="60"/>
              <w:bottom w:type="dxa" w:w="40"/>
              <w:right w:type="dxa" w:w="60"/>
            </w:tcMar>
          </w:tcPr>
          <w:p>
            <w:pPr>
              <w:jc w:val="left"/>
            </w:pPr>
            <w:r>
              <w:rPr>
                <w:b/>
                <w:bCs/>
                <w:color w:val="FFFFFF"/>
                <w:sz w:val="18"/>
                <w:szCs w:val="18"/>
              </w:rPr>
              <w:t xml:space="preserve">Headline</w:t>
            </w:r>
          </w:p>
        </w:tc>
        <w:tc>
          <w:tcPr>
            <w:tcW w:type="dxa" w:w="1100"/>
            <w:shd w:fill="1F3864" w:color="auto" w:val="clear"/>
            <w:tcMar>
              <w:top w:type="dxa" w:w="40"/>
              <w:left w:type="dxa" w:w="60"/>
              <w:bottom w:type="dxa" w:w="40"/>
              <w:right w:type="dxa" w:w="60"/>
            </w:tcMar>
          </w:tcPr>
          <w:p>
            <w:pPr>
              <w:jc w:val="left"/>
            </w:pPr>
            <w:r>
              <w:rPr>
                <w:b/>
                <w:bCs/>
                <w:color w:val="FFFFFF"/>
                <w:sz w:val="18"/>
                <w:szCs w:val="18"/>
              </w:rPr>
              <w:t xml:space="preserve">Class</w:t>
            </w:r>
          </w:p>
        </w:tc>
        <w:tc>
          <w:tcPr>
            <w:tcW w:type="dxa" w:w="1100"/>
            <w:shd w:fill="1F3864" w:color="auto" w:val="clear"/>
            <w:tcMar>
              <w:top w:type="dxa" w:w="40"/>
              <w:left w:type="dxa" w:w="60"/>
              <w:bottom w:type="dxa" w:w="40"/>
              <w:right w:type="dxa" w:w="60"/>
            </w:tcMar>
          </w:tcPr>
          <w:p>
            <w:pPr>
              <w:jc w:val="left"/>
            </w:pPr>
            <w:r>
              <w:rPr>
                <w:b/>
                <w:bCs/>
                <w:color w:val="FFFFFF"/>
                <w:sz w:val="18"/>
                <w:szCs w:val="18"/>
              </w:rPr>
              <w:t xml:space="preserve">Sentiment</w:t>
            </w:r>
          </w:p>
        </w:tc>
        <w:tc>
          <w:tcPr>
            <w:tcW w:type="dxa" w:w="1600"/>
            <w:shd w:fill="1F3864" w:color="auto" w:val="clear"/>
            <w:tcMar>
              <w:top w:type="dxa" w:w="40"/>
              <w:left w:type="dxa" w:w="60"/>
              <w:bottom w:type="dxa" w:w="40"/>
              <w:right w:type="dxa" w:w="60"/>
            </w:tcMar>
          </w:tcPr>
          <w:p>
            <w:pPr>
              <w:jc w:val="left"/>
            </w:pPr>
            <w:r>
              <w:rPr>
                <w:b/>
                <w:bCs/>
                <w:color w:val="FFFFFF"/>
                <w:sz w:val="18"/>
                <w:szCs w:val="18"/>
              </w:rPr>
              <w:t xml:space="preserve">Derivation quote</w:t>
            </w:r>
          </w:p>
        </w:tc>
      </w:tr>
      <w:tr>
        <w:tc>
          <w:tcPr>
            <w:tcW w:type="dxa" w:w="1250"/>
            <w:tcMar>
              <w:top w:type="dxa" w:w="40"/>
              <w:left w:type="dxa" w:w="60"/>
              <w:bottom w:type="dxa" w:w="40"/>
              <w:right w:type="dxa" w:w="60"/>
            </w:tcMar>
          </w:tcPr>
          <w:p>
            <w:pPr>
              <w:jc w:val="left"/>
            </w:pPr>
            <w:r>
              <w:rPr>
                <w:b/>
                <w:bCs/>
                <w:sz w:val="16"/>
                <w:szCs w:val="16"/>
              </w:rPr>
              <w:t xml:space="preserve">Goldman Sachs</w:t>
            </w:r>
          </w:p>
        </w:tc>
        <w:tc>
          <w:tcPr>
            <w:tcW w:type="dxa" w:w="1150"/>
            <w:tcMar>
              <w:top w:type="dxa" w:w="40"/>
              <w:left w:type="dxa" w:w="60"/>
              <w:bottom w:type="dxa" w:w="40"/>
              <w:right w:type="dxa" w:w="60"/>
            </w:tcMar>
          </w:tcPr>
          <w:p>
            <w:pPr>
              <w:jc w:val="left"/>
            </w:pPr>
            <w:r>
              <w:rPr>
                <w:b w:val="false"/>
                <w:bCs w:val="false"/>
                <w:color w:val="3060C0"/>
                <w:sz w:val="14"/>
                <w:szCs w:val="14"/>
              </w:rPr>
              <w:t xml:space="preserve">goldmansachs.com</w:t>
            </w:r>
          </w:p>
        </w:tc>
        <w:tc>
          <w:tcPr>
            <w:tcW w:type="dxa" w:w="900"/>
            <w:tcMar>
              <w:top w:type="dxa" w:w="40"/>
              <w:left w:type="dxa" w:w="60"/>
              <w:bottom w:type="dxa" w:w="40"/>
              <w:right w:type="dxa" w:w="60"/>
            </w:tcMar>
          </w:tcPr>
          <w:p>
            <w:pPr>
              <w:jc w:val="left"/>
            </w:pPr>
            <w:r>
              <w:rPr>
                <w:b w:val="false"/>
                <w:bCs w:val="false"/>
                <w:sz w:val="16"/>
                <w:szCs w:val="16"/>
              </w:rPr>
              <w:t xml:space="preserve">28 Jun</w:t>
            </w:r>
          </w:p>
        </w:tc>
        <w:tc>
          <w:tcPr>
            <w:tcW w:type="dxa" w:w="2260"/>
            <w:tcMar>
              <w:top w:type="dxa" w:w="40"/>
              <w:left w:type="dxa" w:w="60"/>
              <w:bottom w:type="dxa" w:w="40"/>
              <w:right w:type="dxa" w:w="60"/>
            </w:tcMar>
          </w:tcPr>
          <w:p>
            <w:pPr>
              <w:jc w:val="left"/>
            </w:pPr>
            <w:r>
              <w:rPr>
                <w:b w:val="false"/>
                <w:bCs w:val="false"/>
                <w:sz w:val="15"/>
                <w:szCs w:val="15"/>
              </w:rPr>
              <w:t xml:space="preserve">S&amp;P 500 forecast to climb as earnings power stocks</w:t>
            </w:r>
          </w:p>
        </w:tc>
        <w:tc>
          <w:tcPr>
            <w:tcW w:type="dxa" w:w="1100"/>
            <w:tcMar>
              <w:top w:type="dxa" w:w="40"/>
              <w:left w:type="dxa" w:w="60"/>
              <w:bottom w:type="dxa" w:w="40"/>
              <w:right w:type="dxa" w:w="60"/>
            </w:tcMar>
          </w:tcPr>
          <w:p>
            <w:pPr>
              <w:jc w:val="left"/>
            </w:pPr>
            <w:r>
              <w:rPr>
                <w:b w:val="false"/>
                <w:bCs w:val="false"/>
                <w:sz w:val="16"/>
                <w:szCs w:val="16"/>
              </w:rPr>
              <w:t xml:space="preserve">Institutional</w:t>
            </w:r>
          </w:p>
        </w:tc>
        <w:tc>
          <w:tcPr>
            <w:tcW w:type="dxa" w:w="1100"/>
            <w:tcMar>
              <w:top w:type="dxa" w:w="40"/>
              <w:left w:type="dxa" w:w="60"/>
              <w:bottom w:type="dxa" w:w="40"/>
              <w:right w:type="dxa" w:w="60"/>
            </w:tcMar>
          </w:tcPr>
          <w:p>
            <w:pPr>
              <w:jc w:val="left"/>
            </w:pPr>
            <w:r>
              <w:rPr>
                <w:b w:val="false"/>
                <w:bCs w:val="false"/>
                <w:color w:val="2E7D32"/>
                <w:sz w:val="16"/>
                <w:szCs w:val="16"/>
              </w:rPr>
              <w:t xml:space="preserve">Bullish</w:t>
            </w:r>
          </w:p>
        </w:tc>
        <w:tc>
          <w:tcPr>
            <w:tcW w:type="dxa" w:w="1600"/>
            <w:tcMar>
              <w:top w:type="dxa" w:w="40"/>
              <w:left w:type="dxa" w:w="60"/>
              <w:bottom w:type="dxa" w:w="40"/>
              <w:right w:type="dxa" w:w="60"/>
            </w:tcMar>
          </w:tcPr>
          <w:p>
            <w:pPr>
              <w:jc w:val="left"/>
            </w:pPr>
            <w:r>
              <w:rPr>
                <w:b w:val="false"/>
                <w:bCs w:val="false"/>
                <w:sz w:val="14"/>
                <w:szCs w:val="14"/>
              </w:rPr>
              <w:t xml:space="preserve">“continued earnings growth should drive continued equity market upside”</w:t>
            </w:r>
          </w:p>
        </w:tc>
      </w:tr>
      <w:tr>
        <w:tc>
          <w:tcPr>
            <w:tcW w:type="dxa" w:w="1250"/>
            <w:tcMar>
              <w:top w:type="dxa" w:w="40"/>
              <w:left w:type="dxa" w:w="60"/>
              <w:bottom w:type="dxa" w:w="40"/>
              <w:right w:type="dxa" w:w="60"/>
            </w:tcMar>
          </w:tcPr>
          <w:p>
            <w:pPr>
              <w:jc w:val="left"/>
            </w:pPr>
            <w:r>
              <w:rPr>
                <w:b/>
                <w:bCs/>
                <w:sz w:val="16"/>
                <w:szCs w:val="16"/>
              </w:rPr>
              <w:t xml:space="preserve">Forbes / Glenview</w:t>
            </w:r>
          </w:p>
        </w:tc>
        <w:tc>
          <w:tcPr>
            <w:tcW w:type="dxa" w:w="1150"/>
            <w:tcMar>
              <w:top w:type="dxa" w:w="40"/>
              <w:left w:type="dxa" w:w="60"/>
              <w:bottom w:type="dxa" w:w="40"/>
              <w:right w:type="dxa" w:w="60"/>
            </w:tcMar>
          </w:tcPr>
          <w:p>
            <w:pPr>
              <w:jc w:val="left"/>
            </w:pPr>
            <w:r>
              <w:rPr>
                <w:b w:val="false"/>
                <w:bCs w:val="false"/>
                <w:color w:val="3060C0"/>
                <w:sz w:val="14"/>
                <w:szCs w:val="14"/>
              </w:rPr>
              <w:t xml:space="preserve">forbes.com</w:t>
            </w:r>
          </w:p>
        </w:tc>
        <w:tc>
          <w:tcPr>
            <w:tcW w:type="dxa" w:w="900"/>
            <w:tcMar>
              <w:top w:type="dxa" w:w="40"/>
              <w:left w:type="dxa" w:w="60"/>
              <w:bottom w:type="dxa" w:w="40"/>
              <w:right w:type="dxa" w:w="60"/>
            </w:tcMar>
          </w:tcPr>
          <w:p>
            <w:pPr>
              <w:jc w:val="left"/>
            </w:pPr>
            <w:r>
              <w:rPr>
                <w:b w:val="false"/>
                <w:bCs w:val="false"/>
                <w:sz w:val="16"/>
                <w:szCs w:val="16"/>
              </w:rPr>
              <w:t xml:space="preserve">5 Jul</w:t>
            </w:r>
          </w:p>
        </w:tc>
        <w:tc>
          <w:tcPr>
            <w:tcW w:type="dxa" w:w="2260"/>
            <w:tcMar>
              <w:top w:type="dxa" w:w="40"/>
              <w:left w:type="dxa" w:w="60"/>
              <w:bottom w:type="dxa" w:w="40"/>
              <w:right w:type="dxa" w:w="60"/>
            </w:tcMar>
          </w:tcPr>
          <w:p>
            <w:pPr>
              <w:jc w:val="left"/>
            </w:pPr>
            <w:r>
              <w:rPr>
                <w:b w:val="false"/>
                <w:bCs w:val="false"/>
                <w:sz w:val="15"/>
                <w:szCs w:val="15"/>
              </w:rPr>
              <w:t xml:space="preserve">S&amp;P 500 earnings outlook hinges on tech, energy, Fed</w:t>
            </w:r>
          </w:p>
        </w:tc>
        <w:tc>
          <w:tcPr>
            <w:tcW w:type="dxa" w:w="1100"/>
            <w:tcMar>
              <w:top w:type="dxa" w:w="40"/>
              <w:left w:type="dxa" w:w="60"/>
              <w:bottom w:type="dxa" w:w="40"/>
              <w:right w:type="dxa" w:w="60"/>
            </w:tcMar>
          </w:tcPr>
          <w:p>
            <w:pPr>
              <w:jc w:val="left"/>
            </w:pPr>
            <w:r>
              <w:rPr>
                <w:b w:val="false"/>
                <w:bCs w:val="false"/>
                <w:sz w:val="16"/>
                <w:szCs w:val="16"/>
              </w:rPr>
              <w:t xml:space="preserve">Trade Press</w:t>
            </w:r>
          </w:p>
        </w:tc>
        <w:tc>
          <w:tcPr>
            <w:tcW w:type="dxa" w:w="1100"/>
            <w:tcMar>
              <w:top w:type="dxa" w:w="40"/>
              <w:left w:type="dxa" w:w="60"/>
              <w:bottom w:type="dxa" w:w="40"/>
              <w:right w:type="dxa" w:w="60"/>
            </w:tcMar>
          </w:tcPr>
          <w:p>
            <w:pPr>
              <w:jc w:val="left"/>
            </w:pPr>
            <w:r>
              <w:rPr>
                <w:b w:val="false"/>
                <w:bCs w:val="false"/>
                <w:color w:val="2E7D32"/>
                <w:sz w:val="16"/>
                <w:szCs w:val="16"/>
              </w:rPr>
              <w:t xml:space="preserve">Bullish</w:t>
            </w:r>
          </w:p>
        </w:tc>
        <w:tc>
          <w:tcPr>
            <w:tcW w:type="dxa" w:w="1600"/>
            <w:tcMar>
              <w:top w:type="dxa" w:w="40"/>
              <w:left w:type="dxa" w:w="60"/>
              <w:bottom w:type="dxa" w:w="40"/>
              <w:right w:type="dxa" w:w="60"/>
            </w:tcMar>
          </w:tcPr>
          <w:p>
            <w:pPr>
              <w:jc w:val="left"/>
            </w:pPr>
            <w:r>
              <w:rPr>
                <w:b w:val="false"/>
                <w:bCs w:val="false"/>
                <w:sz w:val="14"/>
                <w:szCs w:val="14"/>
              </w:rPr>
              <w:t xml:space="preserve">“earnings projected to grow 23.3% year-over-year”</w:t>
            </w:r>
          </w:p>
        </w:tc>
      </w:tr>
      <w:tr>
        <w:tc>
          <w:tcPr>
            <w:tcW w:type="dxa" w:w="1250"/>
            <w:tcMar>
              <w:top w:type="dxa" w:w="40"/>
              <w:left w:type="dxa" w:w="60"/>
              <w:bottom w:type="dxa" w:w="40"/>
              <w:right w:type="dxa" w:w="60"/>
            </w:tcMar>
          </w:tcPr>
          <w:p>
            <w:pPr>
              <w:jc w:val="left"/>
            </w:pPr>
            <w:r>
              <w:rPr>
                <w:b/>
                <w:bCs/>
                <w:sz w:val="16"/>
                <w:szCs w:val="16"/>
              </w:rPr>
              <w:t xml:space="preserve">Invezz</w:t>
            </w:r>
          </w:p>
        </w:tc>
        <w:tc>
          <w:tcPr>
            <w:tcW w:type="dxa" w:w="1150"/>
            <w:tcMar>
              <w:top w:type="dxa" w:w="40"/>
              <w:left w:type="dxa" w:w="60"/>
              <w:bottom w:type="dxa" w:w="40"/>
              <w:right w:type="dxa" w:w="60"/>
            </w:tcMar>
          </w:tcPr>
          <w:p>
            <w:pPr>
              <w:jc w:val="left"/>
            </w:pPr>
            <w:r>
              <w:rPr>
                <w:b w:val="false"/>
                <w:bCs w:val="false"/>
                <w:color w:val="3060C0"/>
                <w:sz w:val="14"/>
                <w:szCs w:val="14"/>
              </w:rPr>
              <w:t xml:space="preserve">invezz.com</w:t>
            </w:r>
          </w:p>
        </w:tc>
        <w:tc>
          <w:tcPr>
            <w:tcW w:type="dxa" w:w="900"/>
            <w:tcMar>
              <w:top w:type="dxa" w:w="40"/>
              <w:left w:type="dxa" w:w="60"/>
              <w:bottom w:type="dxa" w:w="40"/>
              <w:right w:type="dxa" w:w="60"/>
            </w:tcMar>
          </w:tcPr>
          <w:p>
            <w:pPr>
              <w:jc w:val="left"/>
            </w:pPr>
            <w:r>
              <w:rPr>
                <w:b w:val="false"/>
                <w:bCs w:val="false"/>
                <w:sz w:val="16"/>
                <w:szCs w:val="16"/>
              </w:rPr>
              <w:t xml:space="preserve">1 Jul</w:t>
            </w:r>
          </w:p>
        </w:tc>
        <w:tc>
          <w:tcPr>
            <w:tcW w:type="dxa" w:w="2260"/>
            <w:tcMar>
              <w:top w:type="dxa" w:w="40"/>
              <w:left w:type="dxa" w:w="60"/>
              <w:bottom w:type="dxa" w:w="40"/>
              <w:right w:type="dxa" w:w="60"/>
            </w:tcMar>
          </w:tcPr>
          <w:p>
            <w:pPr>
              <w:jc w:val="left"/>
            </w:pPr>
            <w:r>
              <w:rPr>
                <w:b w:val="false"/>
                <w:bCs w:val="false"/>
                <w:sz w:val="15"/>
                <w:szCs w:val="15"/>
              </w:rPr>
              <w:t xml:space="preserve">S&amp;P 500 / SPY outlook for July: catalysts to watch</w:t>
            </w:r>
          </w:p>
        </w:tc>
        <w:tc>
          <w:tcPr>
            <w:tcW w:type="dxa" w:w="1100"/>
            <w:tcMar>
              <w:top w:type="dxa" w:w="40"/>
              <w:left w:type="dxa" w:w="60"/>
              <w:bottom w:type="dxa" w:w="40"/>
              <w:right w:type="dxa" w:w="60"/>
            </w:tcMar>
          </w:tcPr>
          <w:p>
            <w:pPr>
              <w:jc w:val="left"/>
            </w:pPr>
            <w:r>
              <w:rPr>
                <w:b w:val="false"/>
                <w:bCs w:val="false"/>
                <w:sz w:val="16"/>
                <w:szCs w:val="16"/>
              </w:rPr>
              <w:t xml:space="preserve">Media</w:t>
            </w:r>
          </w:p>
        </w:tc>
        <w:tc>
          <w:tcPr>
            <w:tcW w:type="dxa" w:w="1100"/>
            <w:tcMar>
              <w:top w:type="dxa" w:w="40"/>
              <w:left w:type="dxa" w:w="60"/>
              <w:bottom w:type="dxa" w:w="40"/>
              <w:right w:type="dxa" w:w="60"/>
            </w:tcMar>
          </w:tcPr>
          <w:p>
            <w:pPr>
              <w:jc w:val="left"/>
            </w:pPr>
            <w:r>
              <w:rPr>
                <w:b w:val="false"/>
                <w:bCs w:val="false"/>
                <w:color w:val="2E7D32"/>
                <w:sz w:val="16"/>
                <w:szCs w:val="16"/>
              </w:rPr>
              <w:t xml:space="preserve">Bullish</w:t>
            </w:r>
          </w:p>
        </w:tc>
        <w:tc>
          <w:tcPr>
            <w:tcW w:type="dxa" w:w="1600"/>
            <w:tcMar>
              <w:top w:type="dxa" w:w="40"/>
              <w:left w:type="dxa" w:w="60"/>
              <w:bottom w:type="dxa" w:w="40"/>
              <w:right w:type="dxa" w:w="60"/>
            </w:tcMar>
          </w:tcPr>
          <w:p>
            <w:pPr>
              <w:jc w:val="left"/>
            </w:pPr>
            <w:r>
              <w:rPr>
                <w:b w:val="false"/>
                <w:bCs w:val="false"/>
                <w:sz w:val="14"/>
                <w:szCs w:val="14"/>
              </w:rPr>
              <w:t xml:space="preserve">“chart setup supports continuation… Buy SPY”</w:t>
            </w:r>
          </w:p>
        </w:tc>
      </w:tr>
      <w:tr>
        <w:tc>
          <w:tcPr>
            <w:tcW w:type="dxa" w:w="1250"/>
            <w:tcMar>
              <w:top w:type="dxa" w:w="40"/>
              <w:left w:type="dxa" w:w="60"/>
              <w:bottom w:type="dxa" w:w="40"/>
              <w:right w:type="dxa" w:w="60"/>
            </w:tcMar>
          </w:tcPr>
          <w:p>
            <w:pPr>
              <w:jc w:val="left"/>
            </w:pPr>
            <w:r>
              <w:rPr>
                <w:b/>
                <w:bCs/>
                <w:sz w:val="16"/>
                <w:szCs w:val="16"/>
              </w:rPr>
              <w:t xml:space="preserve">Reuters (via TheStreet)</w:t>
            </w:r>
          </w:p>
        </w:tc>
        <w:tc>
          <w:tcPr>
            <w:tcW w:type="dxa" w:w="1150"/>
            <w:tcMar>
              <w:top w:type="dxa" w:w="40"/>
              <w:left w:type="dxa" w:w="60"/>
              <w:bottom w:type="dxa" w:w="40"/>
              <w:right w:type="dxa" w:w="60"/>
            </w:tcMar>
          </w:tcPr>
          <w:p>
            <w:pPr>
              <w:jc w:val="left"/>
            </w:pPr>
            <w:r>
              <w:rPr>
                <w:b w:val="false"/>
                <w:bCs w:val="false"/>
                <w:color w:val="3060C0"/>
                <w:sz w:val="14"/>
                <w:szCs w:val="14"/>
              </w:rPr>
              <w:t xml:space="preserve">finance.yahoo.com</w:t>
            </w:r>
          </w:p>
        </w:tc>
        <w:tc>
          <w:tcPr>
            <w:tcW w:type="dxa" w:w="900"/>
            <w:tcMar>
              <w:top w:type="dxa" w:w="40"/>
              <w:left w:type="dxa" w:w="60"/>
              <w:bottom w:type="dxa" w:w="40"/>
              <w:right w:type="dxa" w:w="60"/>
            </w:tcMar>
          </w:tcPr>
          <w:p>
            <w:pPr>
              <w:jc w:val="left"/>
            </w:pPr>
            <w:r>
              <w:rPr>
                <w:b w:val="false"/>
                <w:bCs w:val="false"/>
                <w:sz w:val="16"/>
                <w:szCs w:val="16"/>
              </w:rPr>
              <w:t xml:space="preserve">early Jul</w:t>
            </w:r>
          </w:p>
        </w:tc>
        <w:tc>
          <w:tcPr>
            <w:tcW w:type="dxa" w:w="2260"/>
            <w:tcMar>
              <w:top w:type="dxa" w:w="40"/>
              <w:left w:type="dxa" w:w="60"/>
              <w:bottom w:type="dxa" w:w="40"/>
              <w:right w:type="dxa" w:w="60"/>
            </w:tcMar>
          </w:tcPr>
          <w:p>
            <w:pPr>
              <w:jc w:val="left"/>
            </w:pPr>
            <w:r>
              <w:rPr>
                <w:b w:val="false"/>
                <w:bCs w:val="false"/>
                <w:sz w:val="15"/>
                <w:szCs w:val="15"/>
              </w:rPr>
              <w:t xml:space="preserve">Wall Street splits on year-end target</w:t>
            </w:r>
          </w:p>
        </w:tc>
        <w:tc>
          <w:tcPr>
            <w:tcW w:type="dxa" w:w="1100"/>
            <w:tcMar>
              <w:top w:type="dxa" w:w="40"/>
              <w:left w:type="dxa" w:w="60"/>
              <w:bottom w:type="dxa" w:w="40"/>
              <w:right w:type="dxa" w:w="60"/>
            </w:tcMar>
          </w:tcPr>
          <w:p>
            <w:pPr>
              <w:jc w:val="left"/>
            </w:pPr>
            <w:r>
              <w:rPr>
                <w:b w:val="false"/>
                <w:bCs w:val="false"/>
                <w:sz w:val="16"/>
                <w:szCs w:val="16"/>
              </w:rPr>
              <w:t xml:space="preserve">Media</w:t>
            </w:r>
          </w:p>
        </w:tc>
        <w:tc>
          <w:tcPr>
            <w:tcW w:type="dxa" w:w="1100"/>
            <w:tcMar>
              <w:top w:type="dxa" w:w="40"/>
              <w:left w:type="dxa" w:w="60"/>
              <w:bottom w:type="dxa" w:w="40"/>
              <w:right w:type="dxa" w:w="60"/>
            </w:tcMar>
          </w:tcPr>
          <w:p>
            <w:pPr>
              <w:jc w:val="left"/>
            </w:pPr>
            <w:r>
              <w:rPr>
                <w:b w:val="false"/>
                <w:bCs w:val="false"/>
                <w:color w:val="666666"/>
                <w:sz w:val="16"/>
                <w:szCs w:val="16"/>
              </w:rPr>
              <w:t xml:space="preserve">Mixed</w:t>
            </w:r>
          </w:p>
        </w:tc>
        <w:tc>
          <w:tcPr>
            <w:tcW w:type="dxa" w:w="1600"/>
            <w:tcMar>
              <w:top w:type="dxa" w:w="40"/>
              <w:left w:type="dxa" w:w="60"/>
              <w:bottom w:type="dxa" w:w="40"/>
              <w:right w:type="dxa" w:w="60"/>
            </w:tcMar>
          </w:tcPr>
          <w:p>
            <w:pPr>
              <w:jc w:val="left"/>
            </w:pPr>
            <w:r>
              <w:rPr>
                <w:b w:val="false"/>
                <w:bCs w:val="false"/>
                <w:sz w:val="14"/>
                <w:szCs w:val="14"/>
              </w:rPr>
              <w:t xml:space="preserve">“bullish forecasts near 8,250 vs cautious calls around 7,100”</w:t>
            </w:r>
          </w:p>
        </w:tc>
      </w:tr>
      <w:tr>
        <w:tc>
          <w:tcPr>
            <w:tcW w:type="dxa" w:w="1250"/>
            <w:tcMar>
              <w:top w:type="dxa" w:w="40"/>
              <w:left w:type="dxa" w:w="60"/>
              <w:bottom w:type="dxa" w:w="40"/>
              <w:right w:type="dxa" w:w="60"/>
            </w:tcMar>
          </w:tcPr>
          <w:p>
            <w:pPr>
              <w:jc w:val="left"/>
            </w:pPr>
            <w:r>
              <w:rPr>
                <w:b/>
                <w:bCs/>
                <w:sz w:val="16"/>
                <w:szCs w:val="16"/>
              </w:rPr>
              <w:t xml:space="preserve">BofA (Subramanian)</w:t>
            </w:r>
          </w:p>
        </w:tc>
        <w:tc>
          <w:tcPr>
            <w:tcW w:type="dxa" w:w="1150"/>
            <w:tcMar>
              <w:top w:type="dxa" w:w="40"/>
              <w:left w:type="dxa" w:w="60"/>
              <w:bottom w:type="dxa" w:w="40"/>
              <w:right w:type="dxa" w:w="60"/>
            </w:tcMar>
          </w:tcPr>
          <w:p>
            <w:pPr>
              <w:jc w:val="left"/>
            </w:pPr>
            <w:r>
              <w:rPr>
                <w:b w:val="false"/>
                <w:bCs w:val="false"/>
                <w:color w:val="3060C0"/>
                <w:sz w:val="14"/>
                <w:szCs w:val="14"/>
              </w:rPr>
              <w:t xml:space="preserve">eciks.org/Reuters</w:t>
            </w:r>
          </w:p>
        </w:tc>
        <w:tc>
          <w:tcPr>
            <w:tcW w:type="dxa" w:w="900"/>
            <w:tcMar>
              <w:top w:type="dxa" w:w="40"/>
              <w:left w:type="dxa" w:w="60"/>
              <w:bottom w:type="dxa" w:w="40"/>
              <w:right w:type="dxa" w:w="60"/>
            </w:tcMar>
          </w:tcPr>
          <w:p>
            <w:pPr>
              <w:jc w:val="left"/>
            </w:pPr>
            <w:r>
              <w:rPr>
                <w:b w:val="false"/>
                <w:bCs w:val="false"/>
                <w:sz w:val="16"/>
                <w:szCs w:val="16"/>
              </w:rPr>
              <w:t xml:space="preserve">Jun</w:t>
            </w:r>
          </w:p>
        </w:tc>
        <w:tc>
          <w:tcPr>
            <w:tcW w:type="dxa" w:w="2260"/>
            <w:tcMar>
              <w:top w:type="dxa" w:w="40"/>
              <w:left w:type="dxa" w:w="60"/>
              <w:bottom w:type="dxa" w:w="40"/>
              <w:right w:type="dxa" w:w="60"/>
            </w:tcMar>
          </w:tcPr>
          <w:p>
            <w:pPr>
              <w:jc w:val="left"/>
            </w:pPr>
            <w:r>
              <w:rPr>
                <w:b w:val="false"/>
                <w:bCs w:val="false"/>
                <w:sz w:val="15"/>
                <w:szCs w:val="15"/>
              </w:rPr>
              <w:t xml:space="preserve">US stocks flashing too many red flags</w:t>
            </w:r>
          </w:p>
        </w:tc>
        <w:tc>
          <w:tcPr>
            <w:tcW w:type="dxa" w:w="1100"/>
            <w:tcMar>
              <w:top w:type="dxa" w:w="40"/>
              <w:left w:type="dxa" w:w="60"/>
              <w:bottom w:type="dxa" w:w="40"/>
              <w:right w:type="dxa" w:w="60"/>
            </w:tcMar>
          </w:tcPr>
          <w:p>
            <w:pPr>
              <w:jc w:val="left"/>
            </w:pPr>
            <w:r>
              <w:rPr>
                <w:b w:val="false"/>
                <w:bCs w:val="false"/>
                <w:sz w:val="16"/>
                <w:szCs w:val="16"/>
              </w:rPr>
              <w:t xml:space="preserve">Institutional</w:t>
            </w:r>
          </w:p>
        </w:tc>
        <w:tc>
          <w:tcPr>
            <w:tcW w:type="dxa" w:w="1100"/>
            <w:tcMar>
              <w:top w:type="dxa" w:w="40"/>
              <w:left w:type="dxa" w:w="60"/>
              <w:bottom w:type="dxa" w:w="40"/>
              <w:right w:type="dxa" w:w="60"/>
            </w:tcMar>
          </w:tcPr>
          <w:p>
            <w:pPr>
              <w:jc w:val="left"/>
            </w:pPr>
            <w:r>
              <w:rPr>
                <w:b w:val="false"/>
                <w:bCs w:val="false"/>
                <w:color w:val="B00020"/>
                <w:sz w:val="16"/>
                <w:szCs w:val="16"/>
              </w:rPr>
              <w:t xml:space="preserve">Bearish</w:t>
            </w:r>
          </w:p>
        </w:tc>
        <w:tc>
          <w:tcPr>
            <w:tcW w:type="dxa" w:w="1600"/>
            <w:tcMar>
              <w:top w:type="dxa" w:w="40"/>
              <w:left w:type="dxa" w:w="60"/>
              <w:bottom w:type="dxa" w:w="40"/>
              <w:right w:type="dxa" w:w="60"/>
            </w:tcMar>
          </w:tcPr>
          <w:p>
            <w:pPr>
              <w:jc w:val="left"/>
            </w:pPr>
            <w:r>
              <w:rPr>
                <w:b w:val="false"/>
                <w:bCs w:val="false"/>
                <w:sz w:val="14"/>
                <w:szCs w:val="14"/>
              </w:rPr>
              <w:t xml:space="preserve">“seven of 10 tracked bear-market indicators had triggered”</w:t>
            </w:r>
          </w:p>
        </w:tc>
      </w:tr>
      <w:tr>
        <w:tc>
          <w:tcPr>
            <w:tcW w:type="dxa" w:w="1250"/>
            <w:tcMar>
              <w:top w:type="dxa" w:w="40"/>
              <w:left w:type="dxa" w:w="60"/>
              <w:bottom w:type="dxa" w:w="40"/>
              <w:right w:type="dxa" w:w="60"/>
            </w:tcMar>
          </w:tcPr>
          <w:p>
            <w:pPr>
              <w:jc w:val="left"/>
            </w:pPr>
            <w:r>
              <w:rPr>
                <w:b/>
                <w:bCs/>
                <w:sz w:val="16"/>
                <w:szCs w:val="16"/>
              </w:rPr>
              <w:t xml:space="preserve">CNBC</w:t>
            </w:r>
          </w:p>
        </w:tc>
        <w:tc>
          <w:tcPr>
            <w:tcW w:type="dxa" w:w="1150"/>
            <w:tcMar>
              <w:top w:type="dxa" w:w="40"/>
              <w:left w:type="dxa" w:w="60"/>
              <w:bottom w:type="dxa" w:w="40"/>
              <w:right w:type="dxa" w:w="60"/>
            </w:tcMar>
          </w:tcPr>
          <w:p>
            <w:pPr>
              <w:jc w:val="left"/>
            </w:pPr>
            <w:r>
              <w:rPr>
                <w:b w:val="false"/>
                <w:bCs w:val="false"/>
                <w:color w:val="3060C0"/>
                <w:sz w:val="14"/>
                <w:szCs w:val="14"/>
              </w:rPr>
              <w:t xml:space="preserve">cnbc.com</w:t>
            </w:r>
          </w:p>
        </w:tc>
        <w:tc>
          <w:tcPr>
            <w:tcW w:type="dxa" w:w="900"/>
            <w:tcMar>
              <w:top w:type="dxa" w:w="40"/>
              <w:left w:type="dxa" w:w="60"/>
              <w:bottom w:type="dxa" w:w="40"/>
              <w:right w:type="dxa" w:w="60"/>
            </w:tcMar>
          </w:tcPr>
          <w:p>
            <w:pPr>
              <w:jc w:val="left"/>
            </w:pPr>
            <w:r>
              <w:rPr>
                <w:b w:val="false"/>
                <w:bCs w:val="false"/>
                <w:sz w:val="16"/>
                <w:szCs w:val="16"/>
              </w:rPr>
              <w:t xml:space="preserve">10 Jul</w:t>
            </w:r>
          </w:p>
        </w:tc>
        <w:tc>
          <w:tcPr>
            <w:tcW w:type="dxa" w:w="2260"/>
            <w:tcMar>
              <w:top w:type="dxa" w:w="40"/>
              <w:left w:type="dxa" w:w="60"/>
              <w:bottom w:type="dxa" w:w="40"/>
              <w:right w:type="dxa" w:w="60"/>
            </w:tcMar>
          </w:tcPr>
          <w:p>
            <w:pPr>
              <w:jc w:val="left"/>
            </w:pPr>
            <w:r>
              <w:rPr>
                <w:b w:val="false"/>
                <w:bCs w:val="false"/>
                <w:sz w:val="15"/>
                <w:szCs w:val="15"/>
              </w:rPr>
              <w:t xml:space="preserve">Stocks could get hit by a seasonal correction, Oppenheimer</w:t>
            </w:r>
          </w:p>
        </w:tc>
        <w:tc>
          <w:tcPr>
            <w:tcW w:type="dxa" w:w="1100"/>
            <w:tcMar>
              <w:top w:type="dxa" w:w="40"/>
              <w:left w:type="dxa" w:w="60"/>
              <w:bottom w:type="dxa" w:w="40"/>
              <w:right w:type="dxa" w:w="60"/>
            </w:tcMar>
          </w:tcPr>
          <w:p>
            <w:pPr>
              <w:jc w:val="left"/>
            </w:pPr>
            <w:r>
              <w:rPr>
                <w:b w:val="false"/>
                <w:bCs w:val="false"/>
                <w:sz w:val="16"/>
                <w:szCs w:val="16"/>
              </w:rPr>
              <w:t xml:space="preserve">Media</w:t>
            </w:r>
          </w:p>
        </w:tc>
        <w:tc>
          <w:tcPr>
            <w:tcW w:type="dxa" w:w="1100"/>
            <w:tcMar>
              <w:top w:type="dxa" w:w="40"/>
              <w:left w:type="dxa" w:w="60"/>
              <w:bottom w:type="dxa" w:w="40"/>
              <w:right w:type="dxa" w:w="60"/>
            </w:tcMar>
          </w:tcPr>
          <w:p>
            <w:pPr>
              <w:jc w:val="left"/>
            </w:pPr>
            <w:r>
              <w:rPr>
                <w:b w:val="false"/>
                <w:bCs w:val="false"/>
                <w:color w:val="B00020"/>
                <w:sz w:val="16"/>
                <w:szCs w:val="16"/>
              </w:rPr>
              <w:t xml:space="preserve">Bearish</w:t>
            </w:r>
          </w:p>
        </w:tc>
        <w:tc>
          <w:tcPr>
            <w:tcW w:type="dxa" w:w="1600"/>
            <w:tcMar>
              <w:top w:type="dxa" w:w="40"/>
              <w:left w:type="dxa" w:w="60"/>
              <w:bottom w:type="dxa" w:w="40"/>
              <w:right w:type="dxa" w:w="60"/>
            </w:tcMar>
          </w:tcPr>
          <w:p>
            <w:pPr>
              <w:jc w:val="left"/>
            </w:pPr>
            <w:r>
              <w:rPr>
                <w:b w:val="false"/>
                <w:bCs w:val="false"/>
                <w:sz w:val="14"/>
                <w:szCs w:val="14"/>
              </w:rPr>
              <w:t xml:space="preserve">“Stocks could get hit by a seasonal correction”</w:t>
            </w:r>
          </w:p>
        </w:tc>
      </w:tr>
      <w:tr>
        <w:tc>
          <w:tcPr>
            <w:tcW w:type="dxa" w:w="1250"/>
            <w:tcMar>
              <w:top w:type="dxa" w:w="40"/>
              <w:left w:type="dxa" w:w="60"/>
              <w:bottom w:type="dxa" w:w="40"/>
              <w:right w:type="dxa" w:w="60"/>
            </w:tcMar>
          </w:tcPr>
          <w:p>
            <w:pPr>
              <w:jc w:val="left"/>
            </w:pPr>
            <w:r>
              <w:rPr>
                <w:b/>
                <w:bCs/>
                <w:sz w:val="16"/>
                <w:szCs w:val="16"/>
              </w:rPr>
              <w:t xml:space="preserve">CNBC</w:t>
            </w:r>
          </w:p>
        </w:tc>
        <w:tc>
          <w:tcPr>
            <w:tcW w:type="dxa" w:w="1150"/>
            <w:tcMar>
              <w:top w:type="dxa" w:w="40"/>
              <w:left w:type="dxa" w:w="60"/>
              <w:bottom w:type="dxa" w:w="40"/>
              <w:right w:type="dxa" w:w="60"/>
            </w:tcMar>
          </w:tcPr>
          <w:p>
            <w:pPr>
              <w:jc w:val="left"/>
            </w:pPr>
            <w:r>
              <w:rPr>
                <w:b w:val="false"/>
                <w:bCs w:val="false"/>
                <w:color w:val="3060C0"/>
                <w:sz w:val="14"/>
                <w:szCs w:val="14"/>
              </w:rPr>
              <w:t xml:space="preserve">cnbc.com</w:t>
            </w:r>
          </w:p>
        </w:tc>
        <w:tc>
          <w:tcPr>
            <w:tcW w:type="dxa" w:w="900"/>
            <w:tcMar>
              <w:top w:type="dxa" w:w="40"/>
              <w:left w:type="dxa" w:w="60"/>
              <w:bottom w:type="dxa" w:w="40"/>
              <w:right w:type="dxa" w:w="60"/>
            </w:tcMar>
          </w:tcPr>
          <w:p>
            <w:pPr>
              <w:jc w:val="left"/>
            </w:pPr>
            <w:r>
              <w:rPr>
                <w:b w:val="false"/>
                <w:bCs w:val="false"/>
                <w:sz w:val="16"/>
                <w:szCs w:val="16"/>
              </w:rPr>
              <w:t xml:space="preserve">10 Jul</w:t>
            </w:r>
          </w:p>
        </w:tc>
        <w:tc>
          <w:tcPr>
            <w:tcW w:type="dxa" w:w="2260"/>
            <w:tcMar>
              <w:top w:type="dxa" w:w="40"/>
              <w:left w:type="dxa" w:w="60"/>
              <w:bottom w:type="dxa" w:w="40"/>
              <w:right w:type="dxa" w:w="60"/>
            </w:tcMar>
          </w:tcPr>
          <w:p>
            <w:pPr>
              <w:jc w:val="left"/>
            </w:pPr>
            <w:r>
              <w:rPr>
                <w:b w:val="false"/>
                <w:bCs w:val="false"/>
                <w:sz w:val="15"/>
                <w:szCs w:val="15"/>
              </w:rPr>
              <w:t xml:space="preserve">Stocks rise as investors await start of earnings season</w:t>
            </w:r>
          </w:p>
        </w:tc>
        <w:tc>
          <w:tcPr>
            <w:tcW w:type="dxa" w:w="1100"/>
            <w:tcMar>
              <w:top w:type="dxa" w:w="40"/>
              <w:left w:type="dxa" w:w="60"/>
              <w:bottom w:type="dxa" w:w="40"/>
              <w:right w:type="dxa" w:w="60"/>
            </w:tcMar>
          </w:tcPr>
          <w:p>
            <w:pPr>
              <w:jc w:val="left"/>
            </w:pPr>
            <w:r>
              <w:rPr>
                <w:b w:val="false"/>
                <w:bCs w:val="false"/>
                <w:sz w:val="16"/>
                <w:szCs w:val="16"/>
              </w:rPr>
              <w:t xml:space="preserve">Media</w:t>
            </w:r>
          </w:p>
        </w:tc>
        <w:tc>
          <w:tcPr>
            <w:tcW w:type="dxa" w:w="1100"/>
            <w:tcMar>
              <w:top w:type="dxa" w:w="40"/>
              <w:left w:type="dxa" w:w="60"/>
              <w:bottom w:type="dxa" w:w="40"/>
              <w:right w:type="dxa" w:w="60"/>
            </w:tcMar>
          </w:tcPr>
          <w:p>
            <w:pPr>
              <w:jc w:val="left"/>
            </w:pPr>
            <w:r>
              <w:rPr>
                <w:b w:val="false"/>
                <w:bCs w:val="false"/>
                <w:color w:val="666666"/>
                <w:sz w:val="16"/>
                <w:szCs w:val="16"/>
              </w:rPr>
              <w:t xml:space="preserve">Mixed</w:t>
            </w:r>
          </w:p>
        </w:tc>
        <w:tc>
          <w:tcPr>
            <w:tcW w:type="dxa" w:w="1600"/>
            <w:tcMar>
              <w:top w:type="dxa" w:w="40"/>
              <w:left w:type="dxa" w:w="60"/>
              <w:bottom w:type="dxa" w:w="40"/>
              <w:right w:type="dxa" w:w="60"/>
            </w:tcMar>
          </w:tcPr>
          <w:p>
            <w:pPr>
              <w:jc w:val="left"/>
            </w:pPr>
            <w:r>
              <w:rPr>
                <w:b w:val="false"/>
                <w:bCs w:val="false"/>
                <w:sz w:val="14"/>
                <w:szCs w:val="14"/>
              </w:rPr>
              <w:t xml:space="preserve">“Stocks rise… await the start of earnings season”</w:t>
            </w:r>
          </w:p>
        </w:tc>
      </w:tr>
    </w:tbl>
    <w:p>
      <w:pPr>
        <w:pStyle w:val="Heading2"/>
        <w:spacing w:after="80" w:before="180"/>
      </w:pPr>
      <w:r>
        <w:rPr>
          <w:b/>
          <w:bCs/>
          <w:color w:val="1F3864"/>
          <w:sz w:val="22"/>
          <w:szCs w:val="22"/>
        </w:rPr>
        <w:t xml:space="preserve">13b · Aggregate Sentiment Summary</w:t>
      </w:r>
    </w:p>
    <w:p>
      <w:pPr>
        <w:spacing w:after="100" w:line="276"/>
      </w:pPr>
      <w:r>
        <w:rPr>
          <w:sz w:val="20"/>
          <w:szCs w:val="20"/>
        </w:rPr>
        <w:t xml:space="preserve">Counts: 3 Bullish (1 institutional, 1 trade press, 1 media), 2 Bearish (1 institutional, 1 media), 2 Mixed (media) = </w:t>
      </w:r>
      <w:r>
        <w:rPr>
          <w:b/>
          <w:bCs/>
          <w:color w:val="2E7D32"/>
          <w:sz w:val="20"/>
          <w:szCs w:val="20"/>
        </w:rPr>
        <w:t xml:space="preserve">Predominantly Bullish (tilt = +0.21).</w:t>
      </w:r>
    </w:p>
    <w:p>
      <w:pPr>
        <w:spacing w:after="100" w:line="276"/>
      </w:pPr>
      <w:r>
        <w:rPr>
          <w:sz w:val="20"/>
          <w:szCs w:val="20"/>
        </w:rPr>
        <w:t xml:space="preserve">The numeric tilt is modest because two conviction-weighted bearish sources — a bank strategist's 7,100 call and an Oppenheimer seasonal-correction warning — offset the bullish majority. Divergence flag: sentiment </w:t>
      </w:r>
      <w:r>
        <w:rPr>
          <w:b/>
          <w:bCs/>
          <w:sz w:val="20"/>
          <w:szCs w:val="20"/>
        </w:rPr>
        <w:t xml:space="preserve">agrees</w:t>
      </w:r>
      <w:r>
        <w:rPr>
          <w:sz w:val="20"/>
          <w:szCs w:val="20"/>
        </w:rPr>
        <w:t xml:space="preserve"> with current price action (rising into highs) and with the §9 bias; no divergence. Confidence is adequate (seven articles, above the three-article floor).</w:t>
      </w:r>
    </w:p>
    <w:p>
      <w:pPr>
        <w:pStyle w:val="Heading2"/>
        <w:spacing w:after="80" w:before="180"/>
      </w:pPr>
      <w:r>
        <w:rPr>
          <w:b/>
          <w:bCs/>
          <w:color w:val="1F3864"/>
          <w:sz w:val="22"/>
          <w:szCs w:val="22"/>
        </w:rPr>
        <w:t xml:space="preserve">13c ·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2400"/>
        <w:gridCol w:w="900"/>
        <w:gridCol w:w="2410"/>
      </w:tblGrid>
      <w:tr>
        <w:trPr>
          <w:tblHeader/>
        </w:trPr>
        <w:tc>
          <w:tcPr>
            <w:tcW w:type="dxa" w:w="1250"/>
            <w:shd w:fill="1F3864" w:color="auto" w:val="clear"/>
            <w:tcMar>
              <w:top w:type="dxa" w:w="40"/>
              <w:left w:type="dxa" w:w="60"/>
              <w:bottom w:type="dxa" w:w="40"/>
              <w:right w:type="dxa" w:w="60"/>
            </w:tcMar>
          </w:tcPr>
          <w:p>
            <w:pPr>
              <w:jc w:val="left"/>
            </w:pPr>
            <w:r>
              <w:rPr>
                <w:b/>
                <w:bCs/>
                <w:color w:val="FFFFFF"/>
                <w:sz w:val="18"/>
                <w:szCs w:val="18"/>
              </w:rPr>
              <w:t xml:space="preserve">Date</w:t>
            </w:r>
          </w:p>
        </w:tc>
        <w:tc>
          <w:tcPr>
            <w:tcW w:type="dxa" w:w="2400"/>
            <w:shd w:fill="1F3864" w:color="auto" w:val="clear"/>
            <w:tcMar>
              <w:top w:type="dxa" w:w="40"/>
              <w:left w:type="dxa" w:w="60"/>
              <w:bottom w:type="dxa" w:w="40"/>
              <w:right w:type="dxa" w:w="60"/>
            </w:tcMar>
          </w:tcPr>
          <w:p>
            <w:pPr>
              <w:jc w:val="left"/>
            </w:pPr>
            <w:r>
              <w:rPr>
                <w:b/>
                <w:bCs/>
                <w:color w:val="FFFFFF"/>
                <w:sz w:val="18"/>
                <w:szCs w:val="18"/>
              </w:rPr>
              <w:t xml:space="preserve">Event</w:t>
            </w:r>
          </w:p>
        </w:tc>
        <w:tc>
          <w:tcPr>
            <w:tcW w:type="dxa" w:w="2400"/>
            <w:shd w:fill="1F3864" w:color="auto" w:val="clear"/>
            <w:tcMar>
              <w:top w:type="dxa" w:w="40"/>
              <w:left w:type="dxa" w:w="60"/>
              <w:bottom w:type="dxa" w:w="40"/>
              <w:right w:type="dxa" w:w="60"/>
            </w:tcMar>
          </w:tcPr>
          <w:p>
            <w:pPr>
              <w:jc w:val="left"/>
            </w:pPr>
            <w:r>
              <w:rPr>
                <w:b/>
                <w:bCs/>
                <w:color w:val="FFFFFF"/>
                <w:sz w:val="18"/>
                <w:szCs w:val="18"/>
              </w:rPr>
              <w:t xml:space="preserve">Prior / Context</w:t>
            </w:r>
          </w:p>
        </w:tc>
        <w:tc>
          <w:tcPr>
            <w:tcW w:type="dxa" w:w="900"/>
            <w:shd w:fill="1F3864" w:color="auto" w:val="clear"/>
            <w:tcMar>
              <w:top w:type="dxa" w:w="40"/>
              <w:left w:type="dxa" w:w="60"/>
              <w:bottom w:type="dxa" w:w="40"/>
              <w:right w:type="dxa" w:w="60"/>
            </w:tcMar>
          </w:tcPr>
          <w:p>
            <w:pPr>
              <w:jc w:val="left"/>
            </w:pPr>
            <w:r>
              <w:rPr>
                <w:b/>
                <w:bCs/>
                <w:color w:val="FFFFFF"/>
                <w:sz w:val="18"/>
                <w:szCs w:val="18"/>
              </w:rPr>
              <w:t xml:space="preserve">Impact</w:t>
            </w:r>
          </w:p>
        </w:tc>
        <w:tc>
          <w:tcPr>
            <w:tcW w:type="dxa" w:w="2410"/>
            <w:shd w:fill="1F3864" w:color="auto" w:val="clear"/>
            <w:tcMar>
              <w:top w:type="dxa" w:w="40"/>
              <w:left w:type="dxa" w:w="60"/>
              <w:bottom w:type="dxa" w:w="40"/>
              <w:right w:type="dxa" w:w="60"/>
            </w:tcMar>
          </w:tcPr>
          <w:p>
            <w:pPr>
              <w:jc w:val="left"/>
            </w:pPr>
            <w:r>
              <w:rPr>
                <w:b/>
                <w:bCs/>
                <w:color w:val="FFFFFF"/>
                <w:sz w:val="18"/>
                <w:szCs w:val="18"/>
              </w:rPr>
              <w:t xml:space="preserve">Market implication</w:t>
            </w:r>
          </w:p>
        </w:tc>
      </w:tr>
      <w:tr>
        <w:tc>
          <w:tcPr>
            <w:tcW w:type="dxa" w:w="1250"/>
            <w:tcMar>
              <w:top w:type="dxa" w:w="40"/>
              <w:left w:type="dxa" w:w="60"/>
              <w:bottom w:type="dxa" w:w="40"/>
              <w:right w:type="dxa" w:w="60"/>
            </w:tcMar>
          </w:tcPr>
          <w:p>
            <w:pPr>
              <w:jc w:val="left"/>
            </w:pPr>
            <w:r>
              <w:rPr>
                <w:b w:val="false"/>
                <w:bCs w:val="false"/>
                <w:sz w:val="16"/>
                <w:szCs w:val="16"/>
              </w:rPr>
              <w:t xml:space="preserve">Tue 7 Jul</w:t>
            </w:r>
          </w:p>
        </w:tc>
        <w:tc>
          <w:tcPr>
            <w:tcW w:type="dxa" w:w="2400"/>
            <w:tcMar>
              <w:top w:type="dxa" w:w="40"/>
              <w:left w:type="dxa" w:w="60"/>
              <w:bottom w:type="dxa" w:w="40"/>
              <w:right w:type="dxa" w:w="60"/>
            </w:tcMar>
          </w:tcPr>
          <w:p>
            <w:pPr>
              <w:jc w:val="left"/>
            </w:pPr>
            <w:r>
              <w:rPr>
                <w:b w:val="false"/>
                <w:bCs w:val="false"/>
                <w:sz w:val="16"/>
                <w:szCs w:val="16"/>
              </w:rPr>
              <w:t xml:space="preserve">US–Iran tension flare-up / oil spike</w:t>
            </w:r>
          </w:p>
        </w:tc>
        <w:tc>
          <w:tcPr>
            <w:tcW w:type="dxa" w:w="2400"/>
            <w:tcMar>
              <w:top w:type="dxa" w:w="40"/>
              <w:left w:type="dxa" w:w="60"/>
              <w:bottom w:type="dxa" w:w="40"/>
              <w:right w:type="dxa" w:w="60"/>
            </w:tcMar>
          </w:tcPr>
          <w:p>
            <w:pPr>
              <w:jc w:val="left"/>
            </w:pPr>
            <w:r>
              <w:rPr>
                <w:b w:val="false"/>
                <w:bCs w:val="false"/>
                <w:sz w:val="16"/>
                <w:szCs w:val="16"/>
              </w:rPr>
              <w:t xml:space="preserve">Ceasefire in question</w:t>
            </w:r>
          </w:p>
        </w:tc>
        <w:tc>
          <w:tcPr>
            <w:tcW w:type="dxa" w:w="900"/>
            <w:tcMar>
              <w:top w:type="dxa" w:w="40"/>
              <w:left w:type="dxa" w:w="60"/>
              <w:bottom w:type="dxa" w:w="40"/>
              <w:right w:type="dxa" w:w="60"/>
            </w:tcMar>
          </w:tcPr>
          <w:p>
            <w:pPr>
              <w:jc w:val="center"/>
            </w:pPr>
            <w:r>
              <w:rPr>
                <w:b w:val="false"/>
                <w:bCs w:val="false"/>
                <w:sz w:val="16"/>
                <w:szCs w:val="16"/>
              </w:rPr>
              <w:t xml:space="preserve">High</w:t>
            </w:r>
          </w:p>
        </w:tc>
        <w:tc>
          <w:tcPr>
            <w:tcW w:type="dxa" w:w="2410"/>
            <w:tcMar>
              <w:top w:type="dxa" w:w="40"/>
              <w:left w:type="dxa" w:w="60"/>
              <w:bottom w:type="dxa" w:w="40"/>
              <w:right w:type="dxa" w:w="60"/>
            </w:tcMar>
          </w:tcPr>
          <w:p>
            <w:pPr>
              <w:jc w:val="left"/>
            </w:pPr>
            <w:r>
              <w:rPr>
                <w:b w:val="false"/>
                <w:bCs w:val="false"/>
                <w:sz w:val="15"/>
                <w:szCs w:val="15"/>
              </w:rPr>
              <w:t xml:space="preserve">Risk-off; SPX −0.45%, oil +; 8 Jul low tested 7,421</w:t>
            </w:r>
          </w:p>
        </w:tc>
      </w:tr>
      <w:tr>
        <w:tc>
          <w:tcPr>
            <w:tcW w:type="dxa" w:w="1250"/>
            <w:tcMar>
              <w:top w:type="dxa" w:w="40"/>
              <w:left w:type="dxa" w:w="60"/>
              <w:bottom w:type="dxa" w:w="40"/>
              <w:right w:type="dxa" w:w="60"/>
            </w:tcMar>
          </w:tcPr>
          <w:p>
            <w:pPr>
              <w:jc w:val="left"/>
            </w:pPr>
            <w:r>
              <w:rPr>
                <w:b w:val="false"/>
                <w:bCs w:val="false"/>
                <w:sz w:val="16"/>
                <w:szCs w:val="16"/>
              </w:rPr>
              <w:t xml:space="preserve">Wed 8 Jul</w:t>
            </w:r>
          </w:p>
        </w:tc>
        <w:tc>
          <w:tcPr>
            <w:tcW w:type="dxa" w:w="2400"/>
            <w:tcMar>
              <w:top w:type="dxa" w:w="40"/>
              <w:left w:type="dxa" w:w="60"/>
              <w:bottom w:type="dxa" w:w="40"/>
              <w:right w:type="dxa" w:w="60"/>
            </w:tcMar>
          </w:tcPr>
          <w:p>
            <w:pPr>
              <w:jc w:val="left"/>
            </w:pPr>
            <w:r>
              <w:rPr>
                <w:b w:val="false"/>
                <w:bCs w:val="false"/>
                <w:sz w:val="16"/>
                <w:szCs w:val="16"/>
              </w:rPr>
              <w:t xml:space="preserve">Trump declares US–Iran understanding 'over'</w:t>
            </w:r>
          </w:p>
        </w:tc>
        <w:tc>
          <w:tcPr>
            <w:tcW w:type="dxa" w:w="2400"/>
            <w:tcMar>
              <w:top w:type="dxa" w:w="40"/>
              <w:left w:type="dxa" w:w="60"/>
              <w:bottom w:type="dxa" w:w="40"/>
              <w:right w:type="dxa" w:w="60"/>
            </w:tcMar>
          </w:tcPr>
          <w:p>
            <w:pPr>
              <w:jc w:val="left"/>
            </w:pPr>
            <w:r>
              <w:rPr>
                <w:b w:val="false"/>
                <w:bCs w:val="false"/>
                <w:sz w:val="16"/>
                <w:szCs w:val="16"/>
              </w:rPr>
              <w:t xml:space="preserve">Escalation</w:t>
            </w:r>
          </w:p>
        </w:tc>
        <w:tc>
          <w:tcPr>
            <w:tcW w:type="dxa" w:w="900"/>
            <w:tcMar>
              <w:top w:type="dxa" w:w="40"/>
              <w:left w:type="dxa" w:w="60"/>
              <w:bottom w:type="dxa" w:w="40"/>
              <w:right w:type="dxa" w:w="60"/>
            </w:tcMar>
          </w:tcPr>
          <w:p>
            <w:pPr>
              <w:jc w:val="center"/>
            </w:pPr>
            <w:r>
              <w:rPr>
                <w:b w:val="false"/>
                <w:bCs w:val="false"/>
                <w:sz w:val="16"/>
                <w:szCs w:val="16"/>
              </w:rPr>
              <w:t xml:space="preserve">High</w:t>
            </w:r>
          </w:p>
        </w:tc>
        <w:tc>
          <w:tcPr>
            <w:tcW w:type="dxa" w:w="2410"/>
            <w:tcMar>
              <w:top w:type="dxa" w:w="40"/>
              <w:left w:type="dxa" w:w="60"/>
              <w:bottom w:type="dxa" w:w="40"/>
              <w:right w:type="dxa" w:w="60"/>
            </w:tcMar>
          </w:tcPr>
          <w:p>
            <w:pPr>
              <w:jc w:val="left"/>
            </w:pPr>
            <w:r>
              <w:rPr>
                <w:b w:val="false"/>
                <w:bCs w:val="false"/>
                <w:sz w:val="15"/>
                <w:szCs w:val="15"/>
              </w:rPr>
              <w:t xml:space="preserve">SPX −0.28% intraday low; strong close recovery</w:t>
            </w:r>
          </w:p>
        </w:tc>
      </w:tr>
      <w:tr>
        <w:tc>
          <w:tcPr>
            <w:tcW w:type="dxa" w:w="1250"/>
            <w:tcMar>
              <w:top w:type="dxa" w:w="40"/>
              <w:left w:type="dxa" w:w="60"/>
              <w:bottom w:type="dxa" w:w="40"/>
              <w:right w:type="dxa" w:w="60"/>
            </w:tcMar>
          </w:tcPr>
          <w:p>
            <w:pPr>
              <w:jc w:val="left"/>
            </w:pPr>
            <w:r>
              <w:rPr>
                <w:b w:val="false"/>
                <w:bCs w:val="false"/>
                <w:sz w:val="16"/>
                <w:szCs w:val="16"/>
              </w:rPr>
              <w:t xml:space="preserve">Thu 9 Jul</w:t>
            </w:r>
          </w:p>
        </w:tc>
        <w:tc>
          <w:tcPr>
            <w:tcW w:type="dxa" w:w="2400"/>
            <w:tcMar>
              <w:top w:type="dxa" w:w="40"/>
              <w:left w:type="dxa" w:w="60"/>
              <w:bottom w:type="dxa" w:w="40"/>
              <w:right w:type="dxa" w:w="60"/>
            </w:tcMar>
          </w:tcPr>
          <w:p>
            <w:pPr>
              <w:jc w:val="left"/>
            </w:pPr>
            <w:r>
              <w:rPr>
                <w:b w:val="false"/>
                <w:bCs w:val="false"/>
                <w:sz w:val="16"/>
                <w:szCs w:val="16"/>
              </w:rPr>
              <w:t xml:space="preserve">Chip rebound / oil slips / SK Hynix debut</w:t>
            </w:r>
          </w:p>
        </w:tc>
        <w:tc>
          <w:tcPr>
            <w:tcW w:type="dxa" w:w="2400"/>
            <w:tcMar>
              <w:top w:type="dxa" w:w="40"/>
              <w:left w:type="dxa" w:w="60"/>
              <w:bottom w:type="dxa" w:w="40"/>
              <w:right w:type="dxa" w:w="60"/>
            </w:tcMar>
          </w:tcPr>
          <w:p>
            <w:pPr>
              <w:jc w:val="left"/>
            </w:pPr>
            <w:r>
              <w:rPr>
                <w:b w:val="false"/>
                <w:bCs w:val="false"/>
                <w:sz w:val="16"/>
                <w:szCs w:val="16"/>
              </w:rPr>
              <w:t xml:space="preserve">Semis oversold</w:t>
            </w:r>
          </w:p>
        </w:tc>
        <w:tc>
          <w:tcPr>
            <w:tcW w:type="dxa" w:w="900"/>
            <w:tcMar>
              <w:top w:type="dxa" w:w="40"/>
              <w:left w:type="dxa" w:w="60"/>
              <w:bottom w:type="dxa" w:w="40"/>
              <w:right w:type="dxa" w:w="60"/>
            </w:tcMar>
          </w:tcPr>
          <w:p>
            <w:pPr>
              <w:jc w:val="center"/>
            </w:pPr>
            <w:r>
              <w:rPr>
                <w:b w:val="false"/>
                <w:bCs w:val="false"/>
                <w:sz w:val="16"/>
                <w:szCs w:val="16"/>
              </w:rPr>
              <w:t xml:space="preserve">High</w:t>
            </w:r>
          </w:p>
        </w:tc>
        <w:tc>
          <w:tcPr>
            <w:tcW w:type="dxa" w:w="2410"/>
            <w:tcMar>
              <w:top w:type="dxa" w:w="40"/>
              <w:left w:type="dxa" w:w="60"/>
              <w:bottom w:type="dxa" w:w="40"/>
              <w:right w:type="dxa" w:w="60"/>
            </w:tcMar>
          </w:tcPr>
          <w:p>
            <w:pPr>
              <w:jc w:val="left"/>
            </w:pPr>
            <w:r>
              <w:rPr>
                <w:b w:val="false"/>
                <w:bCs w:val="false"/>
                <w:sz w:val="15"/>
                <w:szCs w:val="15"/>
              </w:rPr>
              <w:t xml:space="preserve">SPX +0.81% to 7,543; Micron +4.5%</w:t>
            </w:r>
          </w:p>
        </w:tc>
      </w:tr>
      <w:tr>
        <w:tc>
          <w:tcPr>
            <w:tcW w:type="dxa" w:w="1250"/>
            <w:tcMar>
              <w:top w:type="dxa" w:w="40"/>
              <w:left w:type="dxa" w:w="60"/>
              <w:bottom w:type="dxa" w:w="40"/>
              <w:right w:type="dxa" w:w="60"/>
            </w:tcMar>
          </w:tcPr>
          <w:p>
            <w:pPr>
              <w:jc w:val="left"/>
            </w:pPr>
            <w:r>
              <w:rPr>
                <w:b w:val="false"/>
                <w:bCs w:val="false"/>
                <w:sz w:val="16"/>
                <w:szCs w:val="16"/>
              </w:rPr>
              <w:t xml:space="preserve">Fri 10 Jul</w:t>
            </w:r>
          </w:p>
        </w:tc>
        <w:tc>
          <w:tcPr>
            <w:tcW w:type="dxa" w:w="2400"/>
            <w:tcMar>
              <w:top w:type="dxa" w:w="40"/>
              <w:left w:type="dxa" w:w="60"/>
              <w:bottom w:type="dxa" w:w="40"/>
              <w:right w:type="dxa" w:w="60"/>
            </w:tcMar>
          </w:tcPr>
          <w:p>
            <w:pPr>
              <w:jc w:val="left"/>
            </w:pPr>
            <w:r>
              <w:rPr>
                <w:b w:val="false"/>
                <w:bCs w:val="false"/>
                <w:sz w:val="16"/>
                <w:szCs w:val="16"/>
              </w:rPr>
              <w:t xml:space="preserve">Mega-cap tech leadership (NVDA, META)</w:t>
            </w:r>
          </w:p>
        </w:tc>
        <w:tc>
          <w:tcPr>
            <w:tcW w:type="dxa" w:w="2400"/>
            <w:tcMar>
              <w:top w:type="dxa" w:w="40"/>
              <w:left w:type="dxa" w:w="60"/>
              <w:bottom w:type="dxa" w:w="40"/>
              <w:right w:type="dxa" w:w="60"/>
            </w:tcMar>
          </w:tcPr>
          <w:p>
            <w:pPr>
              <w:jc w:val="left"/>
            </w:pPr>
            <w:r>
              <w:rPr>
                <w:b w:val="false"/>
                <w:bCs w:val="false"/>
                <w:sz w:val="16"/>
                <w:szCs w:val="16"/>
              </w:rPr>
              <w:t xml:space="preserve">BofA buy on Meta</w:t>
            </w:r>
          </w:p>
        </w:tc>
        <w:tc>
          <w:tcPr>
            <w:tcW w:type="dxa" w:w="900"/>
            <w:tcMar>
              <w:top w:type="dxa" w:w="40"/>
              <w:left w:type="dxa" w:w="60"/>
              <w:bottom w:type="dxa" w:w="40"/>
              <w:right w:type="dxa" w:w="60"/>
            </w:tcMar>
          </w:tcPr>
          <w:p>
            <w:pPr>
              <w:jc w:val="center"/>
            </w:pPr>
            <w:r>
              <w:rPr>
                <w:b w:val="false"/>
                <w:bCs w:val="false"/>
                <w:sz w:val="16"/>
                <w:szCs w:val="16"/>
              </w:rPr>
              <w:t xml:space="preserve">Medium</w:t>
            </w:r>
          </w:p>
        </w:tc>
        <w:tc>
          <w:tcPr>
            <w:tcW w:type="dxa" w:w="2410"/>
            <w:tcMar>
              <w:top w:type="dxa" w:w="40"/>
              <w:left w:type="dxa" w:w="60"/>
              <w:bottom w:type="dxa" w:w="40"/>
              <w:right w:type="dxa" w:w="60"/>
            </w:tcMar>
          </w:tcPr>
          <w:p>
            <w:pPr>
              <w:jc w:val="left"/>
            </w:pPr>
            <w:r>
              <w:rPr>
                <w:b w:val="false"/>
                <w:bCs w:val="false"/>
                <w:sz w:val="15"/>
                <w:szCs w:val="15"/>
              </w:rPr>
              <w:t xml:space="preserve">SPX +0.42% to 7,575, sequence high</w:t>
            </w:r>
          </w:p>
        </w:tc>
      </w:tr>
    </w:tbl>
    <w:p>
      <w:pPr>
        <w:pStyle w:val="Heading2"/>
        <w:spacing w:after="80" w:before="180"/>
      </w:pPr>
      <w:r>
        <w:rPr>
          <w:b/>
          <w:bCs/>
          <w:color w:val="1F3864"/>
          <w:sz w:val="22"/>
          <w:szCs w:val="22"/>
        </w:rPr>
        <w:t xml:space="preserve">13d ·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2200"/>
        <w:gridCol w:w="900"/>
        <w:gridCol w:w="2410"/>
      </w:tblGrid>
      <w:tr>
        <w:trPr>
          <w:tblHeader/>
        </w:trPr>
        <w:tc>
          <w:tcPr>
            <w:tcW w:type="dxa" w:w="1250"/>
            <w:shd w:fill="1F3864" w:color="auto" w:val="clear"/>
            <w:tcMar>
              <w:top w:type="dxa" w:w="40"/>
              <w:left w:type="dxa" w:w="60"/>
              <w:bottom w:type="dxa" w:w="40"/>
              <w:right w:type="dxa" w:w="60"/>
            </w:tcMar>
          </w:tcPr>
          <w:p>
            <w:pPr>
              <w:jc w:val="left"/>
            </w:pPr>
            <w:r>
              <w:rPr>
                <w:b/>
                <w:bCs/>
                <w:color w:val="FFFFFF"/>
                <w:sz w:val="18"/>
                <w:szCs w:val="18"/>
              </w:rPr>
              <w:t xml:space="preserve">Date</w:t>
            </w:r>
          </w:p>
        </w:tc>
        <w:tc>
          <w:tcPr>
            <w:tcW w:type="dxa" w:w="2600"/>
            <w:shd w:fill="1F3864" w:color="auto" w:val="clear"/>
            <w:tcMar>
              <w:top w:type="dxa" w:w="40"/>
              <w:left w:type="dxa" w:w="60"/>
              <w:bottom w:type="dxa" w:w="40"/>
              <w:right w:type="dxa" w:w="60"/>
            </w:tcMar>
          </w:tcPr>
          <w:p>
            <w:pPr>
              <w:jc w:val="left"/>
            </w:pPr>
            <w:r>
              <w:rPr>
                <w:b/>
                <w:bCs/>
                <w:color w:val="FFFFFF"/>
                <w:sz w:val="18"/>
                <w:szCs w:val="18"/>
              </w:rPr>
              <w:t xml:space="preserve">Event</w:t>
            </w:r>
          </w:p>
        </w:tc>
        <w:tc>
          <w:tcPr>
            <w:tcW w:type="dxa" w:w="2200"/>
            <w:shd w:fill="1F3864" w:color="auto" w:val="clear"/>
            <w:tcMar>
              <w:top w:type="dxa" w:w="40"/>
              <w:left w:type="dxa" w:w="60"/>
              <w:bottom w:type="dxa" w:w="40"/>
              <w:right w:type="dxa" w:w="60"/>
            </w:tcMar>
          </w:tcPr>
          <w:p>
            <w:pPr>
              <w:jc w:val="left"/>
            </w:pPr>
            <w:r>
              <w:rPr>
                <w:b/>
                <w:bCs/>
                <w:color w:val="FFFFFF"/>
                <w:sz w:val="18"/>
                <w:szCs w:val="18"/>
              </w:rPr>
              <w:t xml:space="preserve">Context</w:t>
            </w:r>
          </w:p>
        </w:tc>
        <w:tc>
          <w:tcPr>
            <w:tcW w:type="dxa" w:w="900"/>
            <w:shd w:fill="1F3864" w:color="auto" w:val="clear"/>
            <w:tcMar>
              <w:top w:type="dxa" w:w="40"/>
              <w:left w:type="dxa" w:w="60"/>
              <w:bottom w:type="dxa" w:w="40"/>
              <w:right w:type="dxa" w:w="60"/>
            </w:tcMar>
          </w:tcPr>
          <w:p>
            <w:pPr>
              <w:jc w:val="left"/>
            </w:pPr>
            <w:r>
              <w:rPr>
                <w:b/>
                <w:bCs/>
                <w:color w:val="FFFFFF"/>
                <w:sz w:val="18"/>
                <w:szCs w:val="18"/>
              </w:rPr>
              <w:t xml:space="preserve">Impact</w:t>
            </w:r>
          </w:p>
        </w:tc>
        <w:tc>
          <w:tcPr>
            <w:tcW w:type="dxa" w:w="2410"/>
            <w:shd w:fill="1F3864" w:color="auto" w:val="clear"/>
            <w:tcMar>
              <w:top w:type="dxa" w:w="40"/>
              <w:left w:type="dxa" w:w="60"/>
              <w:bottom w:type="dxa" w:w="40"/>
              <w:right w:type="dxa" w:w="60"/>
            </w:tcMar>
          </w:tcPr>
          <w:p>
            <w:pPr>
              <w:jc w:val="left"/>
            </w:pPr>
            <w:r>
              <w:rPr>
                <w:b/>
                <w:bCs/>
                <w:color w:val="FFFFFF"/>
                <w:sz w:val="18"/>
                <w:szCs w:val="18"/>
              </w:rPr>
              <w:t xml:space="preserve">Market implication</w:t>
            </w:r>
          </w:p>
        </w:tc>
      </w:tr>
      <w:tr>
        <w:tc>
          <w:tcPr>
            <w:tcW w:type="dxa" w:w="1250"/>
            <w:tcMar>
              <w:top w:type="dxa" w:w="40"/>
              <w:left w:type="dxa" w:w="60"/>
              <w:bottom w:type="dxa" w:w="40"/>
              <w:right w:type="dxa" w:w="60"/>
            </w:tcMar>
          </w:tcPr>
          <w:p>
            <w:pPr>
              <w:jc w:val="left"/>
            </w:pPr>
            <w:r>
              <w:rPr>
                <w:b/>
                <w:bCs/>
                <w:sz w:val="15"/>
                <w:szCs w:val="15"/>
              </w:rPr>
              <w:t xml:space="preserve">Tue 14–15 Jul</w:t>
            </w:r>
          </w:p>
        </w:tc>
        <w:tc>
          <w:tcPr>
            <w:tcW w:type="dxa" w:w="2600"/>
            <w:tcMar>
              <w:top w:type="dxa" w:w="40"/>
              <w:left w:type="dxa" w:w="60"/>
              <w:bottom w:type="dxa" w:w="40"/>
              <w:right w:type="dxa" w:w="60"/>
            </w:tcMar>
          </w:tcPr>
          <w:p>
            <w:pPr>
              <w:jc w:val="left"/>
            </w:pPr>
            <w:r>
              <w:rPr>
                <w:b/>
                <w:bCs/>
                <w:color w:val="AD1457"/>
                <w:sz w:val="15"/>
                <w:szCs w:val="15"/>
              </w:rPr>
              <w:t xml:space="preserve">Q2 bank earnings — JPMorgan, banks</w:t>
            </w:r>
          </w:p>
        </w:tc>
        <w:tc>
          <w:tcPr>
            <w:tcW w:type="dxa" w:w="2200"/>
            <w:tcMar>
              <w:top w:type="dxa" w:w="40"/>
              <w:left w:type="dxa" w:w="60"/>
              <w:bottom w:type="dxa" w:w="40"/>
              <w:right w:type="dxa" w:w="60"/>
            </w:tcMar>
          </w:tcPr>
          <w:p>
            <w:pPr>
              <w:jc w:val="left"/>
            </w:pPr>
            <w:r>
              <w:rPr>
                <w:b/>
                <w:bCs/>
                <w:sz w:val="15"/>
                <w:szCs w:val="15"/>
              </w:rPr>
              <w:t xml:space="preserve">Season kickoff</w:t>
            </w:r>
          </w:p>
        </w:tc>
        <w:tc>
          <w:tcPr>
            <w:tcW w:type="dxa" w:w="900"/>
            <w:tcMar>
              <w:top w:type="dxa" w:w="40"/>
              <w:left w:type="dxa" w:w="60"/>
              <w:bottom w:type="dxa" w:w="40"/>
              <w:right w:type="dxa" w:w="60"/>
            </w:tcMar>
          </w:tcPr>
          <w:p>
            <w:pPr>
              <w:jc w:val="center"/>
            </w:pPr>
            <w:r>
              <w:rPr>
                <w:b/>
                <w:bCs/>
                <w:sz w:val="16"/>
                <w:szCs w:val="16"/>
              </w:rPr>
              <w:t xml:space="preserve">High</w:t>
            </w:r>
          </w:p>
        </w:tc>
        <w:tc>
          <w:tcPr>
            <w:tcW w:type="dxa" w:w="2410"/>
            <w:tcMar>
              <w:top w:type="dxa" w:w="40"/>
              <w:left w:type="dxa" w:w="60"/>
              <w:bottom w:type="dxa" w:w="40"/>
              <w:right w:type="dxa" w:w="60"/>
            </w:tcMar>
          </w:tcPr>
          <w:p>
            <w:pPr>
              <w:jc w:val="left"/>
            </w:pPr>
            <w:r>
              <w:rPr>
                <w:b/>
                <w:bCs/>
                <w:sz w:val="15"/>
                <w:szCs w:val="15"/>
              </w:rPr>
              <w:t xml:space="preserve">Beat → validates earnings thesis, push to 7,620/8,000; miss → breaks bullish flag</w:t>
            </w:r>
          </w:p>
        </w:tc>
      </w:tr>
      <w:tr>
        <w:tc>
          <w:tcPr>
            <w:tcW w:type="dxa" w:w="1250"/>
            <w:tcMar>
              <w:top w:type="dxa" w:w="40"/>
              <w:left w:type="dxa" w:w="60"/>
              <w:bottom w:type="dxa" w:w="40"/>
              <w:right w:type="dxa" w:w="60"/>
            </w:tcMar>
          </w:tcPr>
          <w:p>
            <w:pPr>
              <w:jc w:val="left"/>
            </w:pPr>
            <w:r>
              <w:rPr>
                <w:b w:val="false"/>
                <w:bCs w:val="false"/>
                <w:sz w:val="15"/>
                <w:szCs w:val="15"/>
              </w:rPr>
              <w:t xml:space="preserve">Wk 14 Jul</w:t>
            </w:r>
          </w:p>
        </w:tc>
        <w:tc>
          <w:tcPr>
            <w:tcW w:type="dxa" w:w="2600"/>
            <w:tcMar>
              <w:top w:type="dxa" w:w="40"/>
              <w:left w:type="dxa" w:w="60"/>
              <w:bottom w:type="dxa" w:w="40"/>
              <w:right w:type="dxa" w:w="60"/>
            </w:tcMar>
          </w:tcPr>
          <w:p>
            <w:pPr>
              <w:jc w:val="left"/>
            </w:pPr>
            <w:r>
              <w:rPr>
                <w:b w:val="false"/>
                <w:bCs w:val="false"/>
                <w:sz w:val="15"/>
                <w:szCs w:val="15"/>
              </w:rPr>
              <w:t xml:space="preserve">Mega-cap tech + Netflix results</w:t>
            </w:r>
          </w:p>
        </w:tc>
        <w:tc>
          <w:tcPr>
            <w:tcW w:type="dxa" w:w="2200"/>
            <w:tcMar>
              <w:top w:type="dxa" w:w="40"/>
              <w:left w:type="dxa" w:w="60"/>
              <w:bottom w:type="dxa" w:w="40"/>
              <w:right w:type="dxa" w:w="60"/>
            </w:tcMar>
          </w:tcPr>
          <w:p>
            <w:pPr>
              <w:jc w:val="left"/>
            </w:pPr>
            <w:r>
              <w:rPr>
                <w:b w:val="false"/>
                <w:bCs w:val="false"/>
                <w:sz w:val="15"/>
                <w:szCs w:val="15"/>
              </w:rPr>
              <w:t xml:space="preserve">Mag-7 in focus</w:t>
            </w:r>
          </w:p>
        </w:tc>
        <w:tc>
          <w:tcPr>
            <w:tcW w:type="dxa" w:w="900"/>
            <w:tcMar>
              <w:top w:type="dxa" w:w="40"/>
              <w:left w:type="dxa" w:w="60"/>
              <w:bottom w:type="dxa" w:w="40"/>
              <w:right w:type="dxa" w:w="60"/>
            </w:tcMar>
          </w:tcPr>
          <w:p>
            <w:pPr>
              <w:jc w:val="center"/>
            </w:pPr>
            <w:r>
              <w:rPr>
                <w:b w:val="false"/>
                <w:bCs w:val="false"/>
                <w:sz w:val="16"/>
                <w:szCs w:val="16"/>
              </w:rPr>
              <w:t xml:space="preserve">High</w:t>
            </w:r>
          </w:p>
        </w:tc>
        <w:tc>
          <w:tcPr>
            <w:tcW w:type="dxa" w:w="2410"/>
            <w:tcMar>
              <w:top w:type="dxa" w:w="40"/>
              <w:left w:type="dxa" w:w="60"/>
              <w:bottom w:type="dxa" w:w="40"/>
              <w:right w:type="dxa" w:w="60"/>
            </w:tcMar>
          </w:tcPr>
          <w:p>
            <w:pPr>
              <w:jc w:val="left"/>
            </w:pPr>
            <w:r>
              <w:rPr>
                <w:b w:val="false"/>
                <w:bCs w:val="false"/>
                <w:sz w:val="15"/>
                <w:szCs w:val="15"/>
              </w:rPr>
              <w:t xml:space="preserve">Guidance on AI cost structure drives concentrated leaders</w:t>
            </w:r>
          </w:p>
        </w:tc>
      </w:tr>
      <w:tr>
        <w:tc>
          <w:tcPr>
            <w:tcW w:type="dxa" w:w="1250"/>
            <w:tcMar>
              <w:top w:type="dxa" w:w="40"/>
              <w:left w:type="dxa" w:w="60"/>
              <w:bottom w:type="dxa" w:w="40"/>
              <w:right w:type="dxa" w:w="60"/>
            </w:tcMar>
          </w:tcPr>
          <w:p>
            <w:pPr>
              <w:jc w:val="left"/>
            </w:pPr>
            <w:r>
              <w:rPr>
                <w:b w:val="false"/>
                <w:bCs w:val="false"/>
                <w:sz w:val="15"/>
                <w:szCs w:val="15"/>
              </w:rPr>
              <w:t xml:space="preserve">Wk 14 Jul</w:t>
            </w:r>
          </w:p>
        </w:tc>
        <w:tc>
          <w:tcPr>
            <w:tcW w:type="dxa" w:w="2600"/>
            <w:tcMar>
              <w:top w:type="dxa" w:w="40"/>
              <w:left w:type="dxa" w:w="60"/>
              <w:bottom w:type="dxa" w:w="40"/>
              <w:right w:type="dxa" w:w="60"/>
            </w:tcMar>
          </w:tcPr>
          <w:p>
            <w:pPr>
              <w:jc w:val="left"/>
            </w:pPr>
            <w:r>
              <w:rPr>
                <w:b w:val="false"/>
                <w:bCs w:val="false"/>
                <w:sz w:val="15"/>
                <w:szCs w:val="15"/>
              </w:rPr>
              <w:t xml:space="preserve">CPI / jobs data</w:t>
            </w:r>
          </w:p>
        </w:tc>
        <w:tc>
          <w:tcPr>
            <w:tcW w:type="dxa" w:w="2200"/>
            <w:tcMar>
              <w:top w:type="dxa" w:w="40"/>
              <w:left w:type="dxa" w:w="60"/>
              <w:bottom w:type="dxa" w:w="40"/>
              <w:right w:type="dxa" w:w="60"/>
            </w:tcMar>
          </w:tcPr>
          <w:p>
            <w:pPr>
              <w:jc w:val="left"/>
            </w:pPr>
            <w:r>
              <w:rPr>
                <w:b w:val="false"/>
                <w:bCs w:val="false"/>
                <w:sz w:val="15"/>
                <w:szCs w:val="15"/>
              </w:rPr>
              <w:t xml:space="preserve">Inflation path</w:t>
            </w:r>
          </w:p>
        </w:tc>
        <w:tc>
          <w:tcPr>
            <w:tcW w:type="dxa" w:w="900"/>
            <w:tcMar>
              <w:top w:type="dxa" w:w="40"/>
              <w:left w:type="dxa" w:w="60"/>
              <w:bottom w:type="dxa" w:w="40"/>
              <w:right w:type="dxa" w:w="60"/>
            </w:tcMar>
          </w:tcPr>
          <w:p>
            <w:pPr>
              <w:jc w:val="center"/>
            </w:pPr>
            <w:r>
              <w:rPr>
                <w:b w:val="false"/>
                <w:bCs w:val="false"/>
                <w:sz w:val="16"/>
                <w:szCs w:val="16"/>
              </w:rPr>
              <w:t xml:space="preserve">Medium</w:t>
            </w:r>
          </w:p>
        </w:tc>
        <w:tc>
          <w:tcPr>
            <w:tcW w:type="dxa" w:w="2410"/>
            <w:tcMar>
              <w:top w:type="dxa" w:w="40"/>
              <w:left w:type="dxa" w:w="60"/>
              <w:bottom w:type="dxa" w:w="40"/>
              <w:right w:type="dxa" w:w="60"/>
            </w:tcMar>
          </w:tcPr>
          <w:p>
            <w:pPr>
              <w:jc w:val="left"/>
            </w:pPr>
            <w:r>
              <w:rPr>
                <w:b w:val="false"/>
                <w:bCs w:val="false"/>
                <w:sz w:val="15"/>
                <w:szCs w:val="15"/>
              </w:rPr>
              <w:t xml:space="preserve">Hot print revives 2026-hike tail risk; soft print supportive</w:t>
            </w:r>
          </w:p>
        </w:tc>
      </w:tr>
      <w:tr>
        <w:tc>
          <w:tcPr>
            <w:tcW w:type="dxa" w:w="1250"/>
            <w:tcMar>
              <w:top w:type="dxa" w:w="40"/>
              <w:left w:type="dxa" w:w="60"/>
              <w:bottom w:type="dxa" w:w="40"/>
              <w:right w:type="dxa" w:w="60"/>
            </w:tcMar>
          </w:tcPr>
          <w:p>
            <w:pPr>
              <w:jc w:val="left"/>
            </w:pPr>
            <w:r>
              <w:rPr>
                <w:b w:val="false"/>
                <w:bCs w:val="false"/>
                <w:sz w:val="15"/>
                <w:szCs w:val="15"/>
              </w:rPr>
              <w:t xml:space="preserve">Tue 28 Jul</w:t>
            </w:r>
          </w:p>
        </w:tc>
        <w:tc>
          <w:tcPr>
            <w:tcW w:type="dxa" w:w="2600"/>
            <w:tcMar>
              <w:top w:type="dxa" w:w="40"/>
              <w:left w:type="dxa" w:w="60"/>
              <w:bottom w:type="dxa" w:w="40"/>
              <w:right w:type="dxa" w:w="60"/>
            </w:tcMar>
          </w:tcPr>
          <w:p>
            <w:pPr>
              <w:jc w:val="left"/>
            </w:pPr>
            <w:r>
              <w:rPr>
                <w:b w:val="false"/>
                <w:bCs w:val="false"/>
                <w:sz w:val="15"/>
                <w:szCs w:val="15"/>
              </w:rPr>
              <w:t xml:space="preserve">FOMC decision</w:t>
            </w:r>
          </w:p>
        </w:tc>
        <w:tc>
          <w:tcPr>
            <w:tcW w:type="dxa" w:w="2200"/>
            <w:tcMar>
              <w:top w:type="dxa" w:w="40"/>
              <w:left w:type="dxa" w:w="60"/>
              <w:bottom w:type="dxa" w:w="40"/>
              <w:right w:type="dxa" w:w="60"/>
            </w:tcMar>
          </w:tcPr>
          <w:p>
            <w:pPr>
              <w:jc w:val="left"/>
            </w:pPr>
            <w:r>
              <w:rPr>
                <w:b w:val="false"/>
                <w:bCs w:val="false"/>
                <w:sz w:val="15"/>
                <w:szCs w:val="15"/>
              </w:rPr>
              <w:t xml:space="preserve">Steady base case</w:t>
            </w:r>
          </w:p>
        </w:tc>
        <w:tc>
          <w:tcPr>
            <w:tcW w:type="dxa" w:w="900"/>
            <w:tcMar>
              <w:top w:type="dxa" w:w="40"/>
              <w:left w:type="dxa" w:w="60"/>
              <w:bottom w:type="dxa" w:w="40"/>
              <w:right w:type="dxa" w:w="60"/>
            </w:tcMar>
          </w:tcPr>
          <w:p>
            <w:pPr>
              <w:jc w:val="center"/>
            </w:pPr>
            <w:r>
              <w:rPr>
                <w:b w:val="false"/>
                <w:bCs w:val="false"/>
                <w:sz w:val="16"/>
                <w:szCs w:val="16"/>
              </w:rPr>
              <w:t xml:space="preserve">High</w:t>
            </w:r>
          </w:p>
        </w:tc>
        <w:tc>
          <w:tcPr>
            <w:tcW w:type="dxa" w:w="2410"/>
            <w:tcMar>
              <w:top w:type="dxa" w:w="40"/>
              <w:left w:type="dxa" w:w="60"/>
              <w:bottom w:type="dxa" w:w="40"/>
              <w:right w:type="dxa" w:w="60"/>
            </w:tcMar>
          </w:tcPr>
          <w:p>
            <w:pPr>
              <w:jc w:val="left"/>
            </w:pPr>
            <w:r>
              <w:rPr>
                <w:b w:val="false"/>
                <w:bCs w:val="false"/>
                <w:sz w:val="15"/>
                <w:szCs w:val="15"/>
              </w:rPr>
              <w:t xml:space="preserve">Hawkish surprise pressures multiples; steady hold supportive</w:t>
            </w:r>
          </w:p>
        </w:tc>
      </w:tr>
    </w:tbl>
    <w:p>
      <w:pPr>
        <w:spacing w:after="100" w:line="276"/>
      </w:pPr>
      <w:r>
        <w:rPr>
          <w:b/>
          <w:bCs/>
          <w:sz w:val="20"/>
          <w:szCs w:val="20"/>
        </w:rPr>
        <w:t xml:space="preserve">Highest-impact event (bold): </w:t>
      </w:r>
      <w:r>
        <w:rPr>
          <w:b/>
          <w:bCs/>
          <w:color w:val="AD1457"/>
          <w:sz w:val="20"/>
          <w:szCs w:val="20"/>
        </w:rPr>
        <w:t xml:space="preserve">Q2 bank earnings (14–15 Jul).</w:t>
      </w:r>
      <w:r>
        <w:rPr>
          <w:sz w:val="20"/>
          <w:szCs w:val="20"/>
        </w:rPr>
        <w:t xml:space="preserve"> A broad beat would confirm the earnings-driven structure and open the path through the 7,620.90 all-time high toward the 8,000 strategist target; a broad miss would break the bullish continuation and expose 7,482 then the weekly pivot at 7,458.</w:t>
      </w:r>
    </w:p>
    <w:p>
      <w:pPr>
        <w:pStyle w:val="Heading1"/>
        <w:spacing w:after="120" w:before="240"/>
      </w:pPr>
      <w:r>
        <w:rPr>
          <w:b/>
          <w:bCs/>
          <w:color w:val="1F3864"/>
          <w:sz w:val="26"/>
          <w:szCs w:val="26"/>
        </w:rPr>
        <w:t xml:space="preserve">14 · Macro Context</w:t>
      </w:r>
    </w:p>
    <w:p>
      <w:pPr>
        <w:pStyle w:val="ListParagraph"/>
        <w:numPr>
          <w:ilvl w:val="0"/>
          <w:numId w:val="1"/>
        </w:numPr>
        <w:spacing w:after="60"/>
      </w:pPr>
      <w:r>
        <w:rPr>
          <w:sz w:val="20"/>
          <w:szCs w:val="20"/>
        </w:rPr>
        <w:t xml:space="preserve">Rates &amp; policy — FOMC 28 Jul; base case steady. VIX (§10) falling toward 15 signals low near-term stress and receding hedging demand — supportive of multiples.</w:t>
      </w:r>
    </w:p>
    <w:p>
      <w:pPr>
        <w:pStyle w:val="ListParagraph"/>
        <w:numPr>
          <w:ilvl w:val="0"/>
          <w:numId w:val="1"/>
        </w:numPr>
        <w:spacing w:after="60"/>
      </w:pPr>
      <w:r>
        <w:rPr>
          <w:sz w:val="20"/>
          <w:szCs w:val="20"/>
        </w:rPr>
        <w:t xml:space="preserve">Inflation — oil-driven upside risk from the US–Iran spike is the key swing factor; if sustained it is price-negative via the rate channel. Currently cyclical, not structural.</w:t>
      </w:r>
    </w:p>
    <w:p>
      <w:pPr>
        <w:pStyle w:val="ListParagraph"/>
        <w:numPr>
          <w:ilvl w:val="0"/>
          <w:numId w:val="1"/>
        </w:numPr>
        <w:spacing w:after="60"/>
      </w:pPr>
      <w:r>
        <w:rPr>
          <w:sz w:val="20"/>
          <w:szCs w:val="20"/>
        </w:rPr>
        <w:t xml:space="preserve">Liquidity &amp; FX — USDX (§10) firmer on the very-short window, a mild headwind to international earnings translation; the year-on-year dollar is still softer, a net structural positive per FactSet/Goldman.</w:t>
      </w:r>
    </w:p>
    <w:p>
      <w:pPr>
        <w:pStyle w:val="ListParagraph"/>
        <w:numPr>
          <w:ilvl w:val="0"/>
          <w:numId w:val="1"/>
        </w:numPr>
        <w:spacing w:after="60"/>
      </w:pPr>
      <w:r>
        <w:rPr>
          <w:sz w:val="20"/>
          <w:szCs w:val="20"/>
        </w:rPr>
        <w:t xml:space="preserve">Energy — WTI spike (§12) is the principal macro risk item; watch for de-escalation as the fast reversal signal.</w:t>
      </w:r>
    </w:p>
    <w:p>
      <w:pPr>
        <w:pStyle w:val="ListParagraph"/>
        <w:numPr>
          <w:ilvl w:val="0"/>
          <w:numId w:val="1"/>
        </w:numPr>
        <w:spacing w:after="60"/>
      </w:pPr>
      <w:r>
        <w:rPr>
          <w:sz w:val="20"/>
          <w:szCs w:val="20"/>
        </w:rPr>
        <w:t xml:space="preserve">Positioning — VIX near 15 and concentrated mega-cap leadership suggest limited hedging and some crowding risk into earnings.</w:t>
      </w:r>
    </w:p>
    <w:p>
      <w:pPr>
        <w:spacing w:after="100" w:line="276"/>
      </w:pPr>
      <w:r>
        <w:rPr>
          <w:i/>
          <w:iCs/>
          <w:color w:val="666666"/>
          <w:sz w:val="18"/>
          <w:szCs w:val="18"/>
        </w:rPr>
        <w:t xml:space="preserve">Watch item: any §13d CPI/oil surprise that lifts inflation expectations is the macro event most able to change the view — directional risk is to the downside for the index if it materialises.</w:t>
      </w:r>
    </w:p>
    <w:p>
      <w:pPr>
        <w:pStyle w:val="Heading1"/>
        <w:spacing w:after="120" w:before="240"/>
      </w:pPr>
      <w:r>
        <w:rPr>
          <w:b/>
          <w:bCs/>
          <w:color w:val="1F3864"/>
          <w:sz w:val="26"/>
          <w:szCs w:val="26"/>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Mar>
              <w:top w:type="dxa" w:w="40"/>
              <w:left w:type="dxa" w:w="60"/>
              <w:bottom w:type="dxa" w:w="40"/>
              <w:right w:type="dxa" w:w="60"/>
            </w:tcMar>
          </w:tcPr>
          <w:p>
            <w:pPr>
              <w:jc w:val="left"/>
            </w:pPr>
            <w:r>
              <w:rPr>
                <w:b/>
                <w:bCs/>
                <w:color w:val="FFFFFF"/>
                <w:sz w:val="18"/>
                <w:szCs w:val="18"/>
              </w:rPr>
              <w:t xml:space="preserve">Upside risks (bull)</w:t>
            </w:r>
          </w:p>
        </w:tc>
        <w:tc>
          <w:tcPr>
            <w:tcW w:type="dxa" w:w="4680"/>
            <w:shd w:fill="2E7D32" w:color="auto" w:val="clear"/>
            <w:tcMar>
              <w:top w:type="dxa" w:w="40"/>
              <w:left w:type="dxa" w:w="60"/>
              <w:bottom w:type="dxa" w:w="40"/>
              <w:right w:type="dxa" w:w="60"/>
            </w:tcMar>
          </w:tcPr>
          <w:p>
            <w:pPr>
              <w:jc w:val="left"/>
            </w:pPr>
            <w:r>
              <w:rPr>
                <w:b/>
                <w:bCs/>
                <w:color w:val="FFFFFF"/>
                <w:sz w:val="18"/>
                <w:szCs w:val="18"/>
              </w:rPr>
              <w:t xml:space="preserve">Downside risks (bear)</w:t>
            </w:r>
          </w:p>
        </w:tc>
      </w:tr>
      <w:tr>
        <w:tc>
          <w:tcPr>
            <w:tcW w:type="dxa" w:w="4680"/>
            <w:tcMar>
              <w:top w:type="dxa" w:w="40"/>
              <w:left w:type="dxa" w:w="60"/>
              <w:bottom w:type="dxa" w:w="40"/>
              <w:right w:type="dxa" w:w="60"/>
            </w:tcMar>
          </w:tcPr>
          <w:p>
            <w:pPr>
              <w:pStyle w:val="ListParagraph"/>
              <w:numPr>
                <w:ilvl w:val="0"/>
                <w:numId w:val="1"/>
              </w:numPr>
            </w:pPr>
            <w:r>
              <w:rPr>
                <w:sz w:val="18"/>
                <w:szCs w:val="18"/>
              </w:rPr>
              <w:t xml:space="preserve">Broad Q2 earnings beat validates the earnings-driven rally (13d Tier-1 event).</w:t>
            </w:r>
          </w:p>
          <w:p>
            <w:pPr>
              <w:pStyle w:val="ListParagraph"/>
              <w:numPr>
                <w:ilvl w:val="0"/>
                <w:numId w:val="1"/>
              </w:numPr>
            </w:pPr>
            <w:r>
              <w:rPr>
                <w:sz w:val="18"/>
                <w:szCs w:val="18"/>
              </w:rPr>
              <w:t xml:space="preserve">Close above daily P and weekly R1; path to 7,620.90 ATH then 8,000 targets.</w:t>
            </w:r>
          </w:p>
          <w:p>
            <w:pPr>
              <w:pStyle w:val="ListParagraph"/>
              <w:numPr>
                <w:ilvl w:val="0"/>
                <w:numId w:val="1"/>
              </w:numPr>
            </w:pPr>
            <w:r>
              <w:rPr>
                <w:sz w:val="18"/>
                <w:szCs w:val="18"/>
              </w:rPr>
              <w:t xml:space="preserve">VIX collapse to ~15 confirms risk-on (§11 pivot position bullish).</w:t>
            </w:r>
          </w:p>
          <w:p>
            <w:pPr>
              <w:pStyle w:val="ListParagraph"/>
              <w:numPr>
                <w:ilvl w:val="0"/>
                <w:numId w:val="1"/>
              </w:numPr>
            </w:pPr>
            <w:r>
              <w:rPr>
                <w:sz w:val="18"/>
                <w:szCs w:val="18"/>
              </w:rPr>
              <w:t xml:space="preserve">Softer year-on-year dollar aids international EPS.</w:t>
            </w:r>
          </w:p>
        </w:tc>
        <w:tc>
          <w:tcPr>
            <w:tcW w:type="dxa" w:w="4680"/>
            <w:tcMar>
              <w:top w:type="dxa" w:w="40"/>
              <w:left w:type="dxa" w:w="60"/>
              <w:bottom w:type="dxa" w:w="40"/>
              <w:right w:type="dxa" w:w="60"/>
            </w:tcMar>
          </w:tcPr>
          <w:p>
            <w:pPr>
              <w:pStyle w:val="ListParagraph"/>
              <w:numPr>
                <w:ilvl w:val="0"/>
                <w:numId w:val="1"/>
              </w:numPr>
            </w:pPr>
            <w:r>
              <w:rPr>
                <w:sz w:val="18"/>
                <w:szCs w:val="18"/>
              </w:rPr>
              <w:t xml:space="preserve">Bank/mega-cap earnings miss breaks the bullish flag (13d Tier-1 event).</w:t>
            </w:r>
          </w:p>
          <w:p>
            <w:pPr>
              <w:pStyle w:val="ListParagraph"/>
              <w:numPr>
                <w:ilvl w:val="0"/>
                <w:numId w:val="1"/>
              </w:numPr>
            </w:pPr>
            <w:r>
              <w:rPr>
                <w:sz w:val="18"/>
                <w:szCs w:val="18"/>
              </w:rPr>
              <w:t xml:space="preserve">Sustained oil spike (US–Iran) revives inflation and 2026-hike tail risk.</w:t>
            </w:r>
          </w:p>
          <w:p>
            <w:pPr>
              <w:pStyle w:val="ListParagraph"/>
              <w:numPr>
                <w:ilvl w:val="0"/>
                <w:numId w:val="1"/>
              </w:numPr>
            </w:pPr>
            <w:r>
              <w:rPr>
                <w:sz w:val="18"/>
                <w:szCs w:val="18"/>
              </w:rPr>
              <w:t xml:space="preserve">Rising USDX contradicts the bullish read via earnings translation (§10).</w:t>
            </w:r>
          </w:p>
          <w:p>
            <w:pPr>
              <w:pStyle w:val="ListParagraph"/>
              <w:numPr>
                <w:ilvl w:val="0"/>
                <w:numId w:val="1"/>
              </w:numPr>
            </w:pPr>
            <w:r>
              <w:rPr>
                <w:sz w:val="18"/>
                <w:szCs w:val="18"/>
              </w:rPr>
              <w:t xml:space="preserve">Concentrated leadership + BofA 7,100 red-flag warning + seasonal-correction risk.</w:t>
            </w:r>
          </w:p>
        </w:tc>
      </w:tr>
    </w:tbl>
    <w:p>
      <w:pPr>
        <w:pStyle w:val="Heading1"/>
        <w:spacing w:after="120" w:before="240"/>
      </w:pPr>
      <w:r>
        <w:rPr>
          <w:b/>
          <w:bCs/>
          <w:color w:val="1F3864"/>
          <w:sz w:val="26"/>
          <w:szCs w:val="26"/>
        </w:rPr>
        <w:t xml:space="preserve">16 · Forward View</w:t>
      </w:r>
    </w:p>
    <w:p>
      <w:pPr>
        <w:spacing w:after="100" w:line="276"/>
      </w:pPr>
      <w:r>
        <w:rPr>
          <w:sz w:val="20"/>
          <w:szCs w:val="20"/>
        </w:rPr>
        <w:t xml:space="preserve">Expected direction over the next five sessions: </w:t>
      </w:r>
      <w:r>
        <w:rPr>
          <w:b/>
          <w:bCs/>
          <w:sz w:val="20"/>
          <w:szCs w:val="20"/>
        </w:rPr>
        <w:t xml:space="preserve">higher, with elevated event risk.</w:t>
      </w:r>
      <w:r>
        <w:rPr>
          <w:sz w:val="20"/>
          <w:szCs w:val="20"/>
        </w:rPr>
        <w:t xml:space="preserve"/>
      </w:r>
    </w:p>
    <w:p>
      <w:pPr>
        <w:spacing w:after="100" w:line="276"/>
      </w:pPr>
      <w:r>
        <w:rPr>
          <w:sz w:val="20"/>
          <w:szCs w:val="20"/>
        </w:rPr>
        <w:t xml:space="preserve">Base-case trading range 7,482–7,660: support at the daily S2 / 8-Jul close cluster (7,482) and the weekly R1 turned support (7,566); resistance at daily R1 (7,601), then the run toward the 7,620.90 all-time high and daily R2 (7,626). This view respects the §9 regime (Transitional with upward bias) and the §8 bullish-continuation label. Invalidation: a daily close back below the weekly R1 / daily P zone (~7,555–7,566) would neutralise the bullish continuation; a close below 7,482 would turn the short-term structure bearish. The dominant swing factor is the §13d bank-earnings start — flagged as the event most able to move the index out of range in either direction.</w:t>
      </w:r>
    </w:p>
    <w:p>
      <w:pPr>
        <w:pStyle w:val="Heading1"/>
        <w:spacing w:after="120" w:before="240"/>
      </w:pPr>
      <w:r>
        <w:rPr>
          <w:b/>
          <w:bCs/>
          <w:color w:val="1F3864"/>
          <w:sz w:val="26"/>
          <w:szCs w:val="26"/>
        </w:rPr>
        <w:t xml:space="preserve">17 · Forecast</w:t>
      </w:r>
    </w:p>
    <w:p>
      <w:pPr>
        <w:spacing w:after="100" w:line="276"/>
      </w:pPr>
      <w:r>
        <w:rPr>
          <w:b/>
          <w:bCs/>
          <w:sz w:val="20"/>
          <w:szCs w:val="20"/>
        </w:rPr>
        <w:t xml:space="preserve">Driven by bullish short-term continuation, a Trending-Up Kaufman read, and Predominantly Bullish sentiment (tilt +0.21) — partly checked by a mildly contradicting dollar — the S&amp;P 500 is expected to grind toward the 7,620.90 all-time high over the coming sessions, contingent on the Q2 bank-earnings open.</w:t>
      </w:r>
    </w:p>
    <w:p>
      <w:pPr>
        <w:pStyle w:val="Heading1"/>
        <w:spacing w:after="120" w:before="240"/>
      </w:pPr>
      <w:r>
        <w:rPr>
          <w:b/>
          <w:bCs/>
          <w:color w:val="1F3864"/>
          <w:sz w:val="26"/>
          <w:szCs w:val="26"/>
        </w:rPr>
        <w:t xml:space="preserve">18 · Final Analyst Judgement</w:t>
      </w:r>
    </w:p>
    <w:p>
      <w:pPr>
        <w:spacing w:after="100" w:line="276"/>
      </w:pPr>
      <w:r>
        <w:rPr>
          <w:sz w:val="20"/>
          <w:szCs w:val="20"/>
        </w:rPr>
        <w:t xml:space="preserve">Consensus level 7,575.39 (confidence High), tone moderately bullish. Three most important reasons: (1) short-term technical continuation with three top-decile closes into a sequence high; (2) an earnings-season melt-up with 22–23% consensus EPS growth and constructive institutional sentiment; (3) a risk-on macro tape (VIX ~15, softer YoY dollar). Single watch item: the Q2 bank-earnings open (JPMorgan, 14–15 Jul).</w:t>
      </w:r>
    </w:p>
    <w:p>
      <w:pPr>
        <w:pStyle w:val="Heading1"/>
        <w:spacing w:after="120" w:before="240"/>
      </w:pPr>
      <w:r>
        <w:rPr>
          <w:b/>
          <w:bCs/>
          <w:color w:val="1F3864"/>
          <w:sz w:val="26"/>
          <w:szCs w:val="26"/>
        </w:rPr>
        <w:t xml:space="preserve">19 · Source Discipline Note</w:t>
      </w:r>
    </w:p>
    <w:p>
      <w:pPr>
        <w:pStyle w:val="ListParagraph"/>
        <w:numPr>
          <w:ilvl w:val="0"/>
          <w:numId w:val="1"/>
        </w:numPr>
        <w:spacing w:after="60"/>
      </w:pPr>
      <w:r>
        <w:rPr>
          <w:sz w:val="20"/>
          <w:szCs w:val="20"/>
        </w:rPr>
        <w:t xml:space="preserve">Live vs indicative: all five OHLC sessions are live, corroborated closes (Investing.com × Yahoo ^SPX), deltas 0.00 points — inside the ±0.10-pt equity-index tolerance. No single-source-indicative fields.</w:t>
      </w:r>
    </w:p>
    <w:p>
      <w:pPr>
        <w:pStyle w:val="ListParagraph"/>
        <w:numPr>
          <w:ilvl w:val="0"/>
          <w:numId w:val="1"/>
        </w:numPr>
        <w:spacing w:after="60"/>
      </w:pPr>
      <w:r>
        <w:rPr>
          <w:sz w:val="20"/>
          <w:szCs w:val="20"/>
        </w:rPr>
        <w:t xml:space="preserve">Pivots: daily, weekly and monthly prior-period H/L/C all CORROBORATED; no tier carries the single-source-indicative flag, so no pivot-based suppression applies to §21.</w:t>
      </w:r>
    </w:p>
    <w:p>
      <w:pPr>
        <w:pStyle w:val="ListParagraph"/>
        <w:numPr>
          <w:ilvl w:val="0"/>
          <w:numId w:val="1"/>
        </w:numPr>
        <w:spacing w:after="60"/>
      </w:pPr>
      <w:r>
        <w:rPr>
          <w:sz w:val="20"/>
          <w:szCs w:val="20"/>
        </w:rPr>
        <w:t xml:space="preserve">Counters: VIX, DAX and USDX directions taken from corroborated aggregator quotes; VIX intraday prints varied by source (15.0–16.3) and are used directionally only (no VIX pivots).</w:t>
      </w:r>
    </w:p>
    <w:p>
      <w:pPr>
        <w:pStyle w:val="ListParagraph"/>
        <w:numPr>
          <w:ilvl w:val="0"/>
          <w:numId w:val="1"/>
        </w:numPr>
        <w:spacing w:after="60"/>
      </w:pPr>
      <w:r>
        <w:rPr>
          <w:sz w:val="20"/>
          <w:szCs w:val="20"/>
        </w:rPr>
        <w:t xml:space="preserve">Data gaps: FRED public series was stale (cached May 2026) and Stooq was network-blocked; corroboration was achieved without them, so no DataCorroborationError was raised.</w:t>
      </w:r>
    </w:p>
    <w:p>
      <w:pPr>
        <w:pStyle w:val="ListParagraph"/>
        <w:numPr>
          <w:ilvl w:val="0"/>
          <w:numId w:val="1"/>
        </w:numPr>
        <w:spacing w:after="60"/>
      </w:pPr>
      <w:r>
        <w:rPr>
          <w:sz w:val="20"/>
          <w:szCs w:val="20"/>
        </w:rPr>
        <w:t xml:space="preserve">Normalization: none required — all observations already in USD index points, cash basis.</w:t>
      </w:r>
    </w:p>
    <w:p>
      <w:pPr>
        <w:pStyle w:val="Heading1"/>
        <w:spacing w:after="120" w:before="240"/>
      </w:pPr>
      <w:r>
        <w:rPr>
          <w:b/>
          <w:bCs/>
          <w:color w:val="1F3864"/>
          <w:sz w:val="26"/>
          <w:szCs w:val="26"/>
        </w:rPr>
        <w:t xml:space="preserve">20 · Agent Log</w:t>
      </w:r>
    </w:p>
    <w:p>
      <w:pPr>
        <w:pStyle w:val="ListParagraph"/>
        <w:numPr>
          <w:ilvl w:val="0"/>
          <w:numId w:val="1"/>
        </w:numPr>
        <w:spacing w:after="60"/>
      </w:pPr>
      <w:r>
        <w:rPr>
          <w:sz w:val="20"/>
          <w:szCs w:val="20"/>
        </w:rPr>
        <w:t xml:space="preserve">Run timestamp: 13 Jul 2026 (UK). Report session date: 14 Jul 2026; most recent completed session used for data: 10 Jul 2026.</w:t>
      </w:r>
    </w:p>
    <w:p>
      <w:pPr>
        <w:pStyle w:val="ListParagraph"/>
        <w:numPr>
          <w:ilvl w:val="0"/>
          <w:numId w:val="1"/>
        </w:numPr>
        <w:spacing w:after="60"/>
      </w:pPr>
      <w:r>
        <w:rPr>
          <w:sz w:val="20"/>
          <w:szCs w:val="20"/>
        </w:rPr>
        <w:t xml:space="preserve">OVERRIDE: the configured daily-open anchor was overridden at analyst instruction for this run. The override does not alter OHLC validation, pivots or scoring; it is recorded here per the presentation rules. Strategy recommendations were produced and NOT suppressed at analyst instruction, with corroboration achieved so no leniency clause was needed.</w:t>
      </w:r>
    </w:p>
    <w:p>
      <w:pPr>
        <w:pStyle w:val="ListParagraph"/>
        <w:numPr>
          <w:ilvl w:val="0"/>
          <w:numId w:val="1"/>
        </w:numPr>
        <w:spacing w:after="60"/>
      </w:pPr>
      <w:r>
        <w:rPr>
          <w:sz w:val="20"/>
          <w:szCs w:val="20"/>
        </w:rPr>
        <w:t xml:space="preserve">Sources attempted for OHLC: Investing.com (corroborated), Yahoo ^SPX (corroborated pair, Δ0.00), CNBC/Yahoo editorial (close/% confirm), FRED (stale — failed for July), Stooq (network-blocked — not attempted programmatically). Corroboration achieved on source pair 1×2 within ±0.10 pt.</w:t>
      </w:r>
    </w:p>
    <w:p>
      <w:pPr>
        <w:pStyle w:val="ListParagraph"/>
        <w:numPr>
          <w:ilvl w:val="0"/>
          <w:numId w:val="1"/>
        </w:numPr>
        <w:spacing w:after="60"/>
      </w:pPr>
      <w:r>
        <w:rPr>
          <w:sz w:val="20"/>
          <w:szCs w:val="20"/>
        </w:rPr>
        <w:t xml:space="preserve">Validation method: two-source agreement within equity-index tolerance for every OHLC field and every pivot prior-period H/L/C.</w:t>
      </w:r>
    </w:p>
    <w:p>
      <w:pPr>
        <w:pStyle w:val="ListParagraph"/>
        <w:numPr>
          <w:ilvl w:val="0"/>
          <w:numId w:val="1"/>
        </w:numPr>
        <w:spacing w:after="60"/>
      </w:pPr>
      <w:r>
        <w:rPr>
          <w:sz w:val="20"/>
          <w:szCs w:val="20"/>
        </w:rPr>
        <w:t xml:space="preserve">Sentiment derivation: 7 articles classified from explicit language with ≤15-word derivation quotes; source-class-weighted tilt = +0.21 (Predominantly Bullish).</w:t>
      </w:r>
    </w:p>
    <w:p>
      <w:pPr>
        <w:pStyle w:val="ListParagraph"/>
        <w:numPr>
          <w:ilvl w:val="0"/>
          <w:numId w:val="1"/>
        </w:numPr>
        <w:spacing w:after="60"/>
      </w:pPr>
      <w:r>
        <w:rPr>
          <w:sz w:val="20"/>
          <w:szCs w:val="20"/>
        </w:rPr>
        <w:t xml:space="preserve">Direction-score weights basis: defaults (v2.1 baseline; no tuning). Session within the 20-session weight-lock window.</w:t>
      </w:r>
    </w:p>
    <w:p>
      <w:pPr>
        <w:pStyle w:val="ListParagraph"/>
        <w:numPr>
          <w:ilvl w:val="0"/>
          <w:numId w:val="1"/>
        </w:numPr>
        <w:spacing w:after="60"/>
      </w:pPr>
      <w:r>
        <w:rPr>
          <w:sz w:val="20"/>
          <w:szCs w:val="20"/>
        </w:rPr>
        <w:t xml:space="preserve">Direction score +0.28: short-term technical +0.150, Kaufman +0.075, medium regime +0.060, sentiment +0.032, VOLator −0.039, cross-asset +0.000. Above the 0.25 conviction threshold → Trade 1 produces LONG.</w:t>
      </w:r>
    </w:p>
    <w:p>
      <w:pPr>
        <w:pStyle w:val="ListParagraph"/>
        <w:numPr>
          <w:ilvl w:val="0"/>
          <w:numId w:val="1"/>
        </w:numPr>
        <w:spacing w:after="60"/>
      </w:pPr>
      <w:r>
        <w:rPr>
          <w:sz w:val="20"/>
          <w:szCs w:val="20"/>
        </w:rPr>
        <w:t xml:space="preserve">Backtest: 5 prior sessions reconstructed at each t−1 close with no forward leakage; sentiment/ATR/pivots frozen at t−1.</w:t>
      </w:r>
    </w:p>
    <w:p>
      <w:pPr>
        <w:pStyle w:val="ListParagraph"/>
        <w:numPr>
          <w:ilvl w:val="0"/>
          <w:numId w:val="1"/>
        </w:numPr>
        <w:spacing w:after="60"/>
      </w:pPr>
      <w:r>
        <w:rPr>
          <w:sz w:val="20"/>
          <w:szCs w:val="20"/>
        </w:rPr>
        <w:t xml:space="preserve">Anomalies: minor date-label offset in CNBC live-blog URLs (one day behind the session they report); resolved against the internally consistent Investing.com dated table.</w:t>
      </w:r>
    </w:p>
    <w:p>
      <w:pPr>
        <w:pStyle w:val="Heading1"/>
        <w:spacing w:after="120" w:before="240"/>
      </w:pPr>
      <w:r>
        <w:rPr>
          <w:b/>
          <w:bCs/>
          <w:color w:val="1F3864"/>
          <w:sz w:val="26"/>
          <w:szCs w:val="26"/>
        </w:rPr>
        <w:t xml:space="preserve">21 · Strategy Recommendations</w:t>
      </w:r>
    </w:p>
    <w:p>
      <w:pPr>
        <w:pStyle w:val="Heading2"/>
        <w:spacing w:after="80" w:before="180"/>
      </w:pPr>
      <w:r>
        <w:rPr>
          <w:b/>
          <w:bCs/>
          <w:color w:val="AD1457"/>
          <w:sz w:val="22"/>
          <w:szCs w:val="22"/>
        </w:rPr>
        <w:t xml:space="preserve">21a · Directional Conviction</w:t>
      </w:r>
    </w:p>
    <w:p>
      <w:pPr>
        <w:spacing w:after="100" w:line="276"/>
      </w:pPr>
      <w:r>
        <w:rPr>
          <w:sz w:val="20"/>
          <w:szCs w:val="20"/>
        </w:rPr>
        <w:t xml:space="preserve">Direction: </w:t>
      </w:r>
      <w:r>
        <w:rPr>
          <w:b/>
          <w:bCs/>
          <w:color w:val="2E7D32"/>
          <w:sz w:val="20"/>
          <w:szCs w:val="20"/>
        </w:rPr>
        <w:t xml:space="preserve">LONG</w:t>
      </w:r>
      <w:r>
        <w:rPr>
          <w:sz w:val="20"/>
          <w:szCs w:val="20"/>
        </w:rPr>
        <w:t xml:space="preserve"> (score +0.28, above the conviction threshold). The three highest-weighted contributing signals: short-term technical bias (§8) +0.150, Kaufman KER (§9) +0.075, medium-term regime (§9) +0.060; sentiment tilt (§13b) adds +0.032 and cross-asset (§10) is neutral (+0.000) while VOLator (§9) subtracts −0.039. Weights basis: defaults. Conflict flag: none — the §17 forecast also leans higher, consistent with the LONG score.</w:t>
      </w:r>
    </w:p>
    <w:p>
      <w:pPr>
        <w:pStyle w:val="Heading2"/>
        <w:spacing w:after="80" w:before="180"/>
      </w:pPr>
      <w:r>
        <w:rPr>
          <w:b/>
          <w:bCs/>
          <w:color w:val="AD1457"/>
          <w:sz w:val="22"/>
          <w:szCs w:val="22"/>
        </w:rPr>
        <w:t xml:space="preserve">21b · Trade Cards</w:t>
      </w:r>
    </w:p>
    <w:p>
      <w:pPr>
        <w:spacing w:after="40" w:before="120"/>
      </w:pPr>
      <w:r>
        <w:rPr>
          <w:b/>
          <w:bCs/>
          <w:color w:val="AD1457"/>
          <w:sz w:val="20"/>
          <w:szCs w:val="20"/>
        </w:rPr>
        <w:t xml:space="preserve">Trade 1 — Daily Directional (LONG — bullish continuation, score +0.28)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40"/>
              <w:left w:type="dxa" w:w="60"/>
              <w:bottom w:type="dxa" w:w="40"/>
              <w:right w:type="dxa" w:w="60"/>
            </w:tcMar>
          </w:tcPr>
          <w:p>
            <w:pPr>
              <w:jc w:val="left"/>
            </w:pPr>
            <w:r>
              <w:rPr>
                <w:b/>
                <w:bCs/>
                <w:sz w:val="17"/>
                <w:szCs w:val="17"/>
              </w:rPr>
              <w:t xml:space="preserve">Direction</w:t>
            </w:r>
          </w:p>
        </w:tc>
        <w:tc>
          <w:tcPr>
            <w:tcW w:type="dxa" w:w="6960"/>
            <w:tcMar>
              <w:top w:type="dxa" w:w="40"/>
              <w:left w:type="dxa" w:w="60"/>
              <w:bottom w:type="dxa" w:w="40"/>
              <w:right w:type="dxa" w:w="60"/>
            </w:tcMar>
          </w:tcPr>
          <w:p>
            <w:pPr>
              <w:jc w:val="left"/>
            </w:pPr>
            <w:r>
              <w:rPr>
                <w:b w:val="false"/>
                <w:bCs w:val="false"/>
                <w:sz w:val="17"/>
                <w:szCs w:val="17"/>
              </w:rPr>
              <w:t xml:space="preserve">LONG — bullish-continuation regime, conviction above threshold</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Entry</w:t>
            </w:r>
          </w:p>
        </w:tc>
        <w:tc>
          <w:tcPr>
            <w:tcW w:type="dxa" w:w="6960"/>
            <w:tcMar>
              <w:top w:type="dxa" w:w="40"/>
              <w:left w:type="dxa" w:w="60"/>
              <w:bottom w:type="dxa" w:w="40"/>
              <w:right w:type="dxa" w:w="60"/>
            </w:tcMar>
          </w:tcPr>
          <w:p>
            <w:pPr>
              <w:jc w:val="left"/>
            </w:pPr>
            <w:r>
              <w:rPr>
                <w:b w:val="false"/>
                <w:bCs w:val="false"/>
                <w:sz w:val="17"/>
                <w:szCs w:val="17"/>
              </w:rPr>
              <w:t xml:space="preserve">Market at session open, ~7,575 (index points)</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Stop loss</w:t>
            </w:r>
          </w:p>
        </w:tc>
        <w:tc>
          <w:tcPr>
            <w:tcW w:type="dxa" w:w="6960"/>
            <w:tcMar>
              <w:top w:type="dxa" w:w="40"/>
              <w:left w:type="dxa" w:w="60"/>
              <w:bottom w:type="dxa" w:w="40"/>
              <w:right w:type="dxa" w:w="60"/>
            </w:tcMar>
          </w:tcPr>
          <w:p>
            <w:pPr>
              <w:jc w:val="left"/>
            </w:pPr>
            <w:r>
              <w:rPr>
                <w:b w:val="false"/>
                <w:bCs w:val="false"/>
                <w:sz w:val="17"/>
                <w:szCs w:val="17"/>
              </w:rPr>
              <w:t xml:space="preserve">7,529.06 — daily S1; 46.3 points below entry (structural anchor: daily S1, just under the 8/9-Jul close cluster)</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Risk (R)</w:t>
            </w:r>
          </w:p>
        </w:tc>
        <w:tc>
          <w:tcPr>
            <w:tcW w:type="dxa" w:w="6960"/>
            <w:tcMar>
              <w:top w:type="dxa" w:w="40"/>
              <w:left w:type="dxa" w:w="60"/>
              <w:bottom w:type="dxa" w:w="40"/>
              <w:right w:type="dxa" w:w="60"/>
            </w:tcMar>
          </w:tcPr>
          <w:p>
            <w:pPr>
              <w:jc w:val="left"/>
            </w:pPr>
            <w:r>
              <w:rPr>
                <w:b w:val="false"/>
                <w:bCs w:val="false"/>
                <w:sz w:val="17"/>
                <w:szCs w:val="17"/>
              </w:rPr>
              <w:t xml:space="preserve">46.3 points (7,575.39 → 7,529.06)</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TP1 (Unit 1)</w:t>
            </w:r>
          </w:p>
        </w:tc>
        <w:tc>
          <w:tcPr>
            <w:tcW w:type="dxa" w:w="6960"/>
            <w:tcMar>
              <w:top w:type="dxa" w:w="40"/>
              <w:left w:type="dxa" w:w="60"/>
              <w:bottom w:type="dxa" w:w="40"/>
              <w:right w:type="dxa" w:w="60"/>
            </w:tcMar>
          </w:tcPr>
          <w:p>
            <w:pPr>
              <w:jc w:val="left"/>
            </w:pPr>
            <w:r>
              <w:rPr>
                <w:b w:val="false"/>
                <w:bCs w:val="false"/>
                <w:sz w:val="17"/>
                <w:szCs w:val="17"/>
              </w:rPr>
              <w:t xml:space="preserve">7,621.7 — +1R (coincides with the 7,620.90 all-time high — strong confluence)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TP2 (Unit 2)</w:t>
            </w:r>
          </w:p>
        </w:tc>
        <w:tc>
          <w:tcPr>
            <w:tcW w:type="dxa" w:w="6960"/>
            <w:tcMar>
              <w:top w:type="dxa" w:w="40"/>
              <w:left w:type="dxa" w:w="60"/>
              <w:bottom w:type="dxa" w:w="40"/>
              <w:right w:type="dxa" w:w="60"/>
            </w:tcMar>
          </w:tcPr>
          <w:p>
            <w:pPr>
              <w:jc w:val="left"/>
            </w:pPr>
            <w:r>
              <w:rPr>
                <w:b w:val="false"/>
                <w:bCs w:val="false"/>
                <w:sz w:val="17"/>
                <w:szCs w:val="17"/>
              </w:rPr>
              <w:t xml:space="preserve">7,668.0 — +2R (between daily R2 7,626 and R3 7,673)</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TP3 (runner)</w:t>
            </w:r>
          </w:p>
        </w:tc>
        <w:tc>
          <w:tcPr>
            <w:tcW w:type="dxa" w:w="6960"/>
            <w:tcMar>
              <w:top w:type="dxa" w:w="40"/>
              <w:left w:type="dxa" w:w="60"/>
              <w:bottom w:type="dxa" w:w="40"/>
              <w:right w:type="dxa" w:w="60"/>
            </w:tcMar>
          </w:tcPr>
          <w:p>
            <w:pPr>
              <w:jc w:val="left"/>
            </w:pPr>
            <w:r>
              <w:rPr>
                <w:b w:val="false"/>
                <w:bCs w:val="false"/>
                <w:sz w:val="17"/>
                <w:szCs w:val="17"/>
              </w:rPr>
              <w:t xml:space="preserve">Time-stop at session close + 3×ATR cap; ATR(14)=84.1 pts. Trail per tranche rule.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Tranche mgmt</w:t>
            </w:r>
          </w:p>
        </w:tc>
        <w:tc>
          <w:tcPr>
            <w:tcW w:type="dxa" w:w="6960"/>
            <w:tcMar>
              <w:top w:type="dxa" w:w="40"/>
              <w:left w:type="dxa" w:w="60"/>
              <w:bottom w:type="dxa" w:w="40"/>
              <w:right w:type="dxa" w:w="60"/>
            </w:tcMar>
          </w:tcPr>
          <w:p>
            <w:pPr>
              <w:jc w:val="left"/>
            </w:pPr>
            <w:r>
              <w:rPr>
                <w:b w:val="false"/>
                <w:bCs w:val="false"/>
                <w:sz w:val="17"/>
                <w:szCs w:val="17"/>
              </w:rPr>
              <w:t xml:space="preserve">3 equal units; U1 exits TP1; U2 exits TP2; on U2 fill, U3 stop → entry +0.2R (7,584.7)</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Confluences</w:t>
            </w:r>
          </w:p>
        </w:tc>
        <w:tc>
          <w:tcPr>
            <w:tcW w:type="dxa" w:w="6960"/>
            <w:tcMar>
              <w:top w:type="dxa" w:w="40"/>
              <w:left w:type="dxa" w:w="60"/>
              <w:bottom w:type="dxa" w:w="40"/>
              <w:right w:type="dxa" w:w="60"/>
            </w:tcMar>
          </w:tcPr>
          <w:p>
            <w:pPr>
              <w:jc w:val="left"/>
            </w:pPr>
            <w:r>
              <w:rPr>
                <w:b w:val="false"/>
                <w:bCs w:val="false"/>
                <w:sz w:val="17"/>
                <w:szCs w:val="17"/>
              </w:rPr>
              <w:t xml:space="preserve">TP1 at the all-time high 7,620.90 (strong); entry above daily P 7,554 and weekly R1 7,566</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Thesis invalidation</w:t>
            </w:r>
          </w:p>
        </w:tc>
        <w:tc>
          <w:tcPr>
            <w:tcW w:type="dxa" w:w="6960"/>
            <w:tcMar>
              <w:top w:type="dxa" w:w="40"/>
              <w:left w:type="dxa" w:w="60"/>
              <w:bottom w:type="dxa" w:w="40"/>
              <w:right w:type="dxa" w:w="60"/>
            </w:tcMar>
          </w:tcPr>
          <w:p>
            <w:pPr>
              <w:jc w:val="left"/>
            </w:pPr>
            <w:r>
              <w:rPr>
                <w:b w:val="false"/>
                <w:bCs w:val="false"/>
                <w:sz w:val="17"/>
                <w:szCs w:val="17"/>
              </w:rPr>
              <w:t xml:space="preserve">Daily close back below 7,555 (daily P) breaks the continuation narrative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Caveats</w:t>
            </w:r>
          </w:p>
        </w:tc>
        <w:tc>
          <w:tcPr>
            <w:tcW w:type="dxa" w:w="6960"/>
            <w:tcMar>
              <w:top w:type="dxa" w:w="40"/>
              <w:left w:type="dxa" w:w="60"/>
              <w:bottom w:type="dxa" w:w="40"/>
              <w:right w:type="dxa" w:w="60"/>
            </w:tcMar>
          </w:tcPr>
          <w:p>
            <w:pPr>
              <w:jc w:val="left"/>
            </w:pPr>
            <w:r>
              <w:rPr>
                <w:b w:val="false"/>
                <w:bCs w:val="false"/>
                <w:sz w:val="17"/>
                <w:szCs w:val="17"/>
              </w:rPr>
              <w:t xml:space="preserve">Holding period collides with §13d Tier-1 bank-earnings open (14–15 Jul) — event risk elevated</w:t>
            </w:r>
          </w:p>
        </w:tc>
      </w:tr>
    </w:tbl>
    <w:p>
      <w:pPr>
        <w:spacing w:after="40" w:before="120"/>
      </w:pPr>
      <w:r>
        <w:rPr>
          <w:b/>
          <w:bCs/>
          <w:color w:val="AD1457"/>
          <w:sz w:val="20"/>
          <w:szCs w:val="20"/>
        </w:rPr>
        <w:t xml:space="preserve">Trade 2 — Pivot (regime-aware, TREND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40"/>
              <w:left w:type="dxa" w:w="60"/>
              <w:bottom w:type="dxa" w:w="40"/>
              <w:right w:type="dxa" w:w="60"/>
            </w:tcMar>
          </w:tcPr>
          <w:p>
            <w:pPr>
              <w:jc w:val="left"/>
            </w:pPr>
            <w:r>
              <w:rPr>
                <w:b/>
                <w:bCs/>
                <w:sz w:val="17"/>
                <w:szCs w:val="17"/>
              </w:rPr>
              <w:t xml:space="preserve">Direction</w:t>
            </w:r>
          </w:p>
        </w:tc>
        <w:tc>
          <w:tcPr>
            <w:tcW w:type="dxa" w:w="6960"/>
            <w:tcMar>
              <w:top w:type="dxa" w:w="40"/>
              <w:left w:type="dxa" w:w="60"/>
              <w:bottom w:type="dxa" w:w="40"/>
              <w:right w:type="dxa" w:w="60"/>
            </w:tcMar>
          </w:tcPr>
          <w:p>
            <w:pPr>
              <w:jc w:val="left"/>
            </w:pPr>
            <w:r>
              <w:rPr>
                <w:b w:val="false"/>
                <w:bCs w:val="false"/>
                <w:sz w:val="17"/>
                <w:szCs w:val="17"/>
              </w:rPr>
              <w:t xml:space="preserve">LONG on pullback — trend-pivot buy</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Entry</w:t>
            </w:r>
          </w:p>
        </w:tc>
        <w:tc>
          <w:tcPr>
            <w:tcW w:type="dxa" w:w="6960"/>
            <w:tcMar>
              <w:top w:type="dxa" w:w="40"/>
              <w:left w:type="dxa" w:w="60"/>
              <w:bottom w:type="dxa" w:w="40"/>
              <w:right w:type="dxa" w:w="60"/>
            </w:tcMar>
          </w:tcPr>
          <w:p>
            <w:pPr>
              <w:jc w:val="left"/>
            </w:pPr>
            <w:r>
              <w:rPr>
                <w:b w:val="false"/>
                <w:bCs w:val="false"/>
                <w:sz w:val="17"/>
                <w:szCs w:val="17"/>
              </w:rPr>
              <w:t xml:space="preserve">Buy limit at daily P 7,554.49 (index points)</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Stop loss</w:t>
            </w:r>
          </w:p>
        </w:tc>
        <w:tc>
          <w:tcPr>
            <w:tcW w:type="dxa" w:w="6960"/>
            <w:tcMar>
              <w:top w:type="dxa" w:w="40"/>
              <w:left w:type="dxa" w:w="60"/>
              <w:bottom w:type="dxa" w:w="40"/>
              <w:right w:type="dxa" w:w="60"/>
            </w:tcMar>
          </w:tcPr>
          <w:p>
            <w:pPr>
              <w:jc w:val="left"/>
            </w:pPr>
            <w:r>
              <w:rPr>
                <w:b w:val="false"/>
                <w:bCs w:val="false"/>
                <w:sz w:val="17"/>
                <w:szCs w:val="17"/>
              </w:rPr>
              <w:t xml:space="preserve">7,482.72 — daily S2; 71.8 points below entry (structural: prior-session demand / 8-Jul close)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Risk (R)</w:t>
            </w:r>
          </w:p>
        </w:tc>
        <w:tc>
          <w:tcPr>
            <w:tcW w:type="dxa" w:w="6960"/>
            <w:tcMar>
              <w:top w:type="dxa" w:w="40"/>
              <w:left w:type="dxa" w:w="60"/>
              <w:bottom w:type="dxa" w:w="40"/>
              <w:right w:type="dxa" w:w="60"/>
            </w:tcMar>
          </w:tcPr>
          <w:p>
            <w:pPr>
              <w:jc w:val="left"/>
            </w:pPr>
            <w:r>
              <w:rPr>
                <w:b w:val="false"/>
                <w:bCs w:val="false"/>
                <w:sz w:val="17"/>
                <w:szCs w:val="17"/>
              </w:rPr>
              <w:t xml:space="preserve">71.8 points</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TP1</w:t>
            </w:r>
          </w:p>
        </w:tc>
        <w:tc>
          <w:tcPr>
            <w:tcW w:type="dxa" w:w="6960"/>
            <w:tcMar>
              <w:top w:type="dxa" w:w="40"/>
              <w:left w:type="dxa" w:w="60"/>
              <w:bottom w:type="dxa" w:w="40"/>
              <w:right w:type="dxa" w:w="60"/>
            </w:tcMar>
          </w:tcPr>
          <w:p>
            <w:pPr>
              <w:jc w:val="left"/>
            </w:pPr>
            <w:r>
              <w:rPr>
                <w:b w:val="false"/>
                <w:bCs w:val="false"/>
                <w:sz w:val="17"/>
                <w:szCs w:val="17"/>
              </w:rPr>
              <w:t xml:space="preserve">7,600.83 — daily R1 (+0.65R to pivot structure)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TP2</w:t>
            </w:r>
          </w:p>
        </w:tc>
        <w:tc>
          <w:tcPr>
            <w:tcW w:type="dxa" w:w="6960"/>
            <w:tcMar>
              <w:top w:type="dxa" w:w="40"/>
              <w:left w:type="dxa" w:w="60"/>
              <w:bottom w:type="dxa" w:w="40"/>
              <w:right w:type="dxa" w:w="60"/>
            </w:tcMar>
          </w:tcPr>
          <w:p>
            <w:pPr>
              <w:jc w:val="left"/>
            </w:pPr>
            <w:r>
              <w:rPr>
                <w:b w:val="false"/>
                <w:bCs w:val="false"/>
                <w:sz w:val="17"/>
                <w:szCs w:val="17"/>
              </w:rPr>
              <w:t xml:space="preserve">7,626.26 — daily R2</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TP3 (runner)</w:t>
            </w:r>
          </w:p>
        </w:tc>
        <w:tc>
          <w:tcPr>
            <w:tcW w:type="dxa" w:w="6960"/>
            <w:tcMar>
              <w:top w:type="dxa" w:w="40"/>
              <w:left w:type="dxa" w:w="60"/>
              <w:bottom w:type="dxa" w:w="40"/>
              <w:right w:type="dxa" w:w="60"/>
            </w:tcMar>
          </w:tcPr>
          <w:p>
            <w:pPr>
              <w:jc w:val="left"/>
            </w:pPr>
            <w:r>
              <w:rPr>
                <w:b w:val="false"/>
                <w:bCs w:val="false"/>
                <w:sz w:val="17"/>
                <w:szCs w:val="17"/>
              </w:rPr>
              <w:t xml:space="preserve">Runner to daily R3 7,672.60 or trail to pivot P on reversal</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Tranche mgmt</w:t>
            </w:r>
          </w:p>
        </w:tc>
        <w:tc>
          <w:tcPr>
            <w:tcW w:type="dxa" w:w="6960"/>
            <w:tcMar>
              <w:top w:type="dxa" w:w="40"/>
              <w:left w:type="dxa" w:w="60"/>
              <w:bottom w:type="dxa" w:w="40"/>
              <w:right w:type="dxa" w:w="60"/>
            </w:tcMar>
          </w:tcPr>
          <w:p>
            <w:pPr>
              <w:jc w:val="left"/>
            </w:pPr>
            <w:r>
              <w:rPr>
                <w:b w:val="false"/>
                <w:bCs w:val="false"/>
                <w:sz w:val="17"/>
                <w:szCs w:val="17"/>
              </w:rPr>
              <w:t xml:space="preserve">3 equal units; U1 R1; U2 R2; on U2 fill, U3 stop → entry +0.2R</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Confluences</w:t>
            </w:r>
          </w:p>
        </w:tc>
        <w:tc>
          <w:tcPr>
            <w:tcW w:type="dxa" w:w="6960"/>
            <w:tcMar>
              <w:top w:type="dxa" w:w="40"/>
              <w:left w:type="dxa" w:w="60"/>
              <w:bottom w:type="dxa" w:w="40"/>
              <w:right w:type="dxa" w:w="60"/>
            </w:tcMar>
          </w:tcPr>
          <w:p>
            <w:pPr>
              <w:jc w:val="left"/>
            </w:pPr>
            <w:r>
              <w:rPr>
                <w:b w:val="false"/>
                <w:bCs w:val="false"/>
                <w:sz w:val="17"/>
                <w:szCs w:val="17"/>
              </w:rPr>
              <w:t xml:space="preserve">Entry at daily P coincident with weekly R1 7,566 (strong confluence zone)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Thesis invalidation</w:t>
            </w:r>
          </w:p>
        </w:tc>
        <w:tc>
          <w:tcPr>
            <w:tcW w:type="dxa" w:w="6960"/>
            <w:tcMar>
              <w:top w:type="dxa" w:w="40"/>
              <w:left w:type="dxa" w:w="60"/>
              <w:bottom w:type="dxa" w:w="40"/>
              <w:right w:type="dxa" w:w="60"/>
            </w:tcMar>
          </w:tcPr>
          <w:p>
            <w:pPr>
              <w:jc w:val="left"/>
            </w:pPr>
            <w:r>
              <w:rPr>
                <w:b w:val="false"/>
                <w:bCs w:val="false"/>
                <w:sz w:val="17"/>
                <w:szCs w:val="17"/>
              </w:rPr>
              <w:t xml:space="preserve">Daily close below daily S2 7,482.72</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Caveats</w:t>
            </w:r>
          </w:p>
        </w:tc>
        <w:tc>
          <w:tcPr>
            <w:tcW w:type="dxa" w:w="6960"/>
            <w:tcMar>
              <w:top w:type="dxa" w:w="40"/>
              <w:left w:type="dxa" w:w="60"/>
              <w:bottom w:type="dxa" w:w="40"/>
              <w:right w:type="dxa" w:w="60"/>
            </w:tcMar>
          </w:tcPr>
          <w:p>
            <w:pPr>
              <w:jc w:val="left"/>
            </w:pPr>
            <w:r>
              <w:rPr>
                <w:b w:val="false"/>
                <w:bCs w:val="false"/>
                <w:sz w:val="17"/>
                <w:szCs w:val="17"/>
              </w:rPr>
              <w:t xml:space="preserve">All pivot tiers CORROBORATED (§19) — no single-source suppression; earnings-window event risk</w:t>
            </w:r>
          </w:p>
        </w:tc>
      </w:tr>
    </w:tbl>
    <w:p>
      <w:pPr>
        <w:spacing w:after="40" w:before="120"/>
      </w:pPr>
      <w:r>
        <w:rPr>
          <w:b/>
          <w:bCs/>
          <w:color w:val="AD1457"/>
          <w:sz w:val="20"/>
          <w:szCs w:val="20"/>
        </w:rPr>
        <w:t xml:space="preserve">Trade 3A — Momentum-Pullback (regime fork: TRANSITION→trend-up)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40"/>
              <w:left w:type="dxa" w:w="60"/>
              <w:bottom w:type="dxa" w:w="40"/>
              <w:right w:type="dxa" w:w="60"/>
            </w:tcMar>
          </w:tcPr>
          <w:p>
            <w:pPr>
              <w:jc w:val="left"/>
            </w:pPr>
            <w:r>
              <w:rPr>
                <w:b/>
                <w:bCs/>
                <w:sz w:val="17"/>
                <w:szCs w:val="17"/>
              </w:rPr>
              <w:t xml:space="preserve">Direction</w:t>
            </w:r>
          </w:p>
        </w:tc>
        <w:tc>
          <w:tcPr>
            <w:tcW w:type="dxa" w:w="6960"/>
            <w:tcMar>
              <w:top w:type="dxa" w:w="40"/>
              <w:left w:type="dxa" w:w="60"/>
              <w:bottom w:type="dxa" w:w="40"/>
              <w:right w:type="dxa" w:w="60"/>
            </w:tcMar>
          </w:tcPr>
          <w:p>
            <w:pPr>
              <w:jc w:val="left"/>
            </w:pPr>
            <w:r>
              <w:rPr>
                <w:b w:val="false"/>
                <w:bCs w:val="false"/>
                <w:sz w:val="17"/>
                <w:szCs w:val="17"/>
              </w:rPr>
              <w:t xml:space="preserve">LONG — momentum pullback into rising structure</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Entry</w:t>
            </w:r>
          </w:p>
        </w:tc>
        <w:tc>
          <w:tcPr>
            <w:tcW w:type="dxa" w:w="6960"/>
            <w:tcMar>
              <w:top w:type="dxa" w:w="40"/>
              <w:left w:type="dxa" w:w="60"/>
              <w:bottom w:type="dxa" w:w="40"/>
              <w:right w:type="dxa" w:w="60"/>
            </w:tcMar>
          </w:tcPr>
          <w:p>
            <w:pPr>
              <w:jc w:val="left"/>
            </w:pPr>
            <w:r>
              <w:rPr>
                <w:b w:val="false"/>
                <w:bCs w:val="false"/>
                <w:sz w:val="17"/>
                <w:szCs w:val="17"/>
              </w:rPr>
              <w:t xml:space="preserve">Stop entry at 7,581 on a confirmed break of the 10-Jul high 7,579.93</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Stop loss</w:t>
            </w:r>
          </w:p>
        </w:tc>
        <w:tc>
          <w:tcPr>
            <w:tcW w:type="dxa" w:w="6960"/>
            <w:tcMar>
              <w:top w:type="dxa" w:w="40"/>
              <w:left w:type="dxa" w:w="60"/>
              <w:bottom w:type="dxa" w:w="40"/>
              <w:right w:type="dxa" w:w="60"/>
            </w:tcMar>
          </w:tcPr>
          <w:p>
            <w:pPr>
              <w:jc w:val="left"/>
            </w:pPr>
            <w:r>
              <w:rPr>
                <w:b w:val="false"/>
                <w:bCs w:val="false"/>
                <w:sz w:val="17"/>
                <w:szCs w:val="17"/>
              </w:rPr>
              <w:t xml:space="preserve">7,508.16 — 10-Jul low; 72.8 points below entry (structural: latest session low)</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Risk (R)</w:t>
            </w:r>
          </w:p>
        </w:tc>
        <w:tc>
          <w:tcPr>
            <w:tcW w:type="dxa" w:w="6960"/>
            <w:tcMar>
              <w:top w:type="dxa" w:w="40"/>
              <w:left w:type="dxa" w:w="60"/>
              <w:bottom w:type="dxa" w:w="40"/>
              <w:right w:type="dxa" w:w="60"/>
            </w:tcMar>
          </w:tcPr>
          <w:p>
            <w:pPr>
              <w:jc w:val="left"/>
            </w:pPr>
            <w:r>
              <w:rPr>
                <w:b w:val="false"/>
                <w:bCs w:val="false"/>
                <w:sz w:val="17"/>
                <w:szCs w:val="17"/>
              </w:rPr>
              <w:t xml:space="preserve">72.8 points</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TP1</w:t>
            </w:r>
          </w:p>
        </w:tc>
        <w:tc>
          <w:tcPr>
            <w:tcW w:type="dxa" w:w="6960"/>
            <w:tcMar>
              <w:top w:type="dxa" w:w="40"/>
              <w:left w:type="dxa" w:w="60"/>
              <w:bottom w:type="dxa" w:w="40"/>
              <w:right w:type="dxa" w:w="60"/>
            </w:tcMar>
          </w:tcPr>
          <w:p>
            <w:pPr>
              <w:jc w:val="left"/>
            </w:pPr>
            <w:r>
              <w:rPr>
                <w:b w:val="false"/>
                <w:bCs w:val="false"/>
                <w:sz w:val="17"/>
                <w:szCs w:val="17"/>
              </w:rPr>
              <w:t xml:space="preserve">38.2% extension / all-time high 7,620.90 (structural target)</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TP2</w:t>
            </w:r>
          </w:p>
        </w:tc>
        <w:tc>
          <w:tcPr>
            <w:tcW w:type="dxa" w:w="6960"/>
            <w:tcMar>
              <w:top w:type="dxa" w:w="40"/>
              <w:left w:type="dxa" w:w="60"/>
              <w:bottom w:type="dxa" w:w="40"/>
              <w:right w:type="dxa" w:w="60"/>
            </w:tcMar>
          </w:tcPr>
          <w:p>
            <w:pPr>
              <w:jc w:val="left"/>
            </w:pPr>
            <w:r>
              <w:rPr>
                <w:b w:val="false"/>
                <w:bCs w:val="false"/>
                <w:sz w:val="17"/>
                <w:szCs w:val="17"/>
              </w:rPr>
              <w:t xml:space="preserve">Measured move ≈ 1× the 5-day range width (158 pts) → ~7,739</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TP3 (runner)</w:t>
            </w:r>
          </w:p>
        </w:tc>
        <w:tc>
          <w:tcPr>
            <w:tcW w:type="dxa" w:w="6960"/>
            <w:tcMar>
              <w:top w:type="dxa" w:w="40"/>
              <w:left w:type="dxa" w:w="60"/>
              <w:bottom w:type="dxa" w:w="40"/>
              <w:right w:type="dxa" w:w="60"/>
            </w:tcMar>
          </w:tcPr>
          <w:p>
            <w:pPr>
              <w:jc w:val="left"/>
            </w:pPr>
            <w:r>
              <w:rPr>
                <w:b w:val="false"/>
                <w:bCs w:val="false"/>
                <w:sz w:val="17"/>
                <w:szCs w:val="17"/>
              </w:rPr>
              <w:t xml:space="preserve">100%+ extension or breakout continuation above 8,000-target path</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Tranche mgmt</w:t>
            </w:r>
          </w:p>
        </w:tc>
        <w:tc>
          <w:tcPr>
            <w:tcW w:type="dxa" w:w="6960"/>
            <w:tcMar>
              <w:top w:type="dxa" w:w="40"/>
              <w:left w:type="dxa" w:w="60"/>
              <w:bottom w:type="dxa" w:w="40"/>
              <w:right w:type="dxa" w:w="60"/>
            </w:tcMar>
          </w:tcPr>
          <w:p>
            <w:pPr>
              <w:jc w:val="left"/>
            </w:pPr>
            <w:r>
              <w:rPr>
                <w:b w:val="false"/>
                <w:bCs w:val="false"/>
                <w:sz w:val="17"/>
                <w:szCs w:val="17"/>
              </w:rPr>
              <w:t xml:space="preserve">3 equal units; structural runner override on 100%-extension break (SL → halfway entry↔0% anchor)</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Confluences</w:t>
            </w:r>
          </w:p>
        </w:tc>
        <w:tc>
          <w:tcPr>
            <w:tcW w:type="dxa" w:w="6960"/>
            <w:tcMar>
              <w:top w:type="dxa" w:w="40"/>
              <w:left w:type="dxa" w:w="60"/>
              <w:bottom w:type="dxa" w:w="40"/>
              <w:right w:type="dxa" w:w="60"/>
            </w:tcMar>
          </w:tcPr>
          <w:p>
            <w:pPr>
              <w:jc w:val="left"/>
            </w:pPr>
            <w:r>
              <w:rPr>
                <w:b w:val="false"/>
                <w:bCs w:val="false"/>
                <w:sz w:val="17"/>
                <w:szCs w:val="17"/>
              </w:rPr>
              <w:t xml:space="preserve">Breakout level at sequence high; TP1 at all-time high (strong)</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Thesis invalidation</w:t>
            </w:r>
          </w:p>
        </w:tc>
        <w:tc>
          <w:tcPr>
            <w:tcW w:type="dxa" w:w="6960"/>
            <w:tcMar>
              <w:top w:type="dxa" w:w="40"/>
              <w:left w:type="dxa" w:w="60"/>
              <w:bottom w:type="dxa" w:w="40"/>
              <w:right w:type="dxa" w:w="60"/>
            </w:tcMar>
          </w:tcPr>
          <w:p>
            <w:pPr>
              <w:jc w:val="left"/>
            </w:pPr>
            <w:r>
              <w:rPr>
                <w:b w:val="false"/>
                <w:bCs w:val="false"/>
                <w:sz w:val="17"/>
                <w:szCs w:val="17"/>
              </w:rPr>
              <w:t xml:space="preserve">Reversal close back below 7,508 (10-Jul low)</w:t>
            </w:r>
          </w:p>
        </w:tc>
      </w:tr>
      <w:tr>
        <w:tc>
          <w:tcPr>
            <w:tcW w:type="dxa" w:w="2400"/>
            <w:shd w:fill="F2F2F2" w:color="auto" w:val="clear"/>
            <w:tcMar>
              <w:top w:type="dxa" w:w="40"/>
              <w:left w:type="dxa" w:w="60"/>
              <w:bottom w:type="dxa" w:w="40"/>
              <w:right w:type="dxa" w:w="60"/>
            </w:tcMar>
          </w:tcPr>
          <w:p>
            <w:pPr>
              <w:jc w:val="left"/>
            </w:pPr>
            <w:r>
              <w:rPr>
                <w:b/>
                <w:bCs/>
                <w:sz w:val="17"/>
                <w:szCs w:val="17"/>
              </w:rPr>
              <w:t xml:space="preserve">Caveats</w:t>
            </w:r>
          </w:p>
        </w:tc>
        <w:tc>
          <w:tcPr>
            <w:tcW w:type="dxa" w:w="6960"/>
            <w:tcMar>
              <w:top w:type="dxa" w:w="40"/>
              <w:left w:type="dxa" w:w="60"/>
              <w:bottom w:type="dxa" w:w="40"/>
              <w:right w:type="dxa" w:w="60"/>
            </w:tcMar>
          </w:tcPr>
          <w:p>
            <w:pPr>
              <w:jc w:val="left"/>
            </w:pPr>
            <w:r>
              <w:rPr>
                <w:b w:val="false"/>
                <w:bCs w:val="false"/>
                <w:sz w:val="17"/>
                <w:szCs w:val="17"/>
              </w:rPr>
              <w:t xml:space="preserve">Breakout may fail on an earnings miss; conflict with none of §16/§17</w:t>
            </w:r>
          </w:p>
        </w:tc>
      </w:tr>
    </w:tbl>
    <w:p>
      <w:pPr>
        <w:pStyle w:val="Heading2"/>
        <w:spacing w:after="80" w:before="180"/>
      </w:pPr>
      <w:r>
        <w:rPr>
          <w:b/>
          <w:bCs/>
          <w:color w:val="AD1457"/>
          <w:sz w:val="22"/>
          <w:szCs w:val="22"/>
        </w:rP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1050"/>
        <w:gridCol w:w="2000"/>
        <w:gridCol w:w="1050"/>
        <w:gridCol w:w="1060"/>
      </w:tblGrid>
      <w:tr>
        <w:trPr>
          <w:tblHeader/>
        </w:trPr>
        <w:tc>
          <w:tcPr>
            <w:tcW w:type="dxa" w:w="1700"/>
            <w:shd w:fill="AD1457" w:color="auto" w:val="clear"/>
            <w:tcMar>
              <w:top w:type="dxa" w:w="40"/>
              <w:left w:type="dxa" w:w="60"/>
              <w:bottom w:type="dxa" w:w="40"/>
              <w:right w:type="dxa" w:w="60"/>
            </w:tcMar>
          </w:tcPr>
          <w:p>
            <w:pPr>
              <w:jc w:val="left"/>
            </w:pPr>
            <w:r>
              <w:rPr>
                <w:b/>
                <w:bCs/>
                <w:color w:val="FFFFFF"/>
                <w:sz w:val="18"/>
                <w:szCs w:val="18"/>
              </w:rPr>
              <w:t xml:space="preserve">Date (t−N)</w:t>
            </w:r>
          </w:p>
        </w:tc>
        <w:tc>
          <w:tcPr>
            <w:tcW w:type="dxa" w:w="1300"/>
            <w:shd w:fill="AD1457" w:color="auto" w:val="clear"/>
            <w:tcMar>
              <w:top w:type="dxa" w:w="40"/>
              <w:left w:type="dxa" w:w="60"/>
              <w:bottom w:type="dxa" w:w="40"/>
              <w:right w:type="dxa" w:w="60"/>
            </w:tcMar>
          </w:tcPr>
          <w:p>
            <w:pPr>
              <w:jc w:val="left"/>
            </w:pPr>
            <w:r>
              <w:rPr>
                <w:b/>
                <w:bCs/>
                <w:color w:val="FFFFFF"/>
                <w:sz w:val="18"/>
                <w:szCs w:val="18"/>
              </w:rPr>
              <w:t xml:space="preserve">Strategy</w:t>
            </w:r>
          </w:p>
        </w:tc>
        <w:tc>
          <w:tcPr>
            <w:tcW w:type="dxa" w:w="1200"/>
            <w:shd w:fill="AD1457" w:color="auto" w:val="clear"/>
            <w:tcMar>
              <w:top w:type="dxa" w:w="40"/>
              <w:left w:type="dxa" w:w="60"/>
              <w:bottom w:type="dxa" w:w="40"/>
              <w:right w:type="dxa" w:w="60"/>
            </w:tcMar>
          </w:tcPr>
          <w:p>
            <w:pPr>
              <w:jc w:val="left"/>
            </w:pPr>
            <w:r>
              <w:rPr>
                <w:b/>
                <w:bCs/>
                <w:color w:val="FFFFFF"/>
                <w:sz w:val="18"/>
                <w:szCs w:val="18"/>
              </w:rPr>
              <w:t xml:space="preserve">Direction</w:t>
            </w:r>
          </w:p>
        </w:tc>
        <w:tc>
          <w:tcPr>
            <w:tcW w:type="dxa" w:w="1050"/>
            <w:shd w:fill="AD1457" w:color="auto" w:val="clear"/>
            <w:tcMar>
              <w:top w:type="dxa" w:w="40"/>
              <w:left w:type="dxa" w:w="60"/>
              <w:bottom w:type="dxa" w:w="40"/>
              <w:right w:type="dxa" w:w="60"/>
            </w:tcMar>
          </w:tcPr>
          <w:p>
            <w:pPr>
              <w:jc w:val="left"/>
            </w:pPr>
            <w:r>
              <w:rPr>
                <w:b/>
                <w:bCs/>
                <w:color w:val="FFFFFF"/>
                <w:sz w:val="18"/>
                <w:szCs w:val="18"/>
              </w:rPr>
              <w:t xml:space="preserve">Triggered</w:t>
            </w:r>
          </w:p>
        </w:tc>
        <w:tc>
          <w:tcPr>
            <w:tcW w:type="dxa" w:w="2000"/>
            <w:shd w:fill="AD1457" w:color="auto" w:val="clear"/>
            <w:tcMar>
              <w:top w:type="dxa" w:w="40"/>
              <w:left w:type="dxa" w:w="60"/>
              <w:bottom w:type="dxa" w:w="40"/>
              <w:right w:type="dxa" w:w="60"/>
            </w:tcMar>
          </w:tcPr>
          <w:p>
            <w:pPr>
              <w:jc w:val="left"/>
            </w:pPr>
            <w:r>
              <w:rPr>
                <w:b/>
                <w:bCs/>
                <w:color w:val="FFFFFF"/>
                <w:sz w:val="18"/>
                <w:szCs w:val="18"/>
              </w:rPr>
              <w:t xml:space="preserve">Entry / Exit</w:t>
            </w:r>
          </w:p>
        </w:tc>
        <w:tc>
          <w:tcPr>
            <w:tcW w:type="dxa" w:w="1050"/>
            <w:shd w:fill="AD1457" w:color="auto" w:val="clear"/>
            <w:tcMar>
              <w:top w:type="dxa" w:w="40"/>
              <w:left w:type="dxa" w:w="60"/>
              <w:bottom w:type="dxa" w:w="40"/>
              <w:right w:type="dxa" w:w="60"/>
            </w:tcMar>
          </w:tcPr>
          <w:p>
            <w:pPr>
              <w:jc w:val="left"/>
            </w:pPr>
            <w:r>
              <w:rPr>
                <w:b/>
                <w:bCs/>
                <w:color w:val="FFFFFF"/>
                <w:sz w:val="18"/>
                <w:szCs w:val="18"/>
              </w:rPr>
              <w:t xml:space="preserve">Outcome (R)</w:t>
            </w:r>
          </w:p>
        </w:tc>
        <w:tc>
          <w:tcPr>
            <w:tcW w:type="dxa" w:w="1060"/>
            <w:shd w:fill="AD1457" w:color="auto" w:val="clear"/>
            <w:tcMar>
              <w:top w:type="dxa" w:w="40"/>
              <w:left w:type="dxa" w:w="60"/>
              <w:bottom w:type="dxa" w:w="40"/>
              <w:right w:type="dxa" w:w="60"/>
            </w:tcMar>
          </w:tcPr>
          <w:p>
            <w:pPr>
              <w:jc w:val="left"/>
            </w:pPr>
            <w:r>
              <w:rPr>
                <w:b/>
                <w:bCs/>
                <w:color w:val="FFFFFF"/>
                <w:sz w:val="18"/>
                <w:szCs w:val="18"/>
              </w:rPr>
              <w:t xml:space="preserve">Days</w:t>
            </w:r>
          </w:p>
        </w:tc>
      </w:tr>
      <w:tr>
        <w:tc>
          <w:tcPr>
            <w:tcW w:type="dxa" w:w="1700"/>
            <w:tcMar>
              <w:top w:type="dxa" w:w="40"/>
              <w:left w:type="dxa" w:w="60"/>
              <w:bottom w:type="dxa" w:w="40"/>
              <w:right w:type="dxa" w:w="60"/>
            </w:tcMar>
          </w:tcPr>
          <w:p>
            <w:pPr>
              <w:jc w:val="left"/>
            </w:pPr>
            <w:r>
              <w:rPr>
                <w:b w:val="false"/>
                <w:bCs w:val="false"/>
                <w:sz w:val="15"/>
                <w:szCs w:val="15"/>
              </w:rPr>
              <w:t xml:space="preserve">Mon 6 Jul (t−5)</w:t>
            </w:r>
          </w:p>
        </w:tc>
        <w:tc>
          <w:tcPr>
            <w:tcW w:type="dxa" w:w="1300"/>
            <w:tcMar>
              <w:top w:type="dxa" w:w="40"/>
              <w:left w:type="dxa" w:w="60"/>
              <w:bottom w:type="dxa" w:w="40"/>
              <w:right w:type="dxa" w:w="60"/>
            </w:tcMar>
          </w:tcPr>
          <w:p>
            <w:pPr>
              <w:jc w:val="left"/>
            </w:pPr>
            <w:r>
              <w:rPr>
                <w:b w:val="false"/>
                <w:bCs w:val="false"/>
                <w:sz w:val="15"/>
                <w:szCs w:val="15"/>
              </w:rPr>
              <w:t xml:space="preserve">Trade 1</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7,507 → 7,537</w:t>
            </w:r>
          </w:p>
        </w:tc>
        <w:tc>
          <w:tcPr>
            <w:tcW w:type="dxa" w:w="1050"/>
            <w:tcMar>
              <w:top w:type="dxa" w:w="40"/>
              <w:left w:type="dxa" w:w="60"/>
              <w:bottom w:type="dxa" w:w="40"/>
              <w:right w:type="dxa" w:w="60"/>
            </w:tcMar>
          </w:tcPr>
          <w:p>
            <w:pPr>
              <w:jc w:val="center"/>
            </w:pPr>
            <w:r>
              <w:rPr>
                <w:b w:val="false"/>
                <w:bCs w:val="false"/>
                <w:sz w:val="15"/>
                <w:szCs w:val="15"/>
              </w:rPr>
              <w:t xml:space="preserve">+0.7R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Mon 6 Jul (t−5)</w:t>
            </w:r>
          </w:p>
        </w:tc>
        <w:tc>
          <w:tcPr>
            <w:tcW w:type="dxa" w:w="1300"/>
            <w:tcMar>
              <w:top w:type="dxa" w:w="40"/>
              <w:left w:type="dxa" w:w="60"/>
              <w:bottom w:type="dxa" w:w="40"/>
              <w:right w:type="dxa" w:w="60"/>
            </w:tcMar>
          </w:tcPr>
          <w:p>
            <w:pPr>
              <w:jc w:val="left"/>
            </w:pPr>
            <w:r>
              <w:rPr>
                <w:b w:val="false"/>
                <w:bCs w:val="false"/>
                <w:sz w:val="15"/>
                <w:szCs w:val="15"/>
              </w:rPr>
              <w:t xml:space="preserve">Trade 2</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P 7,499 → R1</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Mon 6 Jul (t−5)</w:t>
            </w:r>
          </w:p>
        </w:tc>
        <w:tc>
          <w:tcPr>
            <w:tcW w:type="dxa" w:w="1300"/>
            <w:tcMar>
              <w:top w:type="dxa" w:w="40"/>
              <w:left w:type="dxa" w:w="60"/>
              <w:bottom w:type="dxa" w:w="40"/>
              <w:right w:type="dxa" w:w="60"/>
            </w:tcMar>
          </w:tcPr>
          <w:p>
            <w:pPr>
              <w:jc w:val="left"/>
            </w:pPr>
            <w:r>
              <w:rPr>
                <w:b w:val="false"/>
                <w:bCs w:val="false"/>
                <w:sz w:val="15"/>
                <w:szCs w:val="15"/>
              </w:rPr>
              <w:t xml:space="preserve">Trade 3A</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NO</w:t>
            </w:r>
          </w:p>
        </w:tc>
        <w:tc>
          <w:tcPr>
            <w:tcW w:type="dxa" w:w="2000"/>
            <w:tcMar>
              <w:top w:type="dxa" w:w="40"/>
              <w:left w:type="dxa" w:w="60"/>
              <w:bottom w:type="dxa" w:w="40"/>
              <w:right w:type="dxa" w:w="60"/>
            </w:tcMar>
          </w:tcPr>
          <w:p>
            <w:pPr>
              <w:jc w:val="left"/>
            </w:pPr>
            <w:r>
              <w:rPr>
                <w:b w:val="false"/>
                <w:bCs w:val="false"/>
                <w:sz w:val="14"/>
                <w:szCs w:val="14"/>
              </w:rPr>
              <w:t xml:space="preserve">break not made</w:t>
            </w:r>
          </w:p>
        </w:tc>
        <w:tc>
          <w:tcPr>
            <w:tcW w:type="dxa" w:w="1050"/>
            <w:tcMar>
              <w:top w:type="dxa" w:w="40"/>
              <w:left w:type="dxa" w:w="60"/>
              <w:bottom w:type="dxa" w:w="40"/>
              <w:right w:type="dxa" w:w="60"/>
            </w:tcMar>
          </w:tcPr>
          <w:p>
            <w:pPr>
              <w:jc w:val="center"/>
            </w:pPr>
            <w:r>
              <w:rPr>
                <w:b w:val="false"/>
                <w:bCs w:val="false"/>
                <w:sz w:val="15"/>
                <w:szCs w:val="15"/>
              </w:rPr>
              <w:t xml:space="preserve">—</w:t>
            </w:r>
          </w:p>
        </w:tc>
        <w:tc>
          <w:tcPr>
            <w:tcW w:type="dxa" w:w="1060"/>
            <w:tcMar>
              <w:top w:type="dxa" w:w="40"/>
              <w:left w:type="dxa" w:w="60"/>
              <w:bottom w:type="dxa" w:w="40"/>
              <w:right w:type="dxa" w:w="60"/>
            </w:tcMar>
          </w:tcPr>
          <w:p>
            <w:pPr>
              <w:jc w:val="center"/>
            </w:pPr>
            <w:r>
              <w:rPr>
                <w:b w:val="false"/>
                <w:bCs w:val="false"/>
                <w:sz w:val="15"/>
                <w:szCs w:val="15"/>
              </w:rPr>
              <w:t xml:space="preserve">—</w:t>
            </w:r>
          </w:p>
        </w:tc>
      </w:tr>
      <w:tr>
        <w:tc>
          <w:tcPr>
            <w:tcW w:type="dxa" w:w="1700"/>
            <w:tcMar>
              <w:top w:type="dxa" w:w="40"/>
              <w:left w:type="dxa" w:w="60"/>
              <w:bottom w:type="dxa" w:w="40"/>
              <w:right w:type="dxa" w:w="60"/>
            </w:tcMar>
          </w:tcPr>
          <w:p>
            <w:pPr>
              <w:jc w:val="left"/>
            </w:pPr>
            <w:r>
              <w:rPr>
                <w:b w:val="false"/>
                <w:bCs w:val="false"/>
                <w:sz w:val="15"/>
                <w:szCs w:val="15"/>
              </w:rPr>
              <w:t xml:space="preserve">Tue 7 Jul (t−4)</w:t>
            </w:r>
          </w:p>
        </w:tc>
        <w:tc>
          <w:tcPr>
            <w:tcW w:type="dxa" w:w="1300"/>
            <w:tcMar>
              <w:top w:type="dxa" w:w="40"/>
              <w:left w:type="dxa" w:w="60"/>
              <w:bottom w:type="dxa" w:w="40"/>
              <w:right w:type="dxa" w:w="60"/>
            </w:tcMar>
          </w:tcPr>
          <w:p>
            <w:pPr>
              <w:jc w:val="left"/>
            </w:pPr>
            <w:r>
              <w:rPr>
                <w:b w:val="false"/>
                <w:bCs w:val="false"/>
                <w:sz w:val="15"/>
                <w:szCs w:val="15"/>
              </w:rPr>
              <w:t xml:space="preserve">Trade 1</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7,517 → 7,504</w:t>
            </w:r>
          </w:p>
        </w:tc>
        <w:tc>
          <w:tcPr>
            <w:tcW w:type="dxa" w:w="1050"/>
            <w:tcMar>
              <w:top w:type="dxa" w:w="40"/>
              <w:left w:type="dxa" w:w="60"/>
              <w:bottom w:type="dxa" w:w="40"/>
              <w:right w:type="dxa" w:w="60"/>
            </w:tcMar>
          </w:tcPr>
          <w:p>
            <w:pPr>
              <w:jc w:val="center"/>
            </w:pPr>
            <w:r>
              <w:rPr>
                <w:b w:val="false"/>
                <w:bCs w:val="false"/>
                <w:sz w:val="15"/>
                <w:szCs w:val="15"/>
              </w:rPr>
              <w:t xml:space="preserve">−0.4R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Tue 7 Jul (t−4)</w:t>
            </w:r>
          </w:p>
        </w:tc>
        <w:tc>
          <w:tcPr>
            <w:tcW w:type="dxa" w:w="1300"/>
            <w:tcMar>
              <w:top w:type="dxa" w:w="40"/>
              <w:left w:type="dxa" w:w="60"/>
              <w:bottom w:type="dxa" w:w="40"/>
              <w:right w:type="dxa" w:w="60"/>
            </w:tcMar>
          </w:tcPr>
          <w:p>
            <w:pPr>
              <w:jc w:val="left"/>
            </w:pPr>
            <w:r>
              <w:rPr>
                <w:b w:val="false"/>
                <w:bCs w:val="false"/>
                <w:sz w:val="15"/>
                <w:szCs w:val="15"/>
              </w:rPr>
              <w:t xml:space="preserve">Trade 2</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P → S1 first</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Wed 8 Jul (t−3)</w:t>
            </w:r>
          </w:p>
        </w:tc>
        <w:tc>
          <w:tcPr>
            <w:tcW w:type="dxa" w:w="1300"/>
            <w:tcMar>
              <w:top w:type="dxa" w:w="40"/>
              <w:left w:type="dxa" w:w="60"/>
              <w:bottom w:type="dxa" w:w="40"/>
              <w:right w:type="dxa" w:w="60"/>
            </w:tcMar>
          </w:tcPr>
          <w:p>
            <w:pPr>
              <w:jc w:val="left"/>
            </w:pPr>
            <w:r>
              <w:rPr>
                <w:b w:val="false"/>
                <w:bCs w:val="false"/>
                <w:sz w:val="15"/>
                <w:szCs w:val="15"/>
              </w:rPr>
              <w:t xml:space="preserve">Trade 1</w:t>
            </w:r>
          </w:p>
        </w:tc>
        <w:tc>
          <w:tcPr>
            <w:tcW w:type="dxa" w:w="1200"/>
            <w:tcMar>
              <w:top w:type="dxa" w:w="40"/>
              <w:left w:type="dxa" w:w="60"/>
              <w:bottom w:type="dxa" w:w="40"/>
              <w:right w:type="dxa" w:w="60"/>
            </w:tcMar>
          </w:tcPr>
          <w:p>
            <w:pPr>
              <w:jc w:val="left"/>
            </w:pPr>
            <w:r>
              <w:rPr>
                <w:b w:val="false"/>
                <w:bCs w:val="false"/>
                <w:color w:val="666666"/>
                <w:sz w:val="15"/>
                <w:szCs w:val="15"/>
              </w:rPr>
              <w:t xml:space="preserve">SUPPRESSED</w:t>
            </w:r>
          </w:p>
        </w:tc>
        <w:tc>
          <w:tcPr>
            <w:tcW w:type="dxa" w:w="1050"/>
            <w:tcMar>
              <w:top w:type="dxa" w:w="40"/>
              <w:left w:type="dxa" w:w="60"/>
              <w:bottom w:type="dxa" w:w="40"/>
              <w:right w:type="dxa" w:w="60"/>
            </w:tcMar>
          </w:tcPr>
          <w:p>
            <w:pPr>
              <w:jc w:val="center"/>
            </w:pPr>
            <w:r>
              <w:rPr>
                <w:b w:val="false"/>
                <w:bCs w:val="false"/>
                <w:sz w:val="15"/>
                <w:szCs w:val="15"/>
              </w:rPr>
              <w:t xml:space="preserve">—</w:t>
            </w:r>
          </w:p>
        </w:tc>
        <w:tc>
          <w:tcPr>
            <w:tcW w:type="dxa" w:w="2000"/>
            <w:tcMar>
              <w:top w:type="dxa" w:w="40"/>
              <w:left w:type="dxa" w:w="60"/>
              <w:bottom w:type="dxa" w:w="40"/>
              <w:right w:type="dxa" w:w="60"/>
            </w:tcMar>
          </w:tcPr>
          <w:p>
            <w:pPr>
              <w:jc w:val="left"/>
            </w:pPr>
            <w:r>
              <w:rPr>
                <w:b w:val="false"/>
                <w:bCs w:val="false"/>
                <w:sz w:val="14"/>
                <w:szCs w:val="14"/>
              </w:rPr>
              <w:t xml:space="preserve">score &lt;0.25 (risk-off)</w:t>
            </w:r>
          </w:p>
        </w:tc>
        <w:tc>
          <w:tcPr>
            <w:tcW w:type="dxa" w:w="1050"/>
            <w:tcMar>
              <w:top w:type="dxa" w:w="40"/>
              <w:left w:type="dxa" w:w="60"/>
              <w:bottom w:type="dxa" w:w="40"/>
              <w:right w:type="dxa" w:w="60"/>
            </w:tcMar>
          </w:tcPr>
          <w:p>
            <w:pPr>
              <w:jc w:val="center"/>
            </w:pPr>
            <w:r>
              <w:rPr>
                <w:b w:val="false"/>
                <w:bCs w:val="false"/>
                <w:sz w:val="15"/>
                <w:szCs w:val="15"/>
              </w:rPr>
              <w:t xml:space="preserve">—</w:t>
            </w:r>
          </w:p>
        </w:tc>
        <w:tc>
          <w:tcPr>
            <w:tcW w:type="dxa" w:w="1060"/>
            <w:tcMar>
              <w:top w:type="dxa" w:w="40"/>
              <w:left w:type="dxa" w:w="60"/>
              <w:bottom w:type="dxa" w:w="40"/>
              <w:right w:type="dxa" w:w="60"/>
            </w:tcMar>
          </w:tcPr>
          <w:p>
            <w:pPr>
              <w:jc w:val="center"/>
            </w:pPr>
            <w:r>
              <w:rPr>
                <w:b w:val="false"/>
                <w:bCs w:val="false"/>
                <w:sz w:val="15"/>
                <w:szCs w:val="15"/>
              </w:rPr>
              <w:t xml:space="preserve">—</w:t>
            </w:r>
          </w:p>
        </w:tc>
      </w:tr>
      <w:tr>
        <w:tc>
          <w:tcPr>
            <w:tcW w:type="dxa" w:w="1700"/>
            <w:tcMar>
              <w:top w:type="dxa" w:w="40"/>
              <w:left w:type="dxa" w:w="60"/>
              <w:bottom w:type="dxa" w:w="40"/>
              <w:right w:type="dxa" w:w="60"/>
            </w:tcMar>
          </w:tcPr>
          <w:p>
            <w:pPr>
              <w:jc w:val="left"/>
            </w:pPr>
            <w:r>
              <w:rPr>
                <w:b w:val="false"/>
                <w:bCs w:val="false"/>
                <w:sz w:val="15"/>
                <w:szCs w:val="15"/>
              </w:rPr>
              <w:t xml:space="preserve">Wed 8 Jul (t−3)</w:t>
            </w:r>
          </w:p>
        </w:tc>
        <w:tc>
          <w:tcPr>
            <w:tcW w:type="dxa" w:w="1300"/>
            <w:tcMar>
              <w:top w:type="dxa" w:w="40"/>
              <w:left w:type="dxa" w:w="60"/>
              <w:bottom w:type="dxa" w:w="40"/>
              <w:right w:type="dxa" w:w="60"/>
            </w:tcMar>
          </w:tcPr>
          <w:p>
            <w:pPr>
              <w:jc w:val="left"/>
            </w:pPr>
            <w:r>
              <w:rPr>
                <w:b w:val="false"/>
                <w:bCs w:val="false"/>
                <w:sz w:val="15"/>
                <w:szCs w:val="15"/>
              </w:rPr>
              <w:t xml:space="preserve">Trade 2</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P → S2 sweep</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Thu 9 Jul (t−2)</w:t>
            </w:r>
          </w:p>
        </w:tc>
        <w:tc>
          <w:tcPr>
            <w:tcW w:type="dxa" w:w="1300"/>
            <w:tcMar>
              <w:top w:type="dxa" w:w="40"/>
              <w:left w:type="dxa" w:w="60"/>
              <w:bottom w:type="dxa" w:w="40"/>
              <w:right w:type="dxa" w:w="60"/>
            </w:tcMar>
          </w:tcPr>
          <w:p>
            <w:pPr>
              <w:jc w:val="left"/>
            </w:pPr>
            <w:r>
              <w:rPr>
                <w:b w:val="false"/>
                <w:bCs w:val="false"/>
                <w:sz w:val="15"/>
                <w:szCs w:val="15"/>
              </w:rPr>
              <w:t xml:space="preserve">Trade 1</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7,492 → 7,544</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Thu 9 Jul (t−2)</w:t>
            </w:r>
          </w:p>
        </w:tc>
        <w:tc>
          <w:tcPr>
            <w:tcW w:type="dxa" w:w="1300"/>
            <w:tcMar>
              <w:top w:type="dxa" w:w="40"/>
              <w:left w:type="dxa" w:w="60"/>
              <w:bottom w:type="dxa" w:w="40"/>
              <w:right w:type="dxa" w:w="60"/>
            </w:tcMar>
          </w:tcPr>
          <w:p>
            <w:pPr>
              <w:jc w:val="left"/>
            </w:pPr>
            <w:r>
              <w:rPr>
                <w:b w:val="false"/>
                <w:bCs w:val="false"/>
                <w:sz w:val="15"/>
                <w:szCs w:val="15"/>
              </w:rPr>
              <w:t xml:space="preserve">Trade 3A</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brk 7,489 → 7,544</w:t>
            </w:r>
          </w:p>
        </w:tc>
        <w:tc>
          <w:tcPr>
            <w:tcW w:type="dxa" w:w="1050"/>
            <w:tcMar>
              <w:top w:type="dxa" w:w="40"/>
              <w:left w:type="dxa" w:w="60"/>
              <w:bottom w:type="dxa" w:w="40"/>
              <w:right w:type="dxa" w:w="60"/>
            </w:tcMar>
          </w:tcPr>
          <w:p>
            <w:pPr>
              <w:jc w:val="center"/>
            </w:pPr>
            <w:r>
              <w:rPr>
                <w:b w:val="false"/>
                <w:bCs w:val="false"/>
                <w:sz w:val="15"/>
                <w:szCs w:val="15"/>
              </w:rPr>
              <w:t xml:space="preserve">+0.8R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Fri 10 Jul (t−1)</w:t>
            </w:r>
          </w:p>
        </w:tc>
        <w:tc>
          <w:tcPr>
            <w:tcW w:type="dxa" w:w="1300"/>
            <w:tcMar>
              <w:top w:type="dxa" w:w="40"/>
              <w:left w:type="dxa" w:w="60"/>
              <w:bottom w:type="dxa" w:w="40"/>
              <w:right w:type="dxa" w:w="60"/>
            </w:tcMar>
          </w:tcPr>
          <w:p>
            <w:pPr>
              <w:jc w:val="left"/>
            </w:pPr>
            <w:r>
              <w:rPr>
                <w:b w:val="false"/>
                <w:bCs w:val="false"/>
                <w:sz w:val="15"/>
                <w:szCs w:val="15"/>
              </w:rPr>
              <w:t xml:space="preserve">Trade 1</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7,548 → 7,575</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r>
        <w:tc>
          <w:tcPr>
            <w:tcW w:type="dxa" w:w="1700"/>
            <w:tcMar>
              <w:top w:type="dxa" w:w="40"/>
              <w:left w:type="dxa" w:w="60"/>
              <w:bottom w:type="dxa" w:w="40"/>
              <w:right w:type="dxa" w:w="60"/>
            </w:tcMar>
          </w:tcPr>
          <w:p>
            <w:pPr>
              <w:jc w:val="left"/>
            </w:pPr>
            <w:r>
              <w:rPr>
                <w:b w:val="false"/>
                <w:bCs w:val="false"/>
                <w:sz w:val="15"/>
                <w:szCs w:val="15"/>
              </w:rPr>
              <w:t xml:space="preserve">Fri 10 Jul (t−1)</w:t>
            </w:r>
          </w:p>
        </w:tc>
        <w:tc>
          <w:tcPr>
            <w:tcW w:type="dxa" w:w="1300"/>
            <w:tcMar>
              <w:top w:type="dxa" w:w="40"/>
              <w:left w:type="dxa" w:w="60"/>
              <w:bottom w:type="dxa" w:w="40"/>
              <w:right w:type="dxa" w:w="60"/>
            </w:tcMar>
          </w:tcPr>
          <w:p>
            <w:pPr>
              <w:jc w:val="left"/>
            </w:pPr>
            <w:r>
              <w:rPr>
                <w:b w:val="false"/>
                <w:bCs w:val="false"/>
                <w:sz w:val="15"/>
                <w:szCs w:val="15"/>
              </w:rPr>
              <w:t xml:space="preserve">Trade 2</w:t>
            </w:r>
          </w:p>
        </w:tc>
        <w:tc>
          <w:tcPr>
            <w:tcW w:type="dxa" w:w="1200"/>
            <w:tcMar>
              <w:top w:type="dxa" w:w="40"/>
              <w:left w:type="dxa" w:w="60"/>
              <w:bottom w:type="dxa" w:w="40"/>
              <w:right w:type="dxa" w:w="60"/>
            </w:tcMar>
          </w:tcPr>
          <w:p>
            <w:pPr>
              <w:jc w:val="left"/>
            </w:pPr>
            <w:r>
              <w:rPr>
                <w:b w:val="false"/>
                <w:bCs w:val="false"/>
                <w:sz w:val="15"/>
                <w:szCs w:val="15"/>
              </w:rPr>
              <w:t xml:space="preserve">LONG</w:t>
            </w:r>
          </w:p>
        </w:tc>
        <w:tc>
          <w:tcPr>
            <w:tcW w:type="dxa" w:w="1050"/>
            <w:tcMar>
              <w:top w:type="dxa" w:w="40"/>
              <w:left w:type="dxa" w:w="60"/>
              <w:bottom w:type="dxa" w:w="40"/>
              <w:right w:type="dxa" w:w="60"/>
            </w:tcMar>
          </w:tcPr>
          <w:p>
            <w:pPr>
              <w:jc w:val="center"/>
            </w:pPr>
            <w:r>
              <w:rPr>
                <w:b w:val="false"/>
                <w:bCs w:val="false"/>
                <w:sz w:val="15"/>
                <w:szCs w:val="15"/>
              </w:rPr>
              <w:t xml:space="preserve">YES</w:t>
            </w:r>
          </w:p>
        </w:tc>
        <w:tc>
          <w:tcPr>
            <w:tcW w:type="dxa" w:w="2000"/>
            <w:tcMar>
              <w:top w:type="dxa" w:w="40"/>
              <w:left w:type="dxa" w:w="60"/>
              <w:bottom w:type="dxa" w:w="40"/>
              <w:right w:type="dxa" w:w="60"/>
            </w:tcMar>
          </w:tcPr>
          <w:p>
            <w:pPr>
              <w:jc w:val="left"/>
            </w:pPr>
            <w:r>
              <w:rPr>
                <w:b w:val="false"/>
                <w:bCs w:val="false"/>
                <w:sz w:val="14"/>
                <w:szCs w:val="14"/>
              </w:rPr>
              <w:t xml:space="preserve">P 7,555 → R1</w:t>
            </w:r>
          </w:p>
        </w:tc>
        <w:tc>
          <w:tcPr>
            <w:tcW w:type="dxa" w:w="1050"/>
            <w:tcMar>
              <w:top w:type="dxa" w:w="40"/>
              <w:left w:type="dxa" w:w="60"/>
              <w:bottom w:type="dxa" w:w="40"/>
              <w:right w:type="dxa" w:w="60"/>
            </w:tcMar>
          </w:tcPr>
          <w:p>
            <w:pPr>
              <w:jc w:val="center"/>
            </w:pPr>
            <w:r>
              <w:rPr>
                <w:b w:val="false"/>
                <w:bCs w:val="false"/>
                <w:sz w:val="15"/>
                <w:szCs w:val="15"/>
              </w:rPr>
              <w:t xml:space="preserve">+1.0R</w:t>
            </w:r>
          </w:p>
        </w:tc>
        <w:tc>
          <w:tcPr>
            <w:tcW w:type="dxa" w:w="1060"/>
            <w:tcMar>
              <w:top w:type="dxa" w:w="40"/>
              <w:left w:type="dxa" w:w="60"/>
              <w:bottom w:type="dxa" w:w="40"/>
              <w:right w:type="dxa" w:w="60"/>
            </w:tcMar>
          </w:tcPr>
          <w:p>
            <w:pPr>
              <w:jc w:val="center"/>
            </w:pPr>
            <w:r>
              <w:rPr>
                <w:b w:val="false"/>
                <w:bCs w:val="false"/>
                <w:sz w:val="15"/>
                <w:szCs w:val="15"/>
              </w:rPr>
              <w:t xml:space="preserve">1</w:t>
            </w:r>
          </w:p>
        </w:tc>
      </w:tr>
    </w:tbl>
    <w:p>
      <w:pPr>
        <w:pStyle w:val="Heading2"/>
        <w:spacing w:after="80" w:before="180"/>
      </w:pPr>
      <w:r>
        <w:rPr>
          <w:b/>
          <w:bCs/>
          <w:color w:val="AD1457"/>
          <w:sz w:val="22"/>
          <w:szCs w:val="22"/>
        </w:rPr>
        <w:t xml:space="preserve">21d · What Is Working</w:t>
      </w:r>
    </w:p>
    <w:p>
      <w:pPr>
        <w:spacing w:after="100" w:line="276"/>
      </w:pPr>
      <w:r>
        <w:rPr>
          <w:sz w:val="20"/>
          <w:szCs w:val="20"/>
        </w:rPr>
        <w:t xml:space="preserve">Trade 1 over the last 5 sessions: triggered 4/5 times (1 suppression on the 8 Jul risk-off), mean R ≈ +0.58, TP1/TP2/TP3 hit rates ≈ 75% / 25% / 0%. Trade 2 (pivot) triggered 4/4, mean R ≈ 0.00 (two +1.0R trend days offset by two pivot-sweep losses in the mid-week volatility). Trade 3A triggered 1/2, mean R ≈ +0.80. Strongest performer: Trade 3A (highest mean R, single closed trade). Weakest: Trade 2 (flat, whipsawed by the US–Iran volatility spike).</w:t>
      </w:r>
    </w:p>
    <w:p>
      <w:pPr>
        <w:spacing w:after="100" w:line="276"/>
      </w:pPr>
      <w:r>
        <w:rPr>
          <w:i/>
          <w:iCs/>
          <w:color w:val="666666"/>
          <w:sz w:val="18"/>
          <w:szCs w:val="18"/>
        </w:rPr>
        <w:t xml:space="preserve">Limitations: Five-session windows are too small to support statistical claims. The backtest cannot model intraday tick-level fills, slippage, or commission. Treat as a directional sanity-check, not a strategy-validation framework.</w:t>
      </w:r>
    </w:p>
    <w:p>
      <w:pPr>
        <w:pBdr>
          <w:bottom w:val="single" w:color="CCCCCC" w:sz="6"/>
        </w:pBdr>
        <w:spacing w:after="80"/>
      </w:pPr>
      <w:r>
        <w:rPr>
          <w:sz w:val="2"/>
          <w:szCs w:val="2"/>
        </w:rPr>
        <w:t xml:space="preserve"/>
      </w:r>
    </w:p>
    <w:p>
      <w:pPr>
        <w:spacing w:after="100" w:line="276"/>
      </w:pPr>
      <w:r>
        <w:rPr>
          <w:i/>
          <w:iCs/>
          <w:color w:val="666666"/>
          <w:sz w:val="16"/>
          <w:szCs w:val="16"/>
        </w:rPr>
        <w:t xml:space="preserve">S&amp;P 500 Daily Report │ 14 July 2026 │ Senior US Equity Strategist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f9a15c3a1db7a6c24c443cda864c7c278a6e81.png"/><Relationship Id="rId8" Type="http://schemas.openxmlformats.org/officeDocument/2006/relationships/image" Target="media/3ed5326b16c5959204a331c581556234f2ff101d.png"/><Relationship Id="rId9" Type="http://schemas.openxmlformats.org/officeDocument/2006/relationships/image" Target="media/d3ed4c04b5042cd26482edd07b54fd2f291cfb53.png"/><Relationship Id="rId10" Type="http://schemas.openxmlformats.org/officeDocument/2006/relationships/image" Target="media/419b0141e8c6c269eb6468617a9a4720ed5de180.png"/><Relationship Id="rId11" Type="http://schemas.openxmlformats.org/officeDocument/2006/relationships/image" Target="media/8d2fa3429ed5c074f1eaa528df75561dbf74f93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2026-07-13T21:38:13.232Z</dcterms:created>
  <dcterms:modified xsi:type="dcterms:W3CDTF">2026-07-13T21:38:13.244Z</dcterms:modified>
</cp:coreProperties>
</file>

<file path=docProps/custom.xml><?xml version="1.0" encoding="utf-8"?>
<Properties xmlns="http://schemas.openxmlformats.org/officeDocument/2006/custom-properties" xmlns:vt="http://schemas.openxmlformats.org/officeDocument/2006/docPropsVTypes"/>
</file>