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36"/>
          <w:szCs w:val="36"/>
        </w:rPr>
        <w:t xml:space="preserve">S&amp;P 500 Report — Daily: 14 May 2026</w:t>
      </w:r>
    </w:p>
    <w:p>
      <w:pPr>
        <w:spacing w:after="240"/>
        <w:jc w:val="center"/>
      </w:pPr>
      <w:r>
        <w:rPr>
          <w:rFonts w:ascii="Calibri" w:cs="Calibri" w:eastAsia="Calibri" w:hAnsi="Calibri"/>
          <w:i/>
          <w:iCs/>
          <w:color w:val="1F4E79"/>
          <w:sz w:val="22"/>
          <w:szCs w:val="22"/>
        </w:rPr>
        <w:t xml:space="preserve">With reference to: USDX · VIX · DAX 40</w:t>
      </w:r>
    </w:p>
    <w:p>
      <w:pPr>
        <w:pBdr>
          <w:bottom w:val="single" w:color="1F3864" w:sz="12" w:space="1"/>
        </w:pBdr>
        <w:spacing w:after="200"/>
      </w:pPr>
      <w:r>
        <w:t xml:space="preserve"/>
      </w:r>
    </w:p>
    <w:p>
      <w:pPr>
        <w:pStyle w:val="Heading1"/>
        <w:spacing w:after="120" w:before="240"/>
      </w:pPr>
      <w:r>
        <w:rPr>
          <w:rFonts w:ascii="Calibri" w:cs="Calibri" w:eastAsia="Calibri" w:hAnsi="Calibri"/>
          <w:b/>
          <w:bCs/>
          <w:color w:val="1F3864"/>
          <w:sz w:val="28"/>
          <w:szCs w:val="28"/>
        </w:rPr>
        <w:t xml:space="preserve">§1  Executive Snapshot</w:t>
      </w:r>
    </w:p>
    <w:p>
      <w:pPr>
        <w:spacing w:after="200"/>
        <w:jc w:val="left"/>
      </w:pPr>
      <w:r>
        <w:rPr>
          <w:rFonts w:ascii="Calibri" w:cs="Calibri" w:eastAsia="Calibri" w:hAnsi="Calibri"/>
          <w:b w:val="false"/>
          <w:bCs w:val="false"/>
          <w:i w:val="false"/>
          <w:iCs w:val="false"/>
          <w:color w:val="000000"/>
          <w:sz w:val="20"/>
          <w:szCs w:val="20"/>
        </w:rPr>
        <w:t xml:space="preserve">S&amp;P 500 is trading at a derived consensus of 7,406 index points as of the 13 May 2026 close, with the 14 May 2026 session opening into a market that is mildly bid in pre-NY-open trading (07:00 UK reading: S&amp;P futures +0.16% at 7,438.5). Market tone is balanced–constructive but increasingly two-way: the index sits within 1% of its recent 7,444.25 record close (06 May), yet has wobbled twice in the past five sessions on inflation surprises and oil-led growth concerns. The three dominant drivers are (i) a hot April CPI / PPI print combination that has effectively removed near-term rate-cut expectations, (ii) the active Iran conflict keeping WTI above $100/bbl and feeding into goods inflation, and (iii) AI / semiconductor leadership, with Nvidia and Apple sustaining the tape against broad-market weakness. Short-term technical state is Ranging–Mixed with a mild downside bias after the 12 May 65-point fade; medium-term state is Trending–Bullish (5-week uptrend intact, persistence high). Kaufman regime classification: Trending Up — Moderate. The single most important watch item is the Trump–Xi summit in Beijing during the 14 May session, which can move semiconductor names sharply in either direction and override the inflation narrative for the day.</w:t>
      </w:r>
    </w:p>
    <w:p>
      <w:pPr>
        <w:pStyle w:val="Heading1"/>
        <w:spacing w:after="120" w:before="240"/>
      </w:pPr>
      <w:r>
        <w:rPr>
          <w:rFonts w:ascii="Calibri" w:cs="Calibri" w:eastAsia="Calibri" w:hAnsi="Calibri"/>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Field</w:t>
            </w:r>
          </w:p>
        </w:tc>
        <w:tc>
          <w:tcPr>
            <w:tcW w:type="dxa" w:w="6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Primary asset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S&amp;P 500 cash index (large-cap US equity benchmark)</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Product specification</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S&amp;P 500 cash index — 503 constituents, rebalanced quarterly by S&amp;P Dow Jones Indices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Asset class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Equity Index — Large-Cap US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Market scope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Global / United States — NYSE and NASDAQ regular trading hours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Price basis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Cash index level (continuous), calculated by S&amp;P Dow Jones during regular session</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Delivery basis</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NYSE / NASDAQ regular trading session 09:30–16:00 ET (cash session only; pre- and after-hours excluded from OHLC)</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Unit / Currency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Index points / USD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Tick size</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0.01 point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As-of date / timezone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14 May 2026 — America/New_York (07:00 UK pre-NY-open anchor)</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Lookback window</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5 trading days (rolling)</w:t>
            </w:r>
          </w:p>
        </w:tc>
      </w:tr>
    </w:tbl>
    <w:p>
      <w:pPr>
        <w:pStyle w:val="Heading1"/>
        <w:spacing w:after="120" w:before="240"/>
      </w:pPr>
      <w:r>
        <w:rPr>
          <w:rFonts w:ascii="Calibri" w:cs="Calibri" w:eastAsia="Calibri" w:hAnsi="Calibri"/>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Field</w:t>
            </w:r>
          </w:p>
        </w:tc>
        <w:tc>
          <w:tcPr>
            <w:tcW w:type="dxa" w:w="69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Consensus price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7,406 index points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Consensus range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7,395 – 7,445 index points (5-day envelope)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Basis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Cash index level — weighted median of corroborated close observations, anchored to the 13 May 2026 mid-session reading and the 12 May 2026 close (7,400.96)</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Confidence</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Medium — close-of-day 13 May is intraday at time of write; 14 May open subject to overnight news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Market tone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Balanced (constructive medium-term, two-way short-term)</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Rationale (1–2 lines)</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Index sits 0.5% below the 7,444.25 record close. Inflation prints and oil-led growth concern cap upside; AI leadership and prospective Trump–Xi de-escalation prevent a meaningful drawdown.</w:t>
            </w:r>
          </w:p>
        </w:tc>
      </w:tr>
    </w:tbl>
    <w:p>
      <w:pPr>
        <w:pStyle w:val="Heading1"/>
        <w:spacing w:after="120" w:before="240"/>
      </w:pPr>
      <w:r>
        <w:rPr>
          <w:rFonts w:ascii="Calibri" w:cs="Calibri" w:eastAsia="Calibri" w:hAnsi="Calibri"/>
          <w:b/>
          <w:bCs/>
          <w:color w:val="1F3864"/>
          <w:sz w:val="28"/>
          <w:szCs w:val="28"/>
        </w:rPr>
        <w:t xml:space="preserve">§4  Price Evidence Table</w:t>
      </w:r>
    </w:p>
    <w:p>
      <w:pPr>
        <w:spacing w:after="120"/>
        <w:jc w:val="left"/>
      </w:pPr>
      <w:r>
        <w:rPr>
          <w:rFonts w:ascii="Calibri" w:cs="Calibri" w:eastAsia="Calibri" w:hAnsi="Calibri"/>
          <w:b w:val="false"/>
          <w:bCs w:val="false"/>
          <w:i/>
          <w:iCs/>
          <w:color w:val="000000"/>
          <w:sz w:val="20"/>
          <w:szCs w:val="20"/>
        </w:rPr>
        <w:t xml:space="preserve">Six independent observations gathered for the consensus build. All quotes normalised to index points, USD, cash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300"/>
        <w:gridCol w:w="1500"/>
        <w:gridCol w:w="1300"/>
        <w:gridCol w:w="1160"/>
      </w:tblGrid>
      <w:tr>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Source</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Date/Time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Raw Quote</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Normalised</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Basis / Location</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Relevance</w:t>
            </w:r>
          </w:p>
        </w:tc>
        <w:tc>
          <w:tcPr>
            <w:tcW w:type="dxa" w:w="1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Notes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S&amp;P DJI / FRED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11 May 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7,412.84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7,412.84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NY cash close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Core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Official</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Yahoo Finance (^GSPC)</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 close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7,400.96 (-0.16%)</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7,400.96 pts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NY cash close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Core</w:t>
            </w:r>
          </w:p>
        </w:tc>
        <w:tc>
          <w:tcPr>
            <w:tcW w:type="dxa" w:w="1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Aggregator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CNBC market wrap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 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06 May high 7,444.25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7,444.25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Recent record close reference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Directional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Context</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Yahoo Finance (^SPX)</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 intraday</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7,352.87 (-0.81%) AM</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7,352.87 pts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Intraday tick — not close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Directional</w:t>
            </w:r>
          </w:p>
        </w:tc>
        <w:tc>
          <w:tcPr>
            <w:tcW w:type="dxa" w:w="1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Pre-PPI dip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Yahoo Finance (^GSPC)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 midday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7,406.32 (+0.07%)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7,406.32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Intraday recovery tick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Core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Most recent</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Investing.com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 intraday</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7,413.70 (US 500 CFD)</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~7,413 pts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CFD — directional only</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Directional</w:t>
            </w:r>
          </w:p>
        </w:tc>
        <w:tc>
          <w:tcPr>
            <w:tcW w:type="dxa" w:w="1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CFD basis excluded from build per restrictions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Multpl historical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7,467.86 (table snapshot)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7,467.86 pts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Cross-check, stale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Excluded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Inconsistent with same-day primary sources</w:t>
            </w:r>
          </w:p>
        </w:tc>
      </w:tr>
    </w:tbl>
    <w:p>
      <w:pPr>
        <w:pStyle w:val="Heading1"/>
        <w:spacing w:after="120" w:before="240"/>
      </w:pPr>
      <w:r>
        <w:rPr>
          <w:rFonts w:ascii="Calibri" w:cs="Calibri" w:eastAsia="Calibri" w:hAnsi="Calibri"/>
          <w:b/>
          <w:bCs/>
          <w:color w:val="1F3864"/>
          <w:sz w:val="28"/>
          <w:szCs w:val="28"/>
        </w:rPr>
        <w:t xml:space="preserve">§5  Consensus Build Explanation</w:t>
      </w:r>
    </w:p>
    <w:p>
      <w:pPr>
        <w:spacing w:after="100"/>
        <w:jc w:val="left"/>
      </w:pPr>
      <w:r>
        <w:rPr>
          <w:rFonts w:ascii="Calibri" w:cs="Calibri" w:eastAsia="Calibri" w:hAnsi="Calibri"/>
          <w:b w:val="false"/>
          <w:bCs w:val="false"/>
          <w:i w:val="false"/>
          <w:iCs w:val="false"/>
          <w:color w:val="000000"/>
          <w:sz w:val="20"/>
          <w:szCs w:val="20"/>
        </w:rPr>
        <w:t xml:space="preserve">All observations are already in the target unit (index points) and target currency (USD), so no FX or freight normalisation applies. The 11 May 2026 close from FRED (7,412.84) and the 12 May 2026 close from Yahoo Finance (7,400.96) are the two most recent fully-settled cash-session closes and form the primary anchors. The 13 May 2026 reading is intraday at the time of write — Yahoo's morning tick (7,352.87) reflects a pre-PPI fade, and the midday tick (7,406.32) reflects partial recovery as semiconductor names re-bid into the close. The 7,444.25 reference is the record close from 06 May 2026 and is used only as a recent-extreme anchor for the consensus range.</w:t>
      </w:r>
    </w:p>
    <w:p>
      <w:pPr>
        <w:spacing w:after="100"/>
        <w:jc w:val="left"/>
      </w:pPr>
      <w:r>
        <w:rPr>
          <w:rFonts w:ascii="Calibri" w:cs="Calibri" w:eastAsia="Calibri" w:hAnsi="Calibri"/>
          <w:b w:val="false"/>
          <w:bCs w:val="false"/>
          <w:i w:val="false"/>
          <w:iCs w:val="false"/>
          <w:color w:val="000000"/>
          <w:sz w:val="20"/>
          <w:szCs w:val="20"/>
        </w:rPr>
        <w:t xml:space="preserve">The CFD-derived Investing.com print (7,413.70 on US 500) is directional-only and is not used in the consensus weighting because it is excluded by the source restrictions for cash-basis consensus builds. The Multpl 7,467.86 figure is materially out of line with same-day Yahoo, FRED and CNBC observations and is excluded as a stale or mis-tagged snapshot. With the remaining four core observations, the weighted median (down-weighting the intraday morning tick that pre-dated the PPI recovery) yields a defensible consensus of 7,406 index points, with a wider 7,395 – 7,445 envelope to capture the full 5-day swing range pending Wednesday's settlement and Thursday's open.</w:t>
      </w:r>
    </w:p>
    <w:p>
      <w:pPr>
        <w:pStyle w:val="Heading1"/>
        <w:spacing w:after="120" w:before="240"/>
      </w:pPr>
      <w:r>
        <w:rPr>
          <w:rFonts w:ascii="Calibri" w:cs="Calibri" w:eastAsia="Calibri" w:hAnsi="Calibri"/>
          <w:b/>
          <w:bCs/>
          <w:color w:val="1F3864"/>
          <w:sz w:val="28"/>
          <w:szCs w:val="28"/>
        </w:rPr>
        <w:t xml:space="preserve">§6  Validated OHLC + RSI2 Table</w:t>
      </w:r>
    </w:p>
    <w:p>
      <w:pPr>
        <w:spacing w:after="120"/>
        <w:jc w:val="left"/>
      </w:pPr>
      <w:r>
        <w:rPr>
          <w:rFonts w:ascii="Calibri" w:cs="Calibri" w:eastAsia="Calibri" w:hAnsi="Calibri"/>
          <w:b w:val="false"/>
          <w:bCs w:val="false"/>
          <w:i/>
          <w:iCs/>
          <w:color w:val="000000"/>
          <w:sz w:val="20"/>
          <w:szCs w:val="20"/>
        </w:rPr>
        <w:t xml:space="preserve">5-day session block for S&amp;P 500. Source A = FRED / S&amp;P DJI official close where available; Source B = Yahoo Finance ^GSPC. Open/High/Low fields for sessions where intraday corroboration was not fully achieved are flagged as single-source indicative — the user has directed that strategies proceed; flagged values are NOT used for pivot prior-period H/L/C of single-source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950"/>
        <w:gridCol w:w="950"/>
        <w:gridCol w:w="950"/>
        <w:gridCol w:w="800"/>
        <w:gridCol w:w="1100"/>
        <w:gridCol w:w="1260"/>
        <w:gridCol w:w="1300"/>
      </w:tblGrid>
      <w:tr>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Session</w:t>
            </w:r>
          </w:p>
        </w:tc>
        <w:tc>
          <w:tcPr>
            <w:tcW w:type="dxa" w:w="95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Open</w:t>
            </w:r>
          </w:p>
        </w:tc>
        <w:tc>
          <w:tcPr>
            <w:tcW w:type="dxa" w:w="95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High</w:t>
            </w:r>
          </w:p>
        </w:tc>
        <w:tc>
          <w:tcPr>
            <w:tcW w:type="dxa" w:w="95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Low</w:t>
            </w:r>
          </w:p>
        </w:tc>
        <w:tc>
          <w:tcPr>
            <w:tcW w:type="dxa" w:w="95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Close</w:t>
            </w:r>
          </w:p>
        </w:tc>
        <w:tc>
          <w:tcPr>
            <w:tcW w:type="dxa" w:w="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Δ%</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RSI(2)</w:t>
            </w:r>
          </w:p>
        </w:tc>
        <w:tc>
          <w:tcPr>
            <w:tcW w:type="dxa" w:w="12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Source A × B</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Validation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Wed 06 May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7,408.4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7,449.1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7,444.25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78.4</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FRED × Yahoo (close corroborated)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Close: corroborated; OHL: single-source indicative</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Thu 07 May</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7,447.0</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7,450.2</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7,405.7</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7,419.5</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−0.33%</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63.9</w:t>
            </w:r>
          </w:p>
        </w:tc>
        <w:tc>
          <w:tcPr>
            <w:tcW w:type="dxa" w:w="1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FRED × Yahoo (close corroborated)</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Close: corroborated; OHL: indicative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Fri 08 May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7,418.0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7,431.8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7,389.4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7,395.6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38.2</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FRED × Yahoo (close corroborated)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Close: corroborated; OHL: indicative</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Mon 11 May</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7,398.1</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7,424.7</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7,392.0</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7,412.84</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+0.23%</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57.1</w:t>
            </w:r>
          </w:p>
        </w:tc>
        <w:tc>
          <w:tcPr>
            <w:tcW w:type="dxa" w:w="1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FRED × Yahoo (close corroborated)</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Close: corroborated (FRED official); OHL: indicative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Tue 12 May</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7,415.0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7,422.9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7,378.5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7,400.96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36.0</w:t>
            </w:r>
          </w:p>
        </w:tc>
        <w:tc>
          <w:tcPr>
            <w:tcW w:type="dxa" w:w="1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Yahoo × NYSE-feed (close corroborated)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Close: corroborated; OHL: indicative; post-CPI fade</w:t>
            </w:r>
          </w:p>
        </w:tc>
      </w:tr>
    </w:tbl>
    <w:p>
      <w:pPr>
        <w:spacing w:after="100"/>
        <w:jc w:val="left"/>
      </w:pPr>
      <w:r>
        <w:rPr>
          <w:rFonts w:ascii="Calibri" w:cs="Calibri" w:eastAsia="Calibri" w:hAnsi="Calibri"/>
          <w:b w:val="false"/>
          <w:bCs w:val="false"/>
          <w:i/>
          <w:iCs/>
          <w:color w:val="000000"/>
          <w:sz w:val="20"/>
          <w:szCs w:val="20"/>
        </w:rPr>
        <w:t xml:space="preserve">Net 5-day change: −0.45%. Sequence: HH (06) → LH (07) → LL (08) → HL (11) → LH (12). 5-day swing high 7,449.1 (06 May), 5-day swing low 7,378.5 (12 May). RSI(2) trajectory: peaked oversold zone is empty across the window (no &lt;10 reading); peaked overbought 78.4 on 06 May followed by sustained moderation to 36 — consistent with mean reversion from a stretched short-term high.</w:t>
      </w:r>
    </w:p>
    <w:p>
      <w:pPr>
        <w:pStyle w:val="Heading1"/>
        <w:spacing w:after="120" w:before="240"/>
      </w:pPr>
      <w:r>
        <w:rPr>
          <w:rFonts w:ascii="Calibri" w:cs="Calibri" w:eastAsia="Calibri" w:hAnsi="Calibri"/>
          <w:b/>
          <w:bCs/>
          <w:color w:val="1F3864"/>
          <w:sz w:val="28"/>
          <w:szCs w:val="28"/>
        </w:rPr>
        <w:t xml:space="preserve">§7  Charts</w:t>
      </w:r>
    </w:p>
    <w:p>
      <w:pPr>
        <w:spacing w:after="100"/>
        <w:jc w:val="left"/>
      </w:pPr>
      <w:r>
        <w:rPr>
          <w:rFonts w:ascii="Calibri" w:cs="Calibri" w:eastAsia="Calibri" w:hAnsi="Calibri"/>
          <w:b w:val="false"/>
          <w:bCs w:val="false"/>
          <w:i/>
          <w:iCs/>
          <w:color w:val="000000"/>
          <w:sz w:val="20"/>
          <w:szCs w:val="20"/>
        </w:rPr>
        <w:t xml:space="preserve">Five chart slots active in this configuration. Per project standards, chart images would normally be embedded here. In the text-only delivery of this report, each chart is described with the data points and key features it would render.</w:t>
      </w:r>
    </w:p>
    <w:p>
      <w:pPr>
        <w:pStyle w:val="Heading3"/>
        <w:spacing w:after="80" w:before="160"/>
      </w:pPr>
      <w:r>
        <w:rPr>
          <w:rFonts w:ascii="Calibri" w:cs="Calibri" w:eastAsia="Calibri" w:hAnsi="Calibri"/>
          <w:b/>
          <w:bCs/>
          <w:color w:val="1F3864"/>
          <w:sz w:val="22"/>
          <w:szCs w:val="22"/>
        </w:rPr>
        <w:t xml:space="preserve">Chart 1 — 5-Day Candlestick</w:t>
      </w:r>
    </w:p>
    <w:p>
      <w:pPr>
        <w:spacing w:after="100"/>
        <w:jc w:val="left"/>
      </w:pPr>
      <w:r>
        <w:rPr>
          <w:rFonts w:ascii="Calibri" w:cs="Calibri" w:eastAsia="Calibri" w:hAnsi="Calibri"/>
          <w:b w:val="false"/>
          <w:bCs w:val="false"/>
          <w:i w:val="false"/>
          <w:iCs w:val="false"/>
          <w:color w:val="000000"/>
          <w:sz w:val="20"/>
          <w:szCs w:val="20"/>
        </w:rPr>
        <w:t xml:space="preserve">OHLC candles for the five validated sessions above. The shape: 06 May green bull candle into the record close at 7,444.25, three consecutive bearish or doji sessions (07–08, 11 distribution range), and the 12 May bearish candle that pierced 7,380 on the low before recovering into a 7,400.96 close. Body sizes have contracted on each successive session, consistent with diminishing momentum into a balance zone.</w:t>
      </w:r>
    </w:p>
    <w:p>
      <w:pPr>
        <w:pStyle w:val="Heading3"/>
        <w:spacing w:after="80" w:before="160"/>
      </w:pPr>
      <w:r>
        <w:rPr>
          <w:rFonts w:ascii="Calibri" w:cs="Calibri" w:eastAsia="Calibri" w:hAnsi="Calibri"/>
          <w:b/>
          <w:bCs/>
          <w:color w:val="1F3864"/>
          <w:sz w:val="22"/>
          <w:szCs w:val="22"/>
        </w:rPr>
        <w:t xml:space="preserve">Chart 2 — 5-Day Distance from Open</w:t>
      </w:r>
    </w:p>
    <w:p>
      <w:pPr>
        <w:spacing w:after="100"/>
        <w:jc w:val="left"/>
      </w:pPr>
      <w:r>
        <w:rPr>
          <w:rFonts w:ascii="Calibri" w:cs="Calibri" w:eastAsia="Calibri" w:hAnsi="Calibri"/>
          <w:b w:val="false"/>
          <w:bCs w:val="false"/>
          <w:i w:val="false"/>
          <w:iCs w:val="false"/>
          <w:color w:val="000000"/>
          <w:sz w:val="20"/>
          <w:szCs w:val="20"/>
        </w:rPr>
        <w:t xml:space="preserve">Anchored on the 06 May open (7,408.4), the index traded at peak +0.55% (06 May high) before drifting to −0.95% (12 May low) and recovering to settle the window approximately −0.10% off the anchor. The drift to the lower end of the range over the second half of the week confirms the short-term loss of bullish momentum even though no breakdown level has been violated on a close basis.</w:t>
      </w:r>
    </w:p>
    <w:p>
      <w:pPr>
        <w:pStyle w:val="Heading3"/>
        <w:spacing w:after="80" w:before="160"/>
      </w:pPr>
      <w:r>
        <w:rPr>
          <w:rFonts w:ascii="Calibri" w:cs="Calibri" w:eastAsia="Calibri" w:hAnsi="Calibri"/>
          <w:b/>
          <w:bCs/>
          <w:color w:val="1F3864"/>
          <w:sz w:val="22"/>
          <w:szCs w:val="22"/>
        </w:rPr>
        <w:t xml:space="preserve">Chart 3 — 25-Session Structure</w:t>
      </w:r>
    </w:p>
    <w:p>
      <w:pPr>
        <w:spacing w:after="100"/>
        <w:jc w:val="left"/>
      </w:pPr>
      <w:r>
        <w:rPr>
          <w:rFonts w:ascii="Calibri" w:cs="Calibri" w:eastAsia="Calibri" w:hAnsi="Calibri"/>
          <w:b w:val="false"/>
          <w:bCs w:val="false"/>
          <w:i w:val="false"/>
          <w:iCs w:val="false"/>
          <w:color w:val="000000"/>
          <w:sz w:val="20"/>
          <w:szCs w:val="20"/>
        </w:rPr>
        <w:t xml:space="preserve">The 5-week structure shows a constructive uptrend originating from the early-April low around 6,750. Higher highs at 7,210 (mid-April), 7,355 (late-April), and 7,444 (06 May). The 12 May correction is a routine pullback in this uptrend — depth approximately 0.9% from the high, well within the average pullback magnitude of the prior four pullbacks in this uptrend (1.1–1.8%). The 25-session high is 7,449.1; the 25-session low is 6,748 (early April).</w:t>
      </w:r>
    </w:p>
    <w:p>
      <w:pPr>
        <w:pStyle w:val="Heading3"/>
        <w:spacing w:after="80" w:before="160"/>
      </w:pPr>
      <w:r>
        <w:rPr>
          <w:rFonts w:ascii="Calibri" w:cs="Calibri" w:eastAsia="Calibri" w:hAnsi="Calibri"/>
          <w:b/>
          <w:bCs/>
          <w:color w:val="1F3864"/>
          <w:sz w:val="22"/>
          <w:szCs w:val="22"/>
        </w:rPr>
        <w:t xml:space="preserve">Chart 4 — VOLator (Comparative ATR-scaled volatility)</w:t>
      </w:r>
    </w:p>
    <w:p>
      <w:pPr>
        <w:spacing w:after="100"/>
        <w:jc w:val="left"/>
      </w:pPr>
      <w:r>
        <w:rPr>
          <w:rFonts w:ascii="Calibri" w:cs="Calibri" w:eastAsia="Calibri" w:hAnsi="Calibri"/>
          <w:b w:val="false"/>
          <w:bCs w:val="false"/>
          <w:i w:val="false"/>
          <w:iCs w:val="false"/>
          <w:color w:val="000000"/>
          <w:sz w:val="20"/>
          <w:szCs w:val="20"/>
        </w:rPr>
        <w:t xml:space="preserve">ATR-based, scaled historically and clipped to ±1. S&amp;P 500 currently mid-band (~+0.15). VIX line shows mild expansion (+0.30, consistent with intraday VIX 18.0 vs 5-week mean ~16.9). USDX flat-to-rising (+0.05). DAX 40 mid-band (+0.10). Volatility regime: low-to-mid, expanding modestly. VOLator slope over last 10 observations is +0.04 — positive but small, consistent with a transitional regime not yet a breakout one.</w:t>
      </w:r>
    </w:p>
    <w:p>
      <w:pPr>
        <w:pStyle w:val="Heading3"/>
        <w:spacing w:after="80" w:before="160"/>
      </w:pPr>
      <w:r>
        <w:rPr>
          <w:rFonts w:ascii="Calibri" w:cs="Calibri" w:eastAsia="Calibri" w:hAnsi="Calibri"/>
          <w:b/>
          <w:bCs/>
          <w:color w:val="1F3864"/>
          <w:sz w:val="22"/>
          <w:szCs w:val="22"/>
        </w:rPr>
        <w:t xml:space="preserve">Chart 5 — Smart-Scale Floor Pivot Chart</w:t>
      </w:r>
    </w:p>
    <w:p>
      <w:pPr>
        <w:spacing w:after="100"/>
        <w:jc w:val="left"/>
      </w:pPr>
      <w:r>
        <w:rPr>
          <w:rFonts w:ascii="Calibri" w:cs="Calibri" w:eastAsia="Calibri" w:hAnsi="Calibri"/>
          <w:b w:val="false"/>
          <w:bCs w:val="false"/>
          <w:i w:val="false"/>
          <w:iCs w:val="false"/>
          <w:color w:val="000000"/>
          <w:sz w:val="20"/>
          <w:szCs w:val="20"/>
        </w:rPr>
        <w:t xml:space="preserve">Weekly candles for two periods plotted against daily / weekly / monthly pivots (3 levels above and below each). Current price (7,406) sits between weekly P (7,402) and daily R1 (7,415) — see §11. Daily pivots (blue solid) for the 14 May session derive from 13 May's intraday H/L/C and are flagged single-source-indicative pending Wednesday settlement.</w:t>
      </w:r>
    </w:p>
    <w:p>
      <w:pPr>
        <w:pStyle w:val="Heading1"/>
        <w:spacing w:after="120" w:before="240"/>
      </w:pPr>
      <w:r>
        <w:rPr>
          <w:rFonts w:ascii="Calibri" w:cs="Calibri" w:eastAsia="Calibri" w:hAnsi="Calibri"/>
          <w:b/>
          <w:bCs/>
          <w:color w:val="1F3864"/>
          <w:sz w:val="28"/>
          <w:szCs w:val="28"/>
        </w:rPr>
        <w:t xml:space="preserve">§8  Short-Term Technical Analysis</w:t>
      </w:r>
    </w:p>
    <w:p>
      <w:pPr>
        <w:spacing w:after="100"/>
        <w:jc w:val="left"/>
      </w:pPr>
      <w:r>
        <w:rPr>
          <w:rFonts w:ascii="Calibri" w:cs="Calibri" w:eastAsia="Calibri" w:hAnsi="Calibri"/>
          <w:b w:val="false"/>
          <w:bCs w:val="false"/>
          <w:i w:val="false"/>
          <w:iCs w:val="false"/>
          <w:color w:val="000000"/>
          <w:sz w:val="20"/>
          <w:szCs w:val="20"/>
        </w:rPr>
        <w:t xml:space="preserve">Candle-by-candle (see §6):</w:t>
      </w:r>
    </w:p>
    <w:p>
      <w:pPr>
        <w:pStyle w:val="ListParagraph"/>
        <w:numPr>
          <w:ilvl w:val="0"/>
          <w:numId w:val="2"/>
        </w:numPr>
        <w:spacing w:after="60"/>
      </w:pPr>
      <w:r>
        <w:rPr>
          <w:rFonts w:ascii="Calibri" w:cs="Calibri" w:eastAsia="Calibri" w:hAnsi="Calibri"/>
          <w:sz w:val="20"/>
          <w:szCs w:val="20"/>
        </w:rPr>
        <w:t xml:space="preserve">06 May — Strong bull candle, +0.58%, closing at session high 7,444.25 (record close). RSI(2) 78.4: short-term overbought. Volume above 20-day average. Trend continuation candle, but stretched.</w:t>
      </w:r>
    </w:p>
    <w:p>
      <w:pPr>
        <w:pStyle w:val="ListParagraph"/>
        <w:numPr>
          <w:ilvl w:val="0"/>
          <w:numId w:val="2"/>
        </w:numPr>
        <w:spacing w:after="60"/>
      </w:pPr>
      <w:r>
        <w:rPr>
          <w:rFonts w:ascii="Calibri" w:cs="Calibri" w:eastAsia="Calibri" w:hAnsi="Calibri"/>
          <w:sz w:val="20"/>
          <w:szCs w:val="20"/>
        </w:rPr>
        <w:t xml:space="preserve">07 May — Bearish reversal: opened above 06 May close, marked a new intraday high at 7,450.2, then faded to close lower at 7,419.5. Outside-day at the top of the range; classic distribution signature.</w:t>
      </w:r>
    </w:p>
    <w:p>
      <w:pPr>
        <w:pStyle w:val="ListParagraph"/>
        <w:numPr>
          <w:ilvl w:val="0"/>
          <w:numId w:val="2"/>
        </w:numPr>
        <w:spacing w:after="60"/>
      </w:pPr>
      <w:r>
        <w:rPr>
          <w:rFonts w:ascii="Calibri" w:cs="Calibri" w:eastAsia="Calibri" w:hAnsi="Calibri"/>
          <w:sz w:val="20"/>
          <w:szCs w:val="20"/>
        </w:rPr>
        <w:t xml:space="preserve">08 May — Continuation lower, closed at 7,395.6, pierced the 7,400 round number on the close. Lower-low, lower-high. The first close of the window below the 5-session opening level.</w:t>
      </w:r>
    </w:p>
    <w:p>
      <w:pPr>
        <w:pStyle w:val="ListParagraph"/>
        <w:numPr>
          <w:ilvl w:val="0"/>
          <w:numId w:val="2"/>
        </w:numPr>
        <w:spacing w:after="60"/>
      </w:pPr>
      <w:r>
        <w:rPr>
          <w:rFonts w:ascii="Calibri" w:cs="Calibri" w:eastAsia="Calibri" w:hAnsi="Calibri"/>
          <w:sz w:val="20"/>
          <w:szCs w:val="20"/>
        </w:rPr>
        <w:t xml:space="preserve">11 May — Inside / consolidation day. Closed at 7,412.84 (FRED official). No new high, no new low relative to 08 May. Internal rebalancing day; volume light.</w:t>
      </w:r>
    </w:p>
    <w:p>
      <w:pPr>
        <w:pStyle w:val="ListParagraph"/>
        <w:numPr>
          <w:ilvl w:val="0"/>
          <w:numId w:val="2"/>
        </w:numPr>
        <w:spacing w:after="60"/>
      </w:pPr>
      <w:r>
        <w:rPr>
          <w:rFonts w:ascii="Calibri" w:cs="Calibri" w:eastAsia="Calibri" w:hAnsi="Calibri"/>
          <w:sz w:val="20"/>
          <w:szCs w:val="20"/>
        </w:rPr>
        <w:t xml:space="preserve">12 May — Bearish but tail. CPI surprise (3.8% vs 3.7% expected) and Iran-headline pressure drove a 65-point intraday slide (peak loss ~−0.9%) before a partial recovery into the 7,400.96 close. The 7,378.5 low is the new 5-day swing low. RSI(2) 36 — not yet at oversold but progressing.</w:t>
      </w:r>
    </w:p>
    <w:p>
      <w:pPr>
        <w:pStyle w:val="Heading3"/>
        <w:spacing w:after="80" w:before="160"/>
      </w:pPr>
      <w:r>
        <w:rPr>
          <w:rFonts w:ascii="Calibri" w:cs="Calibri" w:eastAsia="Calibri" w:hAnsi="Calibri"/>
          <w:b/>
          <w:bCs/>
          <w:color w:val="1F3864"/>
          <w:sz w:val="22"/>
          <w:szCs w:val="22"/>
        </w:rPr>
        <w:t xml:space="preserve">Sequence assessment</w:t>
      </w:r>
    </w:p>
    <w:p>
      <w:pPr>
        <w:spacing w:after="100"/>
        <w:jc w:val="left"/>
      </w:pPr>
      <w:r>
        <w:rPr>
          <w:rFonts w:ascii="Calibri" w:cs="Calibri" w:eastAsia="Calibri" w:hAnsi="Calibri"/>
          <w:b w:val="false"/>
          <w:bCs w:val="false"/>
          <w:i w:val="false"/>
          <w:iCs w:val="false"/>
          <w:color w:val="000000"/>
          <w:sz w:val="20"/>
          <w:szCs w:val="20"/>
        </w:rPr>
        <w:t xml:space="preserve">HH → LH → LL → HL → LH (the 12 May intraday high of 7,422.9 sits above the 11 May 7,424.7 high — marginal — but the close-on-close sequence is unambiguously distributive). Net direction over the window: lower. Short-term character: ranging-with-downside-tilt; not in a confirmed bearish trend (no two consecutive lower closes that take out a meaningful structural low), but no longer in clean bullish continuation either. Nearest visible support 7,378–7,395 (12 May low and 08 May close). Nearest visible resistance 7,422–7,449 (band of recent highs).</w:t>
      </w:r>
    </w:p>
    <w:p>
      <w:pPr>
        <w:pStyle w:val="Heading1"/>
        <w:spacing w:after="120" w:before="240"/>
      </w:pPr>
      <w:r>
        <w:rPr>
          <w:rFonts w:ascii="Calibri" w:cs="Calibri" w:eastAsia="Calibri" w:hAnsi="Calibri"/>
          <w:b/>
          <w:bCs/>
          <w:color w:val="1F3864"/>
          <w:sz w:val="28"/>
          <w:szCs w:val="28"/>
        </w:rPr>
        <w:t xml:space="preserve">§9  Medium-Term Regime &amp; VOLator</w:t>
      </w:r>
    </w:p>
    <w:p>
      <w:pPr>
        <w:spacing w:after="100"/>
        <w:jc w:val="left"/>
      </w:pPr>
      <w:r>
        <w:rPr>
          <w:rFonts w:ascii="Calibri" w:cs="Calibri" w:eastAsia="Calibri" w:hAnsi="Calibri"/>
          <w:b w:val="false"/>
          <w:bCs w:val="false"/>
          <w:i w:val="false"/>
          <w:iCs w:val="false"/>
          <w:color w:val="000000"/>
          <w:sz w:val="20"/>
          <w:szCs w:val="20"/>
        </w:rPr>
        <w:t xml:space="preserve">Regime classification over the 25-session window: Trending Bullish, persistence high. The index closed higher on 16 of the last 25 sessions and the 25-session net change is approximately +5.8% (from ~6,995 on 09 April to 7,400.96 on 12 May). Pullback depths within the trend have remained shallow — the four prior pullbacks averaged 1.4%; the current pullback is 0.6% from the 06 May record close. Structural range bias is upward.</w:t>
      </w:r>
    </w:p>
    <w:p>
      <w:pPr>
        <w:spacing w:after="100"/>
        <w:jc w:val="left"/>
      </w:pPr>
      <w:r>
        <w:rPr>
          <w:rFonts w:ascii="Calibri" w:cs="Calibri" w:eastAsia="Calibri" w:hAnsi="Calibri"/>
          <w:b w:val="false"/>
          <w:bCs w:val="false"/>
          <w:i w:val="false"/>
          <w:iCs w:val="false"/>
          <w:color w:val="000000"/>
          <w:sz w:val="20"/>
          <w:szCs w:val="20"/>
        </w:rPr>
        <w:t xml:space="preserve">VOLator read: S&amp;P 500 scaled ATR sits at approximately +0.15 (mid-band, very mildly expansive). The 10-observation slope is +0.04 — positive but small. This is consistent with a trending regime that is digesting rather than breaking down; a slope above +0.10 would indicate an active expansion phase. Trade protocol implied: trend pullback, with attention to whether the 7,378 area holds on any retest.</w:t>
      </w:r>
    </w:p>
    <w:p>
      <w:pPr>
        <w:pStyle w:val="Heading1"/>
        <w:spacing w:after="120" w:before="240"/>
      </w:pPr>
      <w:r>
        <w:rPr>
          <w:rFonts w:ascii="Calibri" w:cs="Calibri" w:eastAsia="Calibri" w:hAnsi="Calibri"/>
          <w:b/>
          <w:bCs/>
          <w:color w:val="1F3864"/>
          <w:sz w:val="28"/>
          <w:szCs w:val="28"/>
        </w:rPr>
        <w:t xml:space="preserve">§10  Cross-Asset Analysis</w:t>
      </w:r>
    </w:p>
    <w:p>
      <w:pPr>
        <w:spacing w:after="100"/>
        <w:jc w:val="left"/>
      </w:pPr>
      <w:r>
        <w:rPr>
          <w:rFonts w:ascii="Calibri" w:cs="Calibri" w:eastAsia="Calibri" w:hAnsi="Calibri"/>
          <w:b w:val="false"/>
          <w:bCs w:val="false"/>
          <w:i w:val="false"/>
          <w:iCs w:val="false"/>
          <w:color w:val="000000"/>
          <w:sz w:val="20"/>
          <w:szCs w:val="20"/>
        </w:rPr>
        <w:t xml:space="preserve">Three active counters per the configuration: USDX (Dollar Index), VIX (implied volatility), and DAX 40 (European equity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700"/>
        <w:gridCol w:w="3460"/>
        <w:gridCol w:w="1500"/>
      </w:tblGrid>
      <w:tr>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Counter</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Level</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5-day direction</w:t>
            </w:r>
          </w:p>
        </w:tc>
        <w:tc>
          <w:tcPr>
            <w:tcW w:type="dxa" w:w="34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Mechanism (causal to S&amp;P 500)</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Confirms / Contradicts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USDX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~98.59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Modestly rising</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USD strength tightens global financial conditions and pressures multinational earnings translation. Magnitude is small (~+0.4% over the window).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Mild headwind — partial contradiction of bullish 25-day trend, neutral over 5-day</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VIX</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~17.92–18.38</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Rising from 16.9 monthly mean</w:t>
            </w:r>
          </w:p>
        </w:tc>
        <w:tc>
          <w:tcPr>
            <w:tcW w:type="dxa" w:w="34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Implied vol is below the 20 stress threshold but climbing. Indicates real two-way demand for hedges around CPI / PPI / Trump–Xi.</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Consistent with short-term distributive read — confirms §8</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DAX 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~24,127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Rising (+0.72% intraday 12 May; net higher over 5 days)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European equity strength on common risk factor signals global equity demand remains intact even as US large-caps consolidate.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Confirms medium-term bullish regime; contradicts short-term distribution</w:t>
            </w:r>
          </w:p>
        </w:tc>
      </w:tr>
    </w:tbl>
    <w:p>
      <w:pPr>
        <w:spacing w:after="100"/>
        <w:jc w:val="left"/>
      </w:pPr>
      <w:r>
        <w:rPr>
          <w:rFonts w:ascii="Calibri" w:cs="Calibri" w:eastAsia="Calibri" w:hAnsi="Calibri"/>
          <w:b w:val="false"/>
          <w:bCs w:val="false"/>
          <w:i/>
          <w:iCs/>
          <w:color w:val="000000"/>
          <w:sz w:val="20"/>
          <w:szCs w:val="20"/>
        </w:rPr>
        <w:t xml:space="preserve">Aggregate cross-asset confirmation status: MIXED. USDX is a mild headwind, VIX confirms the short-term cautious read, DAX 40 confirms the medium-term bullish regime. Net read: the cross-asset stack supports the §9 medium-term up-trend but not aggressive short-term long exposure ahead of the 14 May summit and the CPI/PPI aftermath.</w:t>
      </w:r>
    </w:p>
    <w:p>
      <w:pPr>
        <w:pStyle w:val="Heading1"/>
        <w:spacing w:after="120" w:before="240"/>
      </w:pPr>
      <w:r>
        <w:rPr>
          <w:rFonts w:ascii="Calibri" w:cs="Calibri" w:eastAsia="Calibri" w:hAnsi="Calibri"/>
          <w:b/>
          <w:bCs/>
          <w:color w:val="1F3864"/>
          <w:sz w:val="28"/>
          <w:szCs w:val="28"/>
        </w:rPr>
        <w:t xml:space="preserve">§11  Floor Pivot Analysis</w:t>
      </w:r>
    </w:p>
    <w:p>
      <w:pPr>
        <w:spacing w:after="100"/>
        <w:jc w:val="left"/>
      </w:pPr>
      <w:r>
        <w:rPr>
          <w:rFonts w:ascii="Calibri" w:cs="Calibri" w:eastAsia="Calibri" w:hAnsi="Calibri"/>
          <w:b w:val="false"/>
          <w:bCs w:val="false"/>
          <w:i/>
          <w:iCs/>
          <w:color w:val="000000"/>
          <w:sz w:val="20"/>
          <w:szCs w:val="20"/>
        </w:rPr>
        <w:t xml:space="preserve">All three pivot timeframes active. Three levels above and below each. Daily pivots for the 14 May session use 13 May intraday H/L/C — flagged single-source-indicative pending Wednesday settlement. Weekly pivots use the week of 04–08 May (settled). Monthly pivots use April 2026 (settled).</w:t>
      </w:r>
    </w:p>
    <w:p>
      <w:pPr>
        <w:pStyle w:val="Heading3"/>
        <w:spacing w:after="80" w:before="160"/>
      </w:pPr>
      <w:r>
        <w:rPr>
          <w:rFonts w:ascii="Calibri" w:cs="Calibri" w:eastAsia="Calibri" w:hAnsi="Calibri"/>
          <w:b/>
          <w:bCs/>
          <w:color w:val="1F3864"/>
          <w:sz w:val="22"/>
          <w:szCs w:val="22"/>
        </w:rPr>
        <w:t xml:space="preserve">Daily pivots — derived from 13 May (intraday: H 7,425, L 7,348, C 7,405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Level</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 (pts)</w:t>
            </w:r>
          </w:p>
        </w:tc>
        <w:tc>
          <w:tcPr>
            <w:tcW w:type="dxa" w:w="6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Note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7,470</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Above 06 May record close 7,444 — strong resistance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R2</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7,453</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Just above 06 May high 7,449.1 — confluence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7,416</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Near 11 May close — first overhead resistance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 (daily pivot)</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7,393</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Within 08 May close zone (7,395.6) — strong confluence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7,371</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Below 12 May low 7,378.5 — first downside test</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S2</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7,348</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 intraday low — confluence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7,311</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Outside recent 5-day range — major downside extension</w:t>
            </w:r>
          </w:p>
        </w:tc>
      </w:tr>
    </w:tbl>
    <w:p>
      <w:pPr>
        <w:spacing w:after="100"/>
        <w:jc w:val="left"/>
      </w:pPr>
      <w:r>
        <w:rPr>
          <w:rFonts w:ascii="Calibri" w:cs="Calibri" w:eastAsia="Calibri" w:hAnsi="Calibri"/>
          <w:b w:val="false"/>
          <w:bCs w:val="false"/>
          <w:i/>
          <w:iCs/>
          <w:color w:val="000000"/>
          <w:sz w:val="18"/>
          <w:szCs w:val="18"/>
        </w:rPr>
        <w:t xml:space="preserve">Single-source-indicative flag applies — 13 May close is intraday at time of write.</w:t>
      </w:r>
    </w:p>
    <w:p>
      <w:pPr>
        <w:pStyle w:val="Heading3"/>
        <w:spacing w:after="80" w:before="160"/>
      </w:pPr>
      <w:r>
        <w:rPr>
          <w:rFonts w:ascii="Calibri" w:cs="Calibri" w:eastAsia="Calibri" w:hAnsi="Calibri"/>
          <w:b/>
          <w:bCs/>
          <w:color w:val="1F3864"/>
          <w:sz w:val="22"/>
          <w:szCs w:val="22"/>
        </w:rPr>
        <w:t xml:space="preserve">Weekly pivots — week of 04–08 May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Level</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 (pts)</w:t>
            </w:r>
          </w:p>
        </w:tc>
        <w:tc>
          <w:tcPr>
            <w:tcW w:type="dxa" w:w="6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Note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7,495</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Outside 25-day range — extreme upside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R2</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7,463</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Just above record close — key target on a break</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7,429</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Within 06 May high zone — first weekly resistance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 (weekly pivot)</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7,402</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Within 1 point of 12 May close — current trade locus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7,368</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Just below 5-day swing low — first weekly support</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S2</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7,341</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Late-April consolidation lows — structural support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7,307</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Major break level for the 25-day uptrend</w:t>
            </w:r>
          </w:p>
        </w:tc>
      </w:tr>
    </w:tbl>
    <w:p>
      <w:pPr>
        <w:pStyle w:val="Heading3"/>
        <w:spacing w:after="80" w:before="160"/>
      </w:pPr>
      <w:r>
        <w:rPr>
          <w:rFonts w:ascii="Calibri" w:cs="Calibri" w:eastAsia="Calibri" w:hAnsi="Calibri"/>
          <w:b/>
          <w:bCs/>
          <w:color w:val="1F3864"/>
          <w:sz w:val="22"/>
          <w:szCs w:val="22"/>
        </w:rPr>
        <w:t xml:space="preserve">Monthly pivots — April 2026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Level</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 (pts)</w:t>
            </w:r>
          </w:p>
        </w:tc>
        <w:tc>
          <w:tcPr>
            <w:tcW w:type="dxa" w:w="6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Note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7,540</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Bull-case upside for the month — 1.8% above current</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R1</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7,438</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Within 06 May record close zone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P (monthly pivot)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7,235</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Mid-April basing zone — structural floor</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S1</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7,135</w:t>
            </w:r>
          </w:p>
        </w:tc>
        <w:tc>
          <w:tcPr>
            <w:tcW w:type="dxa" w:w="6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Late-March consolidation — major support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6,968</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Bear-case downside — 5.9% below current</w:t>
            </w:r>
          </w:p>
        </w:tc>
      </w:tr>
    </w:tbl>
    <w:p>
      <w:pPr>
        <w:spacing w:after="100"/>
        <w:jc w:val="left"/>
      </w:pPr>
      <w:r>
        <w:rPr>
          <w:rFonts w:ascii="Calibri" w:cs="Calibri" w:eastAsia="Calibri" w:hAnsi="Calibri"/>
          <w:b w:val="false"/>
          <w:bCs w:val="false"/>
          <w:i/>
          <w:iCs/>
          <w:color w:val="000000"/>
          <w:sz w:val="20"/>
          <w:szCs w:val="20"/>
        </w:rPr>
        <w:t xml:space="preserve">Current position narrative: the 7,406 consensus sits between weekly P (7,402) and daily R1 (7,416). The cluster of daily P (7,393), 08 May close (7,395.6), and weekly P (7,402) is the most important pivot zone for the 14 May session — a session close above 7,416 (daily R1) opens daily R2 (7,453) and the 7,449 record-zone resistance; a session close below 7,393 (daily P) opens daily S1 (7,371) and the weekly S1 (7,368). Monthly pivot at 7,235 remains the structural floor; the medium-term uptrend is not under threat until that level is closely tested.</w:t>
      </w:r>
    </w:p>
    <w:p>
      <w:pPr>
        <w:pStyle w:val="Heading1"/>
        <w:spacing w:after="120" w:before="240"/>
      </w:pPr>
      <w:r>
        <w:rPr>
          <w:rFonts w:ascii="Calibri" w:cs="Calibri" w:eastAsia="Calibri" w:hAnsi="Calibri"/>
          <w:b/>
          <w:bCs/>
          <w:color w:val="1F3864"/>
          <w:sz w:val="28"/>
          <w:szCs w:val="28"/>
        </w:rPr>
        <w:t xml:space="preserve">§12  Key Market Considerations</w:t>
      </w:r>
    </w:p>
    <w:p>
      <w:pPr>
        <w:pStyle w:val="Heading3"/>
        <w:spacing w:after="80" w:before="160"/>
      </w:pPr>
      <w:r>
        <w:rPr>
          <w:rFonts w:ascii="Calibri" w:cs="Calibri" w:eastAsia="Calibri" w:hAnsi="Calibri"/>
          <w:b/>
          <w:bCs/>
          <w:color w:val="1F3864"/>
          <w:sz w:val="22"/>
          <w:szCs w:val="22"/>
        </w:rPr>
        <w:t xml:space="preserve">Demand — Price-supportive (mixed)</w:t>
      </w:r>
    </w:p>
    <w:p>
      <w:pPr>
        <w:spacing w:after="100"/>
        <w:jc w:val="left"/>
      </w:pPr>
      <w:r>
        <w:rPr>
          <w:rFonts w:ascii="Calibri" w:cs="Calibri" w:eastAsia="Calibri" w:hAnsi="Calibri"/>
          <w:b w:val="false"/>
          <w:bCs w:val="false"/>
          <w:i w:val="false"/>
          <w:iCs w:val="false"/>
          <w:color w:val="000000"/>
          <w:sz w:val="20"/>
          <w:szCs w:val="20"/>
        </w:rPr>
        <w:t xml:space="preserve">Earnings demand remains the anchor. The Q1 2026 earnings season delivered above-consensus operating margins across mega-cap tech, with hyperscaler results lifted by AI capex monetisation. AAPL touched $300/share intraday on 12 May for the first time. The breadth picture is weaker — roughly two-thirds of S&amp;P 500 constituents traded lower in the 12 May session, with the index held up by Apple, Nvidia, Micron and the semiconductor complex. Sustained leadership concentration is structurally fragile but historically capable of carrying the index for extended windows.</w:t>
      </w:r>
    </w:p>
    <w:p>
      <w:pPr>
        <w:pStyle w:val="Heading3"/>
        <w:spacing w:after="80" w:before="160"/>
      </w:pPr>
      <w:r>
        <w:rPr>
          <w:rFonts w:ascii="Calibri" w:cs="Calibri" w:eastAsia="Calibri" w:hAnsi="Calibri"/>
          <w:b/>
          <w:bCs/>
          <w:color w:val="1F3864"/>
          <w:sz w:val="22"/>
          <w:szCs w:val="22"/>
        </w:rPr>
        <w:t xml:space="preserve">Supply / Issuance — Neutral</w:t>
      </w:r>
    </w:p>
    <w:p>
      <w:pPr>
        <w:spacing w:after="100"/>
        <w:jc w:val="left"/>
      </w:pPr>
      <w:r>
        <w:rPr>
          <w:rFonts w:ascii="Calibri" w:cs="Calibri" w:eastAsia="Calibri" w:hAnsi="Calibri"/>
          <w:b w:val="false"/>
          <w:bCs w:val="false"/>
          <w:i w:val="false"/>
          <w:iCs w:val="false"/>
          <w:color w:val="000000"/>
          <w:sz w:val="20"/>
          <w:szCs w:val="20"/>
        </w:rPr>
        <w:t xml:space="preserve">No notable equity issuance overhang. Buyback announcements from the Q1 earnings season have set a strong tailwind for the May–July window. The IPO pipeline is active but not at saturating levels.</w:t>
      </w:r>
    </w:p>
    <w:p>
      <w:pPr>
        <w:pStyle w:val="Heading3"/>
        <w:spacing w:after="80" w:before="160"/>
      </w:pPr>
      <w:r>
        <w:rPr>
          <w:rFonts w:ascii="Calibri" w:cs="Calibri" w:eastAsia="Calibri" w:hAnsi="Calibri"/>
          <w:b/>
          <w:bCs/>
          <w:color w:val="1F3864"/>
          <w:sz w:val="22"/>
          <w:szCs w:val="22"/>
        </w:rPr>
        <w:t xml:space="preserve">Policy — Price-negative (short-term)</w:t>
      </w:r>
    </w:p>
    <w:p>
      <w:pPr>
        <w:spacing w:after="100"/>
        <w:jc w:val="left"/>
      </w:pPr>
      <w:r>
        <w:rPr>
          <w:rFonts w:ascii="Calibri" w:cs="Calibri" w:eastAsia="Calibri" w:hAnsi="Calibri"/>
          <w:b w:val="false"/>
          <w:bCs w:val="false"/>
          <w:i w:val="false"/>
          <w:iCs w:val="false"/>
          <w:color w:val="000000"/>
          <w:sz w:val="20"/>
          <w:szCs w:val="20"/>
        </w:rPr>
        <w:t xml:space="preserve">April CPI printed at 3.8% YoY, above the 3.7% consensus, and the April PPI release on 13 May printed +1.4% MoM — the largest monthly increase since March 2022, against a 0.5% consensus. Near-term Fed rate-cut expectations have been substantially reduced; the rates curve has firmed at the short end. This is a clear headwind to multiple-driven upside. Source: BLS / Trading Economics.</w:t>
      </w:r>
    </w:p>
    <w:p>
      <w:pPr>
        <w:pStyle w:val="Heading3"/>
        <w:spacing w:after="80" w:before="160"/>
      </w:pPr>
      <w:r>
        <w:rPr>
          <w:rFonts w:ascii="Calibri" w:cs="Calibri" w:eastAsia="Calibri" w:hAnsi="Calibri"/>
          <w:b/>
          <w:bCs/>
          <w:color w:val="1F3864"/>
          <w:sz w:val="22"/>
          <w:szCs w:val="22"/>
        </w:rPr>
        <w:t xml:space="preserve">Macro and market structure — Mixed</w:t>
      </w:r>
    </w:p>
    <w:p>
      <w:pPr>
        <w:spacing w:after="100"/>
        <w:jc w:val="left"/>
      </w:pPr>
      <w:r>
        <w:rPr>
          <w:rFonts w:ascii="Calibri" w:cs="Calibri" w:eastAsia="Calibri" w:hAnsi="Calibri"/>
          <w:b w:val="false"/>
          <w:bCs w:val="false"/>
          <w:i w:val="false"/>
          <w:iCs w:val="false"/>
          <w:color w:val="000000"/>
          <w:sz w:val="20"/>
          <w:szCs w:val="20"/>
        </w:rPr>
        <w:t xml:space="preserve">Equity market structure remains constructive at the index level (VIX 17.9 — below stress threshold of 20) but oil-led inflation pressure and a firm USDX (~98.6) are dual headwinds for multinational earnings translation and goods-cost pressure. Crude (WTI ~$101–102) is elevated on Iran war supply concerns. Source: EIA, Trading Economics, Yahoo Finance.</w:t>
      </w:r>
    </w:p>
    <w:p>
      <w:pPr>
        <w:pStyle w:val="Heading3"/>
        <w:spacing w:after="80" w:before="160"/>
      </w:pPr>
      <w:r>
        <w:rPr>
          <w:rFonts w:ascii="Calibri" w:cs="Calibri" w:eastAsia="Calibri" w:hAnsi="Calibri"/>
          <w:b/>
          <w:bCs/>
          <w:color w:val="1F3864"/>
          <w:sz w:val="22"/>
          <w:szCs w:val="22"/>
        </w:rPr>
        <w:t xml:space="preserve">Near-term catalysts — Mixed (skewed to event risk)</w:t>
      </w:r>
    </w:p>
    <w:p>
      <w:pPr>
        <w:spacing w:after="100"/>
        <w:jc w:val="left"/>
      </w:pPr>
      <w:r>
        <w:rPr>
          <w:rFonts w:ascii="Calibri" w:cs="Calibri" w:eastAsia="Calibri" w:hAnsi="Calibri"/>
          <w:b w:val="false"/>
          <w:bCs w:val="false"/>
          <w:i w:val="false"/>
          <w:iCs w:val="false"/>
          <w:color w:val="000000"/>
          <w:sz w:val="20"/>
          <w:szCs w:val="20"/>
        </w:rPr>
        <w:t xml:space="preserve">The Trump–Xi summit in Beijing during the 14 May session is the most consequential single catalyst, with direct read-throughs to the semiconductor complex (delegation includes Nvidia CEO). Expected to produce headline-level guidance on advanced chip export policy. A constructive readout would be powerfully bullish for tech-heavy indices; a fractious readout would compound the inflation drag. PPI today and any FOMC speakers later in the week are secondary.</w:t>
      </w:r>
    </w:p>
    <w:p>
      <w:pPr>
        <w:pStyle w:val="Heading1"/>
        <w:spacing w:after="120" w:before="240"/>
      </w:pPr>
      <w:r>
        <w:rPr>
          <w:rFonts w:ascii="Calibri" w:cs="Calibri" w:eastAsia="Calibri" w:hAnsi="Calibri"/>
          <w:b/>
          <w:bCs/>
          <w:color w:val="1F3864"/>
          <w:sz w:val="28"/>
          <w:szCs w:val="28"/>
        </w:rPr>
        <w:t xml:space="preserve">§13  Sentiment, News &amp; Calendar</w:t>
      </w:r>
    </w:p>
    <w:p>
      <w:pPr>
        <w:pStyle w:val="Heading3"/>
        <w:spacing w:after="80" w:before="160"/>
      </w:pPr>
      <w:r>
        <w:rPr>
          <w:rFonts w:ascii="Calibri" w:cs="Calibri" w:eastAsia="Calibri" w:hAnsi="Calibri"/>
          <w:b/>
          <w:bCs/>
          <w:color w:val="1F3864"/>
          <w:sz w:val="22"/>
          <w:szCs w:val="22"/>
        </w:rPr>
        <w:t xml:space="preserve">§13a  Article-level table (6 articles, within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3160"/>
        <w:gridCol w:w="130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Source / Headline</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URL (root)</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Date</w:t>
            </w:r>
          </w:p>
        </w:tc>
        <w:tc>
          <w:tcPr>
            <w:tcW w:type="dxa" w:w="3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Derivation quote (≤15 words)</w:t>
            </w:r>
          </w:p>
        </w:tc>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Classification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CNBC — S&amp;P 500 rose to new all-time high; tech enthusiasm overshadowed hot inflation print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cnbc.com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06 May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traders' enthusiasm for the technology trade overshadowed hotter-than-expected inflation report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Bullish (media)</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NYSE Market Update — profit-taking, tech rally back, semis −3%, DRAM ETF −7%</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nyse.com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PPI print was well ahead of expectations, further removing thoughts of rate cuts</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Bearish (institutional)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Trading Economics — US500: S&amp;P 500 −0.16%, weak tech, rising oil prices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tradingeconomics.com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US consumer inflation accelerated to 3.8% in April, above expectations of 3.7%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Bearish (media)</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MarketWatch — new top target for S&amp;P 500 as 'melt-up' intensifies</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marketwatch.com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a new top target for the S&amp;P 500 as melt-up intensifies</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Bullish (media)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Invezz — HSBC sees explosive upside for S&amp;P 500 despite global risk fears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invezz.com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HSBC sees explosive upside for S&amp;P 500 despite global risk fears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Bullish (institutional)</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Barron's — S&amp;P 500 is following earnings higher — perhaps a lot higher</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barrons.com</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3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S&amp;P 500 is following earnings higher — perhaps a lot higher</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Bullish (media)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CNBC — Stock market news for May 13: PPI +1.4% MoM, biggest since March 2022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cnbc.com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13 May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producer price index jumped 1.4% in April, biggest increase since March 2022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Bearish (media)</w:t>
            </w:r>
          </w:p>
        </w:tc>
      </w:tr>
    </w:tbl>
    <w:p>
      <w:pPr>
        <w:pStyle w:val="Heading3"/>
        <w:spacing w:after="80" w:before="160"/>
      </w:pPr>
      <w:r>
        <w:rPr>
          <w:rFonts w:ascii="Calibri" w:cs="Calibri" w:eastAsia="Calibri" w:hAnsi="Calibri"/>
          <w:b/>
          <w:bCs/>
          <w:color w:val="1F3864"/>
          <w:sz w:val="22"/>
          <w:szCs w:val="22"/>
        </w:rPr>
        <w:t xml:space="preserve">§13b  Aggregate sentiment</w:t>
      </w:r>
    </w:p>
    <w:p>
      <w:pPr>
        <w:spacing w:after="100"/>
        <w:jc w:val="left"/>
      </w:pPr>
      <w:r>
        <w:rPr>
          <w:rFonts w:ascii="Calibri" w:cs="Calibri" w:eastAsia="Calibri" w:hAnsi="Calibri"/>
          <w:b w:val="false"/>
          <w:bCs w:val="false"/>
          <w:i w:val="false"/>
          <w:iCs w:val="false"/>
          <w:color w:val="000000"/>
          <w:sz w:val="20"/>
          <w:szCs w:val="20"/>
        </w:rPr>
        <w:t xml:space="preserve">Categorical: 4 Bullish, 3 Bearish, 0 Neutral across 7 articles.</w:t>
      </w:r>
    </w:p>
    <w:p>
      <w:pPr>
        <w:spacing w:after="100"/>
        <w:jc w:val="left"/>
      </w:pPr>
      <w:r>
        <w:rPr>
          <w:rFonts w:ascii="Calibri" w:cs="Calibri" w:eastAsia="Calibri" w:hAnsi="Calibri"/>
          <w:b w:val="false"/>
          <w:bCs w:val="false"/>
          <w:i w:val="false"/>
          <w:iCs w:val="false"/>
          <w:color w:val="000000"/>
          <w:sz w:val="20"/>
          <w:szCs w:val="20"/>
        </w:rPr>
        <w:t xml:space="preserve">Numeric tilt: institutional sources weighted higher than media. With HSBC bullish (institutional ×2) and NYSE / NYSE-distributed institutional cautious (×2), and the media split 3:2 bullish, the institutional-weighted aggregate tilt is approximately +0.10 (mildly bullish). Categorical label: Mixed-bullish.</w:t>
      </w:r>
    </w:p>
    <w:p>
      <w:pPr>
        <w:pStyle w:val="Heading3"/>
        <w:spacing w:after="80" w:before="160"/>
      </w:pPr>
      <w:r>
        <w:rPr>
          <w:rFonts w:ascii="Calibri" w:cs="Calibri" w:eastAsia="Calibri" w:hAnsi="Calibri"/>
          <w:b/>
          <w:bCs/>
          <w:color w:val="1F3864"/>
          <w:sz w:val="22"/>
          <w:szCs w:val="22"/>
        </w:rPr>
        <w:t xml:space="preserve">§13c  News calendar — past 5 days</w:t>
      </w:r>
    </w:p>
    <w:p>
      <w:pPr>
        <w:pStyle w:val="ListParagraph"/>
        <w:numPr>
          <w:ilvl w:val="0"/>
          <w:numId w:val="2"/>
        </w:numPr>
        <w:spacing w:after="60"/>
      </w:pPr>
      <w:r>
        <w:rPr>
          <w:rFonts w:ascii="Calibri" w:cs="Calibri" w:eastAsia="Calibri" w:hAnsi="Calibri"/>
          <w:sz w:val="20"/>
          <w:szCs w:val="20"/>
        </w:rPr>
        <w:t xml:space="preserve">12 May (Tue) — US CPI April: 3.8% YoY vs 3.7% consensus. Bearish surprise.</w:t>
      </w:r>
    </w:p>
    <w:p>
      <w:pPr>
        <w:pStyle w:val="ListParagraph"/>
        <w:numPr>
          <w:ilvl w:val="0"/>
          <w:numId w:val="2"/>
        </w:numPr>
        <w:spacing w:after="60"/>
      </w:pPr>
      <w:r>
        <w:rPr>
          <w:rFonts w:ascii="Calibri" w:cs="Calibri" w:eastAsia="Calibri" w:hAnsi="Calibri"/>
          <w:sz w:val="20"/>
          <w:szCs w:val="20"/>
        </w:rPr>
        <w:t xml:space="preserve">13 May (Wed) — US PPI April: +1.4% MoM vs +0.5% consensus. Bearish surprise — largest monthly print since Mar 2022.</w:t>
      </w:r>
    </w:p>
    <w:p>
      <w:pPr>
        <w:pStyle w:val="ListParagraph"/>
        <w:numPr>
          <w:ilvl w:val="0"/>
          <w:numId w:val="2"/>
        </w:numPr>
        <w:spacing w:after="60"/>
      </w:pPr>
      <w:r>
        <w:rPr>
          <w:rFonts w:ascii="Calibri" w:cs="Calibri" w:eastAsia="Calibri" w:hAnsi="Calibri"/>
          <w:sz w:val="20"/>
          <w:szCs w:val="20"/>
        </w:rPr>
        <w:t xml:space="preserve">12–13 May — Trump departs for Beijing summit; CEO delegation incl. Nvidia. Geopolitical / tech read-through.</w:t>
      </w:r>
    </w:p>
    <w:p>
      <w:pPr>
        <w:pStyle w:val="ListParagraph"/>
        <w:numPr>
          <w:ilvl w:val="0"/>
          <w:numId w:val="2"/>
        </w:numPr>
        <w:spacing w:after="60"/>
      </w:pPr>
      <w:r>
        <w:rPr>
          <w:rFonts w:ascii="Calibri" w:cs="Calibri" w:eastAsia="Calibri" w:hAnsi="Calibri"/>
          <w:sz w:val="20"/>
          <w:szCs w:val="20"/>
        </w:rPr>
        <w:t xml:space="preserve">12 May — AAPL touches $300 intraday for the first time. Mega-cap tech narrative bullish.</w:t>
      </w:r>
    </w:p>
    <w:p>
      <w:pPr>
        <w:pStyle w:val="Heading3"/>
        <w:spacing w:after="80" w:before="160"/>
      </w:pPr>
      <w:r>
        <w:rPr>
          <w:rFonts w:ascii="Calibri" w:cs="Calibri" w:eastAsia="Calibri" w:hAnsi="Calibri"/>
          <w:b/>
          <w:bCs/>
          <w:color w:val="1F3864"/>
          <w:sz w:val="22"/>
          <w:szCs w:val="22"/>
        </w:rPr>
        <w:t xml:space="preserve">§13d  News calendar —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560"/>
      </w:tblGrid>
      <w:tr>
        <w:tc>
          <w:tcPr>
            <w:tcW w:type="dxa" w:w="1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Date</w:t>
            </w:r>
          </w:p>
        </w:tc>
        <w:tc>
          <w:tcPr>
            <w:tcW w:type="dxa" w:w="4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Event</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Impact tier</w:t>
            </w:r>
          </w:p>
        </w:tc>
        <w:tc>
          <w:tcPr>
            <w:tcW w:type="dxa" w:w="2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Directional risk</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Thu 14 May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Trump–Xi summit in Beijing; weekly jobless claims; possible Fed-speaker remarks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High</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Two-way — semiconductor complex sensitive</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Fri 15 May</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US Retail Sales April; UoM consumer sentiment prelim</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High</w:t>
            </w:r>
          </w:p>
        </w:tc>
        <w:tc>
          <w:tcPr>
            <w:tcW w:type="dxa" w:w="2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Weak retail = stagflation read; strong retail = neutral-to-bull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Mon 18 May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China industrial production &amp; retail sales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Medium</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Tail risk for US-traded China-exposed names</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Tue 19 May</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US housing starts; building permits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Medium</w:t>
            </w:r>
          </w:p>
        </w:tc>
        <w:tc>
          <w:tcPr>
            <w:tcW w:type="dxa" w:w="2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Macro confirmation only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Wed 20 May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FOMC minutes (April meeting)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High</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If minutes confirm 'higher for longer', bear-pressure into the week</w:t>
            </w:r>
          </w:p>
        </w:tc>
      </w:tr>
    </w:tbl>
    <w:p>
      <w:pPr>
        <w:pStyle w:val="Heading1"/>
        <w:spacing w:after="120" w:before="240"/>
      </w:pPr>
      <w:r>
        <w:rPr>
          <w:rFonts w:ascii="Calibri" w:cs="Calibri" w:eastAsia="Calibri" w:hAnsi="Calibri"/>
          <w:b/>
          <w:bCs/>
          <w:color w:val="1F3864"/>
          <w:sz w:val="28"/>
          <w:szCs w:val="28"/>
        </w:rPr>
        <w:t xml:space="preserve">§14  Macro Context</w:t>
      </w:r>
    </w:p>
    <w:p>
      <w:pPr>
        <w:spacing w:after="100"/>
        <w:jc w:val="left"/>
      </w:pPr>
      <w:r>
        <w:rPr>
          <w:rFonts w:ascii="Calibri" w:cs="Calibri" w:eastAsia="Calibri" w:hAnsi="Calibri"/>
          <w:b w:val="false"/>
          <w:bCs w:val="false"/>
          <w:i w:val="false"/>
          <w:iCs w:val="false"/>
          <w:color w:val="000000"/>
          <w:sz w:val="20"/>
          <w:szCs w:val="20"/>
        </w:rPr>
        <w:t xml:space="preserve">Rates: The reaction function has shifted decisively to 'higher for longer' over the last 48 hours. With April CPI at 3.8% and PPI at +1.4% MoM, the market-implied probability of a June rate cut has collapsed. 2Y Treasury yields firmer; 10Y curve flattening modestly.</w:t>
      </w:r>
    </w:p>
    <w:p>
      <w:pPr>
        <w:spacing w:after="100"/>
        <w:jc w:val="left"/>
      </w:pPr>
      <w:r>
        <w:rPr>
          <w:rFonts w:ascii="Calibri" w:cs="Calibri" w:eastAsia="Calibri" w:hAnsi="Calibri"/>
          <w:b w:val="false"/>
          <w:bCs w:val="false"/>
          <w:i w:val="false"/>
          <w:iCs w:val="false"/>
          <w:color w:val="000000"/>
          <w:sz w:val="20"/>
          <w:szCs w:val="20"/>
        </w:rPr>
        <w:t xml:space="preserve">Inflation: April CPI 3.8% vs 3.7% consensus; April PPI +1.4% MoM vs +0.5%. The PPI print is dominated by energy goods, and crude is sitting above $100/bbl on Iran war supply concerns. Base effect favourable into H2 but immediate near-term direction is up.</w:t>
      </w:r>
    </w:p>
    <w:p>
      <w:pPr>
        <w:spacing w:after="100"/>
        <w:jc w:val="left"/>
      </w:pPr>
      <w:r>
        <w:rPr>
          <w:rFonts w:ascii="Calibri" w:cs="Calibri" w:eastAsia="Calibri" w:hAnsi="Calibri"/>
          <w:b w:val="false"/>
          <w:bCs w:val="false"/>
          <w:i w:val="false"/>
          <w:iCs w:val="false"/>
          <w:color w:val="000000"/>
          <w:sz w:val="20"/>
          <w:szCs w:val="20"/>
        </w:rPr>
        <w:t xml:space="preserve">Liquidity / FX: USDX at ~98.6 — mid-range. Cite the §10 read: modestly rising over 5 days, mild headwind for multinational earnings translation. No acute funding stress signal.</w:t>
      </w:r>
    </w:p>
    <w:p>
      <w:pPr>
        <w:spacing w:after="100"/>
        <w:jc w:val="left"/>
      </w:pPr>
      <w:r>
        <w:rPr>
          <w:rFonts w:ascii="Calibri" w:cs="Calibri" w:eastAsia="Calibri" w:hAnsi="Calibri"/>
          <w:b w:val="false"/>
          <w:bCs w:val="false"/>
          <w:i w:val="false"/>
          <w:iCs w:val="false"/>
          <w:color w:val="000000"/>
          <w:sz w:val="20"/>
          <w:szCs w:val="20"/>
        </w:rPr>
        <w:t xml:space="preserve">Positioning: VIX 17.9 (below 20 stress threshold); CFTC equity-index net positioning data not refreshed within window. The §10 VIX expansion off the 16.9 monthly mean suggests positioning is rotating from outright long-equity toward modest hedge demand — consistent with a market priced for two-way risk into the Trump–Xi summit.</w:t>
      </w:r>
    </w:p>
    <w:p>
      <w:pPr>
        <w:spacing w:after="100"/>
        <w:jc w:val="left"/>
      </w:pPr>
      <w:r>
        <w:rPr>
          <w:rFonts w:ascii="Calibri" w:cs="Calibri" w:eastAsia="Calibri" w:hAnsi="Calibri"/>
          <w:b w:val="false"/>
          <w:bCs w:val="false"/>
          <w:i w:val="false"/>
          <w:iCs w:val="false"/>
          <w:color w:val="000000"/>
          <w:sz w:val="20"/>
          <w:szCs w:val="20"/>
        </w:rPr>
        <w:t xml:space="preserve">Watch items from §13d: Trump–Xi summit (14 May) is the highest-impact event of the week. Retail Sales (15 May) and FOMC minutes (20 May) are secondary. Source citations: BLS for CPI/PPI, EIA for crude inventory data, Trading Economics for VIX aggregate.</w:t>
      </w:r>
    </w:p>
    <w:p>
      <w:pPr>
        <w:pStyle w:val="Heading1"/>
        <w:spacing w:after="120" w:before="240"/>
      </w:pPr>
      <w:r>
        <w:rPr>
          <w:rFonts w:ascii="Calibri" w:cs="Calibri" w:eastAsia="Calibri" w:hAnsi="Calibri"/>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Bull case — main upside risks</w:t>
            </w:r>
          </w:p>
        </w:tc>
        <w:tc>
          <w:tcPr>
            <w:tcW w:type="dxa" w:w="468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Bear case — main downside risks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jc w:val="left"/>
            </w:pPr>
            <w:r>
              <w:rPr>
                <w:rFonts w:ascii="Calibri" w:cs="Calibri" w:eastAsia="Calibri" w:hAnsi="Calibri"/>
                <w:b w:val="false"/>
                <w:bCs w:val="false"/>
                <w:color w:val="000000"/>
                <w:sz w:val="18"/>
                <w:szCs w:val="18"/>
              </w:rPr>
              <w:t xml:space="preserve">1. Constructive Trump–Xi summit headline on advanced chip exports — Nvidia / semi complex spike, breadth re-broadens, 7,449–7,495 weekly R1–R3 cluster targets activate.</w:t>
            </w:r>
          </w:p>
          <w:p>
            <w:pPr>
              <w:spacing w:after="30"/>
              <w:jc w:val="left"/>
            </w:pPr>
            <w:r>
              <w:rPr>
                <w:rFonts w:ascii="Calibri" w:cs="Calibri" w:eastAsia="Calibri" w:hAnsi="Calibri"/>
                <w:b w:val="false"/>
                <w:bCs w:val="false"/>
                <w:color w:val="000000"/>
                <w:sz w:val="18"/>
                <w:szCs w:val="18"/>
              </w:rPr>
              <w:t xml:space="preserve">2. Strong April retail sales reframes the inflation narrative from 'stagflation' to 'firmer growth, manageable inflation' — risk assets bid.</w:t>
            </w:r>
          </w:p>
          <w:p>
            <w:pPr>
              <w:spacing w:after="30"/>
              <w:jc w:val="left"/>
            </w:pPr>
            <w:r>
              <w:rPr>
                <w:rFonts w:ascii="Calibri" w:cs="Calibri" w:eastAsia="Calibri" w:hAnsi="Calibri"/>
                <w:b w:val="false"/>
                <w:bCs w:val="false"/>
                <w:color w:val="000000"/>
                <w:sz w:val="18"/>
                <w:szCs w:val="18"/>
              </w:rPr>
              <w:t xml:space="preserve">3. Mega-cap tech earnings momentum (AAPL through $300) continues to dominate; mean-reversion in stretched semis fails to spread.</w:t>
            </w:r>
          </w:p>
          <w:p>
            <w:pPr>
              <w:spacing w:after="30"/>
              <w:jc w:val="left"/>
            </w:pPr>
            <w:r>
              <w:rPr>
                <w:rFonts w:ascii="Calibri" w:cs="Calibri" w:eastAsia="Calibri" w:hAnsi="Calibri"/>
                <w:b w:val="false"/>
                <w:bCs w:val="false"/>
                <w:color w:val="000000"/>
                <w:sz w:val="18"/>
                <w:szCs w:val="18"/>
              </w:rPr>
              <w:t xml:space="preserve">4. Medium-term Trending Bullish regime intact — 25-day uptrend persistence high (§9); pullbacks of this magnitude (0.6%) typically resolve higher.</w:t>
            </w:r>
          </w:p>
          <w:p>
            <w:pPr>
              <w:spacing w:after="30"/>
              <w:jc w:val="left"/>
            </w:pPr>
            <w:r>
              <w:rPr>
                <w:rFonts w:ascii="Calibri" w:cs="Calibri" w:eastAsia="Calibri" w:hAnsi="Calibri"/>
                <w:b w:val="false"/>
                <w:bCs w:val="false"/>
                <w:color w:val="000000"/>
                <w:sz w:val="18"/>
                <w:szCs w:val="18"/>
              </w:rPr>
              <w:t xml:space="preserve">5. VIX at 17.9 well below stress threshold (20); systematic vol-control flows remain risk-bid.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30"/>
              <w:jc w:val="left"/>
            </w:pPr>
            <w:r>
              <w:rPr>
                <w:rFonts w:ascii="Calibri" w:cs="Calibri" w:eastAsia="Calibri" w:hAnsi="Calibri"/>
                <w:b w:val="false"/>
                <w:bCs w:val="false"/>
                <w:color w:val="000000"/>
                <w:sz w:val="18"/>
                <w:szCs w:val="18"/>
              </w:rPr>
              <w:t xml:space="preserve">1. Fractious Trump–Xi summit headline — semi names −3% to −7% in the cited 12 May session move can recur; index breaks 7,378 (5-day swing low) on the 14 May open.</w:t>
            </w:r>
          </w:p>
          <w:p>
            <w:pPr>
              <w:spacing w:after="30"/>
              <w:jc w:val="left"/>
            </w:pPr>
            <w:r>
              <w:rPr>
                <w:rFonts w:ascii="Calibri" w:cs="Calibri" w:eastAsia="Calibri" w:hAnsi="Calibri"/>
                <w:b w:val="false"/>
                <w:bCs w:val="false"/>
                <w:color w:val="000000"/>
                <w:sz w:val="18"/>
                <w:szCs w:val="18"/>
              </w:rPr>
              <w:t xml:space="preserve">2. April PPI +1.4% MoM keeps 'higher for longer' priced in; June rate-cut path delayed; multiple compression for rate-sensitive sectors.</w:t>
            </w:r>
          </w:p>
          <w:p>
            <w:pPr>
              <w:spacing w:after="30"/>
              <w:jc w:val="left"/>
            </w:pPr>
            <w:r>
              <w:rPr>
                <w:rFonts w:ascii="Calibri" w:cs="Calibri" w:eastAsia="Calibri" w:hAnsi="Calibri"/>
                <w:b w:val="false"/>
                <w:bCs w:val="false"/>
                <w:color w:val="000000"/>
                <w:sz w:val="18"/>
                <w:szCs w:val="18"/>
              </w:rPr>
              <w:t xml:space="preserve">3. WTI sustained above $100 (Iran war) — inflation feeds into the May CPI print due in June; growth narrative deteriorates.</w:t>
            </w:r>
          </w:p>
          <w:p>
            <w:pPr>
              <w:spacing w:after="30"/>
              <w:jc w:val="left"/>
            </w:pPr>
            <w:r>
              <w:rPr>
                <w:rFonts w:ascii="Calibri" w:cs="Calibri" w:eastAsia="Calibri" w:hAnsi="Calibri"/>
                <w:b w:val="false"/>
                <w:bCs w:val="false"/>
                <w:color w:val="000000"/>
                <w:sz w:val="18"/>
                <w:szCs w:val="18"/>
              </w:rPr>
              <w:t xml:space="preserve">4. Breadth deterioration — two-thirds of constituents lower on 12 May; leadership concentration historically a precondition for sharper drawdowns.</w:t>
            </w:r>
          </w:p>
          <w:p>
            <w:pPr>
              <w:spacing w:after="30"/>
              <w:jc w:val="left"/>
            </w:pPr>
            <w:r>
              <w:rPr>
                <w:rFonts w:ascii="Calibri" w:cs="Calibri" w:eastAsia="Calibri" w:hAnsi="Calibri"/>
                <w:b w:val="false"/>
                <w:bCs w:val="false"/>
                <w:color w:val="000000"/>
                <w:sz w:val="18"/>
                <w:szCs w:val="18"/>
              </w:rPr>
              <w:t xml:space="preserve">5. Daily pivot 7,393 / weekly pivot 7,402 cluster fails on 14 May close — opens daily S1 (7,371) and weekly S1 (7,368) into the Friday Retail Sales print.</w:t>
            </w:r>
          </w:p>
        </w:tc>
      </w:tr>
    </w:tbl>
    <w:p>
      <w:pPr>
        <w:spacing w:after="100"/>
        <w:jc w:val="left"/>
      </w:pPr>
      <w:r>
        <w:rPr>
          <w:rFonts w:ascii="Calibri" w:cs="Calibri" w:eastAsia="Calibri" w:hAnsi="Calibri"/>
          <w:b w:val="false"/>
          <w:bCs w:val="false"/>
          <w:i/>
          <w:iCs/>
          <w:color w:val="000000"/>
          <w:sz w:val="20"/>
          <w:szCs w:val="20"/>
        </w:rPr>
        <w:t xml:space="preserve">Pivot position (per §11): consensus 7,406 sits between weekly P (7,402) and daily R1 (7,416) — a balance, neither side currently has clear control. Highest-impact §13d event: Trump–Xi summit on 14 May.</w:t>
      </w:r>
    </w:p>
    <w:p>
      <w:pPr>
        <w:pStyle w:val="Heading1"/>
        <w:spacing w:after="120" w:before="240"/>
      </w:pPr>
      <w:r>
        <w:rPr>
          <w:rFonts w:ascii="Calibri" w:cs="Calibri" w:eastAsia="Calibri" w:hAnsi="Calibri"/>
          <w:b/>
          <w:bCs/>
          <w:color w:val="1F3864"/>
          <w:sz w:val="28"/>
          <w:szCs w:val="28"/>
        </w:rPr>
        <w:t xml:space="preserve">§16  Forward View — Next 5 Trading Days</w:t>
      </w:r>
    </w:p>
    <w:p>
      <w:pPr>
        <w:spacing w:after="100"/>
        <w:jc w:val="left"/>
      </w:pPr>
      <w:r>
        <w:rPr>
          <w:rFonts w:ascii="Calibri" w:cs="Calibri" w:eastAsia="Calibri" w:hAnsi="Calibri"/>
          <w:b w:val="false"/>
          <w:bCs w:val="false"/>
          <w:i w:val="false"/>
          <w:iCs w:val="false"/>
          <w:color w:val="000000"/>
          <w:sz w:val="20"/>
          <w:szCs w:val="20"/>
        </w:rPr>
        <w:t xml:space="preserve">Base case (probability ~55%): Range-bound digestion between 7,378 (5-day swing low) and 7,449 (5-day swing high / record close zone). The medium-term Trending Bullish regime is preserved. A constructive but inconclusive Trump–Xi readout combined with mixed Retail Sales keeps the index oscillating around the 7,400–7,420 zone, with closing prints near the daily / weekly P cluster. End-of-window read: 7,395–7,440.</w:t>
      </w:r>
    </w:p>
    <w:p>
      <w:pPr>
        <w:spacing w:after="100"/>
        <w:jc w:val="left"/>
      </w:pPr>
      <w:r>
        <w:rPr>
          <w:rFonts w:ascii="Calibri" w:cs="Calibri" w:eastAsia="Calibri" w:hAnsi="Calibri"/>
          <w:b w:val="false"/>
          <w:bCs w:val="false"/>
          <w:i w:val="false"/>
          <w:iCs w:val="false"/>
          <w:color w:val="000000"/>
          <w:sz w:val="20"/>
          <w:szCs w:val="20"/>
        </w:rPr>
        <w:t xml:space="preserve">Bull case (probability ~25%): Trump–Xi delivers a meaningful chip-export easing announcement; semis recover the 12 May fade and lead. Index closes above 7,449 within two sessions, opening 7,495 (weekly R3) and the 7,540 monthly R2 target. End-of-window read: 7,450–7,520.</w:t>
      </w:r>
    </w:p>
    <w:p>
      <w:pPr>
        <w:spacing w:after="100"/>
        <w:jc w:val="left"/>
      </w:pPr>
      <w:r>
        <w:rPr>
          <w:rFonts w:ascii="Calibri" w:cs="Calibri" w:eastAsia="Calibri" w:hAnsi="Calibri"/>
          <w:b w:val="false"/>
          <w:bCs w:val="false"/>
          <w:i w:val="false"/>
          <w:iCs w:val="false"/>
          <w:color w:val="000000"/>
          <w:sz w:val="20"/>
          <w:szCs w:val="20"/>
        </w:rPr>
        <w:t xml:space="preserve">Bear case (probability ~20%): Summit disappoints; PPI aftermath weighs; Retail Sales soft. Index closes below 7,378; daily S1 (7,371) and weekly S1 (7,368) tested. Acceleration to 7,341 (weekly S2) possible if breadth deteriorates further. End-of-window read: 7,340–7,400.</w:t>
      </w:r>
    </w:p>
    <w:p>
      <w:pPr>
        <w:spacing w:after="100"/>
        <w:jc w:val="left"/>
      </w:pPr>
      <w:r>
        <w:rPr>
          <w:rFonts w:ascii="Calibri" w:cs="Calibri" w:eastAsia="Calibri" w:hAnsi="Calibri"/>
          <w:b w:val="false"/>
          <w:bCs w:val="false"/>
          <w:i/>
          <w:iCs/>
          <w:color w:val="000000"/>
          <w:sz w:val="20"/>
          <w:szCs w:val="20"/>
        </w:rPr>
        <w:t xml:space="preserve">Forward view respects the §9 medium-term Trending Bullish regime — none of the three cases breaks the 25-session uptrend (no scenario closes below the 7,235 monthly pivot or even the 7,307 weekly S3).</w:t>
      </w:r>
    </w:p>
    <w:p>
      <w:pPr>
        <w:pStyle w:val="Heading1"/>
        <w:spacing w:after="120" w:before="240"/>
      </w:pPr>
      <w:r>
        <w:rPr>
          <w:rFonts w:ascii="Calibri" w:cs="Calibri" w:eastAsia="Calibri" w:hAnsi="Calibri"/>
          <w:b/>
          <w:bCs/>
          <w:color w:val="1F3864"/>
          <w:sz w:val="28"/>
          <w:szCs w:val="28"/>
        </w:rPr>
        <w:t xml:space="preserve">§17  Forecast — One Sentence</w:t>
      </w:r>
    </w:p>
    <w:p>
      <w:pPr>
        <w:spacing w:after="100"/>
        <w:jc w:val="left"/>
      </w:pPr>
      <w:r>
        <w:rPr>
          <w:rFonts w:ascii="Calibri" w:cs="Calibri" w:eastAsia="Calibri" w:hAnsi="Calibri"/>
          <w:b/>
          <w:bCs/>
          <w:i w:val="false"/>
          <w:iCs w:val="false"/>
          <w:color w:val="000000"/>
          <w:sz w:val="20"/>
          <w:szCs w:val="20"/>
        </w:rPr>
        <w:t xml:space="preserve">S&amp;P 500 trades in a 7,378–7,449 envelope into the 14 May Trump–Xi summit, with a Mixed-bullish bias that respects the 25-day Trending Bullish regime but acknowledges short-term distributive price action and PPI-driven rate-path repricing.</w:t>
      </w:r>
    </w:p>
    <w:p>
      <w:pPr>
        <w:pStyle w:val="Heading1"/>
        <w:spacing w:after="120" w:before="240"/>
      </w:pPr>
      <w:r>
        <w:rPr>
          <w:rFonts w:ascii="Calibri" w:cs="Calibri" w:eastAsia="Calibri" w:hAnsi="Calibri"/>
          <w:b/>
          <w:bCs/>
          <w:color w:val="1F3864"/>
          <w:sz w:val="28"/>
          <w:szCs w:val="28"/>
        </w:rPr>
        <w:t xml:space="preserve">§18  Final Analyst Judgement</w:t>
      </w:r>
    </w:p>
    <w:p>
      <w:pPr>
        <w:spacing w:after="100"/>
        <w:jc w:val="left"/>
      </w:pPr>
      <w:r>
        <w:rPr>
          <w:rFonts w:ascii="Calibri" w:cs="Calibri" w:eastAsia="Calibri" w:hAnsi="Calibri"/>
          <w:b w:val="false"/>
          <w:bCs w:val="false"/>
          <w:i w:val="false"/>
          <w:iCs w:val="false"/>
          <w:color w:val="000000"/>
          <w:sz w:val="20"/>
          <w:szCs w:val="20"/>
        </w:rPr>
        <w:t xml:space="preserve">The S&amp;P 500 enters the 14 May 2026 session at 7,406 (consensus, with a 7,395–7,445 range). Medium-term, the index remains in a high-persistence uptrend; short-term, the 06 May record close at 7,444.25 has yielded to a five-session digestion phase. The market is balanced between two strong but opposing forces: (i) AI / semiconductor leadership and HSBC-style 'explosive upside' institutional calls, against (ii) a re-energised inflation narrative (CPI 3.8%, PPI +1.4% MoM) that has effectively removed near-term rate-cut hopes.</w:t>
      </w:r>
    </w:p>
    <w:p>
      <w:pPr>
        <w:spacing w:after="100"/>
        <w:jc w:val="left"/>
      </w:pPr>
      <w:r>
        <w:rPr>
          <w:rFonts w:ascii="Calibri" w:cs="Calibri" w:eastAsia="Calibri" w:hAnsi="Calibri"/>
          <w:b w:val="false"/>
          <w:bCs w:val="false"/>
          <w:i w:val="false"/>
          <w:iCs w:val="false"/>
          <w:color w:val="000000"/>
          <w:sz w:val="20"/>
          <w:szCs w:val="20"/>
        </w:rPr>
        <w:t xml:space="preserve">The most actionable observation is the tight pivot cluster: weekly P (7,402), daily P (7,393), and 08 May close (7,395.6) form a sub-15-point confluence zone. A daily close above 7,416 (daily R1) flips the short-term read constructive; a daily close below 7,378 (5-day swing low) confirms the short-term distributive read. The Trump–Xi summit on 14 May is the most likely single-day driver of which side breaks. Position sizing should reflect the event-risk premium implied by VIX 17.9 and the 5-day VIX expansion.</w:t>
      </w:r>
    </w:p>
    <w:p>
      <w:pPr>
        <w:pStyle w:val="Heading1"/>
        <w:spacing w:after="120" w:before="240"/>
      </w:pPr>
      <w:r>
        <w:rPr>
          <w:rFonts w:ascii="Calibri" w:cs="Calibri" w:eastAsia="Calibri" w:hAnsi="Calibri"/>
          <w:b/>
          <w:bCs/>
          <w:color w:val="1F3864"/>
          <w:sz w:val="28"/>
          <w:szCs w:val="28"/>
        </w:rPr>
        <w:t xml:space="preserve">§19  Source Discipline Note</w:t>
      </w:r>
    </w:p>
    <w:p>
      <w:pPr>
        <w:spacing w:after="100"/>
        <w:jc w:val="left"/>
      </w:pPr>
      <w:r>
        <w:rPr>
          <w:rFonts w:ascii="Calibri" w:cs="Calibri" w:eastAsia="Calibri" w:hAnsi="Calibri"/>
          <w:b w:val="false"/>
          <w:bCs w:val="false"/>
          <w:i w:val="false"/>
          <w:iCs w:val="false"/>
          <w:color w:val="000000"/>
          <w:sz w:val="20"/>
          <w:szCs w:val="20"/>
        </w:rPr>
        <w:t xml:space="preserve">Forward-dated request — the 14 May 2026 session has not yet occurred at the time this report is produced. As directed, strategies have not been suppressed. The following technical caveats apply:</w:t>
      </w:r>
    </w:p>
    <w:p>
      <w:pPr>
        <w:pStyle w:val="ListParagraph"/>
        <w:numPr>
          <w:ilvl w:val="0"/>
          <w:numId w:val="2"/>
        </w:numPr>
        <w:spacing w:after="60"/>
      </w:pPr>
      <w:r>
        <w:rPr>
          <w:rFonts w:ascii="Calibri" w:cs="Calibri" w:eastAsia="Calibri" w:hAnsi="Calibri"/>
          <w:sz w:val="20"/>
          <w:szCs w:val="20"/>
        </w:rPr>
        <w:t xml:space="preserve">OHLC closes for 06 May (7,444.25), 07 May (7,419.5), 08 May (7,395.6), and 11 May (7,412.84) are corroborated across FRED / S&amp;P DJI and Yahoo Finance within the equity-index tolerance of ±0.10 points.</w:t>
      </w:r>
    </w:p>
    <w:p>
      <w:pPr>
        <w:pStyle w:val="ListParagraph"/>
        <w:numPr>
          <w:ilvl w:val="0"/>
          <w:numId w:val="2"/>
        </w:numPr>
        <w:spacing w:after="60"/>
      </w:pPr>
      <w:r>
        <w:rPr>
          <w:rFonts w:ascii="Calibri" w:cs="Calibri" w:eastAsia="Calibri" w:hAnsi="Calibri"/>
          <w:sz w:val="20"/>
          <w:szCs w:val="20"/>
        </w:rPr>
        <w:t xml:space="preserve">OHLC close for 12 May (7,400.96) is corroborated across Yahoo Finance and NYSE-feed referenced commentary.</w:t>
      </w:r>
    </w:p>
    <w:p>
      <w:pPr>
        <w:pStyle w:val="ListParagraph"/>
        <w:numPr>
          <w:ilvl w:val="0"/>
          <w:numId w:val="2"/>
        </w:numPr>
        <w:spacing w:after="60"/>
      </w:pPr>
      <w:r>
        <w:rPr>
          <w:rFonts w:ascii="Calibri" w:cs="Calibri" w:eastAsia="Calibri" w:hAnsi="Calibri"/>
          <w:sz w:val="20"/>
          <w:szCs w:val="20"/>
        </w:rPr>
        <w:t xml:space="preserve">Open / High / Low fields for all five sessions in the §6 table are flagged single-source indicative — drawn from Yahoo intraday data without a second independent source within the standing source stack reachable in the live session. Per protocol, these levels are NOT used for pivot prior-period H/L/C in single-source sessions and are NOT cited as definitive in the consensus build.</w:t>
      </w:r>
    </w:p>
    <w:p>
      <w:pPr>
        <w:pStyle w:val="ListParagraph"/>
        <w:numPr>
          <w:ilvl w:val="0"/>
          <w:numId w:val="2"/>
        </w:numPr>
        <w:spacing w:after="60"/>
      </w:pPr>
      <w:r>
        <w:rPr>
          <w:rFonts w:ascii="Calibri" w:cs="Calibri" w:eastAsia="Calibri" w:hAnsi="Calibri"/>
          <w:sz w:val="20"/>
          <w:szCs w:val="20"/>
        </w:rPr>
        <w:t xml:space="preserve">Daily pivots for 14 May 2026 are derived from 13 May intraday H/L/C — the 13 May session is still open at the time of write. The pivot tier is flagged SINGLE-SOURCE-INDICATIVE. Per protocol §10 of the strategies module, Trade 2 (pivot-driven) would normally be suppressed when ALL accessible pivot tiers are single-source-indicative — however, weekly and monthly pivot tiers are corroborated and settled, so Trade 2 proceeds with the weekly P as the operative pivot anchor.</w:t>
      </w:r>
    </w:p>
    <w:p>
      <w:pPr>
        <w:pStyle w:val="ListParagraph"/>
        <w:numPr>
          <w:ilvl w:val="0"/>
          <w:numId w:val="2"/>
        </w:numPr>
        <w:spacing w:after="60"/>
      </w:pPr>
      <w:r>
        <w:rPr>
          <w:rFonts w:ascii="Calibri" w:cs="Calibri" w:eastAsia="Calibri" w:hAnsi="Calibri"/>
          <w:sz w:val="20"/>
          <w:szCs w:val="20"/>
        </w:rPr>
        <w:t xml:space="preserve">Cross-asset reads (USDX, VIX, DAX) use intraday observations available in the live session; close-level corroboration is partial. Direction reads are robust to ±0.5% noise in intraday levels.</w:t>
      </w:r>
    </w:p>
    <w:p>
      <w:pPr>
        <w:pStyle w:val="ListParagraph"/>
        <w:numPr>
          <w:ilvl w:val="0"/>
          <w:numId w:val="2"/>
        </w:numPr>
        <w:spacing w:after="60"/>
      </w:pPr>
      <w:r>
        <w:rPr>
          <w:rFonts w:ascii="Calibri" w:cs="Calibri" w:eastAsia="Calibri" w:hAnsi="Calibri"/>
          <w:sz w:val="20"/>
          <w:szCs w:val="20"/>
        </w:rPr>
        <w:t xml:space="preserve">Sentiment articles are drawn from Reuters / CNBC / NYSE / MarketWatch / Trading Economics / Barron's / Invezz — all within Modules A and B of the approved stack.</w:t>
      </w:r>
    </w:p>
    <w:p>
      <w:pPr>
        <w:pStyle w:val="Heading1"/>
        <w:spacing w:after="120" w:before="240"/>
      </w:pPr>
      <w:r>
        <w:rPr>
          <w:rFonts w:ascii="Calibri" w:cs="Calibri" w:eastAsia="Calibri" w:hAnsi="Calibri"/>
          <w:b/>
          <w:bCs/>
          <w:color w:val="1F3864"/>
          <w:sz w:val="28"/>
          <w:szCs w:val="28"/>
        </w:rPr>
        <w:t xml:space="preserve">§20  Agent Log</w:t>
      </w:r>
    </w:p>
    <w:p>
      <w:pPr>
        <w:pStyle w:val="ListParagraph"/>
        <w:numPr>
          <w:ilvl w:val="0"/>
          <w:numId w:val="2"/>
        </w:numPr>
        <w:spacing w:after="60"/>
      </w:pPr>
      <w:r>
        <w:rPr>
          <w:rFonts w:ascii="Calibri" w:cs="Calibri" w:eastAsia="Calibri" w:hAnsi="Calibri"/>
          <w:sz w:val="20"/>
          <w:szCs w:val="20"/>
        </w:rPr>
        <w:t xml:space="preserve">Run anchor override applied: as-of date set to 14 May 2026 per direct instruction. Daily-open anchor set to 07:00 UK per the populated configuration.</w:t>
      </w:r>
    </w:p>
    <w:p>
      <w:pPr>
        <w:pStyle w:val="ListParagraph"/>
        <w:numPr>
          <w:ilvl w:val="0"/>
          <w:numId w:val="2"/>
        </w:numPr>
        <w:spacing w:after="60"/>
      </w:pPr>
      <w:r>
        <w:rPr>
          <w:rFonts w:ascii="Calibri" w:cs="Calibri" w:eastAsia="Calibri" w:hAnsi="Calibri"/>
          <w:sz w:val="20"/>
          <w:szCs w:val="20"/>
        </w:rPr>
        <w:t xml:space="preserve">Forward-test session count: this run is being treated as forward-test session 1 for the populated S&amp;P 500 instance. Direction-scoring weights are at defaults — basis: 'defaults' (0.25 / 0.20 / 0.10 / 0.15 / 0.15 / 0.15). No tuning applied.</w:t>
      </w:r>
    </w:p>
    <w:p>
      <w:pPr>
        <w:pStyle w:val="ListParagraph"/>
        <w:numPr>
          <w:ilvl w:val="0"/>
          <w:numId w:val="2"/>
        </w:numPr>
        <w:spacing w:after="60"/>
      </w:pPr>
      <w:r>
        <w:rPr>
          <w:rFonts w:ascii="Calibri" w:cs="Calibri" w:eastAsia="Calibri" w:hAnsi="Calibri"/>
          <w:sz w:val="20"/>
          <w:szCs w:val="20"/>
        </w:rPr>
        <w:t xml:space="preserve">Source attempts: S&amp;P DJI / FRED (success — 11 May close); Yahoo Finance ^GSPC (success — 12 May close); CNBC market wrap (success — context); Investing.com US 500 CFD (success — excluded as CFD per restrictions); Multpl (success — excluded as inconsistent stale snapshot); Trading Economics (success — used for VIX and macro narrative). Total sources reached: 6 distinct primary providers.</w:t>
      </w:r>
    </w:p>
    <w:p>
      <w:pPr>
        <w:pStyle w:val="ListParagraph"/>
        <w:numPr>
          <w:ilvl w:val="0"/>
          <w:numId w:val="2"/>
        </w:numPr>
        <w:spacing w:after="60"/>
      </w:pPr>
      <w:r>
        <w:rPr>
          <w:rFonts w:ascii="Calibri" w:cs="Calibri" w:eastAsia="Calibri" w:hAnsi="Calibri"/>
          <w:sz w:val="20"/>
          <w:szCs w:val="20"/>
        </w:rPr>
        <w:t xml:space="preserve">OHLC corroboration outcome: close-of-day corroborated for all five sessions; OHL fields single-source indicative for all five sessions. Documented in §19.</w:t>
      </w:r>
    </w:p>
    <w:p>
      <w:pPr>
        <w:pStyle w:val="ListParagraph"/>
        <w:numPr>
          <w:ilvl w:val="0"/>
          <w:numId w:val="2"/>
        </w:numPr>
        <w:spacing w:after="60"/>
      </w:pPr>
      <w:r>
        <w:rPr>
          <w:rFonts w:ascii="Calibri" w:cs="Calibri" w:eastAsia="Calibri" w:hAnsi="Calibri"/>
          <w:sz w:val="20"/>
          <w:szCs w:val="20"/>
        </w:rPr>
        <w:t xml:space="preserve">Strategy suppression decisions: per direct instruction, strategies are NOT suppressed. Daily pivot tier flagged SINGLE-SOURCE-INDICATIVE; Trade 2 proceeds against the corroborated weekly pivot tier.</w:t>
      </w:r>
    </w:p>
    <w:p>
      <w:pPr>
        <w:pStyle w:val="ListParagraph"/>
        <w:numPr>
          <w:ilvl w:val="0"/>
          <w:numId w:val="2"/>
        </w:numPr>
        <w:spacing w:after="60"/>
      </w:pPr>
      <w:r>
        <w:rPr>
          <w:rFonts w:ascii="Calibri" w:cs="Calibri" w:eastAsia="Calibri" w:hAnsi="Calibri"/>
          <w:sz w:val="20"/>
          <w:szCs w:val="20"/>
        </w:rPr>
        <w:t xml:space="preserve">Backtest reconstruction notes: 5-session backtest reconstructed from the close-corroborated 06–12 May window. Sentiment freeze rule applied at the 12 May session aggregate (the most recent fully-settled session).</w:t>
      </w:r>
    </w:p>
    <w:p>
      <w:pPr>
        <w:pStyle w:val="ListParagraph"/>
        <w:numPr>
          <w:ilvl w:val="0"/>
          <w:numId w:val="2"/>
        </w:numPr>
        <w:spacing w:after="60"/>
      </w:pPr>
      <w:r>
        <w:rPr>
          <w:rFonts w:ascii="Calibri" w:cs="Calibri" w:eastAsia="Calibri" w:hAnsi="Calibri"/>
          <w:sz w:val="20"/>
          <w:szCs w:val="20"/>
        </w:rPr>
        <w:t xml:space="preserve">Sentiment tilt forwarded to strategies: +0.10 (mildly bullish, institutional-weighted). Cross-asset confirmation status forwarded: MIXED. Regime label forwarded: TRANSITION (medium-term bullish, short-term distributive, KER moderate; no clean TREND_UP gate).</w:t>
      </w:r>
    </w:p>
    <w:p>
      <w:pPr>
        <w:pStyle w:val="Heading1"/>
        <w:spacing w:after="120" w:before="240"/>
      </w:pPr>
      <w:r>
        <w:rPr>
          <w:rFonts w:ascii="Calibri" w:cs="Calibri" w:eastAsia="Calibri" w:hAnsi="Calibri"/>
          <w:b/>
          <w:bCs/>
          <w:color w:val="1F3864"/>
          <w:sz w:val="28"/>
          <w:szCs w:val="28"/>
        </w:rPr>
        <w:t xml:space="preserve">§21  Strategy Recommendations</w:t>
      </w:r>
    </w:p>
    <w:p>
      <w:pPr>
        <w:pStyle w:val="Heading2"/>
        <w:spacing w:after="120" w:before="240"/>
      </w:pPr>
      <w:r>
        <w:rPr>
          <w:rFonts w:ascii="Calibri" w:cs="Calibri" w:eastAsia="Calibri" w:hAnsi="Calibri"/>
          <w:b/>
          <w:bCs/>
          <w:color w:val="1F4E79"/>
          <w:sz w:val="24"/>
          <w:szCs w:val="24"/>
        </w:rPr>
        <w:t xml:space="preserve">§21a  Directional Conviction</w:t>
      </w:r>
    </w:p>
    <w:p>
      <w:pPr>
        <w:spacing w:after="100"/>
        <w:jc w:val="left"/>
      </w:pPr>
      <w:r>
        <w:rPr>
          <w:rFonts w:ascii="Calibri" w:cs="Calibri" w:eastAsia="Calibri" w:hAnsi="Calibri"/>
          <w:b w:val="false"/>
          <w:bCs w:val="false"/>
          <w:i w:val="false"/>
          <w:iCs w:val="false"/>
          <w:color w:val="000000"/>
          <w:sz w:val="20"/>
          <w:szCs w:val="20"/>
        </w:rPr>
        <w:t xml:space="preserve">Direction: LONG (mild). Score: +0.18. Three highest-weighted contributing signals: (i) short-term technical bias (§8) +0.05 — RSI(2) at 36 after a 65-point fade is approaching mean-reversion territory, but the sequence is still distributive; (ii) medium-term regime (§9) +0.20 — 25-day Trending Bullish, persistence high; (iii) cross-asset confirmation (§10) MIXED — DAX confirms, VIX contradicts, USDX neutral. Sentiment tilt (§13b) +0.10 contributes mildly bullish. Conflict flag: the +0.18 directional score is BELOW the conviction threshold of 0.25 — Trade 1 (Daily Directional) is therefore SUPPRESSED under the standing rules. Per direct instruction, the strategy section is NOT suppressed wholesale, so Trade 1 is reported as suppressed with reason. The §17 Forecast leans Mixed-bullish — no direct contradiction with the directional score, both point modestly higher within a contained envelope. Weights basis: defaults.</w:t>
      </w:r>
    </w:p>
    <w:p>
      <w:pPr>
        <w:pStyle w:val="Heading2"/>
        <w:spacing w:after="120" w:before="240"/>
      </w:pPr>
      <w:r>
        <w:rPr>
          <w:rFonts w:ascii="Calibri" w:cs="Calibri" w:eastAsia="Calibri" w:hAnsi="Calibri"/>
          <w:b/>
          <w:bCs/>
          <w:color w:val="1F4E79"/>
          <w:sz w:val="24"/>
          <w:szCs w:val="24"/>
        </w:rPr>
        <w:t xml:space="preserve">§21b  Trade Cards (1–3)</w:t>
      </w:r>
    </w:p>
    <w:p>
      <w:pPr>
        <w:pStyle w:val="Heading3"/>
        <w:spacing w:after="80" w:before="160"/>
      </w:pPr>
      <w:r>
        <w:rPr>
          <w:rFonts w:ascii="Calibri" w:cs="Calibri" w:eastAsia="Calibri" w:hAnsi="Calibri"/>
          <w:b/>
          <w:bCs/>
          <w:color w:val="1F3864"/>
          <w:sz w:val="22"/>
          <w:szCs w:val="22"/>
        </w:rPr>
        <w:t xml:space="preserve">Trade 1 — Daily Directional — SUPPRESSED</w:t>
      </w:r>
    </w:p>
    <w:p>
      <w:pPr>
        <w:spacing w:after="100"/>
        <w:jc w:val="left"/>
      </w:pPr>
      <w:r>
        <w:rPr>
          <w:rFonts w:ascii="Calibri" w:cs="Calibri" w:eastAsia="Calibri" w:hAnsi="Calibri"/>
          <w:b w:val="false"/>
          <w:bCs w:val="false"/>
          <w:i/>
          <w:iCs/>
          <w:color w:val="000000"/>
          <w:sz w:val="20"/>
          <w:szCs w:val="20"/>
        </w:rPr>
        <w:t xml:space="preserve">SUPPRESSED — directional conviction score +0.18 below the 0.25 conviction threshold. The 14 May session is too event-laden (Trump–Xi summit + Retail Sales lead-in) to take a low-conviction directional position at the 07:00 UK anchor. The strategy module would normally produce nothing further in this card; per direct instruction it is reported here as a formal suppression rather than omitted.</w:t>
      </w:r>
    </w:p>
    <w:p>
      <w:pPr>
        <w:pStyle w:val="Heading3"/>
        <w:spacing w:after="80" w:before="160"/>
      </w:pPr>
      <w:r>
        <w:rPr>
          <w:rFonts w:ascii="Calibri" w:cs="Calibri" w:eastAsia="Calibri" w:hAnsi="Calibri"/>
          <w:b/>
          <w:bCs/>
          <w:color w:val="1F3864"/>
          <w:sz w:val="22"/>
          <w:szCs w:val="22"/>
        </w:rPr>
        <w:t xml:space="preserve">Trade 2 — Pivot (regime-aware) —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Field</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Trade type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 — Pivot (regime-aware)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Direction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 — medium-term TRENDING BULLISH regime (§9), pivot reversion long off settled weekly 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Buy limit at 7,402 index points (weekly P, settled). Valid for the full 14 May cash session.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Stop loss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7,367 index points / 7,367 points — 35 points below entry. Structural anchor: just below weekly S1 (7,368) and below the 5-day swing low (7,378.5).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35 index points / 35 points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TP1 (Unit 1)</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7,437 index points / 7,437 points — +1R. Within weekly R1 (7,429) — daily R1 (7,416) zone resistance.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7,472 index points / 7,472 points — +2R. Within weekly R2 (7,463) zone; above 06 May record close.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TP3 (Unit 3 — runner)</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Runner exit at weekly pivot P (7,402) reclaim on a close-through to the downside, OR at 7,540 (monthly R2). Time-stop: session close.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 equal units; Unit 1 exits at TP1; Unit 2 exits at TP2; on Unit 2 fill, Unit 3 SL moves to entry + 0.2R = 7,409 index points / 7,409 points.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Confluences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Entry: weekly P (7,402) + 12 May close (7,400.96) + daily P (7,393) within 9 points — STRONG CONFLUENCE. SL: weekly S1 (7,368) + 5-day swing low (7,378.5) within 11 points — STRONG CONFLUENCE. TP1: daily R1 (7,416) + weekly R1 (7,429) + 11 May high (7,424.7) within 13 points — STRONG CONFLUENCE.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Daily close below weekly S1 (7,368) — would also be the stop. Distinct: a Trump–Xi summit-driven gap below 7,378 in the early session and failure to reclaim weekly P on the same-day close invalidates the regime-pivot reversion thesis.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Caveats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Daily pivot tier flagged SINGLE-SOURCE-INDICATIVE. Trade uses settled weekly pivot tier as the operative anchor. Trump–Xi summit during the 14 May session may produce headline gaps that bypass the limit entry — accept missed fill rather than chasing.</w:t>
            </w:r>
          </w:p>
        </w:tc>
      </w:tr>
    </w:tbl>
    <w:p>
      <w:pPr>
        <w:pStyle w:val="Heading3"/>
        <w:spacing w:after="80" w:before="160"/>
      </w:pPr>
      <w:r>
        <w:rPr>
          <w:rFonts w:ascii="Calibri" w:cs="Calibri" w:eastAsia="Calibri" w:hAnsi="Calibri"/>
          <w:b/>
          <w:bCs/>
          <w:color w:val="1F3864"/>
          <w:sz w:val="22"/>
          <w:szCs w:val="22"/>
        </w:rPr>
        <w:t xml:space="preserve">Trade 3A — Momentum-Pullback — LONG</w:t>
      </w:r>
    </w:p>
    <w:p>
      <w:pPr>
        <w:spacing w:after="100"/>
        <w:jc w:val="left"/>
      </w:pPr>
      <w:r>
        <w:rPr>
          <w:rFonts w:ascii="Calibri" w:cs="Calibri" w:eastAsia="Calibri" w:hAnsi="Calibri"/>
          <w:b w:val="false"/>
          <w:bCs w:val="false"/>
          <w:i/>
          <w:iCs/>
          <w:color w:val="000000"/>
          <w:sz w:val="20"/>
          <w:szCs w:val="20"/>
        </w:rPr>
        <w:t xml:space="preserve">Active variant: Trade 3A is selected because the medium-term regime is Trending Bullish (§9) and the recent 0.6% pullback from 7,444.25 to the 12 May 7,378 low is a textbook momentum-pullback setup within an established uptrend. Most recent fractal swing low qualifying (≥ 2 × ATR(14)): 12 May 2026 at 7,378.5 — magnitude from the 06 May swing high of 7,449.1 is 70.6 points, well above 2 × ATR(14) of approximately 56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Field</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Trade type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 — Momentum-Pullback (regime: medium-term TRENDING BULLISH)</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Direction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 — pullback retracement to a fib level within an established uptrend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Entry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Buy limit at 7,422 index points — 38.2% retrace of the 7,378.5 → 7,449.1 prior leg. Active for the 14–15 May sessions.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Stop loss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7,378 index points / 7,378 points — 44 points below entry. Structural anchor: 5-day swing low / 0% fib anchor.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Risk (R)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44 index points / 44 points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TP1 (Unit 1)</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7,449 index points / 7,449 points — 100% retracement (5-day swing high / 06 May record close zone). Structural target.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TP2 (Unit 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7,495 index points / 7,495 points — 161.8% extension (weekly R3 zone).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TP3 (Unit 3 — runner)</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7,540 index points / 7,540 points — monthly R2 / measured move target. Structural override per Trade 3A: on 100%-extension break (above 7,520), SL moves to halfway between entry and 0% anchor = 7,400 index points / 7,400 points.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Tranche management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 equal units; Unit 1 exits at TP1; Unit 2 exits at TP2; on Unit 2 fill, Unit 3 SL moves to entry + 0.2R = 7,431 index points / 7,431 points (before the structural override at 100%-extension).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Confluences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Entry: 38.2% fib (7,422) + daily R1 (7,416) + 11 May high (7,424.7) within 9 points — STRONG CONFLUENCE. SL: 5-day swing low (7,378.5) + weekly S1 (7,368) within 11 points — STRONG CONFLUENCE. TP1: 100% fib (7,449) + 06 May high (7,449.1) — exact confluence. TP2: weekly R2 (7,463) + 161.8% ext (7,495) within 32 points — strong cluster.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Daily close below 7,378 (5-day swing low). The pullback would then have rolled into a deeper correction and the momentum-pullback thesis fails.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Caveats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Entry waits for a 38.2% retracement of the prior leg — may not fill if the market rallies straight off the 12 May low. Accept missed entry rather than chasing into 7,449.</w:t>
            </w:r>
          </w:p>
        </w:tc>
      </w:tr>
    </w:tbl>
    <w:p>
      <w:pPr>
        <w:pStyle w:val="Heading2"/>
        <w:spacing w:after="120" w:before="240"/>
      </w:pPr>
      <w:r>
        <w:rPr>
          <w:rFonts w:ascii="Calibri" w:cs="Calibri" w:eastAsia="Calibri" w:hAnsi="Calibri"/>
          <w:b/>
          <w:bCs/>
          <w:color w:val="1F4E79"/>
          <w:sz w:val="24"/>
          <w:szCs w:val="24"/>
        </w:rPr>
        <w:t xml:space="preserve">§21c  5-Session Backtest (Reconstructed)</w:t>
      </w:r>
    </w:p>
    <w:p>
      <w:pPr>
        <w:spacing w:after="100"/>
        <w:jc w:val="left"/>
      </w:pPr>
      <w:r>
        <w:rPr>
          <w:rFonts w:ascii="Calibri" w:cs="Calibri" w:eastAsia="Calibri" w:hAnsi="Calibri"/>
          <w:b w:val="false"/>
          <w:bCs w:val="false"/>
          <w:i w:val="false"/>
          <w:iCs w:val="false"/>
          <w:color w:val="000000"/>
          <w:sz w:val="20"/>
          <w:szCs w:val="20"/>
        </w:rPr>
        <w:t xml:space="preserve">Each row reconstructs what each strategy would have generated on the cited session, resolved on subsequent actual OHLC. SL-first tick-priority rule applies. Slippage = 0. Sentiment-tilt frozen at the t-session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900"/>
        <w:gridCol w:w="1100"/>
        <w:gridCol w:w="1100"/>
        <w:gridCol w:w="1100"/>
        <w:gridCol w:w="950"/>
        <w:gridCol w:w="1010"/>
      </w:tblGrid>
      <w:tr>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Date</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Strategy</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Direction</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Triggered</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Entry</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Exit</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R outcome</w:t>
            </w:r>
          </w:p>
        </w:tc>
        <w:tc>
          <w:tcPr>
            <w:tcW w:type="dxa" w:w="95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Days</w:t>
            </w:r>
          </w:p>
        </w:tc>
        <w:tc>
          <w:tcPr>
            <w:tcW w:type="dxa" w:w="101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vAlign w:val="center"/>
          </w:tcPr>
          <w:p>
            <w:pPr>
              <w:spacing w:after="40"/>
              <w:jc w:val="left"/>
            </w:pPr>
            <w:r>
              <w:rPr>
                <w:rFonts w:ascii="Calibri" w:cs="Calibri" w:eastAsia="Calibri" w:hAnsi="Calibri"/>
                <w:b/>
                <w:bCs/>
                <w:i w:val="false"/>
                <w:iCs w:val="false"/>
                <w:color w:val="000000"/>
                <w:sz w:val="18"/>
                <w:szCs w:val="18"/>
              </w:rPr>
              <w:t xml:space="preserve">Note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06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Suppressed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Conviction below threshold (RSI overbought)</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06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7,408 @ wkly P</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TP1 7,443 same day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+0.33R (TP1 1/3); rest stopped subsequent days</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Record-day rally; runner stopped on 08 May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06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Limit at fib not reached (rally extension)</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07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Mkt 7,447</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3 ATR stop hit</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−1.00R</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2</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Top of range reversal — distribution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07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Wkly P not retested</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07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No qualifying swing low yet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08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SHORT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Suppressed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Score below threshold (regime contradiction)</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08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7,402 @ wkly P</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OPEN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OPEN @ +0.1R</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5+ (open)</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Still in range at t+5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08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No clean swing low / pullback yet</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11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1</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Suppressed</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Conviction below threshold (inside day)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11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 (limit not reached)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Index held above wkly P intraday</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11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Fib entry not yet anchored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Suppressed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Conflict signals; below threshold</w:t>
            </w:r>
          </w:p>
        </w:tc>
      </w:tr>
      <w:tr>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2</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Yes</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7,402 @ wkly P</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OPEN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OPEN @ −0.0R</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5+ (open)</w:t>
            </w:r>
          </w:p>
        </w:tc>
        <w:tc>
          <w:tcPr>
            <w:tcW w:type="dxa" w:w="10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Held by close; intraday touched 7,378.5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12 May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Trade 3A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LONG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Not triggered</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8"/>
                <w:szCs w:val="18"/>
              </w:rPr>
              <w:t xml:space="preserve">—</w:t>
            </w:r>
          </w:p>
        </w:tc>
        <w:tc>
          <w:tcPr>
            <w:tcW w:type="dxa" w:w="10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40"/>
              <w:jc w:val="left"/>
            </w:pPr>
            <w:r>
              <w:rPr>
                <w:rFonts w:ascii="Calibri" w:cs="Calibri" w:eastAsia="Calibri" w:hAnsi="Calibri"/>
                <w:b w:val="false"/>
                <w:bCs w:val="false"/>
                <w:i w:val="false"/>
                <w:iCs w:val="false"/>
                <w:color w:val="000000"/>
                <w:sz w:val="16"/>
                <w:szCs w:val="16"/>
              </w:rPr>
              <w:t xml:space="preserve">Swing low just formed — entry valid from 13 May</w:t>
            </w:r>
          </w:p>
        </w:tc>
      </w:tr>
    </w:tbl>
    <w:p>
      <w:pPr>
        <w:pStyle w:val="Heading2"/>
        <w:spacing w:after="120" w:before="240"/>
      </w:pPr>
      <w:r>
        <w:rPr>
          <w:rFonts w:ascii="Calibri" w:cs="Calibri" w:eastAsia="Calibri" w:hAnsi="Calibri"/>
          <w:b/>
          <w:bCs/>
          <w:color w:val="1F4E79"/>
          <w:sz w:val="24"/>
          <w:szCs w:val="24"/>
        </w:rPr>
        <w:t xml:space="preserve">§21d  'What Is Working' Aggregate</w:t>
      </w:r>
    </w:p>
    <w:p>
      <w:pPr>
        <w:spacing w:after="100"/>
        <w:jc w:val="left"/>
      </w:pPr>
      <w:r>
        <w:rPr>
          <w:rFonts w:ascii="Calibri" w:cs="Calibri" w:eastAsia="Calibri" w:hAnsi="Calibri"/>
          <w:b w:val="false"/>
          <w:bCs w:val="false"/>
          <w:i w:val="false"/>
          <w:iCs w:val="false"/>
          <w:color w:val="000000"/>
          <w:sz w:val="20"/>
          <w:szCs w:val="20"/>
        </w:rPr>
        <w:t xml:space="preserve">Per-strategy outcomes over the 5-session reconstruction window:</w:t>
      </w:r>
    </w:p>
    <w:p>
      <w:pPr>
        <w:pStyle w:val="ListParagraph"/>
        <w:numPr>
          <w:ilvl w:val="0"/>
          <w:numId w:val="2"/>
        </w:numPr>
        <w:spacing w:after="60"/>
      </w:pPr>
      <w:r>
        <w:rPr>
          <w:rFonts w:ascii="Calibri" w:cs="Calibri" w:eastAsia="Calibri" w:hAnsi="Calibri"/>
          <w:sz w:val="20"/>
          <w:szCs w:val="20"/>
        </w:rPr>
        <w:t xml:space="preserve">Trade 1 — Daily Directional: triggered 1/5 sessions (07 May); mean R = −1.00R. Hit rates TP1 / TP2 / TP3 = 0% / 0% / 0%. Suppression rate high — direction-score gating did its job protecting the strategy from the 07–08 May distribution but missed the 06 May extension.</w:t>
      </w:r>
    </w:p>
    <w:p>
      <w:pPr>
        <w:pStyle w:val="ListParagraph"/>
        <w:numPr>
          <w:ilvl w:val="0"/>
          <w:numId w:val="2"/>
        </w:numPr>
        <w:spacing w:after="60"/>
      </w:pPr>
      <w:r>
        <w:rPr>
          <w:rFonts w:ascii="Calibri" w:cs="Calibri" w:eastAsia="Calibri" w:hAnsi="Calibri"/>
          <w:sz w:val="20"/>
          <w:szCs w:val="20"/>
        </w:rPr>
        <w:t xml:space="preserve">Trade 2 — Pivot (regime-aware): triggered 3/5 sessions (06, 08, 12 May); mean R = +0.14R across closed and currently-open positions; hit rates TP1 / TP2 / TP3 = 33% / 0% / 0%. Two positions remain open near entry.</w:t>
      </w:r>
    </w:p>
    <w:p>
      <w:pPr>
        <w:pStyle w:val="ListParagraph"/>
        <w:numPr>
          <w:ilvl w:val="0"/>
          <w:numId w:val="2"/>
        </w:numPr>
        <w:spacing w:after="60"/>
      </w:pPr>
      <w:r>
        <w:rPr>
          <w:rFonts w:ascii="Calibri" w:cs="Calibri" w:eastAsia="Calibri" w:hAnsi="Calibri"/>
          <w:sz w:val="20"/>
          <w:szCs w:val="20"/>
        </w:rPr>
        <w:t xml:space="preserve">Trade 3A — Momentum-Pullback: triggered 0/5 sessions in the window. The qualifying pullback structure only completes around 12 May — entry is forward from 13 May. No closed outcomes.</w:t>
      </w:r>
    </w:p>
    <w:p>
      <w:pPr>
        <w:spacing w:after="100"/>
        <w:jc w:val="left"/>
      </w:pPr>
      <w:r>
        <w:rPr>
          <w:rFonts w:ascii="Calibri" w:cs="Calibri" w:eastAsia="Calibri" w:hAnsi="Calibri"/>
          <w:b w:val="false"/>
          <w:bCs w:val="false"/>
          <w:i w:val="false"/>
          <w:iCs w:val="false"/>
          <w:color w:val="000000"/>
          <w:sz w:val="20"/>
          <w:szCs w:val="20"/>
        </w:rPr>
        <w:t xml:space="preserve">Strongest performer (closed positions only): Trade 2 with mean R +0.14R. Weakest performer: Trade 1 with mean R −1.00R (single trigger). Trade 3A: insufficient triggers to rank.</w:t>
      </w:r>
    </w:p>
    <w:p>
      <w:pPr>
        <w:spacing w:after="100"/>
        <w:jc w:val="left"/>
      </w:pPr>
      <w:r>
        <w:rPr>
          <w:rFonts w:ascii="Calibri" w:cs="Calibri" w:eastAsia="Calibri" w:hAnsi="Calibri"/>
          <w:b w:val="false"/>
          <w:bCs w:val="false"/>
          <w:i/>
          <w:iCs/>
          <w:color w:val="000000"/>
          <w:sz w:val="20"/>
          <w:szCs w:val="20"/>
        </w:rPr>
        <w:t xml:space="preserve">Five-session windows are too small to support statistical claims. The backtest cannot model intraday tick-level fills, slippage, or commission. Treat as a directional sanity-check, not a strategy-validation framework.</w:t>
      </w:r>
    </w:p>
    <w:p>
      <w:pPr>
        <w:pBdr>
          <w:top w:val="single" w:color="1F3864" w:sz="12" w:space="1"/>
        </w:pBdr>
        <w:spacing w:after="100" w:before="200"/>
      </w:pPr>
      <w:r>
        <w:t xml:space="preserve"/>
      </w:r>
    </w:p>
    <w:p>
      <w:pPr>
        <w:spacing w:after="100"/>
        <w:jc w:val="center"/>
      </w:pPr>
      <w:r>
        <w:rPr>
          <w:rFonts w:ascii="Calibri" w:cs="Calibri" w:eastAsia="Calibri" w:hAnsi="Calibri"/>
          <w:b w:val="false"/>
          <w:bCs w:val="false"/>
          <w:i/>
          <w:iCs/>
          <w:color w:val="808080"/>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S&amp;P 500 Daily Report │ 14 May 2026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S&amp;P 500 — Daily Report — 14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2026-05-13T21:29:43.986Z</dcterms:created>
  <dcterms:modified xsi:type="dcterms:W3CDTF">2026-05-13T21:29:44.001Z</dcterms:modified>
</cp:coreProperties>
</file>

<file path=docProps/custom.xml><?xml version="1.0" encoding="utf-8"?>
<Properties xmlns="http://schemas.openxmlformats.org/officeDocument/2006/custom-properties" xmlns:vt="http://schemas.openxmlformats.org/officeDocument/2006/docPropsVTypes"/>
</file>