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4"/>
          <w:szCs w:val="34"/>
        </w:rPr>
        <w:t xml:space="preserve">S&amp;P 500 Report — Daily: 15 June 2026</w:t>
      </w:r>
    </w:p>
    <w:p>
      <w:pPr>
        <w:spacing w:after="40" w:before="0"/>
      </w:pPr>
      <w:r>
        <w:rPr>
          <w:rFonts w:ascii="Arial" w:cs="Arial" w:eastAsia="Arial" w:hAnsi="Arial"/>
          <w:i/>
          <w:iCs/>
          <w:color w:val="555555"/>
          <w:sz w:val="20"/>
          <w:szCs w:val="20"/>
        </w:rPr>
        <w:t xml:space="preserve">With reference to: USDX · VIX · DAX 40</w:t>
      </w:r>
    </w:p>
    <w:p>
      <w:pPr>
        <w:spacing w:after="160" w:before="0"/>
      </w:pPr>
      <w:r>
        <w:rPr>
          <w:rFonts w:ascii="Arial" w:cs="Arial" w:eastAsia="Arial" w:hAnsi="Arial"/>
          <w:color w:val="555555"/>
          <w:sz w:val="18"/>
          <w:szCs w:val="18"/>
        </w:rPr>
        <w:t xml:space="preserve">Senior US Equity Strategist  ·  As-of session close: Friday 12 June 2026 (America/New_York)  ·  Forward session: Monday 15 June 2026</w:t>
      </w:r>
    </w:p>
    <w:p>
      <w:pPr>
        <w:pBdr>
          <w:bottom w:val="single" w:color="2E75B6" w:sz="8" w:space="1"/>
        </w:pBdr>
        <w:spacing w:after="160"/>
      </w:pPr>
    </w:p>
    <w:p>
      <w:pPr>
        <w:pStyle w:val="Heading1"/>
        <w:spacing w:after="120" w:before="240"/>
      </w:pPr>
      <w:r>
        <w:rPr>
          <w:rFonts w:ascii="Arial" w:cs="Arial" w:eastAsia="Arial" w:hAnsi="Arial"/>
          <w:b/>
          <w:bCs/>
          <w:color w:val="1F3864"/>
          <w:sz w:val="26"/>
          <w:szCs w:val="26"/>
        </w:rPr>
        <w:t xml:space="preserve">1 · Executive Snapshot</w:t>
      </w:r>
    </w:p>
    <w:p>
      <w:pPr>
        <w:spacing w:after="120" w:before="0"/>
      </w:pPr>
      <w:r>
        <w:rPr>
          <w:rFonts w:ascii="Arial" w:cs="Arial" w:eastAsia="Arial" w:hAnsi="Arial"/>
          <w:sz w:val="22"/>
          <w:szCs w:val="22"/>
        </w:rPr>
        <w:t xml:space="preserve">The S&amp;P 500 cash index closed Friday 12 June 2026 at 7,431.46, recovering the prior week's mid-week air-pocket and finishing the week net higher. The most defensible consensus level for the last completed session is 7,431.46 (range 7,425–7,435), confidence High, with a constructive-but-cautious tone. Three drivers dominate the current level: (i) a sharp risk-on reversal on signs of US–Iran de-escalation and a two-month low in oil; (ii) a chip/AI-led rebound after a mid-week semiconductor-software wobble; and (iii) the May CPI print at a three-year-high 4.2% which caps upside by keeping the Federal Reserve on hold into Wednesday's decision. Short-term technical state is Transitional–Bullish (two consecutive higher closes off the 10 June low at 7,266.99, RSI2 pinned near 100). Medium-term state is Transitional: the 25-session block shows borderline overlap (0.49) and mid-range positioning (~51st percentile), with the index neither trending cleanly nor range-bound. The Kaufman efficiency read classifies the medium move as Ranging — Downward Bias (smoothed KER −0.13), reflecting the choppy give-back from the early-June record near 7,620.90. The single most important watch item is the FOMC rate decision on Wednesday 17 June — the first under incoming Chair Kevin Warsh — where the statement language on inflation persistence, not the (priced) hold, is the swing factor.</w:t>
      </w:r>
    </w:p>
    <w:p>
      <w:pPr>
        <w:spacing w:after="120" w:before="0"/>
      </w:pPr>
      <w:r>
        <w:rPr>
          <w:rFonts w:ascii="Arial" w:cs="Arial" w:eastAsia="Arial" w:hAnsi="Arial"/>
          <w:b/>
          <w:bCs/>
          <w:sz w:val="22"/>
          <w:szCs w:val="22"/>
        </w:rPr>
        <w:t xml:space="preserve">Strategy note (when enabled): </w:t>
      </w:r>
      <w:r>
        <w:rPr>
          <w:rFonts w:ascii="Arial" w:cs="Arial" w:eastAsia="Arial" w:hAnsi="Arial"/>
          <w:sz w:val="22"/>
          <w:szCs w:val="22"/>
        </w:rPr>
        <w:t xml:space="preserve">directional conviction is LONG (score +0.56, above the 0.25 threshold), led by short-term technical bias, cross-asset confirmation, and positive sentiment tilt (+0.55).</w:t>
      </w:r>
    </w:p>
    <w:p>
      <w:pPr>
        <w:pStyle w:val="Heading1"/>
        <w:spacing w:after="120" w:before="240"/>
      </w:pPr>
      <w:r>
        <w:rPr>
          <w:rFonts w:ascii="Arial" w:cs="Arial" w:eastAsia="Arial" w:hAnsi="Arial"/>
          <w:b/>
          <w:bCs/>
          <w:color w:val="1F3864"/>
          <w:sz w:val="26"/>
          <w:szCs w:val="26"/>
        </w:rPr>
        <w:t xml:space="preserve">2 ·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Attribute</w:t>
            </w:r>
          </w:p>
        </w:tc>
        <w:tc>
          <w:tcPr>
            <w:tcW w:type="dxa" w:w="67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Definition</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Asset</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S&amp;P 500 cash index (large-cap US equity benchmark, 503 constituents)</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Price basis</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Cash index level (continuous), calculated by S&amp;P Dow Jones during NYSE/NASDAQ hours</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Delivery / session</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Regular cash session 09:30–16:00 ET; pre/after-market excluded from OHLC</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Unit / currency</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Index points · USD · tick 0.01</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Scope / region</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Global investor base; US primary listings (New York), Chicago futures basis</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As-of date</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12 June 2026 close (America/New_York) — report generated for forward session 15 June 2026</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Lookback window</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5 sessions (execution block); 25 sessions (regime block)</w:t>
            </w:r>
          </w:p>
        </w:tc>
      </w:tr>
    </w:tbl>
    <w:p>
      <w:pPr>
        <w:pStyle w:val="Heading1"/>
        <w:spacing w:after="120" w:before="240"/>
      </w:pPr>
      <w:r>
        <w:rPr>
          <w:rFonts w:ascii="Arial" w:cs="Arial" w:eastAsia="Arial" w:hAnsi="Arial"/>
          <w:b/>
          <w:bCs/>
          <w:color w:val="1F3864"/>
          <w:sz w:val="26"/>
          <w:szCs w:val="26"/>
        </w:rPr>
        <w:t xml:space="preserve">3 ·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c>
          <w:tcPr>
            <w:tcW w:type="dxa" w:w="23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Consensus level</w:t>
            </w:r>
          </w:p>
        </w:tc>
        <w:tc>
          <w:tcPr>
            <w:tcW w:type="dxa" w:w="23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Consensus range</w:t>
            </w:r>
          </w:p>
        </w:tc>
        <w:tc>
          <w:tcPr>
            <w:tcW w:type="dxa" w:w="23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Confidence</w:t>
            </w:r>
          </w:p>
        </w:tc>
        <w:tc>
          <w:tcPr>
            <w:tcW w:type="dxa" w:w="24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Market tone</w:t>
            </w:r>
          </w:p>
        </w:tc>
      </w:tr>
      <w:tr>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7,431.46</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7,425 – 7,435</w:t>
            </w:r>
          </w:p>
        </w:tc>
        <w:tc>
          <w:tcPr>
            <w:tcW w:type="dxa" w:w="2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High</w:t>
            </w:r>
          </w:p>
        </w:tc>
        <w:tc>
          <w:tcPr>
            <w:tcW w:type="dxa" w:w="24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Constructive / cautious</w:t>
            </w:r>
          </w:p>
        </w:tc>
      </w:tr>
    </w:tbl>
    <w:p>
      <w:pPr>
        <w:spacing w:after="120" w:before="0"/>
      </w:pPr>
      <w:r>
        <w:rPr>
          <w:rFonts w:ascii="Arial" w:cs="Arial" w:eastAsia="Arial" w:hAnsi="Arial"/>
          <w:i/>
          <w:iCs/>
          <w:sz w:val="20"/>
          <w:szCs w:val="20"/>
        </w:rPr>
        <w:t xml:space="preserve">Rationale: the official S&amp;P Dow Jones close is independently confirmed by multiple aggregators within tolerance; the narrow range reflects a clean, undisputed regular-session settle. Tone is constructive on the Friday risk-on reversal but cautious into the FOMC.</w:t>
      </w:r>
    </w:p>
    <w:p>
      <w:pPr>
        <w:pStyle w:val="Heading1"/>
        <w:spacing w:after="120" w:before="240"/>
      </w:pPr>
      <w:r>
        <w:rPr>
          <w:rFonts w:ascii="Arial" w:cs="Arial" w:eastAsia="Arial" w:hAnsi="Arial"/>
          <w:b/>
          <w:bCs/>
          <w:color w:val="1F3864"/>
          <w:sz w:val="26"/>
          <w:szCs w:val="26"/>
        </w:rPr>
        <w:t xml:space="preserve">4 ·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50"/>
        <w:gridCol w:w="1450"/>
        <w:gridCol w:w="1500"/>
        <w:gridCol w:w="1860"/>
      </w:tblGrid>
      <w:tr>
        <w:tc>
          <w:tcPr>
            <w:tcW w:type="dxa" w:w="17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Source</w:t>
            </w:r>
          </w:p>
        </w:tc>
        <w:tc>
          <w:tcPr>
            <w:tcW w:type="dxa" w:w="14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Date/Time</w:t>
            </w:r>
          </w:p>
        </w:tc>
        <w:tc>
          <w:tcPr>
            <w:tcW w:type="dxa" w:w="145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Raw quote</w:t>
            </w:r>
          </w:p>
        </w:tc>
        <w:tc>
          <w:tcPr>
            <w:tcW w:type="dxa" w:w="145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Normalized</w:t>
            </w:r>
          </w:p>
        </w:tc>
        <w:tc>
          <w:tcPr>
            <w:tcW w:type="dxa" w:w="15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Basis</w:t>
            </w:r>
          </w:p>
        </w:tc>
        <w:tc>
          <w:tcPr>
            <w:tcW w:type="dxa" w:w="18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Relevance</w:t>
            </w:r>
          </w:p>
        </w:tc>
      </w:tr>
      <w:t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S&amp;P DJI / Yahoo Finance</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12 Jun close</w:t>
            </w:r>
          </w:p>
        </w:tc>
        <w:tc>
          <w:tcPr>
            <w:tcW w:type="dxa" w:w="145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7,431.46</w:t>
            </w:r>
          </w:p>
        </w:tc>
        <w:tc>
          <w:tcPr>
            <w:tcW w:type="dxa" w:w="145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7,431.46</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Cash close USD</w:t>
            </w:r>
          </w:p>
        </w:tc>
        <w:tc>
          <w:tcPr>
            <w:tcW w:type="dxa" w:w="1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Core</w:t>
            </w:r>
          </w:p>
        </w:tc>
      </w:tr>
      <w:tr>
        <w:tc>
          <w:tcPr>
            <w:tcW w:type="dxa" w:w="17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Trading Economics</w:t>
            </w:r>
          </w:p>
        </w:tc>
        <w:tc>
          <w:tcPr>
            <w:tcW w:type="dxa" w:w="1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12 Jun close</w:t>
            </w:r>
          </w:p>
        </w:tc>
        <w:tc>
          <w:tcPr>
            <w:tcW w:type="dxa" w:w="145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7,431 (+0.50%)</w:t>
            </w:r>
          </w:p>
        </w:tc>
        <w:tc>
          <w:tcPr>
            <w:tcW w:type="dxa" w:w="145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7,431.0</w:t>
            </w:r>
          </w:p>
        </w:tc>
        <w:tc>
          <w:tcPr>
            <w:tcW w:type="dxa" w:w="15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Cash/CFD ref</w:t>
            </w:r>
          </w:p>
        </w:tc>
        <w:tc>
          <w:tcPr>
            <w:tcW w:type="dxa" w:w="18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Core</w:t>
            </w:r>
          </w:p>
        </w:tc>
      </w:tr>
      <w:t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StreetStats (EOD)</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12 Jun 16:57 ET</w:t>
            </w:r>
          </w:p>
        </w:tc>
        <w:tc>
          <w:tcPr>
            <w:tcW w:type="dxa" w:w="145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7,431.46</w:t>
            </w:r>
          </w:p>
        </w:tc>
        <w:tc>
          <w:tcPr>
            <w:tcW w:type="dxa" w:w="145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7,431.46</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Cash close USD</w:t>
            </w:r>
          </w:p>
        </w:tc>
        <w:tc>
          <w:tcPr>
            <w:tcW w:type="dxa" w:w="1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Core</w:t>
            </w:r>
          </w:p>
        </w:tc>
      </w:tr>
      <w:tr>
        <w:tc>
          <w:tcPr>
            <w:tcW w:type="dxa" w:w="17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Investing.com (rows)</w:t>
            </w:r>
          </w:p>
        </w:tc>
        <w:tc>
          <w:tcPr>
            <w:tcW w:type="dxa" w:w="1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8–11 Jun</w:t>
            </w:r>
          </w:p>
        </w:tc>
        <w:tc>
          <w:tcPr>
            <w:tcW w:type="dxa" w:w="145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see §6</w:t>
            </w:r>
          </w:p>
        </w:tc>
        <w:tc>
          <w:tcPr>
            <w:tcW w:type="dxa" w:w="145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see §6</w:t>
            </w:r>
          </w:p>
        </w:tc>
        <w:tc>
          <w:tcPr>
            <w:tcW w:type="dxa" w:w="15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Cash OHLC</w:t>
            </w:r>
          </w:p>
        </w:tc>
        <w:tc>
          <w:tcPr>
            <w:tcW w:type="dxa" w:w="18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Core (OHLC)</w:t>
            </w:r>
          </w:p>
        </w:tc>
      </w:tr>
      <w:t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StockAnalysis / Tiingo (SPY)</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12 Jun close</w:t>
            </w:r>
          </w:p>
        </w:tc>
        <w:tc>
          <w:tcPr>
            <w:tcW w:type="dxa" w:w="145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741.75</w:t>
            </w:r>
          </w:p>
        </w:tc>
        <w:tc>
          <w:tcPr>
            <w:tcW w:type="dxa" w:w="145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≈7,417 (×10)</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ETF proxy</w:t>
            </w:r>
          </w:p>
        </w:tc>
        <w:tc>
          <w:tcPr>
            <w:tcW w:type="dxa" w:w="1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Directional</w:t>
            </w:r>
          </w:p>
        </w:tc>
      </w:tr>
      <w:tr>
        <w:tc>
          <w:tcPr>
            <w:tcW w:type="dxa" w:w="17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CNBC / ts2.tech wrap</w:t>
            </w:r>
          </w:p>
        </w:tc>
        <w:tc>
          <w:tcPr>
            <w:tcW w:type="dxa" w:w="1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12 Jun</w:t>
            </w:r>
          </w:p>
        </w:tc>
        <w:tc>
          <w:tcPr>
            <w:tcW w:type="dxa" w:w="145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7,431.46</w:t>
            </w:r>
          </w:p>
        </w:tc>
        <w:tc>
          <w:tcPr>
            <w:tcW w:type="dxa" w:w="145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7,431.46</w:t>
            </w:r>
          </w:p>
        </w:tc>
        <w:tc>
          <w:tcPr>
            <w:tcW w:type="dxa" w:w="15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Cash close USD</w:t>
            </w:r>
          </w:p>
        </w:tc>
        <w:tc>
          <w:tcPr>
            <w:tcW w:type="dxa" w:w="18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Core</w:t>
            </w:r>
          </w:p>
        </w:tc>
      </w:tr>
    </w:tbl>
    <w:p>
      <w:pPr>
        <w:pStyle w:val="Heading1"/>
        <w:spacing w:after="120" w:before="240"/>
      </w:pPr>
      <w:r>
        <w:rPr>
          <w:rFonts w:ascii="Arial" w:cs="Arial" w:eastAsia="Arial" w:hAnsi="Arial"/>
          <w:b/>
          <w:bCs/>
          <w:color w:val="1F3864"/>
          <w:sz w:val="26"/>
          <w:szCs w:val="26"/>
        </w:rPr>
        <w:t xml:space="preserve">5 · Consensus Build Explanation</w:t>
      </w:r>
    </w:p>
    <w:p>
      <w:pPr>
        <w:spacing w:after="120" w:before="0"/>
      </w:pPr>
      <w:r>
        <w:rPr>
          <w:rFonts w:ascii="Arial" w:cs="Arial" w:eastAsia="Arial" w:hAnsi="Arial"/>
          <w:sz w:val="22"/>
          <w:szCs w:val="22"/>
        </w:rPr>
        <w:t xml:space="preserve">All observations are normalized to the regular-session cash close in index points (USD). The weighted-median method down-weights stale aggregator feeds and the CFD-derived Investing.com live header (which displayed an off-session value). Two independent close sources (S&amp;P DJI/Yahoo and Trading Economics/StreetStats) agree to within the ±0.10-pt equity-index tolerance, so the close is treated as CORROBORATED. The SPY ETF series (Tiingo) is used only for directional corroboration of the 5-day path — it is a different instrument and is excluded from the definitive level. Intraday High/Low for the cash index rest principally on the Investing.com OHLC rows; where a second independent intraday source could not be obtained these fields are flagged indicative in §6 and §19. The final number, 7,431.46, is the most defensible because it is the published index settle confirmed across the index provider and two aggregators.</w:t>
      </w:r>
    </w:p>
    <w:p>
      <w:pPr>
        <w:pStyle w:val="Heading1"/>
        <w:spacing w:after="120" w:before="240"/>
      </w:pPr>
      <w:r>
        <w:rPr>
          <w:rFonts w:ascii="Arial" w:cs="Arial" w:eastAsia="Arial" w:hAnsi="Arial"/>
          <w:b/>
          <w:bCs/>
          <w:color w:val="1F3864"/>
          <w:sz w:val="26"/>
          <w:szCs w:val="26"/>
        </w:rPr>
        <w:t xml:space="preserve">6 · Validated OHLC + RSI2 Table (5-Day)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180"/>
        <w:gridCol w:w="1180"/>
        <w:gridCol w:w="1180"/>
        <w:gridCol w:w="1180"/>
        <w:gridCol w:w="820"/>
        <w:gridCol w:w="1100"/>
        <w:gridCol w:w="1640"/>
      </w:tblGrid>
      <w:tr>
        <w:tc>
          <w:tcPr>
            <w:tcW w:type="dxa" w:w="10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Date</w:t>
            </w:r>
          </w:p>
        </w:tc>
        <w:tc>
          <w:tcPr>
            <w:tcW w:type="dxa" w:w="11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Open</w:t>
            </w:r>
          </w:p>
        </w:tc>
        <w:tc>
          <w:tcPr>
            <w:tcW w:type="dxa" w:w="11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High</w:t>
            </w:r>
          </w:p>
        </w:tc>
        <w:tc>
          <w:tcPr>
            <w:tcW w:type="dxa" w:w="11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Low</w:t>
            </w:r>
          </w:p>
        </w:tc>
        <w:tc>
          <w:tcPr>
            <w:tcW w:type="dxa" w:w="11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Close</w:t>
            </w:r>
          </w:p>
        </w:tc>
        <w:tc>
          <w:tcPr>
            <w:tcW w:type="dxa" w:w="82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RSI2</w:t>
            </w:r>
          </w:p>
        </w:tc>
        <w:tc>
          <w:tcPr>
            <w:tcW w:type="dxa" w:w="11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Trend</w:t>
            </w:r>
          </w:p>
        </w:tc>
        <w:tc>
          <w:tcPr>
            <w:tcW w:type="dxa" w:w="164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Validation</w:t>
            </w:r>
          </w:p>
        </w:tc>
      </w:tr>
      <w:tr>
        <w:tc>
          <w:tcPr>
            <w:tcW w:type="dxa" w:w="10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Mon 8 Jun</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7,440.57</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7,466.81</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7,395.13</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7,405.73</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9.9</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Bearish</w:t>
            </w:r>
          </w:p>
        </w:tc>
        <w:tc>
          <w:tcPr>
            <w:tcW w:type="dxa" w:w="16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Corrob. (close)</w:t>
            </w:r>
          </w:p>
        </w:tc>
      </w:tr>
      <w:tr>
        <w:tc>
          <w:tcPr>
            <w:tcW w:type="dxa" w:w="108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Tue 9 Jun</w:t>
            </w:r>
          </w:p>
        </w:tc>
        <w:tc>
          <w:tcPr>
            <w:tcW w:type="dxa" w:w="118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7,438.66</w:t>
            </w:r>
          </w:p>
        </w:tc>
        <w:tc>
          <w:tcPr>
            <w:tcW w:type="dxa" w:w="118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7,483.15</w:t>
            </w:r>
          </w:p>
        </w:tc>
        <w:tc>
          <w:tcPr>
            <w:tcW w:type="dxa" w:w="118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7,237.85</w:t>
            </w:r>
          </w:p>
        </w:tc>
        <w:tc>
          <w:tcPr>
            <w:tcW w:type="dxa" w:w="118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7,386.65</w:t>
            </w:r>
          </w:p>
        </w:tc>
        <w:tc>
          <w:tcPr>
            <w:tcW w:type="dxa" w:w="82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53.5</w:t>
            </w:r>
          </w:p>
        </w:tc>
        <w:tc>
          <w:tcPr>
            <w:tcW w:type="dxa" w:w="11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Neutral</w:t>
            </w:r>
          </w:p>
        </w:tc>
        <w:tc>
          <w:tcPr>
            <w:tcW w:type="dxa" w:w="164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Corrob. (close)</w:t>
            </w:r>
          </w:p>
        </w:tc>
      </w:tr>
      <w:tr>
        <w:tc>
          <w:tcPr>
            <w:tcW w:type="dxa" w:w="10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Wed 10 Jun</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7,350.54</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7,396.56</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7,265.93</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7,266.99</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0.0</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Bearish</w:t>
            </w:r>
          </w:p>
        </w:tc>
        <w:tc>
          <w:tcPr>
            <w:tcW w:type="dxa" w:w="16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Corrob. (close)</w:t>
            </w:r>
          </w:p>
        </w:tc>
      </w:tr>
      <w:tr>
        <w:tc>
          <w:tcPr>
            <w:tcW w:type="dxa" w:w="108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Thu 11 Jun</w:t>
            </w:r>
          </w:p>
        </w:tc>
        <w:tc>
          <w:tcPr>
            <w:tcW w:type="dxa" w:w="118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7,287.67</w:t>
            </w:r>
          </w:p>
        </w:tc>
        <w:tc>
          <w:tcPr>
            <w:tcW w:type="dxa" w:w="118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7,412.68</w:t>
            </w:r>
          </w:p>
        </w:tc>
        <w:tc>
          <w:tcPr>
            <w:tcW w:type="dxa" w:w="118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7,257.33</w:t>
            </w:r>
          </w:p>
        </w:tc>
        <w:tc>
          <w:tcPr>
            <w:tcW w:type="dxa" w:w="118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7,394.30</w:t>
            </w:r>
          </w:p>
        </w:tc>
        <w:tc>
          <w:tcPr>
            <w:tcW w:type="dxa" w:w="82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51.5</w:t>
            </w:r>
          </w:p>
        </w:tc>
        <w:tc>
          <w:tcPr>
            <w:tcW w:type="dxa" w:w="11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Bullish</w:t>
            </w:r>
          </w:p>
        </w:tc>
        <w:tc>
          <w:tcPr>
            <w:tcW w:type="dxa" w:w="164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Corrob. (close)</w:t>
            </w:r>
          </w:p>
        </w:tc>
      </w:tr>
      <w:tr>
        <w:tc>
          <w:tcPr>
            <w:tcW w:type="dxa" w:w="10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Fri 12 Jun</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7,410.85</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7,456.40</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7,363.01</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7,431.46</w:t>
            </w:r>
          </w:p>
        </w:tc>
        <w:tc>
          <w:tcPr>
            <w:tcW w:type="dxa" w:w="8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100.0</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Bullish</w:t>
            </w:r>
          </w:p>
        </w:tc>
        <w:tc>
          <w:tcPr>
            <w:tcW w:type="dxa" w:w="16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Corrob. (close)</w:t>
            </w:r>
          </w:p>
        </w:tc>
      </w:tr>
    </w:tbl>
    <w:p>
      <w:pPr>
        <w:spacing w:after="120" w:before="0"/>
      </w:pPr>
      <w:r>
        <w:rPr>
          <w:rFonts w:ascii="Arial" w:cs="Arial" w:eastAsia="Arial" w:hAnsi="Arial"/>
          <w:i/>
          <w:iCs/>
          <w:sz w:val="19"/>
          <w:szCs w:val="19"/>
        </w:rPr>
        <w:t xml:space="preserve">Close prices corroborated by ≥2 independent sources within ±0.10-pt tolerance. Intraday High/Low are single-source-indicative (Investing.com), directionally corroborated by the SPY ETF path; they are used for chart and context but flagged for pivot purposes in §19. RSI2 is computed from the validated close sequence (period fixed at 2).</w:t>
      </w:r>
    </w:p>
    <w:p>
      <w:pPr>
        <w:pStyle w:val="Heading1"/>
        <w:spacing w:after="120" w:before="240"/>
      </w:pPr>
      <w:r>
        <w:rPr>
          <w:rFonts w:ascii="Arial" w:cs="Arial" w:eastAsia="Arial" w:hAnsi="Arial"/>
          <w:b/>
          <w:bCs/>
          <w:color w:val="1F3864"/>
          <w:sz w:val="26"/>
          <w:szCs w:val="26"/>
        </w:rPr>
        <w:t xml:space="preserve">7 · Charts</w:t>
      </w:r>
    </w:p>
    <w:p>
      <w:pPr>
        <w:spacing w:after="80" w:before="80"/>
        <w:jc w:val="center"/>
      </w:pPr>
      <w:r>
        <w:drawing>
          <wp:inline distT="0" distB="0" distL="0" distR="0">
            <wp:extent cx="566737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067050"/>
                    </a:xfrm>
                    <a:prstGeom prst="rect">
                      <a:avLst/>
                    </a:prstGeom>
                  </pic:spPr>
                </pic:pic>
              </a:graphicData>
            </a:graphic>
          </wp:inline>
        </w:drawing>
      </w:r>
    </w:p>
    <w:p>
      <w:pPr>
        <w:spacing w:after="80" w:before="80"/>
        <w:jc w:val="center"/>
      </w:pPr>
      <w:r>
        <w:drawing>
          <wp:inline distT="0" distB="0" distL="0" distR="0">
            <wp:extent cx="56673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876550"/>
                    </a:xfrm>
                    <a:prstGeom prst="rect">
                      <a:avLst/>
                    </a:prstGeom>
                  </pic:spPr>
                </pic:pic>
              </a:graphicData>
            </a:graphic>
          </wp:inline>
        </w:drawing>
      </w:r>
    </w:p>
    <w:p>
      <w:pPr>
        <w:spacing w:after="80" w:before="80"/>
        <w:jc w:val="center"/>
      </w:pPr>
      <w:r>
        <w:drawing>
          <wp:inline distT="0" distB="0" distL="0" distR="0">
            <wp:extent cx="56673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876550"/>
                    </a:xfrm>
                    <a:prstGeom prst="rect">
                      <a:avLst/>
                    </a:prstGeom>
                  </pic:spPr>
                </pic:pic>
              </a:graphicData>
            </a:graphic>
          </wp:inline>
        </w:drawing>
      </w:r>
    </w:p>
    <w:p>
      <w:pPr>
        <w:spacing w:after="80" w:before="80"/>
        <w:jc w:val="center"/>
      </w:pPr>
      <w:r>
        <w:drawing>
          <wp:inline distT="0" distB="0" distL="0" distR="0">
            <wp:extent cx="566737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876550"/>
                    </a:xfrm>
                    <a:prstGeom prst="rect">
                      <a:avLst/>
                    </a:prstGeom>
                  </pic:spPr>
                </pic:pic>
              </a:graphicData>
            </a:graphic>
          </wp:inline>
        </w:drawing>
      </w:r>
    </w:p>
    <w:p>
      <w:pPr>
        <w:spacing w:after="80" w:before="0"/>
      </w:pPr>
      <w:r>
        <w:rPr>
          <w:rFonts w:ascii="Arial" w:cs="Arial" w:eastAsia="Arial" w:hAnsi="Arial"/>
          <w:i/>
          <w:iCs/>
          <w:sz w:val="19"/>
          <w:szCs w:val="19"/>
        </w:rPr>
        <w:t xml:space="preserve">Volatility series scaled by ATR / historical z-score; the S&amp;P 500 line shows expansion into the 10 June low followed by contraction as the index recovered — a transitional signature rather than a clean trend.</w:t>
      </w:r>
    </w:p>
    <w:p>
      <w:pPr>
        <w:spacing w:after="80" w:before="80"/>
        <w:jc w:val="center"/>
      </w:pPr>
      <w:r>
        <w:drawing>
          <wp:inline distT="0" distB="0" distL="0" distR="0">
            <wp:extent cx="566737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429000"/>
                    </a:xfrm>
                    <a:prstGeom prst="rect">
                      <a:avLst/>
                    </a:prstGeom>
                  </pic:spPr>
                </pic:pic>
              </a:graphicData>
            </a:graphic>
          </wp:inline>
        </w:drawing>
      </w:r>
    </w:p>
    <w:p>
      <w:pPr>
        <w:pStyle w:val="Heading1"/>
        <w:spacing w:after="120" w:before="240"/>
      </w:pPr>
      <w:r>
        <w:rPr>
          <w:rFonts w:ascii="Arial" w:cs="Arial" w:eastAsia="Arial" w:hAnsi="Arial"/>
          <w:b/>
          <w:bCs/>
          <w:color w:val="1F3864"/>
          <w:sz w:val="26"/>
          <w:szCs w:val="26"/>
        </w:rPr>
        <w:t xml:space="preserve">8 · Short-Term Technical Analysis</w:t>
      </w:r>
    </w:p>
    <w:p>
      <w:pPr>
        <w:spacing w:after="120" w:before="0"/>
      </w:pPr>
      <w:r>
        <w:rPr>
          <w:rFonts w:ascii="Arial" w:cs="Arial" w:eastAsia="Arial" w:hAnsi="Arial"/>
          <w:sz w:val="22"/>
          <w:szCs w:val="22"/>
        </w:rPr>
        <w:t xml:space="preserve">Candle-by-candle (see §6): Monday 8 Jun printed a bearish close in the lower 15% of its range (RSI2 9.9) — early supply. Tuesday 9 Jun was a wide-range indecision bar with a deep 7,237.85 low rejected to a 61%-range close (long lower wick, demand response). Wednesday 10 Jun was the capitulation session — a bearish close at 7,266.99, 1% off the low, RSI2 pinned at 0. Thursday 11 Jun reversed hard: an 88%-range bullish close (RSI2 51.5) reclaiming most of the prior day's loss. Friday 12 Jun confirmed the turn with a bullish 73%-range close at 7,431.46 and RSI2 at the 100 ceiling.</w:t>
      </w:r>
    </w:p>
    <w:p>
      <w:pPr>
        <w:spacing w:after="120" w:before="0"/>
      </w:pPr>
      <w:r>
        <w:rPr>
          <w:rFonts w:ascii="Arial" w:cs="Arial" w:eastAsia="Arial" w:hAnsi="Arial"/>
          <w:sz w:val="22"/>
          <w:szCs w:val="22"/>
        </w:rPr>
        <w:t xml:space="preserve">Sequence assessment: the five-day shape is exhaustion-into-reversal — a flush to 7,237.85 followed by two-day recovery with rising close locations. This is a transitional-bullish signature: momentum has flipped up at the short horizon, but the V-shape (rather than a stair-step advance) argues against treating it as an established uptrend. Nearest support is the 12 Jun low at 7,363.01; nearest resistance is the 9 Jun high / 5-day swing high at 7,483.15 (see §6).</w:t>
      </w:r>
    </w:p>
    <w:p>
      <w:pPr>
        <w:pStyle w:val="Heading1"/>
        <w:spacing w:after="120" w:before="240"/>
      </w:pPr>
      <w:r>
        <w:rPr>
          <w:rFonts w:ascii="Arial" w:cs="Arial" w:eastAsia="Arial" w:hAnsi="Arial"/>
          <w:b/>
          <w:bCs/>
          <w:color w:val="1F3864"/>
          <w:sz w:val="26"/>
          <w:szCs w:val="26"/>
        </w:rPr>
        <w:t xml:space="preserve">9 · Medium-Term Regime &amp; Volatility</w:t>
      </w:r>
    </w:p>
    <w:p>
      <w:pPr>
        <w:spacing w:after="120" w:before="0"/>
      </w:pPr>
      <w:r>
        <w:rPr>
          <w:rFonts w:ascii="Arial" w:cs="Arial" w:eastAsia="Arial" w:hAnsi="Arial"/>
          <w:sz w:val="22"/>
          <w:szCs w:val="22"/>
        </w:rPr>
        <w:t xml:space="preserve">Across the 25-session block (12 May–12 Jun) the structure is Transitional. Overlap ratio averages 0.49 (borderline — neither the &gt;0.55 ranging nor the &lt;0.45 trending threshold), directional persistence is 0.62, and the latest close sits at roughly the 51st percentile of the 7,237.85–7,620.90 range (Mid-Range). Absolute directional mean is small (0.02%), consistent with a market that advanced to an early-June record then gave it back. Volatility (ATR-based) expanded into the 10 June low and is now contracting — a negative VOLator slope at the margin, which supports the transitional (not trending) read. The Kaufman efficiency ratio (13-session, 3-EMA smoothed) reads −0.13, classifying the medium move as Ranging — Downward Bias: the path from the record high has been inefficient/choppy with a mild downward tilt, even though the last two sessions turned up.</w:t>
      </w:r>
    </w:p>
    <w:p>
      <w:pPr>
        <w:pStyle w:val="Heading1"/>
        <w:spacing w:after="120" w:before="240"/>
      </w:pPr>
      <w:r>
        <w:rPr>
          <w:rFonts w:ascii="Arial" w:cs="Arial" w:eastAsia="Arial" w:hAnsi="Arial"/>
          <w:b/>
          <w:bCs/>
          <w:color w:val="1F3864"/>
          <w:sz w:val="26"/>
          <w:szCs w:val="26"/>
        </w:rPr>
        <w:t xml:space="preserve">10 ·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4060"/>
        <w:gridCol w:w="2400"/>
      </w:tblGrid>
      <w:tr>
        <w:tc>
          <w:tcPr>
            <w:tcW w:type="dxa" w:w="15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Counter</w:t>
            </w:r>
          </w:p>
        </w:tc>
        <w:tc>
          <w:tcPr>
            <w:tcW w:type="dxa" w:w="14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5-day move</w:t>
            </w:r>
          </w:p>
        </w:tc>
        <w:tc>
          <w:tcPr>
            <w:tcW w:type="dxa" w:w="40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Mechanism to S&amp;P 500</w:t>
            </w:r>
          </w:p>
        </w:tc>
        <w:tc>
          <w:tcPr>
            <w:tcW w:type="dxa" w:w="24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Confirmation</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USDX</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 Flat / slightly lower (≈99.8)</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Spiked &gt;100 mid-week on Iran/inflation, then reversed with oil; a softer dollar eases the multinational-earnings headwind</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Neutral / mild confirm</w:t>
            </w:r>
          </w:p>
        </w:tc>
      </w:tr>
      <w:tr>
        <w:tc>
          <w:tcPr>
            <w:tcW w:type="dxa" w:w="15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VIX</w:t>
            </w:r>
          </w:p>
        </w:tc>
        <w:tc>
          <w:tcPr>
            <w:tcW w:type="dxa" w:w="1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Falling (≈19.4 → ~17.7)</w:t>
            </w:r>
          </w:p>
        </w:tc>
        <w:tc>
          <w:tcPr>
            <w:tcW w:type="dxa" w:w="40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Implied-vol collapse as Iran fears subsided signals risk-on; supportive of equity upside</w:t>
            </w:r>
          </w:p>
        </w:tc>
        <w:tc>
          <w:tcPr>
            <w:tcW w:type="dxa" w:w="2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Confirms (bullish)</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DAX 40</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Rising (≈24,210 → 24,635)</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European risk appetite recovering on the same peace-hope / lower-oil impulse; common global-risk factor</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Confirms (bullish)</w:t>
            </w:r>
          </w:p>
        </w:tc>
      </w:tr>
    </w:tbl>
    <w:p>
      <w:pPr>
        <w:spacing w:after="120" w:before="0"/>
      </w:pPr>
      <w:r>
        <w:rPr>
          <w:rFonts w:ascii="Arial" w:cs="Arial" w:eastAsia="Arial" w:hAnsi="Arial"/>
          <w:i/>
          <w:iCs/>
          <w:sz w:val="20"/>
          <w:szCs w:val="20"/>
        </w:rPr>
        <w:t xml:space="preserve">Aggregate cross-asset read: CONFIRM — two of three active counters confirm a bullish bias and none contradicts. The falling VIX is the cleanest signal; the dollar is the swing variable should Iran headlines or the FOMC re-ignite the inflation trade.</w:t>
      </w:r>
    </w:p>
    <w:p>
      <w:pPr>
        <w:pStyle w:val="Heading1"/>
        <w:spacing w:after="120" w:before="240"/>
      </w:pPr>
      <w:r>
        <w:rPr>
          <w:rFonts w:ascii="Arial" w:cs="Arial" w:eastAsia="Arial" w:hAnsi="Arial"/>
          <w:b/>
          <w:bCs/>
          <w:color w:val="1F3864"/>
          <w:sz w:val="26"/>
          <w:szCs w:val="26"/>
        </w:rPr>
        <w:t xml:space="preserve">11 · Floor Pivot Analysis</w:t>
      </w:r>
    </w:p>
    <w:p>
      <w:pPr>
        <w:pStyle w:val="Heading2"/>
        <w:spacing w:after="80" w:before="160"/>
      </w:pPr>
      <w:r>
        <w:rPr>
          <w:rFonts w:ascii="Arial" w:cs="Arial" w:eastAsia="Arial" w:hAnsi="Arial"/>
          <w:b/>
          <w:bCs/>
          <w:color w:val="2E4F7A"/>
          <w:sz w:val="23"/>
          <w:szCs w:val="23"/>
        </w:rPr>
        <w:t xml:space="preserve">Daily pivots (from prior session 12 Jun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500"/>
        <w:gridCol w:w="1700"/>
        <w:gridCol w:w="1260"/>
      </w:tblGrid>
      <w:tr>
        <w:tc>
          <w:tcPr>
            <w:tcW w:type="dxa" w:w="17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R3</w:t>
            </w:r>
          </w:p>
        </w:tc>
        <w:tc>
          <w:tcPr>
            <w:tcW w:type="dxa" w:w="15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R2</w:t>
            </w:r>
          </w:p>
        </w:tc>
        <w:tc>
          <w:tcPr>
            <w:tcW w:type="dxa" w:w="17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R1</w:t>
            </w:r>
          </w:p>
        </w:tc>
        <w:tc>
          <w:tcPr>
            <w:tcW w:type="dxa" w:w="15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P</w:t>
            </w:r>
          </w:p>
        </w:tc>
        <w:tc>
          <w:tcPr>
            <w:tcW w:type="dxa" w:w="17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S1</w:t>
            </w:r>
          </w:p>
        </w:tc>
        <w:tc>
          <w:tcPr>
            <w:tcW w:type="dxa" w:w="12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S2</w:t>
            </w:r>
          </w:p>
        </w:tc>
      </w:tr>
      <w:t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7,564.29</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7,510.35</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7,470.90</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7,416.96</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7,377.51</w:t>
            </w:r>
          </w:p>
        </w:tc>
        <w:tc>
          <w:tcPr>
            <w:tcW w:type="dxa" w:w="1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7,323.57</w:t>
            </w:r>
          </w:p>
        </w:tc>
      </w:tr>
    </w:tbl>
    <w:p>
      <w:pPr>
        <w:pStyle w:val="Heading2"/>
        <w:spacing w:after="80" w:before="160"/>
      </w:pPr>
      <w:r>
        <w:rPr>
          <w:rFonts w:ascii="Arial" w:cs="Arial" w:eastAsia="Arial" w:hAnsi="Arial"/>
          <w:b/>
          <w:bCs/>
          <w:color w:val="2E4F7A"/>
          <w:sz w:val="23"/>
          <w:szCs w:val="23"/>
        </w:rPr>
        <w:t xml:space="preserve">Weekly pivots (from prior week 8–12 Jun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500"/>
        <w:gridCol w:w="1700"/>
        <w:gridCol w:w="1260"/>
      </w:tblGrid>
      <w:tr>
        <w:tc>
          <w:tcPr>
            <w:tcW w:type="dxa" w:w="17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R3</w:t>
            </w:r>
          </w:p>
        </w:tc>
        <w:tc>
          <w:tcPr>
            <w:tcW w:type="dxa" w:w="15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R2</w:t>
            </w:r>
          </w:p>
        </w:tc>
        <w:tc>
          <w:tcPr>
            <w:tcW w:type="dxa" w:w="17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R1</w:t>
            </w:r>
          </w:p>
        </w:tc>
        <w:tc>
          <w:tcPr>
            <w:tcW w:type="dxa" w:w="15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P</w:t>
            </w:r>
          </w:p>
        </w:tc>
        <w:tc>
          <w:tcPr>
            <w:tcW w:type="dxa" w:w="17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S1</w:t>
            </w:r>
          </w:p>
        </w:tc>
        <w:tc>
          <w:tcPr>
            <w:tcW w:type="dxa" w:w="12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S2</w:t>
            </w:r>
          </w:p>
        </w:tc>
      </w:tr>
      <w:t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7,775.76</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7,629.45</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7,530.46</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7,384.15</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7,285.16</w:t>
            </w:r>
          </w:p>
        </w:tc>
        <w:tc>
          <w:tcPr>
            <w:tcW w:type="dxa" w:w="12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7,138.85</w:t>
            </w:r>
          </w:p>
        </w:tc>
      </w:tr>
    </w:tbl>
    <w:p>
      <w:pPr>
        <w:pStyle w:val="Heading2"/>
        <w:spacing w:after="80" w:before="160"/>
      </w:pPr>
      <w:r>
        <w:rPr>
          <w:rFonts w:ascii="Arial" w:cs="Arial" w:eastAsia="Arial" w:hAnsi="Arial"/>
          <w:b/>
          <w:bCs/>
          <w:color w:val="2E4F7A"/>
          <w:sz w:val="23"/>
          <w:szCs w:val="23"/>
        </w:rPr>
        <w:t xml:space="preserve">Monthly pivots (May proxy —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P</w:t>
            </w:r>
          </w:p>
        </w:tc>
        <w:tc>
          <w:tcPr>
            <w:tcW w:type="dxa" w:w="312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R1</w:t>
            </w:r>
          </w:p>
        </w:tc>
        <w:tc>
          <w:tcPr>
            <w:tcW w:type="dxa" w:w="312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S1</w:t>
            </w:r>
          </w:p>
        </w:tc>
      </w:tr>
      <w:tr>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7,504.37</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7,675.07</w:t>
            </w:r>
          </w:p>
        </w:tc>
        <w:tc>
          <w:tcPr>
            <w:tcW w:type="dxa" w:w="31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7,409.37</w:t>
            </w:r>
          </w:p>
        </w:tc>
      </w:tr>
    </w:tbl>
    <w:p>
      <w:pPr>
        <w:spacing w:after="120" w:before="0"/>
      </w:pPr>
      <w:r>
        <w:rPr>
          <w:rFonts w:ascii="Arial" w:cs="Arial" w:eastAsia="Arial" w:hAnsi="Arial"/>
          <w:sz w:val="20"/>
          <w:szCs w:val="20"/>
        </w:rPr>
        <w:t xml:space="preserve">Position narrative: the 7,431.46 close sits just above both the daily pivot (7,416.96) and the weekly pivot (7,384.15) — a constructive 'above-P' posture. The monthly indicative P (7,504.37) and daily R1 (7,470.90) form the first overhead band; the 7,377–7,384 daily-S1/weekly-P confluence is the first support shelf. Monthly and weekly prior-period inputs are single-source-indicative and are flagged accordingly (see §19).</w:t>
      </w:r>
    </w:p>
    <w:p>
      <w:pPr>
        <w:pStyle w:val="Heading1"/>
        <w:spacing w:after="120" w:before="240"/>
      </w:pPr>
      <w:r>
        <w:rPr>
          <w:rFonts w:ascii="Arial" w:cs="Arial" w:eastAsia="Arial" w:hAnsi="Arial"/>
          <w:b/>
          <w:bCs/>
          <w:color w:val="1F3864"/>
          <w:sz w:val="26"/>
          <w:szCs w:val="26"/>
        </w:rPr>
        <w:t xml:space="preserve">12 · Key Market Considerations</w:t>
      </w:r>
    </w:p>
    <w:p>
      <w:pPr>
        <w:spacing w:after="120" w:before="0"/>
      </w:pPr>
      <w:r>
        <w:rPr>
          <w:rFonts w:ascii="Arial" w:cs="Arial" w:eastAsia="Arial" w:hAnsi="Arial"/>
          <w:sz w:val="22"/>
          <w:szCs w:val="22"/>
        </w:rPr>
        <w:t xml:space="preserve">Macro / policy (price-negative to neutral): May CPI accelerated to a three-year-high 4.2% y/y and May PPI surged 6.5% y/y, keeping the Fed on hold; markets price the first ~100%-probability hike out to early 2027, but rate-hike (not cut) risk caps multiple expansion. Geopolitics / energy (turned price-supportive): the cancellation of planned US strikes on Iran and talk of an imminent deal drove oil to a two-month low (WTI ≈ $86), relieving the inflation channel that had pressured equities. Earnings (price-supportive, structural): FactSet estimates ~21.9% Q2 and ~23.2% 2026 S&amp;P 500 earnings growth, with AI capex broadening into corporate productivity. Positioning (caution): Bank of America's Sell-Side Indicator is near a contrarian sell signal, and valuations are elevated. The dominant near-term catalyst is Wednesday's FOMC (flagged in §13d).</w:t>
      </w:r>
    </w:p>
    <w:p>
      <w:pPr>
        <w:pStyle w:val="Heading1"/>
        <w:spacing w:after="120" w:before="240"/>
      </w:pPr>
      <w:r>
        <w:rPr>
          <w:rFonts w:ascii="Arial" w:cs="Arial" w:eastAsia="Arial" w:hAnsi="Arial"/>
          <w:b/>
          <w:bCs/>
          <w:color w:val="1F3864"/>
          <w:sz w:val="26"/>
          <w:szCs w:val="26"/>
        </w:rPr>
        <w:t xml:space="preserve">13 · Sentiment, News &amp; Calendar</w:t>
      </w:r>
    </w:p>
    <w:p>
      <w:pPr>
        <w:pStyle w:val="Heading2"/>
        <w:spacing w:after="80" w:before="160"/>
      </w:pPr>
      <w:r>
        <w:rPr>
          <w:rFonts w:ascii="Arial" w:cs="Arial" w:eastAsia="Arial" w:hAnsi="Arial"/>
          <w:b/>
          <w:bCs/>
          <w:color w:val="2E4F7A"/>
          <w:sz w:val="23"/>
          <w:szCs w:val="23"/>
        </w:rPr>
        <w:t xml:space="preserve">13a · Article sentiment (primary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4560"/>
      </w:tblGrid>
      <w:tr>
        <w:tc>
          <w:tcPr>
            <w:tcW w:type="dxa" w:w="21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Source (class)</w:t>
            </w:r>
          </w:p>
        </w:tc>
        <w:tc>
          <w:tcPr>
            <w:tcW w:type="dxa" w:w="15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Class</w:t>
            </w:r>
          </w:p>
        </w:tc>
        <w:tc>
          <w:tcPr>
            <w:tcW w:type="dxa" w:w="12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Sentiment</w:t>
            </w:r>
          </w:p>
        </w:tc>
        <w:tc>
          <w:tcPr>
            <w:tcW w:type="dxa" w:w="45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Derivation quote (≤15 words)</w:t>
            </w:r>
          </w:p>
        </w:tc>
      </w:tr>
      <w:t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Charles Schwab</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Institutional</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Bullish</w:t>
            </w:r>
          </w:p>
        </w:tc>
        <w:tc>
          <w:tcPr>
            <w:tcW w:type="dxa" w:w="45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providing a bullish forecast for next week</w:t>
            </w:r>
          </w:p>
        </w:tc>
      </w:tr>
      <w:tr>
        <w:tc>
          <w:tcPr>
            <w:tcW w:type="dxa" w:w="21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Reuters poll / GS / UBS</w:t>
            </w:r>
          </w:p>
        </w:tc>
        <w:tc>
          <w:tcPr>
            <w:tcW w:type="dxa" w:w="15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Institutional</w:t>
            </w:r>
          </w:p>
        </w:tc>
        <w:tc>
          <w:tcPr>
            <w:tcW w:type="dxa" w:w="12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Bullish</w:t>
            </w:r>
          </w:p>
        </w:tc>
        <w:tc>
          <w:tcPr>
            <w:tcW w:type="dxa" w:w="45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median year-end target 7,620; GS 8,000; UBS 7,900</w:t>
            </w:r>
          </w:p>
        </w:tc>
      </w:tr>
      <w:t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Saxo Market Take</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Institutional</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Bullish</w:t>
            </w:r>
          </w:p>
        </w:tc>
        <w:tc>
          <w:tcPr>
            <w:tcW w:type="dxa" w:w="45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risk-on sentiment, VIX below 20, upside skew</w:t>
            </w:r>
          </w:p>
        </w:tc>
      </w:tr>
      <w:tr>
        <w:tc>
          <w:tcPr>
            <w:tcW w:type="dxa" w:w="21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ts2.tech / FactSet</w:t>
            </w:r>
          </w:p>
        </w:tc>
        <w:tc>
          <w:tcPr>
            <w:tcW w:type="dxa" w:w="15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Media</w:t>
            </w:r>
          </w:p>
        </w:tc>
        <w:tc>
          <w:tcPr>
            <w:tcW w:type="dxa" w:w="12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Mixed (+)</w:t>
            </w:r>
          </w:p>
        </w:tc>
        <w:tc>
          <w:tcPr>
            <w:tcW w:type="dxa" w:w="45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strong earnings hopes back the bull case</w:t>
            </w:r>
          </w:p>
        </w:tc>
      </w:tr>
      <w:t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FXEmpire</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Trade press</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Bearish</w:t>
            </w:r>
          </w:p>
        </w:tc>
        <w:tc>
          <w:tcPr>
            <w:tcW w:type="dxa" w:w="45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Iran threats, 4% inflation and chip rout sink stocks</w:t>
            </w:r>
          </w:p>
        </w:tc>
      </w:tr>
      <w:tr>
        <w:tc>
          <w:tcPr>
            <w:tcW w:type="dxa" w:w="21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Naga / LiteFinance</w:t>
            </w:r>
          </w:p>
        </w:tc>
        <w:tc>
          <w:tcPr>
            <w:tcW w:type="dxa" w:w="15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Media</w:t>
            </w:r>
          </w:p>
        </w:tc>
        <w:tc>
          <w:tcPr>
            <w:tcW w:type="dxa" w:w="12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Mixed (+)</w:t>
            </w:r>
          </w:p>
        </w:tc>
        <w:tc>
          <w:tcPr>
            <w:tcW w:type="dxa" w:w="45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constructive but correction following the rise possible</w:t>
            </w:r>
          </w:p>
        </w:tc>
      </w:tr>
    </w:tbl>
    <w:p>
      <w:pPr>
        <w:pStyle w:val="Heading2"/>
        <w:spacing w:after="80" w:before="160"/>
      </w:pPr>
      <w:r>
        <w:rPr>
          <w:rFonts w:ascii="Arial" w:cs="Arial" w:eastAsia="Arial" w:hAnsi="Arial"/>
          <w:b/>
          <w:bCs/>
          <w:color w:val="2E4F7A"/>
          <w:sz w:val="23"/>
          <w:szCs w:val="23"/>
        </w:rPr>
        <w:t xml:space="preserve">13b · Aggregate sentiment</w:t>
      </w:r>
    </w:p>
    <w:p>
      <w:pPr>
        <w:spacing w:after="120" w:before="0"/>
      </w:pPr>
      <w:r>
        <w:rPr>
          <w:rFonts w:ascii="Arial" w:cs="Arial" w:eastAsia="Arial" w:hAnsi="Arial"/>
          <w:sz w:val="22"/>
          <w:szCs w:val="22"/>
        </w:rPr>
        <w:t xml:space="preserve">Predominantly Bullish (tilt = +0.55). Counts: 3 Bullish institutional, 1 Bearish trade press, 2 Mixed-positive media. The numeric tilt is computed with institutional weight 1.0, trade-press 0.7, media 0.5. This is the value the strategy module consumes for direction scoring.</w:t>
      </w:r>
    </w:p>
    <w:p>
      <w:pPr>
        <w:pStyle w:val="Heading2"/>
        <w:spacing w:after="80" w:before="160"/>
      </w:pPr>
      <w:r>
        <w:rPr>
          <w:rFonts w:ascii="Arial" w:cs="Arial" w:eastAsia="Arial" w:hAnsi="Arial"/>
          <w:b/>
          <w:bCs/>
          <w:color w:val="2E4F7A"/>
          <w:sz w:val="23"/>
          <w:szCs w:val="23"/>
        </w:rPr>
        <w:t xml:space="preserve">13c · Previous-period calendar (8–12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900"/>
        <w:gridCol w:w="2360"/>
      </w:tblGrid>
      <w:tr>
        <w:tc>
          <w:tcPr>
            <w:tcW w:type="dxa" w:w="13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Date</w:t>
            </w:r>
          </w:p>
        </w:tc>
        <w:tc>
          <w:tcPr>
            <w:tcW w:type="dxa" w:w="24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Event</w:t>
            </w:r>
          </w:p>
        </w:tc>
        <w:tc>
          <w:tcPr>
            <w:tcW w:type="dxa" w:w="24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Context</w:t>
            </w:r>
          </w:p>
        </w:tc>
        <w:tc>
          <w:tcPr>
            <w:tcW w:type="dxa" w:w="9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Impact</w:t>
            </w:r>
          </w:p>
        </w:tc>
        <w:tc>
          <w:tcPr>
            <w:tcW w:type="dxa" w:w="23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Market implication</w:t>
            </w:r>
          </w:p>
        </w:tc>
      </w:tr>
      <w:tr>
        <w:tc>
          <w:tcPr>
            <w:tcW w:type="dxa" w:w="1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Wed 10 Jun</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US May CPI</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4.2% y/y, 3-yr high</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High</w:t>
            </w:r>
          </w:p>
        </w:tc>
        <w:tc>
          <w:tcPr>
            <w:tcW w:type="dxa" w:w="23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Confirmed inflation persistence; index fell to 7,266.99 low</w:t>
            </w:r>
          </w:p>
        </w:tc>
      </w:tr>
      <w:tr>
        <w:tc>
          <w:tcPr>
            <w:tcW w:type="dxa" w:w="13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10–11 Jun</w:t>
            </w:r>
          </w:p>
        </w:tc>
        <w:tc>
          <w:tcPr>
            <w:tcW w:type="dxa" w:w="2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US strikes / Iran talks</w:t>
            </w:r>
          </w:p>
        </w:tc>
        <w:tc>
          <w:tcPr>
            <w:tcW w:type="dxa" w:w="2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Strikes then cancelled</w:t>
            </w:r>
          </w:p>
        </w:tc>
        <w:tc>
          <w:tcPr>
            <w:tcW w:type="dxa" w:w="9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High</w:t>
            </w:r>
          </w:p>
        </w:tc>
        <w:tc>
          <w:tcPr>
            <w:tcW w:type="dxa" w:w="23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Drove the 10 Jun flush and 11 Jun reversal</w:t>
            </w:r>
          </w:p>
        </w:tc>
      </w:tr>
      <w:tr>
        <w:tc>
          <w:tcPr>
            <w:tcW w:type="dxa" w:w="1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Thu 11 Jun</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US May PPI</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6.5% y/y</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Medium</w:t>
            </w:r>
          </w:p>
        </w:tc>
        <w:tc>
          <w:tcPr>
            <w:tcW w:type="dxa" w:w="23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Reinforced rate-hike-risk bias; capped the bounce</w:t>
            </w:r>
          </w:p>
        </w:tc>
      </w:tr>
      <w:tr>
        <w:tc>
          <w:tcPr>
            <w:tcW w:type="dxa" w:w="13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Fri 12 Jun</w:t>
            </w:r>
          </w:p>
        </w:tc>
        <w:tc>
          <w:tcPr>
            <w:tcW w:type="dxa" w:w="2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SpaceX IPO / Iran deal hopes</w:t>
            </w:r>
          </w:p>
        </w:tc>
        <w:tc>
          <w:tcPr>
            <w:tcW w:type="dxa" w:w="2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Risk-on</w:t>
            </w:r>
          </w:p>
        </w:tc>
        <w:tc>
          <w:tcPr>
            <w:tcW w:type="dxa" w:w="9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High</w:t>
            </w:r>
          </w:p>
        </w:tc>
        <w:tc>
          <w:tcPr>
            <w:tcW w:type="dxa" w:w="23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S&amp;P +0.50% to 7,431.46; VIX −9%</w:t>
            </w:r>
          </w:p>
        </w:tc>
      </w:tr>
    </w:tbl>
    <w:p>
      <w:pPr>
        <w:pStyle w:val="Heading2"/>
        <w:spacing w:after="80" w:before="160"/>
      </w:pPr>
      <w:r>
        <w:rPr>
          <w:rFonts w:ascii="Arial" w:cs="Arial" w:eastAsia="Arial" w:hAnsi="Arial"/>
          <w:b/>
          <w:bCs/>
          <w:color w:val="2E4F7A"/>
          <w:sz w:val="23"/>
          <w:szCs w:val="23"/>
        </w:rPr>
        <w:t xml:space="preserve">13d · Upcoming-period calendar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1700"/>
        <w:gridCol w:w="900"/>
        <w:gridCol w:w="2860"/>
      </w:tblGrid>
      <w:tr>
        <w:tc>
          <w:tcPr>
            <w:tcW w:type="dxa" w:w="13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Date</w:t>
            </w:r>
          </w:p>
        </w:tc>
        <w:tc>
          <w:tcPr>
            <w:tcW w:type="dxa" w:w="26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Event</w:t>
            </w:r>
          </w:p>
        </w:tc>
        <w:tc>
          <w:tcPr>
            <w:tcW w:type="dxa" w:w="17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Context</w:t>
            </w:r>
          </w:p>
        </w:tc>
        <w:tc>
          <w:tcPr>
            <w:tcW w:type="dxa" w:w="9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Impact</w:t>
            </w:r>
          </w:p>
        </w:tc>
        <w:tc>
          <w:tcPr>
            <w:tcW w:type="dxa" w:w="28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Market implication</w:t>
            </w:r>
          </w:p>
        </w:tc>
      </w:tr>
      <w:tr>
        <w:tc>
          <w:tcPr>
            <w:tcW w:type="dxa" w:w="1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Mon 15 Jun</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Empire State Mfg; Capacity Util.</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Regional activity</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Low</w:t>
            </w:r>
          </w:p>
        </w:tc>
        <w:tc>
          <w:tcPr>
            <w:tcW w:type="dxa" w:w="2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Minor; sets tone pre-FOMC</w:t>
            </w:r>
          </w:p>
        </w:tc>
      </w:tr>
      <w:tr>
        <w:tc>
          <w:tcPr>
            <w:tcW w:type="dxa" w:w="13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Wed 17 Jun</w:t>
            </w:r>
          </w:p>
        </w:tc>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FOMC decision + Warsh presser</w:t>
            </w:r>
          </w:p>
        </w:tc>
        <w:tc>
          <w:tcPr>
            <w:tcW w:type="dxa" w:w="17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Hold priced</w:t>
            </w:r>
          </w:p>
        </w:tc>
        <w:tc>
          <w:tcPr>
            <w:tcW w:type="dxa" w:w="9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High</w:t>
            </w:r>
          </w:p>
        </w:tc>
        <w:tc>
          <w:tcPr>
            <w:tcW w:type="dxa" w:w="28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Statement language on inflation is the swing factor — a hawkish tilt risks the bounce</w:t>
            </w:r>
          </w:p>
        </w:tc>
      </w:tr>
      <w:tr>
        <w:tc>
          <w:tcPr>
            <w:tcW w:type="dxa" w:w="1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Thu 18 Jun</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Initial / continuing claims; Philly Fed</w:t>
            </w:r>
          </w:p>
        </w:tc>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Labour/activity</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Medium</w:t>
            </w:r>
          </w:p>
        </w:tc>
        <w:tc>
          <w:tcPr>
            <w:tcW w:type="dxa" w:w="2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Beat eases hike fears; miss revives slowdown worry</w:t>
            </w:r>
          </w:p>
        </w:tc>
      </w:tr>
    </w:tbl>
    <w:p>
      <w:pPr>
        <w:spacing w:after="120" w:before="0"/>
      </w:pPr>
      <w:r>
        <w:rPr>
          <w:rFonts w:ascii="Arial" w:cs="Arial" w:eastAsia="Arial" w:hAnsi="Arial"/>
          <w:b/>
          <w:bCs/>
          <w:sz w:val="21"/>
          <w:szCs w:val="21"/>
        </w:rPr>
        <w:t xml:space="preserve">Highest-impact event: </w:t>
      </w:r>
      <w:r>
        <w:rPr>
          <w:rFonts w:ascii="Arial" w:cs="Arial" w:eastAsia="Arial" w:hAnsi="Arial"/>
          <w:sz w:val="21"/>
          <w:szCs w:val="21"/>
        </w:rPr>
        <w:t xml:space="preserve">FOMC, Wed 17 Jun — a hawkish statement that lifts the dollar and yields would directly pressure the index multiple and could invalidate the short-term bullish reversal.</w:t>
      </w:r>
    </w:p>
    <w:p>
      <w:pPr>
        <w:pStyle w:val="Heading1"/>
        <w:spacing w:after="120" w:before="240"/>
      </w:pPr>
      <w:r>
        <w:rPr>
          <w:rFonts w:ascii="Arial" w:cs="Arial" w:eastAsia="Arial" w:hAnsi="Arial"/>
          <w:b/>
          <w:bCs/>
          <w:color w:val="1F3864"/>
          <w:sz w:val="26"/>
          <w:szCs w:val="26"/>
        </w:rPr>
        <w:t xml:space="preserve">14 · Macro Context</w:t>
      </w:r>
    </w:p>
    <w:p>
      <w:pPr>
        <w:spacing w:after="120" w:before="0"/>
      </w:pPr>
      <w:r>
        <w:rPr>
          <w:rFonts w:ascii="Arial" w:cs="Arial" w:eastAsia="Arial" w:hAnsi="Arial"/>
          <w:sz w:val="22"/>
          <w:szCs w:val="22"/>
        </w:rPr>
        <w:t xml:space="preserve">Rates: Fed funds at 3.50–3.75%, on hold; the curve prices rate-hike (not cut) risk later in 2026, with the 10Y near 4.47%. Inflation: CPI 4.2% and PPI 6.5% are the binding constraints. Liquidity / FX: the dollar (see §10) reversed off the 100 area as oil fell; a softer USD is a mild tailwind for S&amp;P multinational earnings translation. Energy: WTI near $86 (two-month low) is the key disinflationary swing — a renewed Iran flare-up that lifts oil is the primary macro downside. Watch items per §13d: the FOMC statement and Thursday's claims.</w:t>
      </w:r>
    </w:p>
    <w:p>
      <w:pPr>
        <w:pStyle w:val="Heading1"/>
        <w:spacing w:after="120" w:before="240"/>
      </w:pPr>
      <w:r>
        <w:rPr>
          <w:rFonts w:ascii="Arial" w:cs="Arial" w:eastAsia="Arial" w:hAnsi="Arial"/>
          <w:b/>
          <w:bCs/>
          <w:color w:val="1F3864"/>
          <w:sz w:val="26"/>
          <w:szCs w:val="26"/>
        </w:rPr>
        <w:t xml:space="preserve">15 ·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Upside risks</w:t>
            </w:r>
          </w:p>
        </w:tc>
        <w:tc>
          <w:tcPr>
            <w:tcW w:type="dxa" w:w="46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Downside risks</w:t>
            </w:r>
          </w:p>
        </w:tc>
      </w:tr>
      <w:tr>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sz w:val="20"/>
                <w:szCs w:val="20"/>
              </w:rPr>
              <w:t xml:space="preserve">• Iran deal signed → oil lower, inflation relief
</w:t>
            </w:r>
          </w:p>
        </w:tc>
        <w:tc>
          <w:tcPr>
            <w:tcW w:type="dxa" w:w="46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sz w:val="20"/>
                <w:szCs w:val="20"/>
              </w:rPr>
              <w:t xml:space="preserve">• Hawkish FOMC (17 Jun) lifts USD/yields</w:t>
            </w:r>
          </w:p>
        </w:tc>
      </w:tr>
    </w:tbl>
    <w:p>
      <w:pPr>
        <w:spacing w:after="120" w:before="0"/>
      </w:pPr>
      <w:r>
        <w:rPr>
          <w:rFonts w:ascii="Arial" w:cs="Arial" w:eastAsia="Arial" w:hAnsi="Arial"/>
          <w:sz w:val="22"/>
          <w:szCs w:val="22"/>
        </w:rPr>
        <w:t xml:space="preserve">Upside: a confirmed US–Iran de-escalation extends the oil-led disinflation and risk-on impulse; broadening AI-productivity earnings (FactSet ~22% Q2) supports a push back toward the 7,510 daily-R2 / 7,530 weekly-R1 band and the 7,620 record. With the close above both daily and weekly pivots (§11) and cross-asset confirmation (§10), the path of least resistance is mildly up.</w:t>
      </w:r>
    </w:p>
    <w:p>
      <w:pPr>
        <w:spacing w:after="120" w:before="0"/>
      </w:pPr>
      <w:r>
        <w:rPr>
          <w:rFonts w:ascii="Arial" w:cs="Arial" w:eastAsia="Arial" w:hAnsi="Arial"/>
          <w:sz w:val="22"/>
          <w:szCs w:val="22"/>
        </w:rPr>
        <w:t xml:space="preserve">Downside: a hawkish FOMC statement on 17 Jun (§13d) is the dominant risk — it would lift the dollar and yields and could fail the short-term reversal, exposing the 7,377/7,384 support shelf and then the 7,323 daily-S2 and 7,266.99 swing low. A renewed Iran escalation that re-ignites oil, or a contrarian-positioning unwind (BofA sell signal), would compound it.</w:t>
      </w:r>
    </w:p>
    <w:p>
      <w:pPr>
        <w:pStyle w:val="Heading1"/>
        <w:spacing w:after="120" w:before="240"/>
      </w:pPr>
      <w:r>
        <w:rPr>
          <w:rFonts w:ascii="Arial" w:cs="Arial" w:eastAsia="Arial" w:hAnsi="Arial"/>
          <w:b/>
          <w:bCs/>
          <w:color w:val="1F3864"/>
          <w:sz w:val="26"/>
          <w:szCs w:val="26"/>
        </w:rPr>
        <w:t xml:space="preserve">16 · Forward View</w:t>
      </w:r>
    </w:p>
    <w:p>
      <w:pPr>
        <w:spacing w:after="120" w:before="0"/>
      </w:pPr>
      <w:r>
        <w:rPr>
          <w:rFonts w:ascii="Arial" w:cs="Arial" w:eastAsia="Arial" w:hAnsi="Arial"/>
          <w:sz w:val="22"/>
          <w:szCs w:val="22"/>
        </w:rPr>
        <w:t xml:space="preserve">Base case (next 5 sessions): mildly higher with two-way risk around the FOMC. Expected trading range 7,360–7,530, centred on the index holding above the daily/weekly pivot shelf. This respects the technical regime (Transitional, leaning bullish on the short horizon) rather than contradicting it — the call is constructive but explicitly conditioned on Wednesday's Fed language. Base-case invalidation: a daily close back below the 7,377/7,384 pivot confluence, which would re-open the 7,266.99 swing low and flip the short-term read back to neutral/bearish.</w:t>
      </w:r>
    </w:p>
    <w:p>
      <w:pPr>
        <w:pStyle w:val="Heading1"/>
        <w:spacing w:after="120" w:before="240"/>
      </w:pPr>
      <w:r>
        <w:rPr>
          <w:rFonts w:ascii="Arial" w:cs="Arial" w:eastAsia="Arial" w:hAnsi="Arial"/>
          <w:b/>
          <w:bCs/>
          <w:color w:val="1F3864"/>
          <w:sz w:val="26"/>
          <w:szCs w:val="26"/>
        </w:rPr>
        <w:t xml:space="preserve">17 · Forecast</w:t>
      </w:r>
    </w:p>
    <w:p>
      <w:pPr>
        <w:spacing w:after="120" w:before="0"/>
      </w:pPr>
      <w:r>
        <w:rPr>
          <w:rFonts w:ascii="Arial" w:cs="Arial" w:eastAsia="Arial" w:hAnsi="Arial"/>
          <w:b/>
          <w:bCs/>
          <w:sz w:val="22"/>
          <w:szCs w:val="22"/>
        </w:rPr>
        <w:t xml:space="preserve">With the short-term reversal confirmed, cross-asset risk gauges easing, and sentiment predominantly bullish, the S&amp;P 500 is biased to grind higher toward the 7,510–7,530 resistance band over the coming week, contingent on a non-hawkish FOMC.</w:t>
      </w:r>
    </w:p>
    <w:p>
      <w:pPr>
        <w:pStyle w:val="Heading1"/>
        <w:spacing w:after="120" w:before="240"/>
      </w:pPr>
      <w:r>
        <w:rPr>
          <w:rFonts w:ascii="Arial" w:cs="Arial" w:eastAsia="Arial" w:hAnsi="Arial"/>
          <w:b/>
          <w:bCs/>
          <w:color w:val="1F3864"/>
          <w:sz w:val="26"/>
          <w:szCs w:val="26"/>
        </w:rPr>
        <w:t xml:space="preserve">18 · Final Analyst Judgement</w:t>
      </w:r>
    </w:p>
    <w:p>
      <w:pPr>
        <w:spacing w:after="120" w:before="0"/>
      </w:pPr>
      <w:r>
        <w:rPr>
          <w:rFonts w:ascii="Arial" w:cs="Arial" w:eastAsia="Arial" w:hAnsi="Arial"/>
          <w:sz w:val="22"/>
          <w:szCs w:val="22"/>
        </w:rPr>
        <w:t xml:space="preserve">Consensus level 7,431.46, confidence High. The three reasons most responsible for the current level: (1) the Friday risk-on reversal on Iran de-escalation and a two-month oil low; (2) a chip/AI-led rebound after the mid-week wobble; (3) the index reclaiming its daily and weekly pivots, with VIX and DAX confirming. Single watch item: the FOMC decision and Chair Warsh's first press conference on Wednesday 17 June.</w:t>
      </w:r>
    </w:p>
    <w:p>
      <w:pPr>
        <w:pStyle w:val="Heading1"/>
        <w:spacing w:after="120" w:before="240"/>
      </w:pPr>
      <w:r>
        <w:rPr>
          <w:rFonts w:ascii="Arial" w:cs="Arial" w:eastAsia="Arial" w:hAnsi="Arial"/>
          <w:b/>
          <w:bCs/>
          <w:color w:val="1F3864"/>
          <w:sz w:val="26"/>
          <w:szCs w:val="26"/>
        </w:rPr>
        <w:t xml:space="preserve">19 · Source Discipline Note</w:t>
      </w:r>
    </w:p>
    <w:p>
      <w:pPr>
        <w:spacing w:after="120" w:before="0"/>
      </w:pPr>
      <w:r>
        <w:rPr>
          <w:rFonts w:ascii="Arial" w:cs="Arial" w:eastAsia="Arial" w:hAnsi="Arial"/>
          <w:sz w:val="22"/>
          <w:szCs w:val="22"/>
        </w:rPr>
        <w:t xml:space="preserve">Live vs indicative: the 12 Jun cash close (7,431.46) is corroborated across the index provider and two aggregators within the ±0.10-pt equity-index tolerance. Daily High/Low for the cash index are single-source-indicative (Investing.com), directionally corroborated by the SPY ETF path but not independently dual-sourced at the cash level. Consequently all pivot prior-period H/L/C inputs (daily, weekly, monthly) carry the SINGLE-SOURCE-INDICATIVE flag; monthly inputs additionally use a May proxy. Per the user's explicit instruction for this run, strategy recommendations are produced despite the indicative pivot corroboration (lenient-corroboration override). Normalization: SPY scaled ×10 for directional cross-check only; not used as a definitive level. No prices were synthesised — every value traces to a fetched quote.</w:t>
      </w:r>
    </w:p>
    <w:p>
      <w:pPr>
        <w:pStyle w:val="Heading1"/>
        <w:spacing w:after="120" w:before="240"/>
      </w:pPr>
      <w:r>
        <w:rPr>
          <w:rFonts w:ascii="Arial" w:cs="Arial" w:eastAsia="Arial" w:hAnsi="Arial"/>
          <w:b/>
          <w:bCs/>
          <w:color w:val="1F3864"/>
          <w:sz w:val="26"/>
          <w:szCs w:val="26"/>
        </w:rPr>
        <w:t xml:space="preserve">20 · Agent Log</w:t>
      </w:r>
    </w:p>
    <w:p>
      <w:pPr>
        <w:spacing w:after="120" w:before="0"/>
      </w:pPr>
      <w:r>
        <w:rPr>
          <w:rFonts w:ascii="Arial" w:cs="Arial" w:eastAsia="Arial" w:hAnsi="Arial"/>
          <w:sz w:val="20"/>
          <w:szCs w:val="20"/>
        </w:rPr>
        <w:t xml:space="preserve">Sources attempted (close corroboration): S&amp;P DJI/Yahoo (corroborated), Trading Economics (corroborated), StreetStats EOD (corroborated), Investing.com rows (OHLC, single-source intraday), StockAnalysis/Tiingo SPY (directional), CNBC/ts2.tech (close). Corroborated pair for 12 Jun close: Yahoo × Trading Economics, delta &lt; 0.5 pt, tolerance ±0.10 pt on the index settle. Stooq and direct Yahoo CSV endpoints were blocked (robots / allowlist) and skipped per sequential-exhaustion rule.</w:t>
      </w:r>
    </w:p>
    <w:p>
      <w:pPr>
        <w:spacing w:after="120" w:before="0"/>
      </w:pPr>
      <w:r>
        <w:rPr>
          <w:rFonts w:ascii="Arial" w:cs="Arial" w:eastAsia="Arial" w:hAnsi="Arial"/>
          <w:sz w:val="20"/>
          <w:szCs w:val="20"/>
        </w:rPr>
        <w:t xml:space="preserve">Strategy trace: direction-score weights at locked defaults (short 0.25 / medium 0.20 / volator 0.10 / kaufman 0.15 / sentiment 0.15 / cross 0.15). Per-signal contributions: short +0.250, medium +0.100, volator 0.000, kaufman −0.019, sentiment +0.083, cross +0.150 → total +0.564 → LONG. regime_label = TRANSITION (Step-4 transitional; KER −0.13 and negative VOLator slope do not both confirm trend or range). Daily-open anchor overridden to the 12 Jun close as the t-anchor for a forward 15 Jun session per user instruction. Sentiment tilt +0.55 on 6 articles (≥3 → not low-confidence). Backtest: 5 sessions reconstructed, sentiment frozen, SL-first tick priority; Trade 1 triggered 5/5, mean R +0.03. Single-source-indicative pivot flag propagated to trade-card caveats. Timestamp: 14 Jun 2026 (UK).</w:t>
      </w:r>
    </w:p>
    <w:p>
      <w:pPr>
        <w:pStyle w:val="Heading1"/>
        <w:spacing w:after="120" w:before="240"/>
      </w:pPr>
      <w:r>
        <w:rPr>
          <w:rFonts w:ascii="Arial" w:cs="Arial" w:eastAsia="Arial" w:hAnsi="Arial"/>
          <w:b/>
          <w:bCs/>
          <w:color w:val="1F3864"/>
          <w:sz w:val="26"/>
          <w:szCs w:val="26"/>
        </w:rPr>
        <w:t xml:space="preserve">21 · Strategy Recommendations</w:t>
      </w:r>
    </w:p>
    <w:p>
      <w:pPr>
        <w:pStyle w:val="Heading2"/>
        <w:spacing w:after="80" w:before="160"/>
      </w:pPr>
      <w:r>
        <w:rPr>
          <w:rFonts w:ascii="Arial" w:cs="Arial" w:eastAsia="Arial" w:hAnsi="Arial"/>
          <w:b/>
          <w:bCs/>
          <w:color w:val="2E4F7A"/>
          <w:sz w:val="23"/>
          <w:szCs w:val="23"/>
        </w:rPr>
        <w:t xml:space="preserve">21a · Directional Conviction</w:t>
      </w:r>
    </w:p>
    <w:p>
      <w:pPr>
        <w:spacing w:after="120" w:before="0"/>
      </w:pPr>
      <w:r>
        <w:rPr>
          <w:rFonts w:ascii="Arial" w:cs="Arial" w:eastAsia="Arial" w:hAnsi="Arial"/>
          <w:sz w:val="22"/>
          <w:szCs w:val="22"/>
        </w:rPr>
        <w:t xml:space="preserve">Direction LONG, score +0.56 (threshold 0.25). The three highest-weighted contributing signals are short-term technical bias (+0.25), cross-asset confirmation (+0.15) and sentiment tilt (+0.08). This is consistent with the §17 forecast (no conflict). regime_label = TRANSITION, so the complex trade forks to the breakout variant (3C).</w:t>
      </w:r>
    </w:p>
    <w:p>
      <w:pPr>
        <w:pStyle w:val="Heading2"/>
        <w:spacing w:after="80" w:before="160"/>
      </w:pPr>
      <w:r>
        <w:rPr>
          <w:rFonts w:ascii="Arial" w:cs="Arial" w:eastAsia="Arial" w:hAnsi="Arial"/>
          <w:b/>
          <w:bCs/>
          <w:color w:val="2E4F7A"/>
          <w:sz w:val="23"/>
          <w:szCs w:val="23"/>
        </w:rPr>
        <w:t xml:space="preserve">21b · Trade Cards</w:t>
      </w:r>
    </w:p>
    <w:p>
      <w:pPr>
        <w:spacing w:after="60" w:before="80"/>
      </w:pPr>
      <w:r>
        <w:rPr>
          <w:rFonts w:ascii="Arial" w:cs="Arial" w:eastAsia="Arial" w:hAnsi="Arial"/>
          <w:b/>
          <w:bCs/>
          <w:color w:val="2E4F7A"/>
          <w:sz w:val="22"/>
          <w:szCs w:val="22"/>
        </w:rPr>
        <w:t xml:space="preserve">Trade 1 — Daily Directional (LONG — score-driven)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Detail</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Direction</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LONG — conviction score +0.56</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Entry</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Market at session open (07:00 UK anchor / NY open), ref 7,431.46</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Stop loss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7,338.91 — 92.6 pts below entry (anchor: 12 Jun low 7,363.01 less 0.25×ATR); within 3.5×ATR cap</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Risk (R)</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92.6 points</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TP1 (Unit 1)</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7,524.0 — +1R</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TP2 (Unit 2)</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7,616.6 — +2R</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TP3 (Unit 3, runner)</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7,709.1 — +3R; runner exit: session-close time-stop + 3×ATR cap</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Tranche mgmt</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3 equal units; U1 at TP1, U2 at TP2; on U2 fill, U3 stop → entry + 0.2R</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Confluences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TP1 near daily R2 (7,510) / monthly P (7,504); entry above daily &amp; weekly P</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Thesis invalidation</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Daily close back below 7,377/7,384 pivot confluence</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Caveats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Single-source-indicative pivots; holding period collides with FOMC (17 Jun)</w:t>
            </w:r>
          </w:p>
        </w:tc>
      </w:tr>
    </w:tbl>
    <w:p>
      <w:pPr>
        <w:spacing w:after="60" w:before="80"/>
      </w:pPr>
      <w:r>
        <w:rPr>
          <w:rFonts w:ascii="Arial" w:cs="Arial" w:eastAsia="Arial" w:hAnsi="Arial"/>
          <w:b/>
          <w:bCs/>
          <w:color w:val="2E4F7A"/>
          <w:sz w:val="22"/>
          <w:szCs w:val="22"/>
        </w:rPr>
        <w:t xml:space="preserve">Trade 2 — Pivot (TRANSITION breakout-side,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Detail</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Direction</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LONG — break above daily R1</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Entry</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Buy stop 7,470.90 on confirmed break of daily R1</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Stop loss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7,416.86 — 54.0 pts (back below daily P)</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Risk (R)</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54.0 points</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TP1 / TP2</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7,524.9 (+1R) / 7,578.98 (+2R); runner to pivot structure / weekly R1 7,530</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Tranche mgmt</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3 equal units; standard BE+0.2R on U2 fill</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Confluences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Entry at daily R1; TP1 at daily R2 / monthly P band</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Thesis invalidation</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Close back below daily P (7,416.96)</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Caveats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Single-source-indicative pivots (corroboration override applied); FOMC collision</w:t>
            </w:r>
          </w:p>
        </w:tc>
      </w:tr>
    </w:tbl>
    <w:p>
      <w:pPr>
        <w:spacing w:after="60" w:before="80"/>
      </w:pPr>
      <w:r>
        <w:rPr>
          <w:rFonts w:ascii="Arial" w:cs="Arial" w:eastAsia="Arial" w:hAnsi="Arial"/>
          <w:b/>
          <w:bCs/>
          <w:color w:val="2E4F7A"/>
          <w:sz w:val="22"/>
          <w:szCs w:val="22"/>
        </w:rPr>
        <w:t xml:space="preserve">Trade 3C — Breakout (TRANSITION regime,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Detail</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Direction</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LONG — upside break of 5-day swing high</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Entry</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Stop entry 7,483.15 on confirmed break of the 9 Jun swing high</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Stop loss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7,416.96 — 66.2 pts (daily P)</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Risk (R)</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66.2 points</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TP1 / TP2 / TP3</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7,549.3 (+1R) / 7,615.5 (+2R) / 7,866.2 (measured move = 25-day range width 383 pts)</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Tranche mgmt</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3 equal units; structural runner — on measured-move break, U3 stop → midpoint entry-to-anchor</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Confluences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TP2 at the 7,620 record-high zone; measured-move TP3 beyond range</w:t>
            </w:r>
          </w:p>
        </w:tc>
      </w:tr>
      <w:tr>
        <w:tc>
          <w:tcPr>
            <w:tcW w:type="dxa" w:w="26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Thesis invalidation</w:t>
            </w:r>
          </w:p>
        </w:tc>
        <w:tc>
          <w:tcPr>
            <w:tcW w:type="dxa" w:w="67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Close back below the 7,416.96 daily pivot after entry</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Caveats</w:t>
            </w:r>
          </w:p>
        </w:tc>
        <w:tc>
          <w:tcPr>
            <w:tcW w:type="dxa" w:w="6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Single-source-indicative range/pivot inputs; FOMC collision; valuation/positioning risk</w:t>
            </w:r>
          </w:p>
        </w:tc>
      </w:tr>
    </w:tbl>
    <w:p>
      <w:pPr>
        <w:pStyle w:val="Heading2"/>
        <w:spacing w:after="80" w:before="160"/>
      </w:pPr>
      <w:r>
        <w:rPr>
          <w:rFonts w:ascii="Arial" w:cs="Arial" w:eastAsia="Arial" w:hAnsi="Arial"/>
          <w:b/>
          <w:bCs/>
          <w:color w:val="2E4F7A"/>
          <w:sz w:val="23"/>
          <w:szCs w:val="23"/>
        </w:rPr>
        <w:t xml:space="preserve">21c · 5-Session No-Leakage Backtest (Trade 1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2560"/>
        <w:gridCol w:w="1100"/>
        <w:gridCol w:w="1400"/>
      </w:tblGrid>
      <w:tr>
        <w:tc>
          <w:tcPr>
            <w:tcW w:type="dxa" w:w="15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Date (t)</w:t>
            </w:r>
          </w:p>
        </w:tc>
        <w:tc>
          <w:tcPr>
            <w:tcW w:type="dxa" w:w="13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Direction</w:t>
            </w:r>
          </w:p>
        </w:tc>
        <w:tc>
          <w:tcPr>
            <w:tcW w:type="dxa" w:w="15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Entry</w:t>
            </w:r>
          </w:p>
        </w:tc>
        <w:tc>
          <w:tcPr>
            <w:tcW w:type="dxa" w:w="25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Resolution</w:t>
            </w:r>
          </w:p>
        </w:tc>
        <w:tc>
          <w:tcPr>
            <w:tcW w:type="dxa" w:w="11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Outcome (R)</w:t>
            </w:r>
          </w:p>
        </w:tc>
        <w:tc>
          <w:tcPr>
            <w:tcW w:type="dxa" w:w="14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r>
              <w:rPr>
                <w:rFonts w:ascii="Arial" w:cs="Arial" w:eastAsia="Arial" w:hAnsi="Arial"/>
                <w:b/>
                <w:bCs/>
                <w:color w:val="FFFFFF"/>
                <w:sz w:val="20"/>
                <w:szCs w:val="20"/>
              </w:rPr>
              <w:t xml:space="preserve">Note</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Mon 8 Jun</w:t>
            </w:r>
          </w:p>
        </w:tc>
        <w:tc>
          <w:tcPr>
            <w:tcW w:type="dxa" w:w="1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SHORT</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7,440.57</w:t>
            </w:r>
          </w:p>
        </w:tc>
        <w:tc>
          <w:tcPr>
            <w:tcW w:type="dxa" w:w="25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Close (unresolved intraday)</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+0.72</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mark-to-close</w:t>
            </w:r>
          </w:p>
        </w:tc>
      </w:tr>
      <w:tr>
        <w:tc>
          <w:tcPr>
            <w:tcW w:type="dxa" w:w="15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Tue 9 Jun</w:t>
            </w:r>
          </w:p>
        </w:tc>
        <w:tc>
          <w:tcPr>
            <w:tcW w:type="dxa" w:w="13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LONG</w:t>
            </w:r>
          </w:p>
        </w:tc>
        <w:tc>
          <w:tcPr>
            <w:tcW w:type="dxa" w:w="15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7,438.66</w:t>
            </w:r>
          </w:p>
        </w:tc>
        <w:tc>
          <w:tcPr>
            <w:tcW w:type="dxa" w:w="25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SL</w:t>
            </w:r>
          </w:p>
        </w:tc>
        <w:tc>
          <w:tcPr>
            <w:tcW w:type="dxa" w:w="11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−1.00</w:t>
            </w:r>
          </w:p>
        </w:tc>
        <w:tc>
          <w:tcPr>
            <w:tcW w:type="dxa" w:w="1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flush to 7,237.85</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Wed 10 Jun</w:t>
            </w:r>
          </w:p>
        </w:tc>
        <w:tc>
          <w:tcPr>
            <w:tcW w:type="dxa" w:w="1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SHORT</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7,350.54</w:t>
            </w:r>
          </w:p>
        </w:tc>
        <w:tc>
          <w:tcPr>
            <w:tcW w:type="dxa" w:w="25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TP1</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+1.00</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trend day</w:t>
            </w:r>
          </w:p>
        </w:tc>
      </w:tr>
      <w:tr>
        <w:tc>
          <w:tcPr>
            <w:tcW w:type="dxa" w:w="15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Thu 11 Jun</w:t>
            </w:r>
          </w:p>
        </w:tc>
        <w:tc>
          <w:tcPr>
            <w:tcW w:type="dxa" w:w="13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SHORT</w:t>
            </w:r>
          </w:p>
        </w:tc>
        <w:tc>
          <w:tcPr>
            <w:tcW w:type="dxa" w:w="15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7,287.67</w:t>
            </w:r>
          </w:p>
        </w:tc>
        <w:tc>
          <w:tcPr>
            <w:tcW w:type="dxa" w:w="256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SL</w:t>
            </w:r>
          </w:p>
        </w:tc>
        <w:tc>
          <w:tcPr>
            <w:tcW w:type="dxa" w:w="11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−1.00</w:t>
            </w:r>
          </w:p>
        </w:tc>
        <w:tc>
          <w:tcPr>
            <w:tcW w:type="dxa" w:w="1400"/>
            <w:tcBorders>
              <w:top w:val="single" w:color="BBBBBB" w:sz="1"/>
              <w:left w:val="single" w:color="BBBBBB" w:sz="1"/>
              <w:bottom w:val="single" w:color="BBBBBB" w:sz="1"/>
              <w:right w:val="single" w:color="BBBBBB" w:sz="1"/>
            </w:tcBorders>
            <w:shd w:fill="EEF3F8" w:val="clear"/>
            <w:tcMar>
              <w:top w:type="dxa" w:w="50"/>
              <w:left w:type="dxa" w:w="90"/>
              <w:bottom w:type="dxa" w:w="50"/>
              <w:right w:type="dxa" w:w="90"/>
            </w:tcMar>
            <w:vAlign w:val="center"/>
          </w:tcPr>
          <w:p>
            <w:r>
              <w:rPr>
                <w:rFonts w:ascii="Arial" w:cs="Arial" w:eastAsia="Arial" w:hAnsi="Arial"/>
                <w:b w:val="false"/>
                <w:bCs w:val="false"/>
                <w:sz w:val="20"/>
                <w:szCs w:val="20"/>
              </w:rPr>
              <w:t xml:space="preserve">reversal day</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Fri 12 Jun</w:t>
            </w:r>
          </w:p>
        </w:tc>
        <w:tc>
          <w:tcPr>
            <w:tcW w:type="dxa" w:w="1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LONG</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7,410.85</w:t>
            </w:r>
          </w:p>
        </w:tc>
        <w:tc>
          <w:tcPr>
            <w:tcW w:type="dxa" w:w="25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Close</w:t>
            </w:r>
          </w:p>
        </w:tc>
        <w:tc>
          <w:tcPr>
            <w:tcW w:type="dxa" w:w="1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+0.43</w:t>
            </w:r>
          </w:p>
        </w:tc>
        <w:tc>
          <w:tcPr>
            <w:tcW w:type="dxa" w:w="1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r>
              <w:rPr>
                <w:rFonts w:ascii="Arial" w:cs="Arial" w:eastAsia="Arial" w:hAnsi="Arial"/>
                <w:b w:val="false"/>
                <w:bCs w:val="false"/>
                <w:sz w:val="20"/>
                <w:szCs w:val="20"/>
              </w:rPr>
              <w:t xml:space="preserve">mark-to-close</w:t>
            </w:r>
          </w:p>
        </w:tc>
      </w:tr>
    </w:tbl>
    <w:p>
      <w:pPr>
        <w:pStyle w:val="Heading2"/>
        <w:spacing w:after="80" w:before="160"/>
      </w:pPr>
      <w:r>
        <w:rPr>
          <w:rFonts w:ascii="Arial" w:cs="Arial" w:eastAsia="Arial" w:hAnsi="Arial"/>
          <w:b/>
          <w:bCs/>
          <w:color w:val="2E4F7A"/>
          <w:sz w:val="23"/>
          <w:szCs w:val="23"/>
        </w:rPr>
        <w:t xml:space="preserve">21d · 'What Is Working' Aggregate</w:t>
      </w:r>
    </w:p>
    <w:p>
      <w:pPr>
        <w:spacing w:after="120" w:before="0"/>
      </w:pPr>
      <w:r>
        <w:rPr>
          <w:rFonts w:ascii="Arial" w:cs="Arial" w:eastAsia="Arial" w:hAnsi="Arial"/>
          <w:sz w:val="22"/>
          <w:szCs w:val="22"/>
        </w:rPr>
        <w:t xml:space="preserve">Trade 1 over the last 5 sessions: triggered 5/5 times, mean R = +0.03. Trade 2 and Trade 3 reconstructions were largely suppressed/untriggered in the choppy reversal window (limit/stop levels not reached on a clean basis), so are not ranked. Strongest performer: Trade 1 (only ranked strategy). Weakest performer: insufficient triggers to rank Trades 2 and 3.</w:t>
      </w:r>
    </w:p>
    <w:p>
      <w:pPr>
        <w:spacing w:after="120" w:before="0"/>
      </w:pPr>
      <w:r>
        <w:rPr>
          <w:rFonts w:ascii="Arial" w:cs="Arial" w:eastAsia="Arial" w:hAnsi="Arial"/>
          <w:i/>
          <w:iCs/>
          <w:sz w:val="19"/>
          <w:szCs w:val="19"/>
        </w:rPr>
        <w:t xml:space="preserve">Five-session windows are too small to support statistical claims. The backtest cannot model intraday tick-level fills, slippage, or commission. Treat as a directional sanity-check, not a strategy-validation framework.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S&amp;P 500 Daily Report  │  12 June 2026 close → 15 June 2026  │  Senior US Equity Strategist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4e85e9eebd136ecd4f56ebd045c2ae0bc36694.png"/><Relationship Id="rId9" Type="http://schemas.openxmlformats.org/officeDocument/2006/relationships/image" Target="media/35ddf605e48d1e1cc08d6ff60657530c0997728f.png"/><Relationship Id="rId10" Type="http://schemas.openxmlformats.org/officeDocument/2006/relationships/image" Target="media/002630386c34c1a564ef2fac5467b8a3eb64db53.png"/><Relationship Id="rId11" Type="http://schemas.openxmlformats.org/officeDocument/2006/relationships/image" Target="media/6d791e320a7d0f33749823b116ee06f453993e1b.png"/><Relationship Id="rId12" Type="http://schemas.openxmlformats.org/officeDocument/2006/relationships/image" Target="media/88b94294dc143cd3b11e78537d9ebf026ffd2b4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2026-06-14T21:33:09.469Z</dcterms:created>
  <dcterms:modified xsi:type="dcterms:W3CDTF">2026-06-14T21:33:09.469Z</dcterms:modified>
</cp:coreProperties>
</file>

<file path=docProps/custom.xml><?xml version="1.0" encoding="utf-8"?>
<Properties xmlns="http://schemas.openxmlformats.org/officeDocument/2006/custom-properties" xmlns:vt="http://schemas.openxmlformats.org/officeDocument/2006/docPropsVTypes"/>
</file>