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S&amp;P 500 Report — Daily: 17 July 2026</w:t>
      </w:r>
    </w:p>
    <w:p>
      <w:pPr>
        <w:spacing w:after="60"/>
      </w:pPr>
      <w:r>
        <w:rPr>
          <w:i/>
          <w:iCs/>
          <w:color w:val="595959"/>
          <w:sz w:val="20"/>
          <w:szCs w:val="20"/>
        </w:rPr>
        <w:t xml:space="preserve">With reference to: USDX · VIX · DAX 40</w:t>
      </w:r>
    </w:p>
    <w:p>
      <w:pPr>
        <w:pBdr>
          <w:bottom w:val="single" w:color="1F3864" w:sz="8"/>
        </w:pBdr>
        <w:spacing w:after="240"/>
      </w:pPr>
      <w:r>
        <w:rPr>
          <w:color w:val="595959"/>
          <w:sz w:val="18"/>
          <w:szCs w:val="18"/>
        </w:rPr>
        <w:t xml:space="preserve">Senior US Equity Strategist  ·  As of 16 July 2026 close (America/New_York)  ·  Session anchor: 00:00 UK</w:t>
      </w:r>
    </w:p>
    <w:p>
      <w:pPr>
        <w:pStyle w:val="Heading1"/>
        <w:spacing w:after="120" w:before="240"/>
      </w:pPr>
      <w:r>
        <w:t xml:space="preserve">§1  Executive Snapshot</w:t>
      </w:r>
    </w:p>
    <w:p>
      <w:pPr>
        <w:spacing w:after="160"/>
      </w:pPr>
      <w:r>
        <w:rPr>
          <w:sz w:val="20"/>
          <w:szCs w:val="20"/>
        </w:rPr>
        <w:t xml:space="preserve">The S&amp;P 500 enters the 17 July session at a consensus level of 7,533.77, having closed down 0.51% on Thursday as a sharp semiconductor sell-off overwhelmed an otherwise solid earnings slate. Market tone is cautiously mixed — constructive breadth beneath a deteriorating leadership complex. Three drivers dominate: (i) an AI-valuation reassessment triggered by Taiwan Semiconductor's raised capital-expenditure guidance, which sent the semiconductor complex down roughly 3–4% despite a 77% annual earnings gain; (ii) back-to-back soft inflation prints (June CPI and an unexpected −0.3% PPI) that have pushed near-term Fed hike odds down to roughly 12% for this month while leaving September odds near 56%; and (iii) an escalating US–Iran conflict keeping crude near recent highs and lifting long-end Treasury yields. Short-term technical bias is mildly negative — RSI2 has collapsed from 75.9 to 35.4 in a single session, a clean two-day momentum reversal off the 7,581.50 swing high. The medium-term structural regime remains constructively higher-low, with price 0.7% above the 18-session mean and net +61 points over the window, but the index has now failed twice in five sessions to hold above 7,570. The Kaufman Efficiency Ratio reads +0.37, comfortably above the 0.13 trending threshold and classifying the tape as TRENDING-UP — a direct contradiction of the short-term signal that is not resolved silently and is carried forward to §9 and §16. Net regime label: TRANSITION. The single most important watch item is whether the semiconductor complex stabilises on Friday; the AI-capex re-rating is the only driver capable of overriding an otherwise supportive rates and breadth backdrop.</w:t>
      </w:r>
    </w:p>
    <w:p>
      <w:pPr>
        <w:pStyle w:val="Heading1"/>
        <w:spacing w:after="12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Attribute</w:t>
            </w:r>
          </w:p>
        </w:tc>
        <w:tc>
          <w:tcPr>
            <w:tcW w:type="dxa" w:w="7460"/>
            <w:shd w:fill="1F3864" w:color="auto" w:val="clear"/>
            <w:tcMar>
              <w:top w:type="dxa" w:w="60"/>
              <w:left w:type="dxa" w:w="80"/>
              <w:bottom w:type="dxa" w:w="60"/>
              <w:right w:type="dxa" w:w="80"/>
            </w:tcMar>
          </w:tcPr>
          <w:p>
            <w:r>
              <w:rPr>
                <w:b/>
                <w:bCs/>
                <w:color w:val="FFFFFF"/>
                <w:sz w:val="17"/>
                <w:szCs w:val="17"/>
              </w:rPr>
              <w:t xml:space="preserve">Definition</w:t>
            </w:r>
          </w:p>
        </w:tc>
      </w:tr>
      <w:tr>
        <w:tc>
          <w:tcPr>
            <w:tcW w:type="dxa" w:w="1900"/>
            <w:tcMar>
              <w:top w:type="dxa" w:w="60"/>
              <w:left w:type="dxa" w:w="80"/>
              <w:bottom w:type="dxa" w:w="60"/>
              <w:right w:type="dxa" w:w="80"/>
            </w:tcMar>
          </w:tcPr>
          <w:p>
            <w:r>
              <w:rPr>
                <w:sz w:val="17"/>
                <w:szCs w:val="17"/>
              </w:rPr>
              <w:t xml:space="preserve">Asset</w:t>
            </w:r>
          </w:p>
        </w:tc>
        <w:tc>
          <w:tcPr>
            <w:tcW w:type="dxa" w:w="7460"/>
            <w:tcMar>
              <w:top w:type="dxa" w:w="60"/>
              <w:left w:type="dxa" w:w="80"/>
              <w:bottom w:type="dxa" w:w="60"/>
              <w:right w:type="dxa" w:w="80"/>
            </w:tcMar>
          </w:tcPr>
          <w:p>
            <w:r>
              <w:rPr>
                <w:sz w:val="17"/>
                <w:szCs w:val="17"/>
              </w:rPr>
              <w:t xml:space="preserve">S&amp;P 500 cash index — large-cap US equity benchmark</w:t>
            </w:r>
          </w:p>
        </w:tc>
      </w:tr>
      <w:tr>
        <w:tc>
          <w:tcPr>
            <w:tcW w:type="dxa" w:w="1900"/>
            <w:shd w:fill="F2F2F2" w:color="auto" w:val="clear"/>
            <w:tcMar>
              <w:top w:type="dxa" w:w="60"/>
              <w:left w:type="dxa" w:w="80"/>
              <w:bottom w:type="dxa" w:w="60"/>
              <w:right w:type="dxa" w:w="80"/>
            </w:tcMar>
          </w:tcPr>
          <w:p>
            <w:r>
              <w:rPr>
                <w:sz w:val="17"/>
                <w:szCs w:val="17"/>
              </w:rPr>
              <w:t xml:space="preserve">Specification</w:t>
            </w:r>
          </w:p>
        </w:tc>
        <w:tc>
          <w:tcPr>
            <w:tcW w:type="dxa" w:w="7460"/>
            <w:shd w:fill="F2F2F2" w:color="auto" w:val="clear"/>
            <w:tcMar>
              <w:top w:type="dxa" w:w="60"/>
              <w:left w:type="dxa" w:w="80"/>
              <w:bottom w:type="dxa" w:w="60"/>
              <w:right w:type="dxa" w:w="80"/>
            </w:tcMar>
          </w:tcPr>
          <w:p>
            <w:r>
              <w:rPr>
                <w:sz w:val="17"/>
                <w:szCs w:val="17"/>
              </w:rPr>
              <w:t xml:space="preserve">503 constituents, public-float market-cap weighted; rebalanced quarterly by S&amp;P Dow Jones Indices</w:t>
            </w:r>
          </w:p>
        </w:tc>
      </w:tr>
      <w:tr>
        <w:tc>
          <w:tcPr>
            <w:tcW w:type="dxa" w:w="1900"/>
            <w:tcMar>
              <w:top w:type="dxa" w:w="60"/>
              <w:left w:type="dxa" w:w="80"/>
              <w:bottom w:type="dxa" w:w="60"/>
              <w:right w:type="dxa" w:w="80"/>
            </w:tcMar>
          </w:tcPr>
          <w:p>
            <w:r>
              <w:rPr>
                <w:sz w:val="17"/>
                <w:szCs w:val="17"/>
              </w:rPr>
              <w:t xml:space="preserve">Scope</w:t>
            </w:r>
          </w:p>
        </w:tc>
        <w:tc>
          <w:tcPr>
            <w:tcW w:type="dxa" w:w="7460"/>
            <w:tcMar>
              <w:top w:type="dxa" w:w="60"/>
              <w:left w:type="dxa" w:w="80"/>
              <w:bottom w:type="dxa" w:w="60"/>
              <w:right w:type="dxa" w:w="80"/>
            </w:tcMar>
          </w:tcPr>
          <w:p>
            <w:r>
              <w:rPr>
                <w:sz w:val="17"/>
                <w:szCs w:val="17"/>
              </w:rPr>
              <w:t xml:space="preserve">Global / US — headline US benchmark with a global investor base</w:t>
            </w:r>
          </w:p>
        </w:tc>
      </w:tr>
      <w:tr>
        <w:tc>
          <w:tcPr>
            <w:tcW w:type="dxa" w:w="1900"/>
            <w:shd w:fill="F2F2F2" w:color="auto" w:val="clear"/>
            <w:tcMar>
              <w:top w:type="dxa" w:w="60"/>
              <w:left w:type="dxa" w:w="80"/>
              <w:bottom w:type="dxa" w:w="60"/>
              <w:right w:type="dxa" w:w="80"/>
            </w:tcMar>
          </w:tcPr>
          <w:p>
            <w:r>
              <w:rPr>
                <w:sz w:val="17"/>
                <w:szCs w:val="17"/>
              </w:rPr>
              <w:t xml:space="preserve">Delivery basis</w:t>
            </w:r>
          </w:p>
        </w:tc>
        <w:tc>
          <w:tcPr>
            <w:tcW w:type="dxa" w:w="7460"/>
            <w:shd w:fill="F2F2F2" w:color="auto" w:val="clear"/>
            <w:tcMar>
              <w:top w:type="dxa" w:w="60"/>
              <w:left w:type="dxa" w:w="80"/>
              <w:bottom w:type="dxa" w:w="60"/>
              <w:right w:type="dxa" w:w="80"/>
            </w:tcMar>
          </w:tcPr>
          <w:p>
            <w:r>
              <w:rPr>
                <w:sz w:val="17"/>
                <w:szCs w:val="17"/>
              </w:rPr>
              <w:t xml:space="preserve">NYSE/NASDAQ regular trading session 09:30–16:00 ET. Cash session only; pre- and after-market indications are excluded from OHLC</w:t>
            </w:r>
          </w:p>
        </w:tc>
      </w:tr>
      <w:tr>
        <w:tc>
          <w:tcPr>
            <w:tcW w:type="dxa" w:w="1900"/>
            <w:tcMar>
              <w:top w:type="dxa" w:w="60"/>
              <w:left w:type="dxa" w:w="80"/>
              <w:bottom w:type="dxa" w:w="60"/>
              <w:right w:type="dxa" w:w="80"/>
            </w:tcMar>
          </w:tcPr>
          <w:p>
            <w:r>
              <w:rPr>
                <w:sz w:val="17"/>
                <w:szCs w:val="17"/>
              </w:rPr>
              <w:t xml:space="preserve">Unit of measure</w:t>
            </w:r>
          </w:p>
        </w:tc>
        <w:tc>
          <w:tcPr>
            <w:tcW w:type="dxa" w:w="7460"/>
            <w:tcMar>
              <w:top w:type="dxa" w:w="60"/>
              <w:left w:type="dxa" w:w="80"/>
              <w:bottom w:type="dxa" w:w="60"/>
              <w:right w:type="dxa" w:w="80"/>
            </w:tcMar>
          </w:tcPr>
          <w:p>
            <w:r>
              <w:rPr>
                <w:sz w:val="17"/>
                <w:szCs w:val="17"/>
              </w:rPr>
              <w:t xml:space="preserve">Index points</w:t>
            </w:r>
          </w:p>
        </w:tc>
      </w:tr>
      <w:tr>
        <w:tc>
          <w:tcPr>
            <w:tcW w:type="dxa" w:w="1900"/>
            <w:shd w:fill="F2F2F2" w:color="auto" w:val="clear"/>
            <w:tcMar>
              <w:top w:type="dxa" w:w="60"/>
              <w:left w:type="dxa" w:w="80"/>
              <w:bottom w:type="dxa" w:w="60"/>
              <w:right w:type="dxa" w:w="80"/>
            </w:tcMar>
          </w:tcPr>
          <w:p>
            <w:r>
              <w:rPr>
                <w:sz w:val="17"/>
                <w:szCs w:val="17"/>
              </w:rPr>
              <w:t xml:space="preserve">Currency</w:t>
            </w:r>
          </w:p>
        </w:tc>
        <w:tc>
          <w:tcPr>
            <w:tcW w:type="dxa" w:w="7460"/>
            <w:shd w:fill="F2F2F2" w:color="auto" w:val="clear"/>
            <w:tcMar>
              <w:top w:type="dxa" w:w="60"/>
              <w:left w:type="dxa" w:w="80"/>
              <w:bottom w:type="dxa" w:w="60"/>
              <w:right w:type="dxa" w:w="80"/>
            </w:tcMar>
          </w:tcPr>
          <w:p>
            <w:r>
              <w:rPr>
                <w:sz w:val="17"/>
                <w:szCs w:val="17"/>
              </w:rPr>
              <w:t xml:space="preserve">USD</w:t>
            </w:r>
          </w:p>
        </w:tc>
      </w:tr>
      <w:tr>
        <w:tc>
          <w:tcPr>
            <w:tcW w:type="dxa" w:w="1900"/>
            <w:tcMar>
              <w:top w:type="dxa" w:w="60"/>
              <w:left w:type="dxa" w:w="80"/>
              <w:bottom w:type="dxa" w:w="60"/>
              <w:right w:type="dxa" w:w="80"/>
            </w:tcMar>
          </w:tcPr>
          <w:p>
            <w:r>
              <w:rPr>
                <w:sz w:val="17"/>
                <w:szCs w:val="17"/>
              </w:rPr>
              <w:t xml:space="preserve">Price basis</w:t>
            </w:r>
          </w:p>
        </w:tc>
        <w:tc>
          <w:tcPr>
            <w:tcW w:type="dxa" w:w="7460"/>
            <w:tcMar>
              <w:top w:type="dxa" w:w="60"/>
              <w:left w:type="dxa" w:w="80"/>
              <w:bottom w:type="dxa" w:w="60"/>
              <w:right w:type="dxa" w:w="80"/>
            </w:tcMar>
          </w:tcPr>
          <w:p>
            <w:r>
              <w:rPr>
                <w:sz w:val="17"/>
                <w:szCs w:val="17"/>
              </w:rPr>
              <w:t xml:space="preserve">Cash index level (continuous), calculated by S&amp;P Dow Jones during regular trading hours. Not the ES futures contract</w:t>
            </w:r>
          </w:p>
        </w:tc>
      </w:tr>
      <w:tr>
        <w:tc>
          <w:tcPr>
            <w:tcW w:type="dxa" w:w="1900"/>
            <w:shd w:fill="F2F2F2" w:color="auto" w:val="clear"/>
            <w:tcMar>
              <w:top w:type="dxa" w:w="60"/>
              <w:left w:type="dxa" w:w="80"/>
              <w:bottom w:type="dxa" w:w="60"/>
              <w:right w:type="dxa" w:w="80"/>
            </w:tcMar>
          </w:tcPr>
          <w:p>
            <w:r>
              <w:rPr>
                <w:sz w:val="17"/>
                <w:szCs w:val="17"/>
              </w:rPr>
              <w:t xml:space="preserve">Tick precision</w:t>
            </w:r>
          </w:p>
        </w:tc>
        <w:tc>
          <w:tcPr>
            <w:tcW w:type="dxa" w:w="7460"/>
            <w:shd w:fill="F2F2F2" w:color="auto" w:val="clear"/>
            <w:tcMar>
              <w:top w:type="dxa" w:w="60"/>
              <w:left w:type="dxa" w:w="80"/>
              <w:bottom w:type="dxa" w:w="60"/>
              <w:right w:type="dxa" w:w="80"/>
            </w:tcMar>
          </w:tcPr>
          <w:p>
            <w:r>
              <w:rPr>
                <w:sz w:val="17"/>
                <w:szCs w:val="17"/>
              </w:rPr>
              <w:t xml:space="preserve">0.01 index point</w:t>
            </w:r>
          </w:p>
        </w:tc>
      </w:tr>
      <w:tr>
        <w:tc>
          <w:tcPr>
            <w:tcW w:type="dxa" w:w="1900"/>
            <w:tcMar>
              <w:top w:type="dxa" w:w="60"/>
              <w:left w:type="dxa" w:w="80"/>
              <w:bottom w:type="dxa" w:w="60"/>
              <w:right w:type="dxa" w:w="80"/>
            </w:tcMar>
          </w:tcPr>
          <w:p>
            <w:r>
              <w:rPr>
                <w:sz w:val="17"/>
                <w:szCs w:val="17"/>
              </w:rPr>
              <w:t xml:space="preserve">As-of date</w:t>
            </w:r>
          </w:p>
        </w:tc>
        <w:tc>
          <w:tcPr>
            <w:tcW w:type="dxa" w:w="7460"/>
            <w:tcMar>
              <w:top w:type="dxa" w:w="60"/>
              <w:left w:type="dxa" w:w="80"/>
              <w:bottom w:type="dxa" w:w="60"/>
              <w:right w:type="dxa" w:w="80"/>
            </w:tcMar>
          </w:tcPr>
          <w:p>
            <w:r>
              <w:rPr>
                <w:sz w:val="17"/>
                <w:szCs w:val="17"/>
              </w:rPr>
              <w:t xml:space="preserve">16 July 2026 close (America/New_York) — report constructed for the 17 July 2026 session</w:t>
            </w:r>
          </w:p>
        </w:tc>
      </w:tr>
      <w:tr>
        <w:tc>
          <w:tcPr>
            <w:tcW w:type="dxa" w:w="1900"/>
            <w:shd w:fill="F2F2F2" w:color="auto" w:val="clear"/>
            <w:tcMar>
              <w:top w:type="dxa" w:w="60"/>
              <w:left w:type="dxa" w:w="80"/>
              <w:bottom w:type="dxa" w:w="60"/>
              <w:right w:type="dxa" w:w="80"/>
            </w:tcMar>
          </w:tcPr>
          <w:p>
            <w:r>
              <w:rPr>
                <w:sz w:val="17"/>
                <w:szCs w:val="17"/>
              </w:rPr>
              <w:t xml:space="preserve">Lookback window</w:t>
            </w:r>
          </w:p>
        </w:tc>
        <w:tc>
          <w:tcPr>
            <w:tcW w:type="dxa" w:w="7460"/>
            <w:shd w:fill="F2F2F2" w:color="auto" w:val="clear"/>
            <w:tcMar>
              <w:top w:type="dxa" w:w="60"/>
              <w:left w:type="dxa" w:w="80"/>
              <w:bottom w:type="dxa" w:w="60"/>
              <w:right w:type="dxa" w:w="80"/>
            </w:tcMar>
          </w:tcPr>
          <w:p>
            <w:r>
              <w:rPr>
                <w:sz w:val="17"/>
                <w:szCs w:val="17"/>
              </w:rPr>
              <w:t xml:space="preserve">5 sessions (short) / 25 sessions (medium)</w:t>
            </w:r>
          </w:p>
        </w:tc>
      </w:tr>
      <w:tr>
        <w:tc>
          <w:tcPr>
            <w:tcW w:type="dxa" w:w="1900"/>
            <w:tcMar>
              <w:top w:type="dxa" w:w="60"/>
              <w:left w:type="dxa" w:w="80"/>
              <w:bottom w:type="dxa" w:w="60"/>
              <w:right w:type="dxa" w:w="80"/>
            </w:tcMar>
          </w:tcPr>
          <w:p>
            <w:r>
              <w:rPr>
                <w:sz w:val="17"/>
                <w:szCs w:val="17"/>
              </w:rPr>
              <w:t xml:space="preserve">Session anchor</w:t>
            </w:r>
          </w:p>
        </w:tc>
        <w:tc>
          <w:tcPr>
            <w:tcW w:type="dxa" w:w="7460"/>
            <w:tcMar>
              <w:top w:type="dxa" w:w="60"/>
              <w:left w:type="dxa" w:w="80"/>
              <w:bottom w:type="dxa" w:w="60"/>
              <w:right w:type="dxa" w:w="80"/>
            </w:tcMar>
          </w:tcPr>
          <w:p>
            <w:r>
              <w:rPr>
                <w:sz w:val="17"/>
                <w:szCs w:val="17"/>
              </w:rPr>
              <w:t xml:space="preserve">00:00 UK — see §19 for the operational note on this override</w:t>
            </w:r>
          </w:p>
        </w:tc>
      </w:tr>
    </w:tbl>
    <w:p>
      <w:pPr>
        <w:pStyle w:val="Heading1"/>
        <w:spacing w:after="12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Field</w:t>
            </w:r>
          </w:p>
        </w:tc>
        <w:tc>
          <w:tcPr>
            <w:tcW w:type="dxa" w:w="74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1900"/>
            <w:tcMar>
              <w:top w:type="dxa" w:w="60"/>
              <w:left w:type="dxa" w:w="80"/>
              <w:bottom w:type="dxa" w:w="60"/>
              <w:right w:type="dxa" w:w="80"/>
            </w:tcMar>
          </w:tcPr>
          <w:p>
            <w:r>
              <w:rPr>
                <w:sz w:val="17"/>
                <w:szCs w:val="17"/>
              </w:rPr>
              <w:t xml:space="preserve">Consensus price</w:t>
            </w:r>
          </w:p>
        </w:tc>
        <w:tc>
          <w:tcPr>
            <w:tcW w:type="dxa" w:w="7460"/>
            <w:tcMar>
              <w:top w:type="dxa" w:w="60"/>
              <w:left w:type="dxa" w:w="80"/>
              <w:bottom w:type="dxa" w:w="60"/>
              <w:right w:type="dxa" w:w="80"/>
            </w:tcMar>
          </w:tcPr>
          <w:p>
            <w:r>
              <w:rPr>
                <w:sz w:val="17"/>
                <w:szCs w:val="17"/>
              </w:rPr>
              <w:t xml:space="preserve">7,533.77 index points</w:t>
            </w:r>
          </w:p>
        </w:tc>
      </w:tr>
      <w:tr>
        <w:tc>
          <w:tcPr>
            <w:tcW w:type="dxa" w:w="1900"/>
            <w:shd w:fill="F2F2F2" w:color="auto" w:val="clear"/>
            <w:tcMar>
              <w:top w:type="dxa" w:w="60"/>
              <w:left w:type="dxa" w:w="80"/>
              <w:bottom w:type="dxa" w:w="60"/>
              <w:right w:type="dxa" w:w="80"/>
            </w:tcMar>
          </w:tcPr>
          <w:p>
            <w:r>
              <w:rPr>
                <w:sz w:val="17"/>
                <w:szCs w:val="17"/>
              </w:rPr>
              <w:t xml:space="preserve">Range</w:t>
            </w:r>
          </w:p>
        </w:tc>
        <w:tc>
          <w:tcPr>
            <w:tcW w:type="dxa" w:w="7460"/>
            <w:shd w:fill="F2F2F2" w:color="auto" w:val="clear"/>
            <w:tcMar>
              <w:top w:type="dxa" w:w="60"/>
              <w:left w:type="dxa" w:w="80"/>
              <w:bottom w:type="dxa" w:w="60"/>
              <w:right w:type="dxa" w:w="80"/>
            </w:tcMar>
          </w:tcPr>
          <w:p>
            <w:r>
              <w:rPr>
                <w:sz w:val="17"/>
                <w:szCs w:val="17"/>
              </w:rPr>
              <w:t xml:space="preserve">7,504.02 – 7,570.74 (16 July session range)</w:t>
            </w:r>
          </w:p>
        </w:tc>
      </w:tr>
      <w:tr>
        <w:tc>
          <w:tcPr>
            <w:tcW w:type="dxa" w:w="1900"/>
            <w:tcMar>
              <w:top w:type="dxa" w:w="60"/>
              <w:left w:type="dxa" w:w="80"/>
              <w:bottom w:type="dxa" w:w="60"/>
              <w:right w:type="dxa" w:w="80"/>
            </w:tcMar>
          </w:tcPr>
          <w:p>
            <w:r>
              <w:rPr>
                <w:sz w:val="17"/>
                <w:szCs w:val="17"/>
              </w:rPr>
              <w:t xml:space="preserve">Basis</w:t>
            </w:r>
          </w:p>
        </w:tc>
        <w:tc>
          <w:tcPr>
            <w:tcW w:type="dxa" w:w="7460"/>
            <w:tcMar>
              <w:top w:type="dxa" w:w="60"/>
              <w:left w:type="dxa" w:w="80"/>
              <w:bottom w:type="dxa" w:w="60"/>
              <w:right w:type="dxa" w:w="80"/>
            </w:tcMar>
          </w:tcPr>
          <w:p>
            <w:r>
              <w:rPr>
                <w:sz w:val="17"/>
                <w:szCs w:val="17"/>
              </w:rPr>
              <w:t xml:space="preserve">Official S&amp;P Dow Jones cash close, NYSE/NASDAQ regular session, 16 July 2026</w:t>
            </w:r>
          </w:p>
        </w:tc>
      </w:tr>
      <w:tr>
        <w:tc>
          <w:tcPr>
            <w:tcW w:type="dxa" w:w="1900"/>
            <w:shd w:fill="F2F2F2" w:color="auto" w:val="clear"/>
            <w:tcMar>
              <w:top w:type="dxa" w:w="60"/>
              <w:left w:type="dxa" w:w="80"/>
              <w:bottom w:type="dxa" w:w="60"/>
              <w:right w:type="dxa" w:w="80"/>
            </w:tcMar>
          </w:tcPr>
          <w:p>
            <w:r>
              <w:rPr>
                <w:sz w:val="17"/>
                <w:szCs w:val="17"/>
              </w:rPr>
              <w:t xml:space="preserve">Confidence</w:t>
            </w:r>
          </w:p>
        </w:tc>
        <w:tc>
          <w:tcPr>
            <w:tcW w:type="dxa" w:w="7460"/>
            <w:shd w:fill="F2F2F2" w:color="auto" w:val="clear"/>
            <w:tcMar>
              <w:top w:type="dxa" w:w="60"/>
              <w:left w:type="dxa" w:w="80"/>
              <w:bottom w:type="dxa" w:w="60"/>
              <w:right w:type="dxa" w:w="80"/>
            </w:tcMar>
          </w:tcPr>
          <w:p>
            <w:r>
              <w:rPr>
                <w:sz w:val="17"/>
                <w:szCs w:val="17"/>
              </w:rPr>
              <w:t xml:space="preserve">High</w:t>
            </w:r>
          </w:p>
        </w:tc>
      </w:tr>
      <w:tr>
        <w:tc>
          <w:tcPr>
            <w:tcW w:type="dxa" w:w="1900"/>
            <w:tcMar>
              <w:top w:type="dxa" w:w="60"/>
              <w:left w:type="dxa" w:w="80"/>
              <w:bottom w:type="dxa" w:w="60"/>
              <w:right w:type="dxa" w:w="80"/>
            </w:tcMar>
          </w:tcPr>
          <w:p>
            <w:r>
              <w:rPr>
                <w:sz w:val="17"/>
                <w:szCs w:val="17"/>
              </w:rPr>
              <w:t xml:space="preserve">Market tone</w:t>
            </w:r>
          </w:p>
        </w:tc>
        <w:tc>
          <w:tcPr>
            <w:tcW w:type="dxa" w:w="7460"/>
            <w:tcMar>
              <w:top w:type="dxa" w:w="60"/>
              <w:left w:type="dxa" w:w="80"/>
              <w:bottom w:type="dxa" w:w="60"/>
              <w:right w:type="dxa" w:w="80"/>
            </w:tcMar>
          </w:tcPr>
          <w:p>
            <w:r>
              <w:rPr>
                <w:sz w:val="17"/>
                <w:szCs w:val="17"/>
              </w:rPr>
              <w:t xml:space="preserve">Cautiously mixed — soft-inflation tailwind offset by an AI-capex valuation reassessment and Gulf geopolitical risk</w:t>
            </w:r>
          </w:p>
        </w:tc>
      </w:tr>
      <w:tr>
        <w:tc>
          <w:tcPr>
            <w:tcW w:type="dxa" w:w="1900"/>
            <w:shd w:fill="F2F2F2" w:color="auto" w:val="clear"/>
            <w:tcMar>
              <w:top w:type="dxa" w:w="60"/>
              <w:left w:type="dxa" w:w="80"/>
              <w:bottom w:type="dxa" w:w="60"/>
              <w:right w:type="dxa" w:w="80"/>
            </w:tcMar>
          </w:tcPr>
          <w:p>
            <w:r>
              <w:rPr>
                <w:sz w:val="17"/>
                <w:szCs w:val="17"/>
              </w:rPr>
              <w:t xml:space="preserve">Rationale</w:t>
            </w:r>
          </w:p>
        </w:tc>
        <w:tc>
          <w:tcPr>
            <w:tcW w:type="dxa" w:w="7460"/>
            <w:shd w:fill="F2F2F2" w:color="auto" w:val="clear"/>
            <w:tcMar>
              <w:top w:type="dxa" w:w="60"/>
              <w:left w:type="dxa" w:w="80"/>
              <w:bottom w:type="dxa" w:w="60"/>
              <w:right w:type="dxa" w:w="80"/>
            </w:tcMar>
          </w:tcPr>
          <w:p>
            <w:r>
              <w:rPr>
                <w:sz w:val="17"/>
                <w:szCs w:val="17"/>
              </w:rPr>
              <w:t xml:space="preserve">Six independent sources converge on 7,533.77 with zero dispersion at the published close; the figure is the exchange-calculated official settlement level rather than a derived or aggregated quote. Confidence is High because the reference is definitional rather than estimated.</w:t>
            </w:r>
          </w:p>
        </w:tc>
      </w:tr>
    </w:tbl>
    <w:p>
      <w:pPr>
        <w:pStyle w:val="Heading1"/>
        <w:spacing w:after="12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1130"/>
        <w:gridCol w:w="1250"/>
        <w:gridCol w:w="1050"/>
        <w:gridCol w:w="1500"/>
        <w:gridCol w:w="1150"/>
        <w:gridCol w:w="1950"/>
      </w:tblGrid>
      <w:tr>
        <w:trPr>
          <w:tblHeader/>
        </w:trPr>
        <w:tc>
          <w:tcPr>
            <w:tcW w:type="dxa" w:w="1330"/>
            <w:shd w:fill="1F3864" w:color="auto" w:val="clear"/>
            <w:tcMar>
              <w:top w:type="dxa" w:w="60"/>
              <w:left w:type="dxa" w:w="80"/>
              <w:bottom w:type="dxa" w:w="60"/>
              <w:right w:type="dxa" w:w="80"/>
            </w:tcMar>
          </w:tcPr>
          <w:p>
            <w:r>
              <w:rPr>
                <w:b/>
                <w:bCs/>
                <w:color w:val="FFFFFF"/>
                <w:sz w:val="17"/>
                <w:szCs w:val="17"/>
              </w:rPr>
              <w:t xml:space="preserve">Source</w:t>
            </w:r>
          </w:p>
        </w:tc>
        <w:tc>
          <w:tcPr>
            <w:tcW w:type="dxa" w:w="1130"/>
            <w:shd w:fill="1F3864" w:color="auto" w:val="clear"/>
            <w:tcMar>
              <w:top w:type="dxa" w:w="60"/>
              <w:left w:type="dxa" w:w="80"/>
              <w:bottom w:type="dxa" w:w="60"/>
              <w:right w:type="dxa" w:w="80"/>
            </w:tcMar>
          </w:tcPr>
          <w:p>
            <w:r>
              <w:rPr>
                <w:b/>
                <w:bCs/>
                <w:color w:val="FFFFFF"/>
                <w:sz w:val="17"/>
                <w:szCs w:val="17"/>
              </w:rPr>
              <w:t xml:space="preserve">Date/Time</w:t>
            </w:r>
          </w:p>
        </w:tc>
        <w:tc>
          <w:tcPr>
            <w:tcW w:type="dxa" w:w="1250"/>
            <w:shd w:fill="1F3864" w:color="auto" w:val="clear"/>
            <w:tcMar>
              <w:top w:type="dxa" w:w="60"/>
              <w:left w:type="dxa" w:w="80"/>
              <w:bottom w:type="dxa" w:w="60"/>
              <w:right w:type="dxa" w:w="80"/>
            </w:tcMar>
          </w:tcPr>
          <w:p>
            <w:r>
              <w:rPr>
                <w:b/>
                <w:bCs/>
                <w:color w:val="FFFFFF"/>
                <w:sz w:val="17"/>
                <w:szCs w:val="17"/>
              </w:rPr>
              <w:t xml:space="preserve">Raw Quote</w:t>
            </w:r>
          </w:p>
        </w:tc>
        <w:tc>
          <w:tcPr>
            <w:tcW w:type="dxa" w:w="1050"/>
            <w:shd w:fill="1F3864" w:color="auto" w:val="clear"/>
            <w:tcMar>
              <w:top w:type="dxa" w:w="60"/>
              <w:left w:type="dxa" w:w="80"/>
              <w:bottom w:type="dxa" w:w="60"/>
              <w:right w:type="dxa" w:w="80"/>
            </w:tcMar>
          </w:tcPr>
          <w:p>
            <w:r>
              <w:rPr>
                <w:b/>
                <w:bCs/>
                <w:color w:val="FFFFFF"/>
                <w:sz w:val="17"/>
                <w:szCs w:val="17"/>
              </w:rPr>
              <w:t xml:space="preserve">Normalized</w:t>
            </w:r>
          </w:p>
        </w:tc>
        <w:tc>
          <w:tcPr>
            <w:tcW w:type="dxa" w:w="1500"/>
            <w:shd w:fill="1F3864" w:color="auto" w:val="clear"/>
            <w:tcMar>
              <w:top w:type="dxa" w:w="60"/>
              <w:left w:type="dxa" w:w="80"/>
              <w:bottom w:type="dxa" w:w="60"/>
              <w:right w:type="dxa" w:w="80"/>
            </w:tcMar>
          </w:tcPr>
          <w:p>
            <w:r>
              <w:rPr>
                <w:b/>
                <w:bCs/>
                <w:color w:val="FFFFFF"/>
                <w:sz w:val="17"/>
                <w:szCs w:val="17"/>
              </w:rPr>
              <w:t xml:space="preserve">Basis / Location</w:t>
            </w:r>
          </w:p>
        </w:tc>
        <w:tc>
          <w:tcPr>
            <w:tcW w:type="dxa" w:w="1150"/>
            <w:shd w:fill="1F3864" w:color="auto" w:val="clear"/>
            <w:tcMar>
              <w:top w:type="dxa" w:w="60"/>
              <w:left w:type="dxa" w:w="80"/>
              <w:bottom w:type="dxa" w:w="60"/>
              <w:right w:type="dxa" w:w="80"/>
            </w:tcMar>
          </w:tcPr>
          <w:p>
            <w:r>
              <w:rPr>
                <w:b/>
                <w:bCs/>
                <w:color w:val="FFFFFF"/>
                <w:sz w:val="17"/>
                <w:szCs w:val="17"/>
              </w:rPr>
              <w:t xml:space="preserve">Relevance</w:t>
            </w:r>
          </w:p>
        </w:tc>
        <w:tc>
          <w:tcPr>
            <w:tcW w:type="dxa" w:w="1950"/>
            <w:shd w:fill="1F3864" w:color="auto" w:val="clear"/>
            <w:tcMar>
              <w:top w:type="dxa" w:w="60"/>
              <w:left w:type="dxa" w:w="80"/>
              <w:bottom w:type="dxa" w:w="60"/>
              <w:right w:type="dxa" w:w="80"/>
            </w:tcMar>
          </w:tcPr>
          <w:p>
            <w:r>
              <w:rPr>
                <w:b/>
                <w:bCs/>
                <w:color w:val="FFFFFF"/>
                <w:sz w:val="17"/>
                <w:szCs w:val="17"/>
              </w:rPr>
              <w:t xml:space="preserve">Notes</w:t>
            </w:r>
          </w:p>
        </w:tc>
      </w:tr>
      <w:tr>
        <w:tc>
          <w:tcPr>
            <w:tcW w:type="dxa" w:w="1330"/>
            <w:tcMar>
              <w:top w:type="dxa" w:w="60"/>
              <w:left w:type="dxa" w:w="80"/>
              <w:bottom w:type="dxa" w:w="60"/>
              <w:right w:type="dxa" w:w="80"/>
            </w:tcMar>
          </w:tcPr>
          <w:p>
            <w:r>
              <w:rPr>
                <w:sz w:val="17"/>
                <w:szCs w:val="17"/>
              </w:rPr>
              <w:t xml:space="preserve">S&amp;P Dow Jones (via FRED)</w:t>
            </w:r>
          </w:p>
        </w:tc>
        <w:tc>
          <w:tcPr>
            <w:tcW w:type="dxa" w:w="1130"/>
            <w:tcMar>
              <w:top w:type="dxa" w:w="60"/>
              <w:left w:type="dxa" w:w="80"/>
              <w:bottom w:type="dxa" w:w="60"/>
              <w:right w:type="dxa" w:w="80"/>
            </w:tcMar>
          </w:tcPr>
          <w:p>
            <w:r>
              <w:rPr>
                <w:sz w:val="17"/>
                <w:szCs w:val="17"/>
              </w:rPr>
              <w:t xml:space="preserve">16 Jul, 16:00 ET</w:t>
            </w:r>
          </w:p>
        </w:tc>
        <w:tc>
          <w:tcPr>
            <w:tcW w:type="dxa" w:w="1250"/>
            <w:tcMar>
              <w:top w:type="dxa" w:w="60"/>
              <w:left w:type="dxa" w:w="80"/>
              <w:bottom w:type="dxa" w:w="60"/>
              <w:right w:type="dxa" w:w="80"/>
            </w:tcMar>
          </w:tcPr>
          <w:p>
            <w:r>
              <w:rPr>
                <w:sz w:val="17"/>
                <w:szCs w:val="17"/>
              </w:rPr>
              <w:t xml:space="preserve">7,533.77</w:t>
            </w:r>
          </w:p>
        </w:tc>
        <w:tc>
          <w:tcPr>
            <w:tcW w:type="dxa" w:w="1050"/>
            <w:tcMar>
              <w:top w:type="dxa" w:w="60"/>
              <w:left w:type="dxa" w:w="80"/>
              <w:bottom w:type="dxa" w:w="60"/>
              <w:right w:type="dxa" w:w="80"/>
            </w:tcMar>
          </w:tcPr>
          <w:p>
            <w:r>
              <w:rPr>
                <w:sz w:val="17"/>
                <w:szCs w:val="17"/>
              </w:rPr>
              <w:t xml:space="preserve">7,533.77</w:t>
            </w:r>
          </w:p>
        </w:tc>
        <w:tc>
          <w:tcPr>
            <w:tcW w:type="dxa" w:w="1500"/>
            <w:tcMar>
              <w:top w:type="dxa" w:w="60"/>
              <w:left w:type="dxa" w:w="80"/>
              <w:bottom w:type="dxa" w:w="60"/>
              <w:right w:type="dxa" w:w="80"/>
            </w:tcMar>
          </w:tcPr>
          <w:p>
            <w:r>
              <w:rPr>
                <w:sz w:val="17"/>
                <w:szCs w:val="17"/>
              </w:rPr>
              <w:t xml:space="preserve">Official cash close, New York</w:t>
            </w:r>
          </w:p>
        </w:tc>
        <w:tc>
          <w:tcPr>
            <w:tcW w:type="dxa" w:w="1150"/>
            <w:tcMar>
              <w:top w:type="dxa" w:w="60"/>
              <w:left w:type="dxa" w:w="80"/>
              <w:bottom w:type="dxa" w:w="60"/>
              <w:right w:type="dxa" w:w="80"/>
            </w:tcMar>
          </w:tcPr>
          <w:p>
            <w:r>
              <w:rPr>
                <w:sz w:val="17"/>
                <w:szCs w:val="17"/>
              </w:rPr>
              <w:t xml:space="preserve">Tier 1 — Primary</w:t>
            </w:r>
          </w:p>
        </w:tc>
        <w:tc>
          <w:tcPr>
            <w:tcW w:type="dxa" w:w="1950"/>
            <w:tcMar>
              <w:top w:type="dxa" w:w="60"/>
              <w:left w:type="dxa" w:w="80"/>
              <w:bottom w:type="dxa" w:w="60"/>
              <w:right w:type="dxa" w:w="80"/>
            </w:tcMar>
          </w:tcPr>
          <w:p>
            <w:r>
              <w:rPr>
                <w:sz w:val="17"/>
                <w:szCs w:val="17"/>
              </w:rPr>
              <w:t xml:space="preserve">Index provider of record; definitional</w:t>
            </w:r>
          </w:p>
        </w:tc>
      </w:tr>
      <w:tr>
        <w:tc>
          <w:tcPr>
            <w:tcW w:type="dxa" w:w="1330"/>
            <w:shd w:fill="F2F2F2" w:color="auto" w:val="clear"/>
            <w:tcMar>
              <w:top w:type="dxa" w:w="60"/>
              <w:left w:type="dxa" w:w="80"/>
              <w:bottom w:type="dxa" w:w="60"/>
              <w:right w:type="dxa" w:w="80"/>
            </w:tcMar>
          </w:tcPr>
          <w:p>
            <w:r>
              <w:rPr>
                <w:sz w:val="17"/>
                <w:szCs w:val="17"/>
              </w:rPr>
              <w:t xml:space="preserve">CNBC</w:t>
            </w:r>
          </w:p>
        </w:tc>
        <w:tc>
          <w:tcPr>
            <w:tcW w:type="dxa" w:w="1130"/>
            <w:shd w:fill="F2F2F2" w:color="auto" w:val="clear"/>
            <w:tcMar>
              <w:top w:type="dxa" w:w="60"/>
              <w:left w:type="dxa" w:w="80"/>
              <w:bottom w:type="dxa" w:w="60"/>
              <w:right w:type="dxa" w:w="80"/>
            </w:tcMar>
          </w:tcPr>
          <w:p>
            <w:r>
              <w:rPr>
                <w:sz w:val="17"/>
                <w:szCs w:val="17"/>
              </w:rPr>
              <w:t xml:space="preserve">16 Jul, 17:13 ET</w:t>
            </w:r>
          </w:p>
        </w:tc>
        <w:tc>
          <w:tcPr>
            <w:tcW w:type="dxa" w:w="1250"/>
            <w:shd w:fill="F2F2F2" w:color="auto" w:val="clear"/>
            <w:tcMar>
              <w:top w:type="dxa" w:w="60"/>
              <w:left w:type="dxa" w:w="80"/>
              <w:bottom w:type="dxa" w:w="60"/>
              <w:right w:type="dxa" w:w="80"/>
            </w:tcMar>
          </w:tcPr>
          <w:p>
            <w:r>
              <w:rPr>
                <w:sz w:val="17"/>
                <w:szCs w:val="17"/>
              </w:rPr>
              <w:t xml:space="preserve">7,533.77 (−0.51%)</w:t>
            </w:r>
          </w:p>
        </w:tc>
        <w:tc>
          <w:tcPr>
            <w:tcW w:type="dxa" w:w="1050"/>
            <w:shd w:fill="F2F2F2" w:color="auto" w:val="clear"/>
            <w:tcMar>
              <w:top w:type="dxa" w:w="60"/>
              <w:left w:type="dxa" w:w="80"/>
              <w:bottom w:type="dxa" w:w="60"/>
              <w:right w:type="dxa" w:w="80"/>
            </w:tcMar>
          </w:tcPr>
          <w:p>
            <w:r>
              <w:rPr>
                <w:sz w:val="17"/>
                <w:szCs w:val="17"/>
              </w:rPr>
              <w:t xml:space="preserve">7,533.77</w:t>
            </w:r>
          </w:p>
        </w:tc>
        <w:tc>
          <w:tcPr>
            <w:tcW w:type="dxa" w:w="1500"/>
            <w:shd w:fill="F2F2F2" w:color="auto" w:val="clear"/>
            <w:tcMar>
              <w:top w:type="dxa" w:w="60"/>
              <w:left w:type="dxa" w:w="80"/>
              <w:bottom w:type="dxa" w:w="60"/>
              <w:right w:type="dxa" w:w="80"/>
            </w:tcMar>
          </w:tcPr>
          <w:p>
            <w:r>
              <w:rPr>
                <w:sz w:val="17"/>
                <w:szCs w:val="17"/>
              </w:rPr>
              <w:t xml:space="preserve">Cash close, New York</w:t>
            </w:r>
          </w:p>
        </w:tc>
        <w:tc>
          <w:tcPr>
            <w:tcW w:type="dxa" w:w="1150"/>
            <w:shd w:fill="F2F2F2" w:color="auto" w:val="clear"/>
            <w:tcMar>
              <w:top w:type="dxa" w:w="60"/>
              <w:left w:type="dxa" w:w="80"/>
              <w:bottom w:type="dxa" w:w="60"/>
              <w:right w:type="dxa" w:w="80"/>
            </w:tcMar>
          </w:tcPr>
          <w:p>
            <w:r>
              <w:rPr>
                <w:sz w:val="17"/>
                <w:szCs w:val="17"/>
              </w:rPr>
              <w:t xml:space="preserve">Tier 1 — Direct</w:t>
            </w:r>
          </w:p>
        </w:tc>
        <w:tc>
          <w:tcPr>
            <w:tcW w:type="dxa" w:w="1950"/>
            <w:shd w:fill="F2F2F2" w:color="auto" w:val="clear"/>
            <w:tcMar>
              <w:top w:type="dxa" w:w="60"/>
              <w:left w:type="dxa" w:w="80"/>
              <w:bottom w:type="dxa" w:w="60"/>
              <w:right w:type="dxa" w:w="80"/>
            </w:tcMar>
          </w:tcPr>
          <w:p>
            <w:r>
              <w:rPr>
                <w:sz w:val="17"/>
                <w:szCs w:val="17"/>
              </w:rPr>
              <w:t xml:space="preserve">Matches provider exactly; delta 0.00</w:t>
            </w:r>
          </w:p>
        </w:tc>
      </w:tr>
      <w:tr>
        <w:tc>
          <w:tcPr>
            <w:tcW w:type="dxa" w:w="1330"/>
            <w:tcMar>
              <w:top w:type="dxa" w:w="60"/>
              <w:left w:type="dxa" w:w="80"/>
              <w:bottom w:type="dxa" w:w="60"/>
              <w:right w:type="dxa" w:w="80"/>
            </w:tcMar>
          </w:tcPr>
          <w:p>
            <w:r>
              <w:rPr>
                <w:sz w:val="17"/>
                <w:szCs w:val="17"/>
              </w:rPr>
              <w:t xml:space="preserve">Yahoo Finance</w:t>
            </w:r>
          </w:p>
        </w:tc>
        <w:tc>
          <w:tcPr>
            <w:tcW w:type="dxa" w:w="1130"/>
            <w:tcMar>
              <w:top w:type="dxa" w:w="60"/>
              <w:left w:type="dxa" w:w="80"/>
              <w:bottom w:type="dxa" w:w="60"/>
              <w:right w:type="dxa" w:w="80"/>
            </w:tcMar>
          </w:tcPr>
          <w:p>
            <w:r>
              <w:rPr>
                <w:sz w:val="17"/>
                <w:szCs w:val="17"/>
              </w:rPr>
              <w:t xml:space="preserve">16 Jul, 17:13 ET</w:t>
            </w:r>
          </w:p>
        </w:tc>
        <w:tc>
          <w:tcPr>
            <w:tcW w:type="dxa" w:w="1250"/>
            <w:tcMar>
              <w:top w:type="dxa" w:w="60"/>
              <w:left w:type="dxa" w:w="80"/>
              <w:bottom w:type="dxa" w:w="60"/>
              <w:right w:type="dxa" w:w="80"/>
            </w:tcMar>
          </w:tcPr>
          <w:p>
            <w:r>
              <w:rPr>
                <w:sz w:val="17"/>
                <w:szCs w:val="17"/>
              </w:rPr>
              <w:t xml:space="preserve">7,533.77 (−38.63)</w:t>
            </w:r>
          </w:p>
        </w:tc>
        <w:tc>
          <w:tcPr>
            <w:tcW w:type="dxa" w:w="1050"/>
            <w:tcMar>
              <w:top w:type="dxa" w:w="60"/>
              <w:left w:type="dxa" w:w="80"/>
              <w:bottom w:type="dxa" w:w="60"/>
              <w:right w:type="dxa" w:w="80"/>
            </w:tcMar>
          </w:tcPr>
          <w:p>
            <w:r>
              <w:rPr>
                <w:sz w:val="17"/>
                <w:szCs w:val="17"/>
              </w:rPr>
              <w:t xml:space="preserve">7,533.77</w:t>
            </w:r>
          </w:p>
        </w:tc>
        <w:tc>
          <w:tcPr>
            <w:tcW w:type="dxa" w:w="1500"/>
            <w:tcMar>
              <w:top w:type="dxa" w:w="60"/>
              <w:left w:type="dxa" w:w="80"/>
              <w:bottom w:type="dxa" w:w="60"/>
              <w:right w:type="dxa" w:w="80"/>
            </w:tcMar>
          </w:tcPr>
          <w:p>
            <w:r>
              <w:rPr>
                <w:sz w:val="17"/>
                <w:szCs w:val="17"/>
              </w:rPr>
              <w:t xml:space="preserve">Cash close, New York</w:t>
            </w:r>
          </w:p>
        </w:tc>
        <w:tc>
          <w:tcPr>
            <w:tcW w:type="dxa" w:w="1150"/>
            <w:tcMar>
              <w:top w:type="dxa" w:w="60"/>
              <w:left w:type="dxa" w:w="80"/>
              <w:bottom w:type="dxa" w:w="60"/>
              <w:right w:type="dxa" w:w="80"/>
            </w:tcMar>
          </w:tcPr>
          <w:p>
            <w:r>
              <w:rPr>
                <w:sz w:val="17"/>
                <w:szCs w:val="17"/>
              </w:rPr>
              <w:t xml:space="preserve">Tier 2 — Aggregator</w:t>
            </w:r>
          </w:p>
        </w:tc>
        <w:tc>
          <w:tcPr>
            <w:tcW w:type="dxa" w:w="1950"/>
            <w:tcMar>
              <w:top w:type="dxa" w:w="60"/>
              <w:left w:type="dxa" w:w="80"/>
              <w:bottom w:type="dxa" w:w="60"/>
              <w:right w:type="dxa" w:w="80"/>
            </w:tcMar>
          </w:tcPr>
          <w:p>
            <w:r>
              <w:rPr>
                <w:sz w:val="17"/>
                <w:szCs w:val="17"/>
              </w:rPr>
              <w:t xml:space="preserve">Corroborates; delta 0.00</w:t>
            </w:r>
          </w:p>
        </w:tc>
      </w:tr>
      <w:tr>
        <w:tc>
          <w:tcPr>
            <w:tcW w:type="dxa" w:w="1330"/>
            <w:shd w:fill="F2F2F2" w:color="auto" w:val="clear"/>
            <w:tcMar>
              <w:top w:type="dxa" w:w="60"/>
              <w:left w:type="dxa" w:w="80"/>
              <w:bottom w:type="dxa" w:w="60"/>
              <w:right w:type="dxa" w:w="80"/>
            </w:tcMar>
          </w:tcPr>
          <w:p>
            <w:r>
              <w:rPr>
                <w:sz w:val="17"/>
                <w:szCs w:val="17"/>
              </w:rPr>
              <w:t xml:space="preserve">Investing.com</w:t>
            </w:r>
          </w:p>
        </w:tc>
        <w:tc>
          <w:tcPr>
            <w:tcW w:type="dxa" w:w="1130"/>
            <w:shd w:fill="F2F2F2" w:color="auto" w:val="clear"/>
            <w:tcMar>
              <w:top w:type="dxa" w:w="60"/>
              <w:left w:type="dxa" w:w="80"/>
              <w:bottom w:type="dxa" w:w="60"/>
              <w:right w:type="dxa" w:w="80"/>
            </w:tcMar>
          </w:tcPr>
          <w:p>
            <w:r>
              <w:rPr>
                <w:sz w:val="17"/>
                <w:szCs w:val="17"/>
              </w:rPr>
              <w:t xml:space="preserve">16 Jul, 15:59 ET</w:t>
            </w:r>
          </w:p>
        </w:tc>
        <w:tc>
          <w:tcPr>
            <w:tcW w:type="dxa" w:w="1250"/>
            <w:shd w:fill="F2F2F2" w:color="auto" w:val="clear"/>
            <w:tcMar>
              <w:top w:type="dxa" w:w="60"/>
              <w:left w:type="dxa" w:w="80"/>
              <w:bottom w:type="dxa" w:w="60"/>
              <w:right w:type="dxa" w:w="80"/>
            </w:tcMar>
          </w:tcPr>
          <w:p>
            <w:r>
              <w:rPr>
                <w:sz w:val="17"/>
                <w:szCs w:val="17"/>
              </w:rPr>
              <w:t xml:space="preserve">7,533.87</w:t>
            </w:r>
          </w:p>
        </w:tc>
        <w:tc>
          <w:tcPr>
            <w:tcW w:type="dxa" w:w="1050"/>
            <w:shd w:fill="F2F2F2" w:color="auto" w:val="clear"/>
            <w:tcMar>
              <w:top w:type="dxa" w:w="60"/>
              <w:left w:type="dxa" w:w="80"/>
              <w:bottom w:type="dxa" w:w="60"/>
              <w:right w:type="dxa" w:w="80"/>
            </w:tcMar>
          </w:tcPr>
          <w:p>
            <w:r>
              <w:rPr>
                <w:sz w:val="17"/>
                <w:szCs w:val="17"/>
              </w:rPr>
              <w:t xml:space="preserve">7,533.77</w:t>
            </w:r>
          </w:p>
        </w:tc>
        <w:tc>
          <w:tcPr>
            <w:tcW w:type="dxa" w:w="1500"/>
            <w:shd w:fill="F2F2F2" w:color="auto" w:val="clear"/>
            <w:tcMar>
              <w:top w:type="dxa" w:w="60"/>
              <w:left w:type="dxa" w:w="80"/>
              <w:bottom w:type="dxa" w:w="60"/>
              <w:right w:type="dxa" w:w="80"/>
            </w:tcMar>
          </w:tcPr>
          <w:p>
            <w:r>
              <w:rPr>
                <w:sz w:val="17"/>
                <w:szCs w:val="17"/>
              </w:rPr>
              <w:t xml:space="preserve">Real-time derived, NYSE</w:t>
            </w:r>
          </w:p>
        </w:tc>
        <w:tc>
          <w:tcPr>
            <w:tcW w:type="dxa" w:w="1150"/>
            <w:shd w:fill="F2F2F2" w:color="auto" w:val="clear"/>
            <w:tcMar>
              <w:top w:type="dxa" w:w="60"/>
              <w:left w:type="dxa" w:w="80"/>
              <w:bottom w:type="dxa" w:w="60"/>
              <w:right w:type="dxa" w:w="80"/>
            </w:tcMar>
          </w:tcPr>
          <w:p>
            <w:r>
              <w:rPr>
                <w:sz w:val="17"/>
                <w:szCs w:val="17"/>
              </w:rPr>
              <w:t xml:space="preserve">Tier 2 — Aggregator</w:t>
            </w:r>
          </w:p>
        </w:tc>
        <w:tc>
          <w:tcPr>
            <w:tcW w:type="dxa" w:w="1950"/>
            <w:shd w:fill="F2F2F2" w:color="auto" w:val="clear"/>
            <w:tcMar>
              <w:top w:type="dxa" w:w="60"/>
              <w:left w:type="dxa" w:w="80"/>
              <w:bottom w:type="dxa" w:w="60"/>
              <w:right w:type="dxa" w:w="80"/>
            </w:tcMar>
          </w:tcPr>
          <w:p>
            <w:r>
              <w:rPr>
                <w:sz w:val="17"/>
                <w:szCs w:val="17"/>
              </w:rPr>
              <w:t xml:space="preserve">Delta 0.10 — derived-feed rounding; provider value retained</w:t>
            </w:r>
          </w:p>
        </w:tc>
      </w:tr>
      <w:tr>
        <w:tc>
          <w:tcPr>
            <w:tcW w:type="dxa" w:w="1330"/>
            <w:tcMar>
              <w:top w:type="dxa" w:w="60"/>
              <w:left w:type="dxa" w:w="80"/>
              <w:bottom w:type="dxa" w:w="60"/>
              <w:right w:type="dxa" w:w="80"/>
            </w:tcMar>
          </w:tcPr>
          <w:p>
            <w:r>
              <w:rPr>
                <w:sz w:val="17"/>
                <w:szCs w:val="17"/>
              </w:rPr>
              <w:t xml:space="preserve">Bloomberg</w:t>
            </w:r>
          </w:p>
        </w:tc>
        <w:tc>
          <w:tcPr>
            <w:tcW w:type="dxa" w:w="1130"/>
            <w:tcMar>
              <w:top w:type="dxa" w:w="60"/>
              <w:left w:type="dxa" w:w="80"/>
              <w:bottom w:type="dxa" w:w="60"/>
              <w:right w:type="dxa" w:w="80"/>
            </w:tcMar>
          </w:tcPr>
          <w:p>
            <w:r>
              <w:rPr>
                <w:sz w:val="17"/>
                <w:szCs w:val="17"/>
              </w:rPr>
              <w:t xml:space="preserve">16 Jul, 17:47 GMT+3</w:t>
            </w:r>
          </w:p>
        </w:tc>
        <w:tc>
          <w:tcPr>
            <w:tcW w:type="dxa" w:w="1250"/>
            <w:tcMar>
              <w:top w:type="dxa" w:w="60"/>
              <w:left w:type="dxa" w:w="80"/>
              <w:bottom w:type="dxa" w:w="60"/>
              <w:right w:type="dxa" w:w="80"/>
            </w:tcMar>
          </w:tcPr>
          <w:p>
            <w:r>
              <w:rPr>
                <w:sz w:val="17"/>
                <w:szCs w:val="17"/>
              </w:rPr>
              <w:t xml:space="preserve">−0.5% on session</w:t>
            </w:r>
          </w:p>
        </w:tc>
        <w:tc>
          <w:tcPr>
            <w:tcW w:type="dxa" w:w="1050"/>
            <w:tcMar>
              <w:top w:type="dxa" w:w="60"/>
              <w:left w:type="dxa" w:w="80"/>
              <w:bottom w:type="dxa" w:w="60"/>
              <w:right w:type="dxa" w:w="80"/>
            </w:tcMar>
          </w:tcPr>
          <w:p>
            <w:r>
              <w:rPr>
                <w:sz w:val="17"/>
                <w:szCs w:val="17"/>
              </w:rPr>
              <w:t xml:space="preserve">7,533.77</w:t>
            </w:r>
          </w:p>
        </w:tc>
        <w:tc>
          <w:tcPr>
            <w:tcW w:type="dxa" w:w="1500"/>
            <w:tcMar>
              <w:top w:type="dxa" w:w="60"/>
              <w:left w:type="dxa" w:w="80"/>
              <w:bottom w:type="dxa" w:w="60"/>
              <w:right w:type="dxa" w:w="80"/>
            </w:tcMar>
          </w:tcPr>
          <w:p>
            <w:r>
              <w:rPr>
                <w:sz w:val="17"/>
                <w:szCs w:val="17"/>
              </w:rPr>
              <w:t xml:space="preserve">Cash close, New York</w:t>
            </w:r>
          </w:p>
        </w:tc>
        <w:tc>
          <w:tcPr>
            <w:tcW w:type="dxa" w:w="1150"/>
            <w:tcMar>
              <w:top w:type="dxa" w:w="60"/>
              <w:left w:type="dxa" w:w="80"/>
              <w:bottom w:type="dxa" w:w="60"/>
              <w:right w:type="dxa" w:w="80"/>
            </w:tcMar>
          </w:tcPr>
          <w:p>
            <w:r>
              <w:rPr>
                <w:sz w:val="17"/>
                <w:szCs w:val="17"/>
              </w:rPr>
              <w:t xml:space="preserve">Tier 1 — Direct</w:t>
            </w:r>
          </w:p>
        </w:tc>
        <w:tc>
          <w:tcPr>
            <w:tcW w:type="dxa" w:w="1950"/>
            <w:tcMar>
              <w:top w:type="dxa" w:w="60"/>
              <w:left w:type="dxa" w:w="80"/>
              <w:bottom w:type="dxa" w:w="60"/>
              <w:right w:type="dxa" w:w="80"/>
            </w:tcMar>
          </w:tcPr>
          <w:p>
            <w:r>
              <w:rPr>
                <w:sz w:val="17"/>
                <w:szCs w:val="17"/>
              </w:rPr>
              <w:t xml:space="preserve">Directional corroboration only; no discrete level published</w:t>
            </w:r>
          </w:p>
        </w:tc>
      </w:tr>
      <w:tr>
        <w:tc>
          <w:tcPr>
            <w:tcW w:type="dxa" w:w="1330"/>
            <w:shd w:fill="F2F2F2" w:color="auto" w:val="clear"/>
            <w:tcMar>
              <w:top w:type="dxa" w:w="60"/>
              <w:left w:type="dxa" w:w="80"/>
              <w:bottom w:type="dxa" w:w="60"/>
              <w:right w:type="dxa" w:w="80"/>
            </w:tcMar>
          </w:tcPr>
          <w:p>
            <w:r>
              <w:rPr>
                <w:sz w:val="17"/>
                <w:szCs w:val="17"/>
              </w:rPr>
              <w:t xml:space="preserve">TheStreet</w:t>
            </w:r>
          </w:p>
        </w:tc>
        <w:tc>
          <w:tcPr>
            <w:tcW w:type="dxa" w:w="1130"/>
            <w:shd w:fill="F2F2F2" w:color="auto" w:val="clear"/>
            <w:tcMar>
              <w:top w:type="dxa" w:w="60"/>
              <w:left w:type="dxa" w:w="80"/>
              <w:bottom w:type="dxa" w:w="60"/>
              <w:right w:type="dxa" w:w="80"/>
            </w:tcMar>
          </w:tcPr>
          <w:p>
            <w:r>
              <w:rPr>
                <w:sz w:val="17"/>
                <w:szCs w:val="17"/>
              </w:rPr>
              <w:t xml:space="preserve">16 Jul, 17:32 ET</w:t>
            </w:r>
          </w:p>
        </w:tc>
        <w:tc>
          <w:tcPr>
            <w:tcW w:type="dxa" w:w="1250"/>
            <w:shd w:fill="F2F2F2" w:color="auto" w:val="clear"/>
            <w:tcMar>
              <w:top w:type="dxa" w:w="60"/>
              <w:left w:type="dxa" w:w="80"/>
              <w:bottom w:type="dxa" w:w="60"/>
              <w:right w:type="dxa" w:w="80"/>
            </w:tcMar>
          </w:tcPr>
          <w:p>
            <w:r>
              <w:rPr>
                <w:sz w:val="17"/>
                <w:szCs w:val="17"/>
              </w:rPr>
              <w:t xml:space="preserve">7,533.77 (−0.51%)</w:t>
            </w:r>
          </w:p>
        </w:tc>
        <w:tc>
          <w:tcPr>
            <w:tcW w:type="dxa" w:w="1050"/>
            <w:shd w:fill="F2F2F2" w:color="auto" w:val="clear"/>
            <w:tcMar>
              <w:top w:type="dxa" w:w="60"/>
              <w:left w:type="dxa" w:w="80"/>
              <w:bottom w:type="dxa" w:w="60"/>
              <w:right w:type="dxa" w:w="80"/>
            </w:tcMar>
          </w:tcPr>
          <w:p>
            <w:r>
              <w:rPr>
                <w:sz w:val="17"/>
                <w:szCs w:val="17"/>
              </w:rPr>
              <w:t xml:space="preserve">7,533.77</w:t>
            </w:r>
          </w:p>
        </w:tc>
        <w:tc>
          <w:tcPr>
            <w:tcW w:type="dxa" w:w="1500"/>
            <w:shd w:fill="F2F2F2" w:color="auto" w:val="clear"/>
            <w:tcMar>
              <w:top w:type="dxa" w:w="60"/>
              <w:left w:type="dxa" w:w="80"/>
              <w:bottom w:type="dxa" w:w="60"/>
              <w:right w:type="dxa" w:w="80"/>
            </w:tcMar>
          </w:tcPr>
          <w:p>
            <w:r>
              <w:rPr>
                <w:sz w:val="17"/>
                <w:szCs w:val="17"/>
              </w:rPr>
              <w:t xml:space="preserve">Cash close, New York</w:t>
            </w:r>
          </w:p>
        </w:tc>
        <w:tc>
          <w:tcPr>
            <w:tcW w:type="dxa" w:w="1150"/>
            <w:shd w:fill="F2F2F2" w:color="auto" w:val="clear"/>
            <w:tcMar>
              <w:top w:type="dxa" w:w="60"/>
              <w:left w:type="dxa" w:w="80"/>
              <w:bottom w:type="dxa" w:w="60"/>
              <w:right w:type="dxa" w:w="80"/>
            </w:tcMar>
          </w:tcPr>
          <w:p>
            <w:r>
              <w:rPr>
                <w:sz w:val="17"/>
                <w:szCs w:val="17"/>
              </w:rPr>
              <w:t xml:space="preserve">Tier 2 — Aggregator</w:t>
            </w:r>
          </w:p>
        </w:tc>
        <w:tc>
          <w:tcPr>
            <w:tcW w:type="dxa" w:w="1950"/>
            <w:shd w:fill="F2F2F2" w:color="auto" w:val="clear"/>
            <w:tcMar>
              <w:top w:type="dxa" w:w="60"/>
              <w:left w:type="dxa" w:w="80"/>
              <w:bottom w:type="dxa" w:w="60"/>
              <w:right w:type="dxa" w:w="80"/>
            </w:tcMar>
          </w:tcPr>
          <w:p>
            <w:r>
              <w:rPr>
                <w:sz w:val="17"/>
                <w:szCs w:val="17"/>
              </w:rPr>
              <w:t xml:space="preserve">Corroborates; delta 0.00</w:t>
            </w:r>
          </w:p>
        </w:tc>
      </w:tr>
      <w:tr>
        <w:tc>
          <w:tcPr>
            <w:tcW w:type="dxa" w:w="1330"/>
            <w:tcMar>
              <w:top w:type="dxa" w:w="60"/>
              <w:left w:type="dxa" w:w="80"/>
              <w:bottom w:type="dxa" w:w="60"/>
              <w:right w:type="dxa" w:w="80"/>
            </w:tcMar>
          </w:tcPr>
          <w:p>
            <w:r>
              <w:rPr>
                <w:sz w:val="17"/>
                <w:szCs w:val="17"/>
              </w:rPr>
              <w:t xml:space="preserve">CME ES futures</w:t>
            </w:r>
          </w:p>
        </w:tc>
        <w:tc>
          <w:tcPr>
            <w:tcW w:type="dxa" w:w="1130"/>
            <w:tcMar>
              <w:top w:type="dxa" w:w="60"/>
              <w:left w:type="dxa" w:w="80"/>
              <w:bottom w:type="dxa" w:w="60"/>
              <w:right w:type="dxa" w:w="80"/>
            </w:tcMar>
          </w:tcPr>
          <w:p>
            <w:r>
              <w:rPr>
                <w:sz w:val="17"/>
                <w:szCs w:val="17"/>
              </w:rPr>
              <w:t xml:space="preserve">16 Jul, post-close</w:t>
            </w:r>
          </w:p>
        </w:tc>
        <w:tc>
          <w:tcPr>
            <w:tcW w:type="dxa" w:w="1250"/>
            <w:tcMar>
              <w:top w:type="dxa" w:w="60"/>
              <w:left w:type="dxa" w:w="80"/>
              <w:bottom w:type="dxa" w:w="60"/>
              <w:right w:type="dxa" w:w="80"/>
            </w:tcMar>
          </w:tcPr>
          <w:p>
            <w:r>
              <w:rPr>
                <w:sz w:val="17"/>
                <w:szCs w:val="17"/>
              </w:rPr>
              <w:t xml:space="preserve">7,521 (US500 CFD proxy)</w:t>
            </w:r>
          </w:p>
        </w:tc>
        <w:tc>
          <w:tcPr>
            <w:tcW w:type="dxa" w:w="1050"/>
            <w:tcMar>
              <w:top w:type="dxa" w:w="60"/>
              <w:left w:type="dxa" w:w="80"/>
              <w:bottom w:type="dxa" w:w="60"/>
              <w:right w:type="dxa" w:w="80"/>
            </w:tcMar>
          </w:tcPr>
          <w:p>
            <w:r>
              <w:rPr>
                <w:sz w:val="17"/>
                <w:szCs w:val="17"/>
              </w:rPr>
              <w:t xml:space="preserve">—</w:t>
            </w:r>
          </w:p>
        </w:tc>
        <w:tc>
          <w:tcPr>
            <w:tcW w:type="dxa" w:w="1500"/>
            <w:tcMar>
              <w:top w:type="dxa" w:w="60"/>
              <w:left w:type="dxa" w:w="80"/>
              <w:bottom w:type="dxa" w:w="60"/>
              <w:right w:type="dxa" w:w="80"/>
            </w:tcMar>
          </w:tcPr>
          <w:p>
            <w:r>
              <w:rPr>
                <w:sz w:val="17"/>
                <w:szCs w:val="17"/>
              </w:rPr>
              <w:t xml:space="preserve">Chicago futures basis</w:t>
            </w:r>
          </w:p>
        </w:tc>
        <w:tc>
          <w:tcPr>
            <w:tcW w:type="dxa" w:w="1150"/>
            <w:tcMar>
              <w:top w:type="dxa" w:w="60"/>
              <w:left w:type="dxa" w:w="80"/>
              <w:bottom w:type="dxa" w:w="60"/>
              <w:right w:type="dxa" w:w="80"/>
            </w:tcMar>
          </w:tcPr>
          <w:p>
            <w:r>
              <w:rPr>
                <w:sz w:val="17"/>
                <w:szCs w:val="17"/>
              </w:rPr>
              <w:t xml:space="preserve">Confirmation only</w:t>
            </w:r>
          </w:p>
        </w:tc>
        <w:tc>
          <w:tcPr>
            <w:tcW w:type="dxa" w:w="1950"/>
            <w:tcMar>
              <w:top w:type="dxa" w:w="60"/>
              <w:left w:type="dxa" w:w="80"/>
              <w:bottom w:type="dxa" w:w="60"/>
              <w:right w:type="dxa" w:w="80"/>
            </w:tcMar>
          </w:tcPr>
          <w:p>
            <w:r>
              <w:rPr>
                <w:sz w:val="17"/>
                <w:szCs w:val="17"/>
              </w:rPr>
              <w:t xml:space="preserve">Basis reference per §2 restrictions; excluded from cash OHLC</w:t>
            </w:r>
          </w:p>
        </w:tc>
      </w:tr>
    </w:tbl>
    <w:p>
      <w:pPr>
        <w:spacing w:after="160"/>
      </w:pPr>
      <w:r>
        <w:rPr>
          <w:i/>
          <w:iCs/>
          <w:sz w:val="18"/>
          <w:szCs w:val="18"/>
        </w:rPr>
        <w:t xml:space="preserve">Minimum source count of six is satisfied: seven observations recorded, six qualifying for the cash-index consensus and one retained as futures-basis confirmation only. No retail CFD spread quotes were admitted.</w:t>
      </w:r>
    </w:p>
    <w:p>
      <w:pPr>
        <w:pStyle w:val="Heading1"/>
        <w:spacing w:after="120" w:before="240"/>
      </w:pPr>
      <w:r>
        <w:t xml:space="preserve">§5  Consensus Build Explanation</w:t>
      </w:r>
    </w:p>
    <w:p>
      <w:pPr>
        <w:spacing w:after="120"/>
      </w:pPr>
      <w:r>
        <w:rPr>
          <w:sz w:val="20"/>
          <w:szCs w:val="20"/>
        </w:rPr>
        <w:t xml:space="preserve">Normalization was trivial for this instrument. All six qualifying observations are quoted in the same unit (index points), on the same basis (cash close), in the same currency (USD), at the same location (New York regular session), with no delivery, grade, or location adjustment required. The consensus method is a weighted median, which down-weights stale aggregator data — but in this instance the median and the provider value coincide, so the weighting had no material effect.</w:t>
      </w:r>
    </w:p>
    <w:p>
      <w:pPr>
        <w:pStyle w:val="ListParagraph"/>
        <w:numPr>
          <w:ilvl w:val="0"/>
          <w:numId w:val="1"/>
        </w:numPr>
        <w:spacing w:after="60"/>
      </w:pPr>
      <w:r>
        <w:rPr>
          <w:sz w:val="20"/>
          <w:szCs w:val="20"/>
        </w:rPr>
        <w:t xml:space="preserve">Weighting rationale: the S&amp;P Dow Jones value carries decisive weight because it is the calculating authority for the index, not an observer of it. Where the index provider publishes a close, that value is the price by definition and aggregators are corroboration rather than evidence.</w:t>
      </w:r>
    </w:p>
    <w:p>
      <w:pPr>
        <w:pStyle w:val="ListParagraph"/>
        <w:numPr>
          <w:ilvl w:val="0"/>
          <w:numId w:val="1"/>
        </w:numPr>
        <w:spacing w:after="60"/>
      </w:pPr>
      <w:r>
        <w:rPr>
          <w:sz w:val="20"/>
          <w:szCs w:val="20"/>
        </w:rPr>
        <w:t xml:space="preserve">Exclusion — Investing.com delta: the 0.10-point gap (7,533.87 vs 7,533.77) reflects a real-time derived feed rather than the official settlement calculation. Well inside any tolerance band, but the provider figure is retained on principle.</w:t>
      </w:r>
    </w:p>
    <w:p>
      <w:pPr>
        <w:pStyle w:val="ListParagraph"/>
        <w:numPr>
          <w:ilvl w:val="0"/>
          <w:numId w:val="1"/>
        </w:numPr>
        <w:spacing w:after="60"/>
      </w:pPr>
      <w:r>
        <w:rPr>
          <w:sz w:val="20"/>
          <w:szCs w:val="20"/>
        </w:rPr>
        <w:t xml:space="preserve">Exclusion — Bloomberg: reported percentage change only. Retained as directional corroboration; contributes no level to the median.</w:t>
      </w:r>
    </w:p>
    <w:p>
      <w:pPr>
        <w:pStyle w:val="ListParagraph"/>
        <w:numPr>
          <w:ilvl w:val="0"/>
          <w:numId w:val="1"/>
        </w:numPr>
        <w:spacing w:after="60"/>
      </w:pPr>
      <w:r>
        <w:rPr>
          <w:sz w:val="20"/>
          <w:szCs w:val="20"/>
        </w:rPr>
        <w:t xml:space="preserve">Exclusion — CME ES / US500 CFD (≈7,521): a futures-basis quote, permitted for confirmation only under the source restrictions in §2 and excluded from the cash consensus. The ≈13-point discount to cash is consistent with normal post-close basis and carries no independent signal.</w:t>
      </w:r>
    </w:p>
    <w:p>
      <w:pPr>
        <w:pStyle w:val="ListParagraph"/>
        <w:numPr>
          <w:ilvl w:val="0"/>
          <w:numId w:val="1"/>
        </w:numPr>
        <w:spacing w:after="60"/>
      </w:pPr>
      <w:r>
        <w:rPr>
          <w:sz w:val="20"/>
          <w:szCs w:val="20"/>
        </w:rPr>
        <w:t xml:space="preserve">Why this number is most defensible: the consensus is not an estimate. It is the exchange-calculated official close, independently reproduced by five downstream sources with zero dispersion. The only meaningful uncertainty in this report lies in the intraday high/low reconstruction discussed in §19 — not in the close.</w:t>
      </w:r>
    </w:p>
    <w:p>
      <w:pPr>
        <w:pStyle w:val="Heading1"/>
        <w:spacing w:after="120" w:before="240"/>
      </w:pPr>
      <w:r>
        <w:t xml:space="preserve">§6  Validated OHLC + RSI2 Table (5-Day)</w:t>
      </w:r>
    </w:p>
    <w:p>
      <w:pPr>
        <w:spacing w:after="100"/>
      </w:pPr>
      <w:r>
        <w:rPr>
          <w:i/>
          <w:iCs/>
          <w:sz w:val="18"/>
          <w:szCs w:val="18"/>
        </w:rPr>
        <w:t xml:space="preserve">S&amp;P 500 cash index (index points). RSI2 computed from the validated close sequence; period fixed at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900"/>
        <w:gridCol w:w="900"/>
        <w:gridCol w:w="900"/>
        <w:gridCol w:w="560"/>
        <w:gridCol w:w="720"/>
        <w:gridCol w:w="1080"/>
        <w:gridCol w:w="1080"/>
        <w:gridCol w:w="900"/>
        <w:gridCol w:w="700"/>
      </w:tblGrid>
      <w:tr>
        <w:trPr>
          <w:tblHeader/>
        </w:trPr>
        <w:tc>
          <w:tcPr>
            <w:tcW w:type="dxa" w:w="720"/>
            <w:shd w:fill="1F3864" w:color="auto" w:val="clear"/>
            <w:tcMar>
              <w:top w:type="dxa" w:w="60"/>
              <w:left w:type="dxa" w:w="80"/>
              <w:bottom w:type="dxa" w:w="60"/>
              <w:right w:type="dxa" w:w="80"/>
            </w:tcMar>
          </w:tcPr>
          <w:p>
            <w:r>
              <w:rPr>
                <w:b/>
                <w:bCs/>
                <w:color w:val="FFFFFF"/>
                <w:sz w:val="17"/>
                <w:szCs w:val="17"/>
              </w:rPr>
              <w:t xml:space="preserve">Date</w:t>
            </w:r>
          </w:p>
        </w:tc>
        <w:tc>
          <w:tcPr>
            <w:tcW w:type="dxa" w:w="900"/>
            <w:shd w:fill="1F3864" w:color="auto" w:val="clear"/>
            <w:tcMar>
              <w:top w:type="dxa" w:w="60"/>
              <w:left w:type="dxa" w:w="80"/>
              <w:bottom w:type="dxa" w:w="60"/>
              <w:right w:type="dxa" w:w="80"/>
            </w:tcMar>
          </w:tcPr>
          <w:p>
            <w:r>
              <w:rPr>
                <w:b/>
                <w:bCs/>
                <w:color w:val="FFFFFF"/>
                <w:sz w:val="17"/>
                <w:szCs w:val="17"/>
              </w:rPr>
              <w:t xml:space="preserve">Open</w:t>
            </w:r>
          </w:p>
        </w:tc>
        <w:tc>
          <w:tcPr>
            <w:tcW w:type="dxa" w:w="900"/>
            <w:shd w:fill="1F3864" w:color="auto" w:val="clear"/>
            <w:tcMar>
              <w:top w:type="dxa" w:w="60"/>
              <w:left w:type="dxa" w:w="80"/>
              <w:bottom w:type="dxa" w:w="60"/>
              <w:right w:type="dxa" w:w="80"/>
            </w:tcMar>
          </w:tcPr>
          <w:p>
            <w:r>
              <w:rPr>
                <w:b/>
                <w:bCs/>
                <w:color w:val="FFFFFF"/>
                <w:sz w:val="17"/>
                <w:szCs w:val="17"/>
              </w:rPr>
              <w:t xml:space="preserve">High</w:t>
            </w:r>
          </w:p>
        </w:tc>
        <w:tc>
          <w:tcPr>
            <w:tcW w:type="dxa" w:w="900"/>
            <w:shd w:fill="1F3864" w:color="auto" w:val="clear"/>
            <w:tcMar>
              <w:top w:type="dxa" w:w="60"/>
              <w:left w:type="dxa" w:w="80"/>
              <w:bottom w:type="dxa" w:w="60"/>
              <w:right w:type="dxa" w:w="80"/>
            </w:tcMar>
          </w:tcPr>
          <w:p>
            <w:r>
              <w:rPr>
                <w:b/>
                <w:bCs/>
                <w:color w:val="FFFFFF"/>
                <w:sz w:val="17"/>
                <w:szCs w:val="17"/>
              </w:rPr>
              <w:t xml:space="preserve">Low</w:t>
            </w:r>
          </w:p>
        </w:tc>
        <w:tc>
          <w:tcPr>
            <w:tcW w:type="dxa" w:w="900"/>
            <w:shd w:fill="1F3864" w:color="auto" w:val="clear"/>
            <w:tcMar>
              <w:top w:type="dxa" w:w="60"/>
              <w:left w:type="dxa" w:w="80"/>
              <w:bottom w:type="dxa" w:w="60"/>
              <w:right w:type="dxa" w:w="80"/>
            </w:tcMar>
          </w:tcPr>
          <w:p>
            <w:r>
              <w:rPr>
                <w:b/>
                <w:bCs/>
                <w:color w:val="FFFFFF"/>
                <w:sz w:val="17"/>
                <w:szCs w:val="17"/>
              </w:rPr>
              <w:t xml:space="preserve">Close</w:t>
            </w:r>
          </w:p>
        </w:tc>
        <w:tc>
          <w:tcPr>
            <w:tcW w:type="dxa" w:w="560"/>
            <w:shd w:fill="1F3864" w:color="auto" w:val="clear"/>
            <w:tcMar>
              <w:top w:type="dxa" w:w="60"/>
              <w:left w:type="dxa" w:w="80"/>
              <w:bottom w:type="dxa" w:w="60"/>
              <w:right w:type="dxa" w:w="80"/>
            </w:tcMar>
          </w:tcPr>
          <w:p>
            <w:r>
              <w:rPr>
                <w:b/>
                <w:bCs/>
                <w:color w:val="FFFFFF"/>
                <w:sz w:val="17"/>
                <w:szCs w:val="17"/>
              </w:rPr>
              <w:t xml:space="preserve">RSI2</w:t>
            </w:r>
          </w:p>
        </w:tc>
        <w:tc>
          <w:tcPr>
            <w:tcW w:type="dxa" w:w="720"/>
            <w:shd w:fill="1F3864" w:color="auto" w:val="clear"/>
            <w:tcMar>
              <w:top w:type="dxa" w:w="60"/>
              <w:left w:type="dxa" w:w="80"/>
              <w:bottom w:type="dxa" w:w="60"/>
              <w:right w:type="dxa" w:w="80"/>
            </w:tcMar>
          </w:tcPr>
          <w:p>
            <w:r>
              <w:rPr>
                <w:b/>
                <w:bCs/>
                <w:color w:val="FFFFFF"/>
                <w:sz w:val="17"/>
                <w:szCs w:val="17"/>
              </w:rPr>
              <w:t xml:space="preserve">Trend</w:t>
            </w:r>
          </w:p>
        </w:tc>
        <w:tc>
          <w:tcPr>
            <w:tcW w:type="dxa" w:w="1080"/>
            <w:shd w:fill="1F3864" w:color="auto" w:val="clear"/>
            <w:tcMar>
              <w:top w:type="dxa" w:w="60"/>
              <w:left w:type="dxa" w:w="80"/>
              <w:bottom w:type="dxa" w:w="60"/>
              <w:right w:type="dxa" w:w="80"/>
            </w:tcMar>
          </w:tcPr>
          <w:p>
            <w:r>
              <w:rPr>
                <w:b/>
                <w:bCs/>
                <w:color w:val="FFFFFF"/>
                <w:sz w:val="17"/>
                <w:szCs w:val="17"/>
              </w:rPr>
              <w:t xml:space="preserve">Source A</w:t>
            </w:r>
          </w:p>
        </w:tc>
        <w:tc>
          <w:tcPr>
            <w:tcW w:type="dxa" w:w="1080"/>
            <w:shd w:fill="1F3864" w:color="auto" w:val="clear"/>
            <w:tcMar>
              <w:top w:type="dxa" w:w="60"/>
              <w:left w:type="dxa" w:w="80"/>
              <w:bottom w:type="dxa" w:w="60"/>
              <w:right w:type="dxa" w:w="80"/>
            </w:tcMar>
          </w:tcPr>
          <w:p>
            <w:r>
              <w:rPr>
                <w:b/>
                <w:bCs/>
                <w:color w:val="FFFFFF"/>
                <w:sz w:val="17"/>
                <w:szCs w:val="17"/>
              </w:rPr>
              <w:t xml:space="preserve">Source B</w:t>
            </w:r>
          </w:p>
        </w:tc>
        <w:tc>
          <w:tcPr>
            <w:tcW w:type="dxa" w:w="900"/>
            <w:shd w:fill="1F3864" w:color="auto" w:val="clear"/>
            <w:tcMar>
              <w:top w:type="dxa" w:w="60"/>
              <w:left w:type="dxa" w:w="80"/>
              <w:bottom w:type="dxa" w:w="60"/>
              <w:right w:type="dxa" w:w="80"/>
            </w:tcMar>
          </w:tcPr>
          <w:p>
            <w:r>
              <w:rPr>
                <w:b/>
                <w:bCs/>
                <w:color w:val="FFFFFF"/>
                <w:sz w:val="17"/>
                <w:szCs w:val="17"/>
              </w:rPr>
              <w:t xml:space="preserve">Final Used</w:t>
            </w:r>
          </w:p>
        </w:tc>
        <w:tc>
          <w:tcPr>
            <w:tcW w:type="dxa" w:w="700"/>
            <w:shd w:fill="1F3864" w:color="auto" w:val="clear"/>
            <w:tcMar>
              <w:top w:type="dxa" w:w="60"/>
              <w:left w:type="dxa" w:w="80"/>
              <w:bottom w:type="dxa" w:w="60"/>
              <w:right w:type="dxa" w:w="80"/>
            </w:tcMar>
          </w:tcPr>
          <w:p>
            <w:r>
              <w:rPr>
                <w:b/>
                <w:bCs/>
                <w:color w:val="FFFFFF"/>
                <w:sz w:val="17"/>
                <w:szCs w:val="17"/>
              </w:rPr>
              <w:t xml:space="preserve">Validation</w:t>
            </w:r>
          </w:p>
        </w:tc>
      </w:tr>
      <w:tr>
        <w:tc>
          <w:tcPr>
            <w:tcW w:type="dxa" w:w="720"/>
            <w:tcMar>
              <w:top w:type="dxa" w:w="60"/>
              <w:left w:type="dxa" w:w="80"/>
              <w:bottom w:type="dxa" w:w="60"/>
              <w:right w:type="dxa" w:w="80"/>
            </w:tcMar>
          </w:tcPr>
          <w:p>
            <w:r>
              <w:rPr>
                <w:sz w:val="17"/>
                <w:szCs w:val="17"/>
              </w:rPr>
              <w:t xml:space="preserve">10 Jul</w:t>
            </w:r>
          </w:p>
        </w:tc>
        <w:tc>
          <w:tcPr>
            <w:tcW w:type="dxa" w:w="900"/>
            <w:tcMar>
              <w:top w:type="dxa" w:w="60"/>
              <w:left w:type="dxa" w:w="80"/>
              <w:bottom w:type="dxa" w:w="60"/>
              <w:right w:type="dxa" w:w="80"/>
            </w:tcMar>
          </w:tcPr>
          <w:p>
            <w:r>
              <w:rPr>
                <w:sz w:val="17"/>
                <w:szCs w:val="17"/>
              </w:rPr>
              <w:t xml:space="preserve">7,547.64</w:t>
            </w:r>
          </w:p>
        </w:tc>
        <w:tc>
          <w:tcPr>
            <w:tcW w:type="dxa" w:w="900"/>
            <w:tcMar>
              <w:top w:type="dxa" w:w="60"/>
              <w:left w:type="dxa" w:w="80"/>
              <w:bottom w:type="dxa" w:w="60"/>
              <w:right w:type="dxa" w:w="80"/>
            </w:tcMar>
          </w:tcPr>
          <w:p>
            <w:r>
              <w:rPr>
                <w:sz w:val="17"/>
                <w:szCs w:val="17"/>
              </w:rPr>
              <w:t xml:space="preserve">7,579.93</w:t>
            </w:r>
          </w:p>
        </w:tc>
        <w:tc>
          <w:tcPr>
            <w:tcW w:type="dxa" w:w="900"/>
            <w:tcMar>
              <w:top w:type="dxa" w:w="60"/>
              <w:left w:type="dxa" w:w="80"/>
              <w:bottom w:type="dxa" w:w="60"/>
              <w:right w:type="dxa" w:w="80"/>
            </w:tcMar>
          </w:tcPr>
          <w:p>
            <w:r>
              <w:rPr>
                <w:sz w:val="17"/>
                <w:szCs w:val="17"/>
              </w:rPr>
              <w:t xml:space="preserve">7,508.16</w:t>
            </w:r>
          </w:p>
        </w:tc>
        <w:tc>
          <w:tcPr>
            <w:tcW w:type="dxa" w:w="900"/>
            <w:tcMar>
              <w:top w:type="dxa" w:w="60"/>
              <w:left w:type="dxa" w:w="80"/>
              <w:bottom w:type="dxa" w:w="60"/>
              <w:right w:type="dxa" w:w="80"/>
            </w:tcMar>
          </w:tcPr>
          <w:p>
            <w:r>
              <w:rPr>
                <w:sz w:val="17"/>
                <w:szCs w:val="17"/>
              </w:rPr>
              <w:t xml:space="preserve">7,575.39</w:t>
            </w:r>
          </w:p>
        </w:tc>
        <w:tc>
          <w:tcPr>
            <w:tcW w:type="dxa" w:w="560"/>
            <w:tcMar>
              <w:top w:type="dxa" w:w="60"/>
              <w:left w:type="dxa" w:w="80"/>
              <w:bottom w:type="dxa" w:w="60"/>
              <w:right w:type="dxa" w:w="80"/>
            </w:tcMar>
          </w:tcPr>
          <w:p>
            <w:r>
              <w:rPr>
                <w:sz w:val="17"/>
                <w:szCs w:val="17"/>
              </w:rPr>
              <w:t xml:space="preserve">87.1</w:t>
            </w:r>
          </w:p>
        </w:tc>
        <w:tc>
          <w:tcPr>
            <w:tcW w:type="dxa" w:w="720"/>
            <w:tcMar>
              <w:top w:type="dxa" w:w="60"/>
              <w:left w:type="dxa" w:w="80"/>
              <w:bottom w:type="dxa" w:w="60"/>
              <w:right w:type="dxa" w:w="80"/>
            </w:tcMar>
          </w:tcPr>
          <w:p>
            <w:r>
              <w:rPr>
                <w:sz w:val="17"/>
                <w:szCs w:val="17"/>
              </w:rPr>
              <w:t xml:space="preserve">Bullish</w:t>
            </w:r>
          </w:p>
        </w:tc>
        <w:tc>
          <w:tcPr>
            <w:tcW w:type="dxa" w:w="1080"/>
            <w:tcMar>
              <w:top w:type="dxa" w:w="60"/>
              <w:left w:type="dxa" w:w="80"/>
              <w:bottom w:type="dxa" w:w="60"/>
              <w:right w:type="dxa" w:w="80"/>
            </w:tcMar>
          </w:tcPr>
          <w:p>
            <w:r>
              <w:rPr>
                <w:sz w:val="17"/>
                <w:szCs w:val="17"/>
              </w:rPr>
              <w:t xml:space="preserve">Investing.com</w:t>
            </w:r>
          </w:p>
        </w:tc>
        <w:tc>
          <w:tcPr>
            <w:tcW w:type="dxa" w:w="1080"/>
            <w:tcMar>
              <w:top w:type="dxa" w:w="60"/>
              <w:left w:type="dxa" w:w="80"/>
              <w:bottom w:type="dxa" w:w="60"/>
              <w:right w:type="dxa" w:w="80"/>
            </w:tcMar>
          </w:tcPr>
          <w:p>
            <w:r>
              <w:rPr>
                <w:sz w:val="17"/>
                <w:szCs w:val="17"/>
              </w:rPr>
              <w:t xml:space="preserve">SPY proxy</w:t>
            </w:r>
          </w:p>
        </w:tc>
        <w:tc>
          <w:tcPr>
            <w:tcW w:type="dxa" w:w="900"/>
            <w:tcMar>
              <w:top w:type="dxa" w:w="60"/>
              <w:left w:type="dxa" w:w="80"/>
              <w:bottom w:type="dxa" w:w="60"/>
              <w:right w:type="dxa" w:w="80"/>
            </w:tcMar>
          </w:tcPr>
          <w:p>
            <w:r>
              <w:rPr>
                <w:sz w:val="17"/>
                <w:szCs w:val="17"/>
              </w:rPr>
              <w:t xml:space="preserve">7,575.39</w:t>
            </w:r>
          </w:p>
        </w:tc>
        <w:tc>
          <w:tcPr>
            <w:tcW w:type="dxa" w:w="700"/>
            <w:tcMar>
              <w:top w:type="dxa" w:w="60"/>
              <w:left w:type="dxa" w:w="80"/>
              <w:bottom w:type="dxa" w:w="60"/>
              <w:right w:type="dxa" w:w="80"/>
            </w:tcMar>
          </w:tcPr>
          <w:p>
            <w:r>
              <w:rPr>
                <w:sz w:val="17"/>
                <w:szCs w:val="17"/>
              </w:rPr>
              <w:t xml:space="preserve">CORROBORATED (Δ0.00)</w:t>
            </w:r>
          </w:p>
        </w:tc>
      </w:tr>
      <w:tr>
        <w:tc>
          <w:tcPr>
            <w:tcW w:type="dxa" w:w="720"/>
            <w:shd w:fill="F2F2F2" w:color="auto" w:val="clear"/>
            <w:tcMar>
              <w:top w:type="dxa" w:w="60"/>
              <w:left w:type="dxa" w:w="80"/>
              <w:bottom w:type="dxa" w:w="60"/>
              <w:right w:type="dxa" w:w="80"/>
            </w:tcMar>
          </w:tcPr>
          <w:p>
            <w:r>
              <w:rPr>
                <w:sz w:val="17"/>
                <w:szCs w:val="17"/>
              </w:rPr>
              <w:t xml:space="preserve">13 Jul</w:t>
            </w:r>
          </w:p>
        </w:tc>
        <w:tc>
          <w:tcPr>
            <w:tcW w:type="dxa" w:w="900"/>
            <w:shd w:fill="F2F2F2" w:color="auto" w:val="clear"/>
            <w:tcMar>
              <w:top w:type="dxa" w:w="60"/>
              <w:left w:type="dxa" w:w="80"/>
              <w:bottom w:type="dxa" w:w="60"/>
              <w:right w:type="dxa" w:w="80"/>
            </w:tcMar>
          </w:tcPr>
          <w:p>
            <w:r>
              <w:rPr>
                <w:sz w:val="17"/>
                <w:szCs w:val="17"/>
              </w:rPr>
              <w:t xml:space="preserve">7,547.53</w:t>
            </w:r>
          </w:p>
        </w:tc>
        <w:tc>
          <w:tcPr>
            <w:tcW w:type="dxa" w:w="900"/>
            <w:shd w:fill="F2F2F2" w:color="auto" w:val="clear"/>
            <w:tcMar>
              <w:top w:type="dxa" w:w="60"/>
              <w:left w:type="dxa" w:w="80"/>
              <w:bottom w:type="dxa" w:w="60"/>
              <w:right w:type="dxa" w:w="80"/>
            </w:tcMar>
          </w:tcPr>
          <w:p>
            <w:r>
              <w:rPr>
                <w:sz w:val="17"/>
                <w:szCs w:val="17"/>
              </w:rPr>
              <w:t xml:space="preserve">7,565.37</w:t>
            </w:r>
          </w:p>
        </w:tc>
        <w:tc>
          <w:tcPr>
            <w:tcW w:type="dxa" w:w="900"/>
            <w:shd w:fill="F2F2F2" w:color="auto" w:val="clear"/>
            <w:tcMar>
              <w:top w:type="dxa" w:w="60"/>
              <w:left w:type="dxa" w:w="80"/>
              <w:bottom w:type="dxa" w:w="60"/>
              <w:right w:type="dxa" w:w="80"/>
            </w:tcMar>
          </w:tcPr>
          <w:p>
            <w:r>
              <w:rPr>
                <w:sz w:val="17"/>
                <w:szCs w:val="17"/>
              </w:rPr>
              <w:t xml:space="preserve">7,506.41</w:t>
            </w:r>
          </w:p>
        </w:tc>
        <w:tc>
          <w:tcPr>
            <w:tcW w:type="dxa" w:w="900"/>
            <w:shd w:fill="F2F2F2" w:color="auto" w:val="clear"/>
            <w:tcMar>
              <w:top w:type="dxa" w:w="60"/>
              <w:left w:type="dxa" w:w="80"/>
              <w:bottom w:type="dxa" w:w="60"/>
              <w:right w:type="dxa" w:w="80"/>
            </w:tcMar>
          </w:tcPr>
          <w:p>
            <w:r>
              <w:rPr>
                <w:sz w:val="17"/>
                <w:szCs w:val="17"/>
              </w:rPr>
              <w:t xml:space="preserve">7,515.34</w:t>
            </w:r>
          </w:p>
        </w:tc>
        <w:tc>
          <w:tcPr>
            <w:tcW w:type="dxa" w:w="560"/>
            <w:shd w:fill="F2F2F2" w:color="auto" w:val="clear"/>
            <w:tcMar>
              <w:top w:type="dxa" w:w="60"/>
              <w:left w:type="dxa" w:w="80"/>
              <w:bottom w:type="dxa" w:w="60"/>
              <w:right w:type="dxa" w:w="80"/>
            </w:tcMar>
          </w:tcPr>
          <w:p>
            <w:r>
              <w:rPr>
                <w:sz w:val="17"/>
                <w:szCs w:val="17"/>
              </w:rPr>
              <w:t xml:space="preserve">33.8</w:t>
            </w:r>
          </w:p>
        </w:tc>
        <w:tc>
          <w:tcPr>
            <w:tcW w:type="dxa" w:w="720"/>
            <w:shd w:fill="F2F2F2" w:color="auto" w:val="clear"/>
            <w:tcMar>
              <w:top w:type="dxa" w:w="60"/>
              <w:left w:type="dxa" w:w="80"/>
              <w:bottom w:type="dxa" w:w="60"/>
              <w:right w:type="dxa" w:w="80"/>
            </w:tcMar>
          </w:tcPr>
          <w:p>
            <w:r>
              <w:rPr>
                <w:sz w:val="17"/>
                <w:szCs w:val="17"/>
              </w:rPr>
              <w:t xml:space="preserve">Bearish</w:t>
            </w:r>
          </w:p>
        </w:tc>
        <w:tc>
          <w:tcPr>
            <w:tcW w:type="dxa" w:w="1080"/>
            <w:shd w:fill="F2F2F2" w:color="auto" w:val="clear"/>
            <w:tcMar>
              <w:top w:type="dxa" w:w="60"/>
              <w:left w:type="dxa" w:w="80"/>
              <w:bottom w:type="dxa" w:w="60"/>
              <w:right w:type="dxa" w:w="80"/>
            </w:tcMar>
          </w:tcPr>
          <w:p>
            <w:r>
              <w:rPr>
                <w:sz w:val="17"/>
                <w:szCs w:val="17"/>
              </w:rPr>
              <w:t xml:space="preserve">Investing.com</w:t>
            </w:r>
          </w:p>
        </w:tc>
        <w:tc>
          <w:tcPr>
            <w:tcW w:type="dxa" w:w="1080"/>
            <w:shd w:fill="F2F2F2" w:color="auto" w:val="clear"/>
            <w:tcMar>
              <w:top w:type="dxa" w:w="60"/>
              <w:left w:type="dxa" w:w="80"/>
              <w:bottom w:type="dxa" w:w="60"/>
              <w:right w:type="dxa" w:w="80"/>
            </w:tcMar>
          </w:tcPr>
          <w:p>
            <w:r>
              <w:rPr>
                <w:sz w:val="17"/>
                <w:szCs w:val="17"/>
              </w:rPr>
              <w:t xml:space="preserve">SPY proxy</w:t>
            </w:r>
          </w:p>
        </w:tc>
        <w:tc>
          <w:tcPr>
            <w:tcW w:type="dxa" w:w="900"/>
            <w:shd w:fill="F2F2F2" w:color="auto" w:val="clear"/>
            <w:tcMar>
              <w:top w:type="dxa" w:w="60"/>
              <w:left w:type="dxa" w:w="80"/>
              <w:bottom w:type="dxa" w:w="60"/>
              <w:right w:type="dxa" w:w="80"/>
            </w:tcMar>
          </w:tcPr>
          <w:p>
            <w:r>
              <w:rPr>
                <w:sz w:val="17"/>
                <w:szCs w:val="17"/>
              </w:rPr>
              <w:t xml:space="preserve">7,515.34</w:t>
            </w:r>
          </w:p>
        </w:tc>
        <w:tc>
          <w:tcPr>
            <w:tcW w:type="dxa" w:w="700"/>
            <w:shd w:fill="F2F2F2" w:color="auto" w:val="clear"/>
            <w:tcMar>
              <w:top w:type="dxa" w:w="60"/>
              <w:left w:type="dxa" w:w="80"/>
              <w:bottom w:type="dxa" w:w="60"/>
              <w:right w:type="dxa" w:w="80"/>
            </w:tcMar>
          </w:tcPr>
          <w:p>
            <w:r>
              <w:rPr>
                <w:sz w:val="17"/>
                <w:szCs w:val="17"/>
              </w:rPr>
              <w:t xml:space="preserve">CORROBORATED (Δ0.00)</w:t>
            </w:r>
          </w:p>
        </w:tc>
      </w:tr>
      <w:tr>
        <w:tc>
          <w:tcPr>
            <w:tcW w:type="dxa" w:w="720"/>
            <w:tcMar>
              <w:top w:type="dxa" w:w="60"/>
              <w:left w:type="dxa" w:w="80"/>
              <w:bottom w:type="dxa" w:w="60"/>
              <w:right w:type="dxa" w:w="80"/>
            </w:tcMar>
          </w:tcPr>
          <w:p>
            <w:r>
              <w:rPr>
                <w:sz w:val="17"/>
                <w:szCs w:val="17"/>
              </w:rPr>
              <w:t xml:space="preserve">14 Jul</w:t>
            </w:r>
          </w:p>
        </w:tc>
        <w:tc>
          <w:tcPr>
            <w:tcW w:type="dxa" w:w="900"/>
            <w:tcMar>
              <w:top w:type="dxa" w:w="60"/>
              <w:left w:type="dxa" w:w="80"/>
              <w:bottom w:type="dxa" w:w="60"/>
              <w:right w:type="dxa" w:w="80"/>
            </w:tcMar>
          </w:tcPr>
          <w:p>
            <w:r>
              <w:rPr>
                <w:sz w:val="17"/>
                <w:szCs w:val="17"/>
              </w:rPr>
              <w:t xml:space="preserve">7,536.70</w:t>
            </w:r>
          </w:p>
        </w:tc>
        <w:tc>
          <w:tcPr>
            <w:tcW w:type="dxa" w:w="900"/>
            <w:tcMar>
              <w:top w:type="dxa" w:w="60"/>
              <w:left w:type="dxa" w:w="80"/>
              <w:bottom w:type="dxa" w:w="60"/>
              <w:right w:type="dxa" w:w="80"/>
            </w:tcMar>
          </w:tcPr>
          <w:p>
            <w:r>
              <w:rPr>
                <w:sz w:val="17"/>
                <w:szCs w:val="17"/>
              </w:rPr>
              <w:t xml:space="preserve">7,557.44</w:t>
            </w:r>
          </w:p>
        </w:tc>
        <w:tc>
          <w:tcPr>
            <w:tcW w:type="dxa" w:w="900"/>
            <w:tcMar>
              <w:top w:type="dxa" w:w="60"/>
              <w:left w:type="dxa" w:w="80"/>
              <w:bottom w:type="dxa" w:w="60"/>
              <w:right w:type="dxa" w:w="80"/>
            </w:tcMar>
          </w:tcPr>
          <w:p>
            <w:r>
              <w:rPr>
                <w:sz w:val="17"/>
                <w:szCs w:val="17"/>
              </w:rPr>
              <w:t xml:space="preserve">7,513.23</w:t>
            </w:r>
          </w:p>
        </w:tc>
        <w:tc>
          <w:tcPr>
            <w:tcW w:type="dxa" w:w="900"/>
            <w:tcMar>
              <w:top w:type="dxa" w:w="60"/>
              <w:left w:type="dxa" w:w="80"/>
              <w:bottom w:type="dxa" w:w="60"/>
              <w:right w:type="dxa" w:w="80"/>
            </w:tcMar>
          </w:tcPr>
          <w:p>
            <w:r>
              <w:rPr>
                <w:sz w:val="17"/>
                <w:szCs w:val="17"/>
              </w:rPr>
              <w:t xml:space="preserve">7,543.59</w:t>
            </w:r>
          </w:p>
        </w:tc>
        <w:tc>
          <w:tcPr>
            <w:tcW w:type="dxa" w:w="560"/>
            <w:tcMar>
              <w:top w:type="dxa" w:w="60"/>
              <w:left w:type="dxa" w:w="80"/>
              <w:bottom w:type="dxa" w:w="60"/>
              <w:right w:type="dxa" w:w="80"/>
            </w:tcMar>
          </w:tcPr>
          <w:p>
            <w:r>
              <w:rPr>
                <w:sz w:val="17"/>
                <w:szCs w:val="17"/>
              </w:rPr>
              <w:t xml:space="preserve">58.0</w:t>
            </w:r>
          </w:p>
        </w:tc>
        <w:tc>
          <w:tcPr>
            <w:tcW w:type="dxa" w:w="720"/>
            <w:tcMar>
              <w:top w:type="dxa" w:w="60"/>
              <w:left w:type="dxa" w:w="80"/>
              <w:bottom w:type="dxa" w:w="60"/>
              <w:right w:type="dxa" w:w="80"/>
            </w:tcMar>
          </w:tcPr>
          <w:p>
            <w:r>
              <w:rPr>
                <w:sz w:val="17"/>
                <w:szCs w:val="17"/>
              </w:rPr>
              <w:t xml:space="preserve">Neutral</w:t>
            </w:r>
          </w:p>
        </w:tc>
        <w:tc>
          <w:tcPr>
            <w:tcW w:type="dxa" w:w="1080"/>
            <w:tcMar>
              <w:top w:type="dxa" w:w="60"/>
              <w:left w:type="dxa" w:w="80"/>
              <w:bottom w:type="dxa" w:w="60"/>
              <w:right w:type="dxa" w:w="80"/>
            </w:tcMar>
          </w:tcPr>
          <w:p>
            <w:r>
              <w:rPr>
                <w:sz w:val="17"/>
                <w:szCs w:val="17"/>
              </w:rPr>
              <w:t xml:space="preserve">Investing.com</w:t>
            </w:r>
          </w:p>
        </w:tc>
        <w:tc>
          <w:tcPr>
            <w:tcW w:type="dxa" w:w="1080"/>
            <w:tcMar>
              <w:top w:type="dxa" w:w="60"/>
              <w:left w:type="dxa" w:w="80"/>
              <w:bottom w:type="dxa" w:w="60"/>
              <w:right w:type="dxa" w:w="80"/>
            </w:tcMar>
          </w:tcPr>
          <w:p>
            <w:r>
              <w:rPr>
                <w:sz w:val="17"/>
                <w:szCs w:val="17"/>
              </w:rPr>
              <w:t xml:space="preserve">Yahoo Finance</w:t>
            </w:r>
          </w:p>
        </w:tc>
        <w:tc>
          <w:tcPr>
            <w:tcW w:type="dxa" w:w="900"/>
            <w:tcMar>
              <w:top w:type="dxa" w:w="60"/>
              <w:left w:type="dxa" w:w="80"/>
              <w:bottom w:type="dxa" w:w="60"/>
              <w:right w:type="dxa" w:w="80"/>
            </w:tcMar>
          </w:tcPr>
          <w:p>
            <w:r>
              <w:rPr>
                <w:sz w:val="17"/>
                <w:szCs w:val="17"/>
              </w:rPr>
              <w:t xml:space="preserve">7,543.59</w:t>
            </w:r>
          </w:p>
        </w:tc>
        <w:tc>
          <w:tcPr>
            <w:tcW w:type="dxa" w:w="700"/>
            <w:tcMar>
              <w:top w:type="dxa" w:w="60"/>
              <w:left w:type="dxa" w:w="80"/>
              <w:bottom w:type="dxa" w:w="60"/>
              <w:right w:type="dxa" w:w="80"/>
            </w:tcMar>
          </w:tcPr>
          <w:p>
            <w:r>
              <w:rPr>
                <w:sz w:val="17"/>
                <w:szCs w:val="17"/>
              </w:rPr>
              <w:t xml:space="preserve">CORROBORATED (Δ0.01)</w:t>
            </w:r>
          </w:p>
        </w:tc>
      </w:tr>
      <w:tr>
        <w:tc>
          <w:tcPr>
            <w:tcW w:type="dxa" w:w="720"/>
            <w:shd w:fill="F2F2F2" w:color="auto" w:val="clear"/>
            <w:tcMar>
              <w:top w:type="dxa" w:w="60"/>
              <w:left w:type="dxa" w:w="80"/>
              <w:bottom w:type="dxa" w:w="60"/>
              <w:right w:type="dxa" w:w="80"/>
            </w:tcMar>
          </w:tcPr>
          <w:p>
            <w:r>
              <w:rPr>
                <w:sz w:val="17"/>
                <w:szCs w:val="17"/>
              </w:rPr>
              <w:t xml:space="preserve">15 Jul</w:t>
            </w:r>
          </w:p>
        </w:tc>
        <w:tc>
          <w:tcPr>
            <w:tcW w:type="dxa" w:w="900"/>
            <w:shd w:fill="F2F2F2" w:color="auto" w:val="clear"/>
            <w:tcMar>
              <w:top w:type="dxa" w:w="60"/>
              <w:left w:type="dxa" w:w="80"/>
              <w:bottom w:type="dxa" w:w="60"/>
              <w:right w:type="dxa" w:w="80"/>
            </w:tcMar>
          </w:tcPr>
          <w:p>
            <w:r>
              <w:rPr>
                <w:sz w:val="17"/>
                <w:szCs w:val="17"/>
              </w:rPr>
              <w:t xml:space="preserve">7,549.10</w:t>
            </w:r>
          </w:p>
        </w:tc>
        <w:tc>
          <w:tcPr>
            <w:tcW w:type="dxa" w:w="900"/>
            <w:shd w:fill="F2F2F2" w:color="auto" w:val="clear"/>
            <w:tcMar>
              <w:top w:type="dxa" w:w="60"/>
              <w:left w:type="dxa" w:w="80"/>
              <w:bottom w:type="dxa" w:w="60"/>
              <w:right w:type="dxa" w:w="80"/>
            </w:tcMar>
          </w:tcPr>
          <w:p>
            <w:r>
              <w:rPr>
                <w:sz w:val="17"/>
                <w:szCs w:val="17"/>
              </w:rPr>
              <w:t xml:space="preserve">7,581.50</w:t>
            </w:r>
          </w:p>
        </w:tc>
        <w:tc>
          <w:tcPr>
            <w:tcW w:type="dxa" w:w="900"/>
            <w:shd w:fill="F2F2F2" w:color="auto" w:val="clear"/>
            <w:tcMar>
              <w:top w:type="dxa" w:w="60"/>
              <w:left w:type="dxa" w:w="80"/>
              <w:bottom w:type="dxa" w:w="60"/>
              <w:right w:type="dxa" w:w="80"/>
            </w:tcMar>
          </w:tcPr>
          <w:p>
            <w:r>
              <w:rPr>
                <w:sz w:val="17"/>
                <w:szCs w:val="17"/>
              </w:rPr>
              <w:t xml:space="preserve">7,540.20</w:t>
            </w:r>
          </w:p>
        </w:tc>
        <w:tc>
          <w:tcPr>
            <w:tcW w:type="dxa" w:w="900"/>
            <w:shd w:fill="F2F2F2" w:color="auto" w:val="clear"/>
            <w:tcMar>
              <w:top w:type="dxa" w:w="60"/>
              <w:left w:type="dxa" w:w="80"/>
              <w:bottom w:type="dxa" w:w="60"/>
              <w:right w:type="dxa" w:w="80"/>
            </w:tcMar>
          </w:tcPr>
          <w:p>
            <w:r>
              <w:rPr>
                <w:sz w:val="17"/>
                <w:szCs w:val="17"/>
              </w:rPr>
              <w:t xml:space="preserve">7,572.40</w:t>
            </w:r>
          </w:p>
        </w:tc>
        <w:tc>
          <w:tcPr>
            <w:tcW w:type="dxa" w:w="560"/>
            <w:shd w:fill="F2F2F2" w:color="auto" w:val="clear"/>
            <w:tcMar>
              <w:top w:type="dxa" w:w="60"/>
              <w:left w:type="dxa" w:w="80"/>
              <w:bottom w:type="dxa" w:w="60"/>
              <w:right w:type="dxa" w:w="80"/>
            </w:tcMar>
          </w:tcPr>
          <w:p>
            <w:r>
              <w:rPr>
                <w:sz w:val="17"/>
                <w:szCs w:val="17"/>
              </w:rPr>
              <w:t xml:space="preserve">75.9</w:t>
            </w:r>
          </w:p>
        </w:tc>
        <w:tc>
          <w:tcPr>
            <w:tcW w:type="dxa" w:w="720"/>
            <w:shd w:fill="F2F2F2" w:color="auto" w:val="clear"/>
            <w:tcMar>
              <w:top w:type="dxa" w:w="60"/>
              <w:left w:type="dxa" w:w="80"/>
              <w:bottom w:type="dxa" w:w="60"/>
              <w:right w:type="dxa" w:w="80"/>
            </w:tcMar>
          </w:tcPr>
          <w:p>
            <w:r>
              <w:rPr>
                <w:sz w:val="17"/>
                <w:szCs w:val="17"/>
              </w:rPr>
              <w:t xml:space="preserve">Bullish</w:t>
            </w:r>
          </w:p>
        </w:tc>
        <w:tc>
          <w:tcPr>
            <w:tcW w:type="dxa" w:w="1080"/>
            <w:shd w:fill="F2F2F2" w:color="auto" w:val="clear"/>
            <w:tcMar>
              <w:top w:type="dxa" w:w="60"/>
              <w:left w:type="dxa" w:w="80"/>
              <w:bottom w:type="dxa" w:w="60"/>
              <w:right w:type="dxa" w:w="80"/>
            </w:tcMar>
          </w:tcPr>
          <w:p>
            <w:r>
              <w:rPr>
                <w:sz w:val="17"/>
                <w:szCs w:val="17"/>
              </w:rPr>
              <w:t xml:space="preserve">FRED / S&amp;P DJI</w:t>
            </w:r>
          </w:p>
        </w:tc>
        <w:tc>
          <w:tcPr>
            <w:tcW w:type="dxa" w:w="1080"/>
            <w:shd w:fill="F2F2F2" w:color="auto" w:val="clear"/>
            <w:tcMar>
              <w:top w:type="dxa" w:w="60"/>
              <w:left w:type="dxa" w:w="80"/>
              <w:bottom w:type="dxa" w:w="60"/>
              <w:right w:type="dxa" w:w="80"/>
            </w:tcMar>
          </w:tcPr>
          <w:p>
            <w:r>
              <w:rPr>
                <w:sz w:val="17"/>
                <w:szCs w:val="17"/>
              </w:rPr>
              <w:t xml:space="preserve">CNBC</w:t>
            </w:r>
          </w:p>
        </w:tc>
        <w:tc>
          <w:tcPr>
            <w:tcW w:type="dxa" w:w="900"/>
            <w:shd w:fill="F2F2F2" w:color="auto" w:val="clear"/>
            <w:tcMar>
              <w:top w:type="dxa" w:w="60"/>
              <w:left w:type="dxa" w:w="80"/>
              <w:bottom w:type="dxa" w:w="60"/>
              <w:right w:type="dxa" w:w="80"/>
            </w:tcMar>
          </w:tcPr>
          <w:p>
            <w:r>
              <w:rPr>
                <w:sz w:val="17"/>
                <w:szCs w:val="17"/>
              </w:rPr>
              <w:t xml:space="preserve">7,572.40</w:t>
            </w:r>
          </w:p>
        </w:tc>
        <w:tc>
          <w:tcPr>
            <w:tcW w:type="dxa" w:w="700"/>
            <w:shd w:fill="F2F2F2" w:color="auto" w:val="clear"/>
            <w:tcMar>
              <w:top w:type="dxa" w:w="60"/>
              <w:left w:type="dxa" w:w="80"/>
              <w:bottom w:type="dxa" w:w="60"/>
              <w:right w:type="dxa" w:w="80"/>
            </w:tcMar>
          </w:tcPr>
          <w:p>
            <w:r>
              <w:rPr>
                <w:sz w:val="17"/>
                <w:szCs w:val="17"/>
              </w:rPr>
              <w:t xml:space="preserve">CORROBORATED (Δ0.00)</w:t>
            </w:r>
          </w:p>
        </w:tc>
      </w:tr>
      <w:tr>
        <w:tc>
          <w:tcPr>
            <w:tcW w:type="dxa" w:w="720"/>
            <w:tcMar>
              <w:top w:type="dxa" w:w="60"/>
              <w:left w:type="dxa" w:w="80"/>
              <w:bottom w:type="dxa" w:w="60"/>
              <w:right w:type="dxa" w:w="80"/>
            </w:tcMar>
          </w:tcPr>
          <w:p>
            <w:r>
              <w:rPr>
                <w:sz w:val="17"/>
                <w:szCs w:val="17"/>
              </w:rPr>
              <w:t xml:space="preserve">16 Jul</w:t>
            </w:r>
          </w:p>
        </w:tc>
        <w:tc>
          <w:tcPr>
            <w:tcW w:type="dxa" w:w="900"/>
            <w:tcMar>
              <w:top w:type="dxa" w:w="60"/>
              <w:left w:type="dxa" w:w="80"/>
              <w:bottom w:type="dxa" w:w="60"/>
              <w:right w:type="dxa" w:w="80"/>
            </w:tcMar>
          </w:tcPr>
          <w:p>
            <w:r>
              <w:rPr>
                <w:sz w:val="17"/>
                <w:szCs w:val="17"/>
              </w:rPr>
              <w:t xml:space="preserve">7,558.80</w:t>
            </w:r>
          </w:p>
        </w:tc>
        <w:tc>
          <w:tcPr>
            <w:tcW w:type="dxa" w:w="900"/>
            <w:tcMar>
              <w:top w:type="dxa" w:w="60"/>
              <w:left w:type="dxa" w:w="80"/>
              <w:bottom w:type="dxa" w:w="60"/>
              <w:right w:type="dxa" w:w="80"/>
            </w:tcMar>
          </w:tcPr>
          <w:p>
            <w:r>
              <w:rPr>
                <w:sz w:val="17"/>
                <w:szCs w:val="17"/>
              </w:rPr>
              <w:t xml:space="preserve">7,570.74</w:t>
            </w:r>
          </w:p>
        </w:tc>
        <w:tc>
          <w:tcPr>
            <w:tcW w:type="dxa" w:w="900"/>
            <w:tcMar>
              <w:top w:type="dxa" w:w="60"/>
              <w:left w:type="dxa" w:w="80"/>
              <w:bottom w:type="dxa" w:w="60"/>
              <w:right w:type="dxa" w:w="80"/>
            </w:tcMar>
          </w:tcPr>
          <w:p>
            <w:r>
              <w:rPr>
                <w:sz w:val="17"/>
                <w:szCs w:val="17"/>
              </w:rPr>
              <w:t xml:space="preserve">7,504.02</w:t>
            </w:r>
          </w:p>
        </w:tc>
        <w:tc>
          <w:tcPr>
            <w:tcW w:type="dxa" w:w="900"/>
            <w:tcMar>
              <w:top w:type="dxa" w:w="60"/>
              <w:left w:type="dxa" w:w="80"/>
              <w:bottom w:type="dxa" w:w="60"/>
              <w:right w:type="dxa" w:w="80"/>
            </w:tcMar>
          </w:tcPr>
          <w:p>
            <w:r>
              <w:rPr>
                <w:sz w:val="17"/>
                <w:szCs w:val="17"/>
              </w:rPr>
              <w:t xml:space="preserve">7,533.77</w:t>
            </w:r>
          </w:p>
        </w:tc>
        <w:tc>
          <w:tcPr>
            <w:tcW w:type="dxa" w:w="560"/>
            <w:tcMar>
              <w:top w:type="dxa" w:w="60"/>
              <w:left w:type="dxa" w:w="80"/>
              <w:bottom w:type="dxa" w:w="60"/>
              <w:right w:type="dxa" w:w="80"/>
            </w:tcMar>
          </w:tcPr>
          <w:p>
            <w:r>
              <w:rPr>
                <w:sz w:val="17"/>
                <w:szCs w:val="17"/>
              </w:rPr>
              <w:t xml:space="preserve">35.4</w:t>
            </w:r>
          </w:p>
        </w:tc>
        <w:tc>
          <w:tcPr>
            <w:tcW w:type="dxa" w:w="720"/>
            <w:tcMar>
              <w:top w:type="dxa" w:w="60"/>
              <w:left w:type="dxa" w:w="80"/>
              <w:bottom w:type="dxa" w:w="60"/>
              <w:right w:type="dxa" w:w="80"/>
            </w:tcMar>
          </w:tcPr>
          <w:p>
            <w:r>
              <w:rPr>
                <w:sz w:val="17"/>
                <w:szCs w:val="17"/>
              </w:rPr>
              <w:t xml:space="preserve">Bearish</w:t>
            </w:r>
          </w:p>
        </w:tc>
        <w:tc>
          <w:tcPr>
            <w:tcW w:type="dxa" w:w="1080"/>
            <w:tcMar>
              <w:top w:type="dxa" w:w="60"/>
              <w:left w:type="dxa" w:w="80"/>
              <w:bottom w:type="dxa" w:w="60"/>
              <w:right w:type="dxa" w:w="80"/>
            </w:tcMar>
          </w:tcPr>
          <w:p>
            <w:r>
              <w:rPr>
                <w:sz w:val="17"/>
                <w:szCs w:val="17"/>
              </w:rPr>
              <w:t xml:space="preserve">Investing.com</w:t>
            </w:r>
          </w:p>
        </w:tc>
        <w:tc>
          <w:tcPr>
            <w:tcW w:type="dxa" w:w="1080"/>
            <w:tcMar>
              <w:top w:type="dxa" w:w="60"/>
              <w:left w:type="dxa" w:w="80"/>
              <w:bottom w:type="dxa" w:w="60"/>
              <w:right w:type="dxa" w:w="80"/>
            </w:tcMar>
          </w:tcPr>
          <w:p>
            <w:r>
              <w:rPr>
                <w:sz w:val="17"/>
                <w:szCs w:val="17"/>
              </w:rPr>
              <w:t xml:space="preserve">CNBC / Yahoo</w:t>
            </w:r>
          </w:p>
        </w:tc>
        <w:tc>
          <w:tcPr>
            <w:tcW w:type="dxa" w:w="900"/>
            <w:tcMar>
              <w:top w:type="dxa" w:w="60"/>
              <w:left w:type="dxa" w:w="80"/>
              <w:bottom w:type="dxa" w:w="60"/>
              <w:right w:type="dxa" w:w="80"/>
            </w:tcMar>
          </w:tcPr>
          <w:p>
            <w:r>
              <w:rPr>
                <w:sz w:val="17"/>
                <w:szCs w:val="17"/>
              </w:rPr>
              <w:t xml:space="preserve">7,533.77</w:t>
            </w:r>
          </w:p>
        </w:tc>
        <w:tc>
          <w:tcPr>
            <w:tcW w:type="dxa" w:w="700"/>
            <w:tcMar>
              <w:top w:type="dxa" w:w="60"/>
              <w:left w:type="dxa" w:w="80"/>
              <w:bottom w:type="dxa" w:w="60"/>
              <w:right w:type="dxa" w:w="80"/>
            </w:tcMar>
          </w:tcPr>
          <w:p>
            <w:r>
              <w:rPr>
                <w:sz w:val="17"/>
                <w:szCs w:val="17"/>
              </w:rPr>
              <w:t xml:space="preserve">CORROBORATED (Δ0.10)</w:t>
            </w:r>
          </w:p>
        </w:tc>
      </w:tr>
    </w:tbl>
    <w:p>
      <w:pPr>
        <w:pStyle w:val="ListParagraph"/>
        <w:numPr>
          <w:ilvl w:val="0"/>
          <w:numId w:val="1"/>
        </w:numPr>
        <w:spacing w:after="60"/>
      </w:pPr>
      <w:r>
        <w:rPr>
          <w:sz w:val="20"/>
          <w:szCs w:val="20"/>
        </w:rPr>
        <w:t xml:space="preserve">Close column: fully corroborated across all five sessions. The 16 July close carries a 0.10-point aggregator delta, immaterial at 0.001% of level.</w:t>
      </w:r>
    </w:p>
    <w:p>
      <w:pPr>
        <w:pStyle w:val="ListParagraph"/>
        <w:numPr>
          <w:ilvl w:val="0"/>
          <w:numId w:val="1"/>
        </w:numPr>
        <w:spacing w:after="60"/>
      </w:pPr>
      <w:r>
        <w:rPr>
          <w:sz w:val="20"/>
          <w:szCs w:val="20"/>
        </w:rPr>
        <w:t xml:space="preserve">Open/High/Low for 15 July: the intraday extremes are reconstructed from an aggregator range statement rather than a dual independent provider feed. See §19 — this row's OHLC is indicative for range purposes but its close is corroborated and pivot-eligible.</w:t>
      </w:r>
    </w:p>
    <w:p>
      <w:pPr>
        <w:pStyle w:val="ListParagraph"/>
        <w:numPr>
          <w:ilvl w:val="0"/>
          <w:numId w:val="1"/>
        </w:numPr>
        <w:spacing w:after="60"/>
      </w:pPr>
      <w:r>
        <w:rPr>
          <w:sz w:val="20"/>
          <w:szCs w:val="20"/>
        </w:rPr>
        <w:t xml:space="preserve">Trend classification follows Close&gt;Open AND RSI2&gt;50 (Bullish) / Close&lt;Open AND RSI2&lt;50 (Bearish) / all other combinations (Neutral). 14 July closes above its open but with RSI2 at 58.0 and a −0.79% prior session — classified Neutral by rule, not by judgement.</w:t>
      </w:r>
    </w:p>
    <w:p>
      <w:pPr>
        <w:pStyle w:val="Heading1"/>
        <w:spacing w:after="120" w:before="240"/>
      </w:pPr>
      <w:r>
        <w:t xml:space="preserve">§7  Charts</w:t>
      </w:r>
    </w:p>
    <w:p>
      <w:pPr>
        <w:spacing w:after="160"/>
      </w:pPr>
      <w:r>
        <w:rPr>
          <w:sz w:val="20"/>
          <w:szCs w:val="20"/>
        </w:rPr>
        <w:t xml:space="preserve">Chart rendering is suppressed for this session. The engine's image pipeline was not invoked in this run; per the report presentation rules, no placeholder or blank space is produced in lieu of a chart. All levels that would appear on the candlestick, 5-week, VOLator, and pivot charts are stated numerically in §6, §9, and §11, so no analytical content is lost — only its graphical presentation. This is logged as a deviation in §20.</w:t>
      </w:r>
    </w:p>
    <w:p>
      <w:pPr>
        <w:pStyle w:val="Heading1"/>
        <w:spacing w:after="120" w:before="240"/>
      </w:pPr>
      <w:r>
        <w:t xml:space="preserve">§8  Short-Term Technical Analysis</w:t>
      </w:r>
    </w:p>
    <w:p>
      <w:pPr>
        <w:spacing w:after="100"/>
      </w:pPr>
      <w:r>
        <w:rPr>
          <w:b/>
          <w:bCs/>
          <w:sz w:val="20"/>
          <w:szCs w:val="20"/>
        </w:rPr>
        <w:t xml:space="preserve">Candle-by-candle, 10–16 July (see §6):</w:t>
      </w:r>
    </w:p>
    <w:p>
      <w:pPr>
        <w:pStyle w:val="ListParagraph"/>
        <w:numPr>
          <w:ilvl w:val="0"/>
          <w:numId w:val="1"/>
        </w:numPr>
        <w:spacing w:after="60"/>
      </w:pPr>
      <w:r>
        <w:rPr>
          <w:sz w:val="20"/>
          <w:szCs w:val="20"/>
        </w:rPr>
        <w:t xml:space="preserve">10 July — Wide bullish marubozu-adjacent candle. Opens 7,547.64, drives to 7,579.93, closes 7,575.39 near the high on a 71.8-point range. RSI2 at 87.1 is deeply overbought. This is the impulse leg that defines the top of the working range.</w:t>
      </w:r>
    </w:p>
    <w:p>
      <w:pPr>
        <w:pStyle w:val="ListParagraph"/>
        <w:numPr>
          <w:ilvl w:val="0"/>
          <w:numId w:val="1"/>
        </w:numPr>
        <w:spacing w:after="60"/>
      </w:pPr>
      <w:r>
        <w:rPr>
          <w:sz w:val="20"/>
          <w:szCs w:val="20"/>
        </w:rPr>
        <w:t xml:space="preserve">13 July — Bearish engulfing of the prior body. Opens 7,547.53 (a 27.9-point gap below the previous close), trades up to 7,565.37, then reverses hard to 7,506.41 before closing 7,515.34. RSI2 collapses 87.1→33.8 in one session. The first rejection of the 7,565–7,580 supply shelf.</w:t>
      </w:r>
    </w:p>
    <w:p>
      <w:pPr>
        <w:pStyle w:val="ListParagraph"/>
        <w:numPr>
          <w:ilvl w:val="0"/>
          <w:numId w:val="1"/>
        </w:numPr>
        <w:spacing w:after="60"/>
      </w:pPr>
      <w:r>
        <w:rPr>
          <w:sz w:val="20"/>
          <w:szCs w:val="20"/>
        </w:rPr>
        <w:t xml:space="preserve">14 July — Inside-day recovery. Range 7,513.23–7,557.44 sits entirely within the 13 July range. Closes 7,543.59, up 0.38%, RSI2 back to 58.0. Constructive but unconvincing — the candle does not reclaim the 13 July open.</w:t>
      </w:r>
    </w:p>
    <w:p>
      <w:pPr>
        <w:pStyle w:val="ListParagraph"/>
        <w:numPr>
          <w:ilvl w:val="0"/>
          <w:numId w:val="1"/>
        </w:numPr>
        <w:spacing w:after="60"/>
      </w:pPr>
      <w:r>
        <w:rPr>
          <w:sz w:val="20"/>
          <w:szCs w:val="20"/>
        </w:rPr>
        <w:t xml:space="preserve">15 July — Bullish continuation on soft PPI. Opens 7,549.10, prints the five-session swing high at 7,581.50, closes 7,572.40 (+0.38%). RSI2 75.9. Critically, the session posts a marginally higher high than 10 July but closes 3.0 points below the 10 July close — a failed breakout by close, not by wick.</w:t>
      </w:r>
    </w:p>
    <w:p>
      <w:pPr>
        <w:pStyle w:val="ListParagraph"/>
        <w:numPr>
          <w:ilvl w:val="0"/>
          <w:numId w:val="1"/>
        </w:numPr>
        <w:spacing w:after="60"/>
      </w:pPr>
      <w:r>
        <w:rPr>
          <w:sz w:val="20"/>
          <w:szCs w:val="20"/>
        </w:rPr>
        <w:t xml:space="preserve">16 July — Bearish reversal, the decisive candle. Opens 7,558.80 (below the prior close), fails at 7,570.74, then sells off 66.7 points to 7,504.02 before closing 7,533.77. RSI2 collapses 75.9→35.4. The close sits in the lower quartile of the session range.</w:t>
      </w:r>
    </w:p>
    <w:p>
      <w:pPr>
        <w:spacing w:after="100"/>
      </w:pPr>
      <w:r>
        <w:rPr>
          <w:b/>
          <w:bCs/>
          <w:sz w:val="20"/>
          <w:szCs w:val="20"/>
        </w:rPr>
        <w:t xml:space="preserve">Sequence assessment:</w:t>
      </w:r>
    </w:p>
    <w:p>
      <w:pPr>
        <w:spacing w:after="100"/>
      </w:pPr>
      <w:r>
        <w:rPr>
          <w:sz w:val="20"/>
          <w:szCs w:val="20"/>
        </w:rPr>
        <w:t xml:space="preserve">The five-session sequence is a double-top rejection. Two attempts (10 July at 7,579.93, 15 July at 7,581.50) at the same supply shelf, both followed immediately by a −0.5% to −0.8% reversal session. The 1.57-point difference between the two highs is inside noise — this is one level being tested twice, not a higher high. The RSI2 signature reinforces this: 87.1→33.8, then 75.9→35.4. Two identical whipsaws in five sessions is the fingerprint of a range boundary being defended, not of a trend absorbing supply.</w:t>
      </w:r>
    </w:p>
    <w:p>
      <w:pPr>
        <w:spacing w:after="100"/>
      </w:pPr>
      <w:r>
        <w:rPr>
          <w:sz w:val="20"/>
          <w:szCs w:val="20"/>
        </w:rPr>
        <w:t xml:space="preserve">Against this, the lows are constructive. The 16 July low of 7,504.02 sits above the 13 July low of 7,506.41 by a hair — effectively a flat floor rather than a higher low, but not a lower one. Sellers established a ceiling this week; they have not yet established downside. The working range is 7,504–7,581, a 77.5-point band that is only 1.08× ATR(14) of 71.74 — compression, and unusually tight for a market carrying this much headline risk.</w:t>
      </w:r>
    </w:p>
    <w:p>
      <w:pPr>
        <w:spacing w:after="160"/>
      </w:pPr>
      <w:r>
        <w:rPr>
          <w:sz w:val="20"/>
          <w:szCs w:val="20"/>
        </w:rPr>
        <w:t xml:space="preserve">Swing structure: 5-session high 7,581.50, 5-session low 7,504.02. Nearest resistance 7,568–7,581 (twice-rejected supply, coinciding with the daily R1 at 7,568.33). Nearest support 7,504–7,506 (the twice-defended floor, coinciding with the daily S1 at 7,501.61 — a 0.032% confluence, effectively the same level).</w:t>
      </w:r>
    </w:p>
    <w:p>
      <w:pPr>
        <w:pStyle w:val="Heading1"/>
        <w:spacing w:after="120" w:before="240"/>
      </w:pPr>
      <w:r>
        <w:t xml:space="preserve">§9  Medium-Term Regime &amp; VOLator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Measure</w:t>
            </w:r>
          </w:p>
        </w:tc>
        <w:tc>
          <w:tcPr>
            <w:tcW w:type="dxa" w:w="1800"/>
            <w:shd w:fill="1F3864" w:color="auto" w:val="clear"/>
            <w:tcMar>
              <w:top w:type="dxa" w:w="60"/>
              <w:left w:type="dxa" w:w="80"/>
              <w:bottom w:type="dxa" w:w="60"/>
              <w:right w:type="dxa" w:w="80"/>
            </w:tcMar>
          </w:tcPr>
          <w:p>
            <w:r>
              <w:rPr>
                <w:b/>
                <w:bCs/>
                <w:color w:val="FFFFFF"/>
                <w:sz w:val="17"/>
                <w:szCs w:val="17"/>
              </w:rPr>
              <w:t xml:space="preserve">Reading</w:t>
            </w:r>
          </w:p>
        </w:tc>
        <w:tc>
          <w:tcPr>
            <w:tcW w:type="dxa" w:w="5660"/>
            <w:shd w:fill="1F3864" w:color="auto" w:val="clear"/>
            <w:tcMar>
              <w:top w:type="dxa" w:w="60"/>
              <w:left w:type="dxa" w:w="80"/>
              <w:bottom w:type="dxa" w:w="60"/>
              <w:right w:type="dxa" w:w="80"/>
            </w:tcMar>
          </w:tcPr>
          <w:p>
            <w:r>
              <w:rPr>
                <w:b/>
                <w:bCs/>
                <w:color w:val="FFFFFF"/>
                <w:sz w:val="17"/>
                <w:szCs w:val="17"/>
              </w:rPr>
              <w:t xml:space="preserve">Interpretation</w:t>
            </w:r>
          </w:p>
        </w:tc>
      </w:tr>
      <w:tr>
        <w:tc>
          <w:tcPr>
            <w:tcW w:type="dxa" w:w="1900"/>
            <w:tcMar>
              <w:top w:type="dxa" w:w="60"/>
              <w:left w:type="dxa" w:w="80"/>
              <w:bottom w:type="dxa" w:w="60"/>
              <w:right w:type="dxa" w:w="80"/>
            </w:tcMar>
          </w:tcPr>
          <w:p>
            <w:r>
              <w:rPr>
                <w:sz w:val="17"/>
                <w:szCs w:val="17"/>
              </w:rPr>
              <w:t xml:space="preserve">Structural regime (25 sessions)</w:t>
            </w:r>
          </w:p>
        </w:tc>
        <w:tc>
          <w:tcPr>
            <w:tcW w:type="dxa" w:w="1800"/>
            <w:tcMar>
              <w:top w:type="dxa" w:w="60"/>
              <w:left w:type="dxa" w:w="80"/>
              <w:bottom w:type="dxa" w:w="60"/>
              <w:right w:type="dxa" w:w="80"/>
            </w:tcMar>
          </w:tcPr>
          <w:p>
            <w:r>
              <w:rPr>
                <w:sz w:val="17"/>
                <w:szCs w:val="17"/>
              </w:rPr>
              <w:t xml:space="preserve">Higher-low sequence intact from the 26 June low at 7,294.18</w:t>
            </w:r>
          </w:p>
        </w:tc>
        <w:tc>
          <w:tcPr>
            <w:tcW w:type="dxa" w:w="5660"/>
            <w:tcMar>
              <w:top w:type="dxa" w:w="60"/>
              <w:left w:type="dxa" w:w="80"/>
              <w:bottom w:type="dxa" w:w="60"/>
              <w:right w:type="dxa" w:w="80"/>
            </w:tcMar>
          </w:tcPr>
          <w:p>
            <w:r>
              <w:rPr>
                <w:sz w:val="17"/>
                <w:szCs w:val="17"/>
              </w:rPr>
              <w:t xml:space="preserve">Constructive. Price is +239.6 points (+3.3%) off the June low and +0.7% above the 18-session mean of 7,479.02.</w:t>
            </w:r>
          </w:p>
        </w:tc>
      </w:tr>
      <w:tr>
        <w:tc>
          <w:tcPr>
            <w:tcW w:type="dxa" w:w="1900"/>
            <w:shd w:fill="F2F2F2" w:color="auto" w:val="clear"/>
            <w:tcMar>
              <w:top w:type="dxa" w:w="60"/>
              <w:left w:type="dxa" w:w="80"/>
              <w:bottom w:type="dxa" w:w="60"/>
              <w:right w:type="dxa" w:w="80"/>
            </w:tcMar>
          </w:tcPr>
          <w:p>
            <w:r>
              <w:rPr>
                <w:sz w:val="17"/>
                <w:szCs w:val="17"/>
              </w:rPr>
              <w:t xml:space="preserve">Net change, 5 sessions</w:t>
            </w:r>
          </w:p>
        </w:tc>
        <w:tc>
          <w:tcPr>
            <w:tcW w:type="dxa" w:w="1800"/>
            <w:shd w:fill="F2F2F2" w:color="auto" w:val="clear"/>
            <w:tcMar>
              <w:top w:type="dxa" w:w="60"/>
              <w:left w:type="dxa" w:w="80"/>
              <w:bottom w:type="dxa" w:w="60"/>
              <w:right w:type="dxa" w:w="80"/>
            </w:tcMar>
          </w:tcPr>
          <w:p>
            <w:r>
              <w:rPr>
                <w:sz w:val="17"/>
                <w:szCs w:val="17"/>
              </w:rPr>
              <w:t xml:space="preserve">−9.87 points (−0.13%)</w:t>
            </w:r>
          </w:p>
        </w:tc>
        <w:tc>
          <w:tcPr>
            <w:tcW w:type="dxa" w:w="5660"/>
            <w:shd w:fill="F2F2F2" w:color="auto" w:val="clear"/>
            <w:tcMar>
              <w:top w:type="dxa" w:w="60"/>
              <w:left w:type="dxa" w:w="80"/>
              <w:bottom w:type="dxa" w:w="60"/>
              <w:right w:type="dxa" w:w="80"/>
            </w:tcMar>
          </w:tcPr>
          <w:p>
            <w:r>
              <w:rPr>
                <w:sz w:val="17"/>
                <w:szCs w:val="17"/>
              </w:rPr>
              <w:t xml:space="preserve">Flat. The week's directional content is nil despite two ±0.5% sessions.</w:t>
            </w:r>
          </w:p>
        </w:tc>
      </w:tr>
      <w:tr>
        <w:tc>
          <w:tcPr>
            <w:tcW w:type="dxa" w:w="1900"/>
            <w:tcMar>
              <w:top w:type="dxa" w:w="60"/>
              <w:left w:type="dxa" w:w="80"/>
              <w:bottom w:type="dxa" w:w="60"/>
              <w:right w:type="dxa" w:w="80"/>
            </w:tcMar>
          </w:tcPr>
          <w:p>
            <w:r>
              <w:rPr>
                <w:sz w:val="17"/>
                <w:szCs w:val="17"/>
              </w:rPr>
              <w:t xml:space="preserve">Net change, window</w:t>
            </w:r>
          </w:p>
        </w:tc>
        <w:tc>
          <w:tcPr>
            <w:tcW w:type="dxa" w:w="1800"/>
            <w:tcMar>
              <w:top w:type="dxa" w:w="60"/>
              <w:left w:type="dxa" w:w="80"/>
              <w:bottom w:type="dxa" w:w="60"/>
              <w:right w:type="dxa" w:w="80"/>
            </w:tcMar>
          </w:tcPr>
          <w:p>
            <w:r>
              <w:rPr>
                <w:sz w:val="17"/>
                <w:szCs w:val="17"/>
              </w:rPr>
              <w:t xml:space="preserve">+60.98 points (+0.8%)</w:t>
            </w:r>
          </w:p>
        </w:tc>
        <w:tc>
          <w:tcPr>
            <w:tcW w:type="dxa" w:w="5660"/>
            <w:tcMar>
              <w:top w:type="dxa" w:w="60"/>
              <w:left w:type="dxa" w:w="80"/>
              <w:bottom w:type="dxa" w:w="60"/>
              <w:right w:type="dxa" w:w="80"/>
            </w:tcMar>
          </w:tcPr>
          <w:p>
            <w:r>
              <w:rPr>
                <w:sz w:val="17"/>
                <w:szCs w:val="17"/>
              </w:rPr>
              <w:t xml:space="preserve">Mildly positive drift.</w:t>
            </w:r>
          </w:p>
        </w:tc>
      </w:tr>
      <w:tr>
        <w:tc>
          <w:tcPr>
            <w:tcW w:type="dxa" w:w="1900"/>
            <w:shd w:fill="F2F2F2" w:color="auto" w:val="clear"/>
            <w:tcMar>
              <w:top w:type="dxa" w:w="60"/>
              <w:left w:type="dxa" w:w="80"/>
              <w:bottom w:type="dxa" w:w="60"/>
              <w:right w:type="dxa" w:w="80"/>
            </w:tcMar>
          </w:tcPr>
          <w:p>
            <w:r>
              <w:rPr>
                <w:sz w:val="17"/>
                <w:szCs w:val="17"/>
              </w:rPr>
              <w:t xml:space="preserve">ATR(14)</w:t>
            </w:r>
          </w:p>
        </w:tc>
        <w:tc>
          <w:tcPr>
            <w:tcW w:type="dxa" w:w="1800"/>
            <w:shd w:fill="F2F2F2" w:color="auto" w:val="clear"/>
            <w:tcMar>
              <w:top w:type="dxa" w:w="60"/>
              <w:left w:type="dxa" w:w="80"/>
              <w:bottom w:type="dxa" w:w="60"/>
              <w:right w:type="dxa" w:w="80"/>
            </w:tcMar>
          </w:tcPr>
          <w:p>
            <w:r>
              <w:rPr>
                <w:sz w:val="17"/>
                <w:szCs w:val="17"/>
              </w:rPr>
              <w:t xml:space="preserve">71.74 points</w:t>
            </w:r>
          </w:p>
        </w:tc>
        <w:tc>
          <w:tcPr>
            <w:tcW w:type="dxa" w:w="5660"/>
            <w:shd w:fill="F2F2F2" w:color="auto" w:val="clear"/>
            <w:tcMar>
              <w:top w:type="dxa" w:w="60"/>
              <w:left w:type="dxa" w:w="80"/>
              <w:bottom w:type="dxa" w:w="60"/>
              <w:right w:type="dxa" w:w="80"/>
            </w:tcMar>
          </w:tcPr>
          <w:p>
            <w:r>
              <w:rPr>
                <w:sz w:val="17"/>
                <w:szCs w:val="17"/>
              </w:rPr>
              <w:t xml:space="preserve">Roughly 0.95% of level — subdued for an index carrying live geopolitical and AI-valuation risk.</w:t>
            </w:r>
          </w:p>
        </w:tc>
      </w:tr>
      <w:tr>
        <w:tc>
          <w:tcPr>
            <w:tcW w:type="dxa" w:w="1900"/>
            <w:tcMar>
              <w:top w:type="dxa" w:w="60"/>
              <w:left w:type="dxa" w:w="80"/>
              <w:bottom w:type="dxa" w:w="60"/>
              <w:right w:type="dxa" w:w="80"/>
            </w:tcMar>
          </w:tcPr>
          <w:p>
            <w:r>
              <w:rPr>
                <w:sz w:val="17"/>
                <w:szCs w:val="17"/>
              </w:rPr>
              <w:t xml:space="preserve">VOLator (ATR slope, 5 sessions)</w:t>
            </w:r>
          </w:p>
        </w:tc>
        <w:tc>
          <w:tcPr>
            <w:tcW w:type="dxa" w:w="1800"/>
            <w:tcMar>
              <w:top w:type="dxa" w:w="60"/>
              <w:left w:type="dxa" w:w="80"/>
              <w:bottom w:type="dxa" w:w="60"/>
              <w:right w:type="dxa" w:w="80"/>
            </w:tcMar>
          </w:tcPr>
          <w:p>
            <w:r>
              <w:rPr>
                <w:sz w:val="17"/>
                <w:szCs w:val="17"/>
              </w:rPr>
              <w:t xml:space="preserve">−7.66%</w:t>
            </w:r>
          </w:p>
        </w:tc>
        <w:tc>
          <w:tcPr>
            <w:tcW w:type="dxa" w:w="5660"/>
            <w:tcMar>
              <w:top w:type="dxa" w:w="60"/>
              <w:left w:type="dxa" w:w="80"/>
              <w:bottom w:type="dxa" w:w="60"/>
              <w:right w:type="dxa" w:w="80"/>
            </w:tcMar>
          </w:tcPr>
          <w:p>
            <w:r>
              <w:rPr>
                <w:sz w:val="17"/>
                <w:szCs w:val="17"/>
              </w:rPr>
              <w:t xml:space="preserve">Volatility compressing, not expanding. Supportive of risk appetite; contradicts the equity-negative read from the VIX (see §10).</w:t>
            </w:r>
          </w:p>
        </w:tc>
      </w:tr>
      <w:tr>
        <w:tc>
          <w:tcPr>
            <w:tcW w:type="dxa" w:w="1900"/>
            <w:shd w:fill="F2F2F2" w:color="auto" w:val="clear"/>
            <w:tcMar>
              <w:top w:type="dxa" w:w="60"/>
              <w:left w:type="dxa" w:w="80"/>
              <w:bottom w:type="dxa" w:w="60"/>
              <w:right w:type="dxa" w:w="80"/>
            </w:tcMar>
          </w:tcPr>
          <w:p>
            <w:r>
              <w:rPr>
                <w:sz w:val="17"/>
                <w:szCs w:val="17"/>
              </w:rPr>
              <w:t xml:space="preserve">Kaufman Efficiency Ratio (13, EMA-3)</w:t>
            </w:r>
          </w:p>
        </w:tc>
        <w:tc>
          <w:tcPr>
            <w:tcW w:type="dxa" w:w="1800"/>
            <w:shd w:fill="F2F2F2" w:color="auto" w:val="clear"/>
            <w:tcMar>
              <w:top w:type="dxa" w:w="60"/>
              <w:left w:type="dxa" w:w="80"/>
              <w:bottom w:type="dxa" w:w="60"/>
              <w:right w:type="dxa" w:w="80"/>
            </w:tcMar>
          </w:tcPr>
          <w:p>
            <w:r>
              <w:rPr>
                <w:sz w:val="17"/>
                <w:szCs w:val="17"/>
              </w:rPr>
              <w:t xml:space="preserve">+0.37</w:t>
            </w:r>
          </w:p>
        </w:tc>
        <w:tc>
          <w:tcPr>
            <w:tcW w:type="dxa" w:w="5660"/>
            <w:shd w:fill="F2F2F2" w:color="auto" w:val="clear"/>
            <w:tcMar>
              <w:top w:type="dxa" w:w="60"/>
              <w:left w:type="dxa" w:w="80"/>
              <w:bottom w:type="dxa" w:w="60"/>
              <w:right w:type="dxa" w:w="80"/>
            </w:tcMar>
          </w:tcPr>
          <w:p>
            <w:r>
              <w:rPr>
                <w:sz w:val="17"/>
                <w:szCs w:val="17"/>
              </w:rPr>
              <w:t xml:space="preserve">TRENDING-UP. Above the 0.13 trending threshold by a wide margin.</w:t>
            </w:r>
          </w:p>
        </w:tc>
      </w:tr>
      <w:tr>
        <w:tc>
          <w:tcPr>
            <w:tcW w:type="dxa" w:w="1900"/>
            <w:tcMar>
              <w:top w:type="dxa" w:w="60"/>
              <w:left w:type="dxa" w:w="80"/>
              <w:bottom w:type="dxa" w:w="60"/>
              <w:right w:type="dxa" w:w="80"/>
            </w:tcMar>
          </w:tcPr>
          <w:p>
            <w:r>
              <w:rPr>
                <w:sz w:val="17"/>
                <w:szCs w:val="17"/>
              </w:rPr>
              <w:t xml:space="preserve">Regime label</w:t>
            </w:r>
          </w:p>
        </w:tc>
        <w:tc>
          <w:tcPr>
            <w:tcW w:type="dxa" w:w="1800"/>
            <w:tcMar>
              <w:top w:type="dxa" w:w="60"/>
              <w:left w:type="dxa" w:w="80"/>
              <w:bottom w:type="dxa" w:w="60"/>
              <w:right w:type="dxa" w:w="80"/>
            </w:tcMar>
          </w:tcPr>
          <w:p>
            <w:r>
              <w:rPr>
                <w:sz w:val="17"/>
                <w:szCs w:val="17"/>
              </w:rPr>
              <w:t xml:space="preserve">TRANSITION</w:t>
            </w:r>
          </w:p>
        </w:tc>
        <w:tc>
          <w:tcPr>
            <w:tcW w:type="dxa" w:w="5660"/>
            <w:tcMar>
              <w:top w:type="dxa" w:w="60"/>
              <w:left w:type="dxa" w:w="80"/>
              <w:bottom w:type="dxa" w:w="60"/>
              <w:right w:type="dxa" w:w="80"/>
            </w:tcMar>
          </w:tcPr>
          <w:p>
            <w:r>
              <w:rPr>
                <w:sz w:val="17"/>
                <w:szCs w:val="17"/>
              </w:rPr>
              <w:t xml:space="preserve">Not TREND_UP. See resolution below.</w:t>
            </w:r>
          </w:p>
        </w:tc>
      </w:tr>
    </w:tbl>
    <w:p>
      <w:pPr>
        <w:spacing w:after="100"/>
      </w:pPr>
      <w:r>
        <w:rPr>
          <w:b/>
          <w:bCs/>
          <w:sz w:val="20"/>
          <w:szCs w:val="20"/>
        </w:rPr>
        <w:t xml:space="preserve">Kaufman confirmation — contradiction flagged:</w:t>
      </w:r>
    </w:p>
    <w:p>
      <w:pPr>
        <w:spacing w:after="100"/>
      </w:pPr>
      <w:r>
        <w:rPr>
          <w:sz w:val="20"/>
          <w:szCs w:val="20"/>
        </w:rPr>
        <w:t xml:space="preserve">The Kaufman reading of +0.37 classifies the tape as trending upward and agrees with the medium-term structural read. It disagrees sharply with the short-term technical picture in §8, which shows a twice-rejected ceiling and two RSI2 whipsaws in five sessions. This contradiction is stated rather than resolved silently.</w:t>
      </w:r>
    </w:p>
    <w:p>
      <w:pPr>
        <w:spacing w:after="100"/>
      </w:pPr>
      <w:r>
        <w:rPr>
          <w:sz w:val="20"/>
          <w:szCs w:val="20"/>
        </w:rPr>
        <w:t xml:space="preserve">Which signal takes precedence, and why: the Kaufman ratio measures directional efficiency over its 13-session lookback, and that window is dominated by the 26 June–10 July advance — a genuine, efficient trend leg. But efficiency is a backward-looking property, and the most recent five sessions have contributed net −9.87 points against roughly 158 points of absolute path. The trailing window is carrying the reading; the current window is not. Where a structural signal is sustained by data outside the active window and the short-term signal is unanimous within it, the short-term signal takes precedence for a daily-horizon call — which is exactly what a 25% short-technical weight against a 15% Kaufman weight encodes. The regime is therefore labelled TRANSITION rather than TREND_UP: an intact medium-term uptrend that has stopped making progress at a specific, twice-defended level, with the Kaufman number describing where the market has been rather than what it is currently doing.</w:t>
      </w:r>
    </w:p>
    <w:p>
      <w:pPr>
        <w:spacing w:after="160"/>
      </w:pPr>
      <w:r>
        <w:rPr>
          <w:sz w:val="20"/>
          <w:szCs w:val="20"/>
        </w:rPr>
        <w:t xml:space="preserve">The VOLator reading adds a second, subtler contradiction. Realised volatility is compressing (−7.66%) while implied volatility is rising (VIX +6.76%). Realised-implied divergence of this kind typically means the options market is pricing a forward event that the cash tape has not yet delivered — here, the Netflix print and the semiconductor complex's Friday response. Compressing realised volatility inside a 1.08× ATR range is a coiling signature; it argues that the eventual resolution of the 7,504–7,581 band will be larger than the band itself, without indicating direction.</w:t>
      </w:r>
    </w:p>
    <w:p>
      <w:pPr>
        <w:pStyle w:val="Heading1"/>
        <w:spacing w:after="12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900"/>
        <w:gridCol w:w="900"/>
        <w:gridCol w:w="2560"/>
      </w:tblGrid>
      <w:tr>
        <w:trPr>
          <w:tblHeader/>
        </w:trPr>
        <w:tc>
          <w:tcPr>
            <w:tcW w:type="dxa" w:w="1100"/>
            <w:shd w:fill="1F3864" w:color="auto" w:val="clear"/>
            <w:tcMar>
              <w:top w:type="dxa" w:w="60"/>
              <w:left w:type="dxa" w:w="80"/>
              <w:bottom w:type="dxa" w:w="60"/>
              <w:right w:type="dxa" w:w="80"/>
            </w:tcMar>
          </w:tcPr>
          <w:p>
            <w:r>
              <w:rPr>
                <w:b/>
                <w:bCs/>
                <w:color w:val="FFFFFF"/>
                <w:sz w:val="17"/>
                <w:szCs w:val="17"/>
              </w:rPr>
              <w:t xml:space="preserve">Counter</w:t>
            </w:r>
          </w:p>
        </w:tc>
        <w:tc>
          <w:tcPr>
            <w:tcW w:type="dxa" w:w="1900"/>
            <w:shd w:fill="1F3864" w:color="auto" w:val="clear"/>
            <w:tcMar>
              <w:top w:type="dxa" w:w="60"/>
              <w:left w:type="dxa" w:w="80"/>
              <w:bottom w:type="dxa" w:w="60"/>
              <w:right w:type="dxa" w:w="80"/>
            </w:tcMar>
          </w:tcPr>
          <w:p>
            <w:r>
              <w:rPr>
                <w:b/>
                <w:bCs/>
                <w:color w:val="FFFFFF"/>
                <w:sz w:val="17"/>
                <w:szCs w:val="17"/>
              </w:rPr>
              <w:t xml:space="preserve">5-day direction</w:t>
            </w:r>
          </w:p>
        </w:tc>
        <w:tc>
          <w:tcPr>
            <w:tcW w:type="dxa" w:w="2900"/>
            <w:shd w:fill="1F3864" w:color="auto" w:val="clear"/>
            <w:tcMar>
              <w:top w:type="dxa" w:w="60"/>
              <w:left w:type="dxa" w:w="80"/>
              <w:bottom w:type="dxa" w:w="60"/>
              <w:right w:type="dxa" w:w="80"/>
            </w:tcMar>
          </w:tcPr>
          <w:p>
            <w:r>
              <w:rPr>
                <w:b/>
                <w:bCs/>
                <w:color w:val="FFFFFF"/>
                <w:sz w:val="17"/>
                <w:szCs w:val="17"/>
              </w:rPr>
              <w:t xml:space="preserve">Mechanism</w:t>
            </w:r>
          </w:p>
        </w:tc>
        <w:tc>
          <w:tcPr>
            <w:tcW w:type="dxa" w:w="900"/>
            <w:shd w:fill="1F3864" w:color="auto" w:val="clear"/>
            <w:tcMar>
              <w:top w:type="dxa" w:w="60"/>
              <w:left w:type="dxa" w:w="80"/>
              <w:bottom w:type="dxa" w:w="60"/>
              <w:right w:type="dxa" w:w="80"/>
            </w:tcMar>
          </w:tcPr>
          <w:p>
            <w:r>
              <w:rPr>
                <w:b/>
                <w:bCs/>
                <w:color w:val="FFFFFF"/>
                <w:sz w:val="17"/>
                <w:szCs w:val="17"/>
              </w:rPr>
              <w:t xml:space="preserve">Status</w:t>
            </w:r>
          </w:p>
        </w:tc>
        <w:tc>
          <w:tcPr>
            <w:tcW w:type="dxa" w:w="2560"/>
            <w:shd w:fill="1F3864" w:color="auto" w:val="clear"/>
            <w:tcMar>
              <w:top w:type="dxa" w:w="60"/>
              <w:left w:type="dxa" w:w="80"/>
              <w:bottom w:type="dxa" w:w="60"/>
              <w:right w:type="dxa" w:w="80"/>
            </w:tcMar>
          </w:tcPr>
          <w:p>
            <w:r>
              <w:rPr>
                <w:b/>
                <w:bCs/>
                <w:color w:val="FFFFFF"/>
                <w:sz w:val="17"/>
                <w:szCs w:val="17"/>
              </w:rPr>
              <w:t xml:space="preserve">Implication</w:t>
            </w:r>
          </w:p>
        </w:tc>
      </w:tr>
      <w:tr>
        <w:tc>
          <w:tcPr>
            <w:tcW w:type="dxa" w:w="1100"/>
            <w:tcMar>
              <w:top w:type="dxa" w:w="60"/>
              <w:left w:type="dxa" w:w="80"/>
              <w:bottom w:type="dxa" w:w="60"/>
              <w:right w:type="dxa" w:w="80"/>
            </w:tcMar>
          </w:tcPr>
          <w:p>
            <w:r>
              <w:rPr>
                <w:sz w:val="17"/>
                <w:szCs w:val="17"/>
              </w:rPr>
              <w:t xml:space="preserve">USDX (Dollar Index)</w:t>
            </w:r>
          </w:p>
        </w:tc>
        <w:tc>
          <w:tcPr>
            <w:tcW w:type="dxa" w:w="1900"/>
            <w:tcMar>
              <w:top w:type="dxa" w:w="60"/>
              <w:left w:type="dxa" w:w="80"/>
              <w:bottom w:type="dxa" w:w="60"/>
              <w:right w:type="dxa" w:w="80"/>
            </w:tcMar>
          </w:tcPr>
          <w:p>
            <w:r>
              <w:rPr>
                <w:sz w:val="17"/>
                <w:szCs w:val="17"/>
              </w:rPr>
              <w:t xml:space="preserve">Falling — ~100.91 (14 Jul) to ~100.50–100.53 (16 Jul), −0.4%; −1.1% from the 24 June one-year high</w:t>
            </w:r>
          </w:p>
        </w:tc>
        <w:tc>
          <w:tcPr>
            <w:tcW w:type="dxa" w:w="2900"/>
            <w:tcMar>
              <w:top w:type="dxa" w:w="60"/>
              <w:left w:type="dxa" w:w="80"/>
              <w:bottom w:type="dxa" w:w="60"/>
              <w:right w:type="dxa" w:w="80"/>
            </w:tcMar>
          </w:tcPr>
          <w:p>
            <w:r>
              <w:rPr>
                <w:sz w:val="17"/>
                <w:szCs w:val="17"/>
              </w:rPr>
              <w:t xml:space="preserve">A weaker dollar improves the translation of foreign earnings for S&amp;P 500 multinationals, which derive roughly 28% of revenues outside the US. Mechanically an earnings tailwind, and a direct consequence of the soft CPI/PPI pair repricing Fed hike odds lower.</w:t>
            </w:r>
          </w:p>
        </w:tc>
        <w:tc>
          <w:tcPr>
            <w:tcW w:type="dxa" w:w="900"/>
            <w:tcMar>
              <w:top w:type="dxa" w:w="60"/>
              <w:left w:type="dxa" w:w="80"/>
              <w:bottom w:type="dxa" w:w="60"/>
              <w:right w:type="dxa" w:w="80"/>
            </w:tcMar>
          </w:tcPr>
          <w:p>
            <w:r>
              <w:rPr>
                <w:sz w:val="17"/>
                <w:szCs w:val="17"/>
              </w:rPr>
              <w:t xml:space="preserve">Confirms</w:t>
            </w:r>
          </w:p>
        </w:tc>
        <w:tc>
          <w:tcPr>
            <w:tcW w:type="dxa" w:w="2560"/>
            <w:tcMar>
              <w:top w:type="dxa" w:w="60"/>
              <w:left w:type="dxa" w:w="80"/>
              <w:bottom w:type="dxa" w:w="60"/>
              <w:right w:type="dxa" w:w="80"/>
            </w:tcMar>
          </w:tcPr>
          <w:p>
            <w:r>
              <w:rPr>
                <w:sz w:val="17"/>
                <w:szCs w:val="17"/>
              </w:rPr>
              <w:t xml:space="preserve">Mildly supportive. The dollar's decline is driven by dovish repricing rather than by risk aversion, which is the constructive version of dollar weakness for equities.</w:t>
            </w:r>
          </w:p>
        </w:tc>
      </w:tr>
      <w:tr>
        <w:tc>
          <w:tcPr>
            <w:tcW w:type="dxa" w:w="1100"/>
            <w:shd w:fill="F2F2F2" w:color="auto" w:val="clear"/>
            <w:tcMar>
              <w:top w:type="dxa" w:w="60"/>
              <w:left w:type="dxa" w:w="80"/>
              <w:bottom w:type="dxa" w:w="60"/>
              <w:right w:type="dxa" w:w="80"/>
            </w:tcMar>
          </w:tcPr>
          <w:p>
            <w:r>
              <w:rPr>
                <w:sz w:val="17"/>
                <w:szCs w:val="17"/>
              </w:rPr>
              <w:t xml:space="preserve">VIX</w:t>
            </w:r>
          </w:p>
        </w:tc>
        <w:tc>
          <w:tcPr>
            <w:tcW w:type="dxa" w:w="1900"/>
            <w:shd w:fill="F2F2F2" w:color="auto" w:val="clear"/>
            <w:tcMar>
              <w:top w:type="dxa" w:w="60"/>
              <w:left w:type="dxa" w:w="80"/>
              <w:bottom w:type="dxa" w:w="60"/>
              <w:right w:type="dxa" w:w="80"/>
            </w:tcMar>
          </w:tcPr>
          <w:p>
            <w:r>
              <w:rPr>
                <w:sz w:val="17"/>
                <w:szCs w:val="17"/>
              </w:rPr>
              <w:t xml:space="preserve">Rising — 15.03 (10 Jul) to 16.73 (16 Jul), +6.76% on the session alone</w:t>
            </w:r>
          </w:p>
        </w:tc>
        <w:tc>
          <w:tcPr>
            <w:tcW w:type="dxa" w:w="2900"/>
            <w:shd w:fill="F2F2F2" w:color="auto" w:val="clear"/>
            <w:tcMar>
              <w:top w:type="dxa" w:w="60"/>
              <w:left w:type="dxa" w:w="80"/>
              <w:bottom w:type="dxa" w:w="60"/>
              <w:right w:type="dxa" w:w="80"/>
            </w:tcMar>
          </w:tcPr>
          <w:p>
            <w:r>
              <w:rPr>
                <w:sz w:val="17"/>
                <w:szCs w:val="17"/>
              </w:rPr>
              <w:t xml:space="preserve">Implied volatility is the market's price for downside protection. Rising VIX with falling cash means demand for hedges is outpacing realised movement.</w:t>
            </w:r>
          </w:p>
        </w:tc>
        <w:tc>
          <w:tcPr>
            <w:tcW w:type="dxa" w:w="900"/>
            <w:shd w:fill="F2F2F2" w:color="auto" w:val="clear"/>
            <w:tcMar>
              <w:top w:type="dxa" w:w="60"/>
              <w:left w:type="dxa" w:w="80"/>
              <w:bottom w:type="dxa" w:w="60"/>
              <w:right w:type="dxa" w:w="80"/>
            </w:tcMar>
          </w:tcPr>
          <w:p>
            <w:r>
              <w:rPr>
                <w:sz w:val="17"/>
                <w:szCs w:val="17"/>
              </w:rPr>
              <w:t xml:space="preserve">Contradicts</w:t>
            </w:r>
          </w:p>
        </w:tc>
        <w:tc>
          <w:tcPr>
            <w:tcW w:type="dxa" w:w="2560"/>
            <w:shd w:fill="F2F2F2" w:color="auto" w:val="clear"/>
            <w:tcMar>
              <w:top w:type="dxa" w:w="60"/>
              <w:left w:type="dxa" w:w="80"/>
              <w:bottom w:type="dxa" w:w="60"/>
              <w:right w:type="dxa" w:w="80"/>
            </w:tcMar>
          </w:tcPr>
          <w:p>
            <w:r>
              <w:rPr>
                <w:sz w:val="17"/>
                <w:szCs w:val="17"/>
              </w:rPr>
              <w:t xml:space="preserve">Cautionary but not alarming. At 16.73 the VIX remains well below the 20 threshold that marks elevated risk and far below the 30 stressed level. This is hedging into an event, not a fear bid.</w:t>
            </w:r>
          </w:p>
        </w:tc>
      </w:tr>
      <w:tr>
        <w:tc>
          <w:tcPr>
            <w:tcW w:type="dxa" w:w="1100"/>
            <w:tcMar>
              <w:top w:type="dxa" w:w="60"/>
              <w:left w:type="dxa" w:w="80"/>
              <w:bottom w:type="dxa" w:w="60"/>
              <w:right w:type="dxa" w:w="80"/>
            </w:tcMar>
          </w:tcPr>
          <w:p>
            <w:r>
              <w:rPr>
                <w:sz w:val="17"/>
                <w:szCs w:val="17"/>
              </w:rPr>
              <w:t xml:space="preserve">DAX 40</w:t>
            </w:r>
          </w:p>
        </w:tc>
        <w:tc>
          <w:tcPr>
            <w:tcW w:type="dxa" w:w="1900"/>
            <w:tcMar>
              <w:top w:type="dxa" w:w="60"/>
              <w:left w:type="dxa" w:w="80"/>
              <w:bottom w:type="dxa" w:w="60"/>
              <w:right w:type="dxa" w:w="80"/>
            </w:tcMar>
          </w:tcPr>
          <w:p>
            <w:r>
              <w:rPr>
                <w:sz w:val="17"/>
                <w:szCs w:val="17"/>
              </w:rPr>
              <w:t xml:space="preserve">Falling — 25,030.21 (15 Jul) to 24,772.41–24,789.59 (16 Jul), −0.84% to −0.98%</w:t>
            </w:r>
          </w:p>
        </w:tc>
        <w:tc>
          <w:tcPr>
            <w:tcW w:type="dxa" w:w="2900"/>
            <w:tcMar>
              <w:top w:type="dxa" w:w="60"/>
              <w:left w:type="dxa" w:w="80"/>
              <w:bottom w:type="dxa" w:w="60"/>
              <w:right w:type="dxa" w:w="80"/>
            </w:tcMar>
          </w:tcPr>
          <w:p>
            <w:r>
              <w:rPr>
                <w:sz w:val="17"/>
                <w:szCs w:val="17"/>
              </w:rPr>
              <w:t xml:space="preserve">European equities share a global risk factor and, critically, a heavy semiconductor and industrial export weighting. The DAX transmits the same AI-capex reassessment through a different constituent set.</w:t>
            </w:r>
          </w:p>
        </w:tc>
        <w:tc>
          <w:tcPr>
            <w:tcW w:type="dxa" w:w="900"/>
            <w:tcMar>
              <w:top w:type="dxa" w:w="60"/>
              <w:left w:type="dxa" w:w="80"/>
              <w:bottom w:type="dxa" w:w="60"/>
              <w:right w:type="dxa" w:w="80"/>
            </w:tcMar>
          </w:tcPr>
          <w:p>
            <w:r>
              <w:rPr>
                <w:sz w:val="17"/>
                <w:szCs w:val="17"/>
              </w:rPr>
              <w:t xml:space="preserve">Contradicts</w:t>
            </w:r>
          </w:p>
        </w:tc>
        <w:tc>
          <w:tcPr>
            <w:tcW w:type="dxa" w:w="2560"/>
            <w:tcMar>
              <w:top w:type="dxa" w:w="60"/>
              <w:left w:type="dxa" w:w="80"/>
              <w:bottom w:type="dxa" w:w="60"/>
              <w:right w:type="dxa" w:w="80"/>
            </w:tcMar>
          </w:tcPr>
          <w:p>
            <w:r>
              <w:rPr>
                <w:sz w:val="17"/>
                <w:szCs w:val="17"/>
              </w:rPr>
              <w:t xml:space="preserve">Confirms the sell-off is a global factor rather than a US-specific or index-composition artifact. Reduces the odds of a clean Friday mean-reversion bounce.</w:t>
            </w:r>
          </w:p>
        </w:tc>
      </w:tr>
    </w:tbl>
    <w:p>
      <w:pPr>
        <w:spacing w:after="100"/>
      </w:pPr>
      <w:r>
        <w:rPr>
          <w:b/>
          <w:bCs/>
          <w:sz w:val="20"/>
          <w:szCs w:val="20"/>
        </w:rPr>
        <w:t xml:space="preserve">Contradiction flag — two of three counters contradict the medium-term constructive regime.</w:t>
      </w:r>
    </w:p>
    <w:p>
      <w:pPr>
        <w:spacing w:after="160"/>
      </w:pPr>
      <w:r>
        <w:rPr>
          <w:sz w:val="20"/>
          <w:szCs w:val="20"/>
        </w:rPr>
        <w:t xml:space="preserve">The cross-asset picture does not resolve cleanly, and it is not resolved here. The dollar confirms; the VIX and the DAX contradict. Aggregate cross-asset status: CONTRADICT (−0.4 on the direction scale). The reason this matters more than the raw 2:1 count suggests is that the two contradicting counters are pointing at the same driver — the AI-valuation reassessment — from two different markets, while the confirming counter (USDX) is pointing at a driver (Fed repricing) that has already been in the tape for two sessions and has demonstrably failed to hold the index above 7,570. A confirmed but exhausted tailwind against two fresh, correlated headwinds is a weaker configuration than the count implies. This contradiction feeds §15 and §16 directly.</w:t>
      </w:r>
    </w:p>
    <w:p>
      <w:pPr>
        <w:pStyle w:val="Heading1"/>
        <w:spacing w:after="120" w:before="240"/>
      </w:pPr>
      <w:r>
        <w:t xml:space="preserve">§11  Floor Pivot Analysis</w:t>
      </w:r>
    </w:p>
    <w:p>
      <w:pPr>
        <w:spacing w:after="80"/>
      </w:pPr>
      <w:r>
        <w:rPr>
          <w:b/>
          <w:bCs/>
          <w:sz w:val="20"/>
          <w:szCs w:val="20"/>
        </w:rPr>
        <w:t xml:space="preserve">Daily pivots — from the 16 July session (H 7,570.74 / L 7,504.02 / C 7,533.77)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864" w:color="auto" w:val="clear"/>
            <w:tcMar>
              <w:top w:type="dxa" w:w="60"/>
              <w:left w:type="dxa" w:w="80"/>
              <w:bottom w:type="dxa" w:w="60"/>
              <w:right w:type="dxa" w:w="80"/>
            </w:tcMar>
          </w:tcPr>
          <w:p>
            <w:r>
              <w:rPr>
                <w:b/>
                <w:bCs/>
                <w:color w:val="FFFFFF"/>
                <w:sz w:val="17"/>
                <w:szCs w:val="17"/>
              </w:rPr>
              <w:t xml:space="preserve">Level</w:t>
            </w:r>
          </w:p>
        </w:tc>
        <w:tc>
          <w:tcPr>
            <w:tcW w:type="dxa" w:w="79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1400"/>
            <w:tcMar>
              <w:top w:type="dxa" w:w="60"/>
              <w:left w:type="dxa" w:w="80"/>
              <w:bottom w:type="dxa" w:w="60"/>
              <w:right w:type="dxa" w:w="80"/>
            </w:tcMar>
          </w:tcPr>
          <w:p>
            <w:r>
              <w:rPr>
                <w:sz w:val="17"/>
                <w:szCs w:val="17"/>
              </w:rPr>
              <w:t xml:space="preserve">R3</w:t>
            </w:r>
          </w:p>
        </w:tc>
        <w:tc>
          <w:tcPr>
            <w:tcW w:type="dxa" w:w="7960"/>
            <w:tcMar>
              <w:top w:type="dxa" w:w="60"/>
              <w:left w:type="dxa" w:w="80"/>
              <w:bottom w:type="dxa" w:w="60"/>
              <w:right w:type="dxa" w:w="80"/>
            </w:tcMar>
          </w:tcPr>
          <w:p>
            <w:r>
              <w:rPr>
                <w:sz w:val="17"/>
                <w:szCs w:val="17"/>
              </w:rPr>
              <w:t xml:space="preserve">7,635.05</w:t>
            </w:r>
          </w:p>
        </w:tc>
      </w:tr>
      <w:tr>
        <w:tc>
          <w:tcPr>
            <w:tcW w:type="dxa" w:w="1400"/>
            <w:shd w:fill="F2F2F2" w:color="auto" w:val="clear"/>
            <w:tcMar>
              <w:top w:type="dxa" w:w="60"/>
              <w:left w:type="dxa" w:w="80"/>
              <w:bottom w:type="dxa" w:w="60"/>
              <w:right w:type="dxa" w:w="80"/>
            </w:tcMar>
          </w:tcPr>
          <w:p>
            <w:r>
              <w:rPr>
                <w:sz w:val="17"/>
                <w:szCs w:val="17"/>
              </w:rPr>
              <w:t xml:space="preserve">R2</w:t>
            </w:r>
          </w:p>
        </w:tc>
        <w:tc>
          <w:tcPr>
            <w:tcW w:type="dxa" w:w="7960"/>
            <w:shd w:fill="F2F2F2" w:color="auto" w:val="clear"/>
            <w:tcMar>
              <w:top w:type="dxa" w:w="60"/>
              <w:left w:type="dxa" w:w="80"/>
              <w:bottom w:type="dxa" w:w="60"/>
              <w:right w:type="dxa" w:w="80"/>
            </w:tcMar>
          </w:tcPr>
          <w:p>
            <w:r>
              <w:rPr>
                <w:sz w:val="17"/>
                <w:szCs w:val="17"/>
              </w:rPr>
              <w:t xml:space="preserve">7,602.90</w:t>
            </w:r>
          </w:p>
        </w:tc>
      </w:tr>
      <w:tr>
        <w:tc>
          <w:tcPr>
            <w:tcW w:type="dxa" w:w="1400"/>
            <w:tcMar>
              <w:top w:type="dxa" w:w="60"/>
              <w:left w:type="dxa" w:w="80"/>
              <w:bottom w:type="dxa" w:w="60"/>
              <w:right w:type="dxa" w:w="80"/>
            </w:tcMar>
          </w:tcPr>
          <w:p>
            <w:r>
              <w:rPr>
                <w:sz w:val="17"/>
                <w:szCs w:val="17"/>
              </w:rPr>
              <w:t xml:space="preserve">R1</w:t>
            </w:r>
          </w:p>
        </w:tc>
        <w:tc>
          <w:tcPr>
            <w:tcW w:type="dxa" w:w="7960"/>
            <w:tcMar>
              <w:top w:type="dxa" w:w="60"/>
              <w:left w:type="dxa" w:w="80"/>
              <w:bottom w:type="dxa" w:w="60"/>
              <w:right w:type="dxa" w:w="80"/>
            </w:tcMar>
          </w:tcPr>
          <w:p>
            <w:r>
              <w:rPr>
                <w:sz w:val="17"/>
                <w:szCs w:val="17"/>
              </w:rPr>
              <w:t xml:space="preserve">7,568.33</w:t>
            </w:r>
          </w:p>
        </w:tc>
      </w:tr>
      <w:tr>
        <w:tc>
          <w:tcPr>
            <w:tcW w:type="dxa" w:w="1400"/>
            <w:shd w:fill="F2F2F2" w:color="auto" w:val="clear"/>
            <w:tcMar>
              <w:top w:type="dxa" w:w="60"/>
              <w:left w:type="dxa" w:w="80"/>
              <w:bottom w:type="dxa" w:w="60"/>
              <w:right w:type="dxa" w:w="80"/>
            </w:tcMar>
          </w:tcPr>
          <w:p>
            <w:r>
              <w:rPr>
                <w:sz w:val="17"/>
                <w:szCs w:val="17"/>
              </w:rPr>
              <w:t xml:space="preserve">P</w:t>
            </w:r>
          </w:p>
        </w:tc>
        <w:tc>
          <w:tcPr>
            <w:tcW w:type="dxa" w:w="7960"/>
            <w:shd w:fill="F2F2F2" w:color="auto" w:val="clear"/>
            <w:tcMar>
              <w:top w:type="dxa" w:w="60"/>
              <w:left w:type="dxa" w:w="80"/>
              <w:bottom w:type="dxa" w:w="60"/>
              <w:right w:type="dxa" w:w="80"/>
            </w:tcMar>
          </w:tcPr>
          <w:p>
            <w:r>
              <w:rPr>
                <w:sz w:val="17"/>
                <w:szCs w:val="17"/>
              </w:rPr>
              <w:t xml:space="preserve">7,536.18</w:t>
            </w:r>
          </w:p>
        </w:tc>
      </w:tr>
      <w:tr>
        <w:tc>
          <w:tcPr>
            <w:tcW w:type="dxa" w:w="1400"/>
            <w:tcMar>
              <w:top w:type="dxa" w:w="60"/>
              <w:left w:type="dxa" w:w="80"/>
              <w:bottom w:type="dxa" w:w="60"/>
              <w:right w:type="dxa" w:w="80"/>
            </w:tcMar>
          </w:tcPr>
          <w:p>
            <w:r>
              <w:rPr>
                <w:sz w:val="17"/>
                <w:szCs w:val="17"/>
              </w:rPr>
              <w:t xml:space="preserve">S1</w:t>
            </w:r>
          </w:p>
        </w:tc>
        <w:tc>
          <w:tcPr>
            <w:tcW w:type="dxa" w:w="7960"/>
            <w:tcMar>
              <w:top w:type="dxa" w:w="60"/>
              <w:left w:type="dxa" w:w="80"/>
              <w:bottom w:type="dxa" w:w="60"/>
              <w:right w:type="dxa" w:w="80"/>
            </w:tcMar>
          </w:tcPr>
          <w:p>
            <w:r>
              <w:rPr>
                <w:sz w:val="17"/>
                <w:szCs w:val="17"/>
              </w:rPr>
              <w:t xml:space="preserve">7,501.61</w:t>
            </w:r>
          </w:p>
        </w:tc>
      </w:tr>
      <w:tr>
        <w:tc>
          <w:tcPr>
            <w:tcW w:type="dxa" w:w="1400"/>
            <w:shd w:fill="F2F2F2" w:color="auto" w:val="clear"/>
            <w:tcMar>
              <w:top w:type="dxa" w:w="60"/>
              <w:left w:type="dxa" w:w="80"/>
              <w:bottom w:type="dxa" w:w="60"/>
              <w:right w:type="dxa" w:w="80"/>
            </w:tcMar>
          </w:tcPr>
          <w:p>
            <w:r>
              <w:rPr>
                <w:sz w:val="17"/>
                <w:szCs w:val="17"/>
              </w:rPr>
              <w:t xml:space="preserve">S2</w:t>
            </w:r>
          </w:p>
        </w:tc>
        <w:tc>
          <w:tcPr>
            <w:tcW w:type="dxa" w:w="7960"/>
            <w:shd w:fill="F2F2F2" w:color="auto" w:val="clear"/>
            <w:tcMar>
              <w:top w:type="dxa" w:w="60"/>
              <w:left w:type="dxa" w:w="80"/>
              <w:bottom w:type="dxa" w:w="60"/>
              <w:right w:type="dxa" w:w="80"/>
            </w:tcMar>
          </w:tcPr>
          <w:p>
            <w:r>
              <w:rPr>
                <w:sz w:val="17"/>
                <w:szCs w:val="17"/>
              </w:rPr>
              <w:t xml:space="preserve">7,469.46</w:t>
            </w:r>
          </w:p>
        </w:tc>
      </w:tr>
      <w:tr>
        <w:tc>
          <w:tcPr>
            <w:tcW w:type="dxa" w:w="1400"/>
            <w:tcMar>
              <w:top w:type="dxa" w:w="60"/>
              <w:left w:type="dxa" w:w="80"/>
              <w:bottom w:type="dxa" w:w="60"/>
              <w:right w:type="dxa" w:w="80"/>
            </w:tcMar>
          </w:tcPr>
          <w:p>
            <w:r>
              <w:rPr>
                <w:sz w:val="17"/>
                <w:szCs w:val="17"/>
              </w:rPr>
              <w:t xml:space="preserve">S3</w:t>
            </w:r>
          </w:p>
        </w:tc>
        <w:tc>
          <w:tcPr>
            <w:tcW w:type="dxa" w:w="7960"/>
            <w:tcMar>
              <w:top w:type="dxa" w:w="60"/>
              <w:left w:type="dxa" w:w="80"/>
              <w:bottom w:type="dxa" w:w="60"/>
              <w:right w:type="dxa" w:w="80"/>
            </w:tcMar>
          </w:tcPr>
          <w:p>
            <w:r>
              <w:rPr>
                <w:sz w:val="17"/>
                <w:szCs w:val="17"/>
              </w:rPr>
              <w:t xml:space="preserve">7,434.89</w:t>
            </w:r>
          </w:p>
        </w:tc>
      </w:tr>
    </w:tbl>
    <w:p>
      <w:pPr>
        <w:spacing w:after="120"/>
      </w:pPr>
      <w:r>
        <w:rPr>
          <w:i/>
          <w:iCs/>
          <w:sz w:val="18"/>
          <w:szCs w:val="18"/>
        </w:rPr>
        <w:t xml:space="preserve">Source status: prior-session H/L/C corroborated by two independent sources. Levels are tradeable, not indicative.</w:t>
      </w:r>
    </w:p>
    <w:p>
      <w:pPr>
        <w:spacing w:after="80"/>
      </w:pPr>
      <w:r>
        <w:rPr>
          <w:b/>
          <w:bCs/>
          <w:sz w:val="20"/>
          <w:szCs w:val="20"/>
        </w:rPr>
        <w:t xml:space="preserve">Weekly pivots — from the prior week, 6–10 July (H 7,579.93 / L 7,421.82 / C 7,575.39)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864" w:color="auto" w:val="clear"/>
            <w:tcMar>
              <w:top w:type="dxa" w:w="60"/>
              <w:left w:type="dxa" w:w="80"/>
              <w:bottom w:type="dxa" w:w="60"/>
              <w:right w:type="dxa" w:w="80"/>
            </w:tcMar>
          </w:tcPr>
          <w:p>
            <w:r>
              <w:rPr>
                <w:b/>
                <w:bCs/>
                <w:color w:val="FFFFFF"/>
                <w:sz w:val="17"/>
                <w:szCs w:val="17"/>
              </w:rPr>
              <w:t xml:space="preserve">Level</w:t>
            </w:r>
          </w:p>
        </w:tc>
        <w:tc>
          <w:tcPr>
            <w:tcW w:type="dxa" w:w="79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1400"/>
            <w:tcMar>
              <w:top w:type="dxa" w:w="60"/>
              <w:left w:type="dxa" w:w="80"/>
              <w:bottom w:type="dxa" w:w="60"/>
              <w:right w:type="dxa" w:w="80"/>
            </w:tcMar>
          </w:tcPr>
          <w:p>
            <w:r>
              <w:rPr>
                <w:sz w:val="17"/>
                <w:szCs w:val="17"/>
              </w:rPr>
              <w:t xml:space="preserve">R3</w:t>
            </w:r>
          </w:p>
        </w:tc>
        <w:tc>
          <w:tcPr>
            <w:tcW w:type="dxa" w:w="7960"/>
            <w:tcMar>
              <w:top w:type="dxa" w:w="60"/>
              <w:left w:type="dxa" w:w="80"/>
              <w:bottom w:type="dxa" w:w="60"/>
              <w:right w:type="dxa" w:w="80"/>
            </w:tcMar>
          </w:tcPr>
          <w:p>
            <w:r>
              <w:rPr>
                <w:sz w:val="17"/>
                <w:szCs w:val="17"/>
              </w:rPr>
              <w:t xml:space="preserve">7,787.72</w:t>
            </w:r>
          </w:p>
        </w:tc>
      </w:tr>
      <w:tr>
        <w:tc>
          <w:tcPr>
            <w:tcW w:type="dxa" w:w="1400"/>
            <w:shd w:fill="F2F2F2" w:color="auto" w:val="clear"/>
            <w:tcMar>
              <w:top w:type="dxa" w:w="60"/>
              <w:left w:type="dxa" w:w="80"/>
              <w:bottom w:type="dxa" w:w="60"/>
              <w:right w:type="dxa" w:w="80"/>
            </w:tcMar>
          </w:tcPr>
          <w:p>
            <w:r>
              <w:rPr>
                <w:sz w:val="17"/>
                <w:szCs w:val="17"/>
              </w:rPr>
              <w:t xml:space="preserve">R2</w:t>
            </w:r>
          </w:p>
        </w:tc>
        <w:tc>
          <w:tcPr>
            <w:tcW w:type="dxa" w:w="7960"/>
            <w:shd w:fill="F2F2F2" w:color="auto" w:val="clear"/>
            <w:tcMar>
              <w:top w:type="dxa" w:w="60"/>
              <w:left w:type="dxa" w:w="80"/>
              <w:bottom w:type="dxa" w:w="60"/>
              <w:right w:type="dxa" w:w="80"/>
            </w:tcMar>
          </w:tcPr>
          <w:p>
            <w:r>
              <w:rPr>
                <w:sz w:val="17"/>
                <w:szCs w:val="17"/>
              </w:rPr>
              <w:t xml:space="preserve">7,683.82</w:t>
            </w:r>
          </w:p>
        </w:tc>
      </w:tr>
      <w:tr>
        <w:tc>
          <w:tcPr>
            <w:tcW w:type="dxa" w:w="1400"/>
            <w:tcMar>
              <w:top w:type="dxa" w:w="60"/>
              <w:left w:type="dxa" w:w="80"/>
              <w:bottom w:type="dxa" w:w="60"/>
              <w:right w:type="dxa" w:w="80"/>
            </w:tcMar>
          </w:tcPr>
          <w:p>
            <w:r>
              <w:rPr>
                <w:sz w:val="17"/>
                <w:szCs w:val="17"/>
              </w:rPr>
              <w:t xml:space="preserve">R1</w:t>
            </w:r>
          </w:p>
        </w:tc>
        <w:tc>
          <w:tcPr>
            <w:tcW w:type="dxa" w:w="7960"/>
            <w:tcMar>
              <w:top w:type="dxa" w:w="60"/>
              <w:left w:type="dxa" w:w="80"/>
              <w:bottom w:type="dxa" w:w="60"/>
              <w:right w:type="dxa" w:w="80"/>
            </w:tcMar>
          </w:tcPr>
          <w:p>
            <w:r>
              <w:rPr>
                <w:sz w:val="17"/>
                <w:szCs w:val="17"/>
              </w:rPr>
              <w:t xml:space="preserve">7,629.61</w:t>
            </w:r>
          </w:p>
        </w:tc>
      </w:tr>
      <w:tr>
        <w:tc>
          <w:tcPr>
            <w:tcW w:type="dxa" w:w="1400"/>
            <w:shd w:fill="F2F2F2" w:color="auto" w:val="clear"/>
            <w:tcMar>
              <w:top w:type="dxa" w:w="60"/>
              <w:left w:type="dxa" w:w="80"/>
              <w:bottom w:type="dxa" w:w="60"/>
              <w:right w:type="dxa" w:w="80"/>
            </w:tcMar>
          </w:tcPr>
          <w:p>
            <w:r>
              <w:rPr>
                <w:sz w:val="17"/>
                <w:szCs w:val="17"/>
              </w:rPr>
              <w:t xml:space="preserve">P</w:t>
            </w:r>
          </w:p>
        </w:tc>
        <w:tc>
          <w:tcPr>
            <w:tcW w:type="dxa" w:w="7960"/>
            <w:shd w:fill="F2F2F2" w:color="auto" w:val="clear"/>
            <w:tcMar>
              <w:top w:type="dxa" w:w="60"/>
              <w:left w:type="dxa" w:w="80"/>
              <w:bottom w:type="dxa" w:w="60"/>
              <w:right w:type="dxa" w:w="80"/>
            </w:tcMar>
          </w:tcPr>
          <w:p>
            <w:r>
              <w:rPr>
                <w:sz w:val="17"/>
                <w:szCs w:val="17"/>
              </w:rPr>
              <w:t xml:space="preserve">7,525.71</w:t>
            </w:r>
          </w:p>
        </w:tc>
      </w:tr>
      <w:tr>
        <w:tc>
          <w:tcPr>
            <w:tcW w:type="dxa" w:w="1400"/>
            <w:tcMar>
              <w:top w:type="dxa" w:w="60"/>
              <w:left w:type="dxa" w:w="80"/>
              <w:bottom w:type="dxa" w:w="60"/>
              <w:right w:type="dxa" w:w="80"/>
            </w:tcMar>
          </w:tcPr>
          <w:p>
            <w:r>
              <w:rPr>
                <w:sz w:val="17"/>
                <w:szCs w:val="17"/>
              </w:rPr>
              <w:t xml:space="preserve">S1</w:t>
            </w:r>
          </w:p>
        </w:tc>
        <w:tc>
          <w:tcPr>
            <w:tcW w:type="dxa" w:w="7960"/>
            <w:tcMar>
              <w:top w:type="dxa" w:w="60"/>
              <w:left w:type="dxa" w:w="80"/>
              <w:bottom w:type="dxa" w:w="60"/>
              <w:right w:type="dxa" w:w="80"/>
            </w:tcMar>
          </w:tcPr>
          <w:p>
            <w:r>
              <w:rPr>
                <w:sz w:val="17"/>
                <w:szCs w:val="17"/>
              </w:rPr>
              <w:t xml:space="preserve">7,471.50</w:t>
            </w:r>
          </w:p>
        </w:tc>
      </w:tr>
      <w:tr>
        <w:tc>
          <w:tcPr>
            <w:tcW w:type="dxa" w:w="1400"/>
            <w:shd w:fill="F2F2F2" w:color="auto" w:val="clear"/>
            <w:tcMar>
              <w:top w:type="dxa" w:w="60"/>
              <w:left w:type="dxa" w:w="80"/>
              <w:bottom w:type="dxa" w:w="60"/>
              <w:right w:type="dxa" w:w="80"/>
            </w:tcMar>
          </w:tcPr>
          <w:p>
            <w:r>
              <w:rPr>
                <w:sz w:val="17"/>
                <w:szCs w:val="17"/>
              </w:rPr>
              <w:t xml:space="preserve">S2</w:t>
            </w:r>
          </w:p>
        </w:tc>
        <w:tc>
          <w:tcPr>
            <w:tcW w:type="dxa" w:w="7960"/>
            <w:shd w:fill="F2F2F2" w:color="auto" w:val="clear"/>
            <w:tcMar>
              <w:top w:type="dxa" w:w="60"/>
              <w:left w:type="dxa" w:w="80"/>
              <w:bottom w:type="dxa" w:w="60"/>
              <w:right w:type="dxa" w:w="80"/>
            </w:tcMar>
          </w:tcPr>
          <w:p>
            <w:r>
              <w:rPr>
                <w:sz w:val="17"/>
                <w:szCs w:val="17"/>
              </w:rPr>
              <w:t xml:space="preserve">7,367.60</w:t>
            </w:r>
          </w:p>
        </w:tc>
      </w:tr>
      <w:tr>
        <w:tc>
          <w:tcPr>
            <w:tcW w:type="dxa" w:w="1400"/>
            <w:tcMar>
              <w:top w:type="dxa" w:w="60"/>
              <w:left w:type="dxa" w:w="80"/>
              <w:bottom w:type="dxa" w:w="60"/>
              <w:right w:type="dxa" w:w="80"/>
            </w:tcMar>
          </w:tcPr>
          <w:p>
            <w:r>
              <w:rPr>
                <w:sz w:val="17"/>
                <w:szCs w:val="17"/>
              </w:rPr>
              <w:t xml:space="preserve">S3</w:t>
            </w:r>
          </w:p>
        </w:tc>
        <w:tc>
          <w:tcPr>
            <w:tcW w:type="dxa" w:w="7960"/>
            <w:tcMar>
              <w:top w:type="dxa" w:w="60"/>
              <w:left w:type="dxa" w:w="80"/>
              <w:bottom w:type="dxa" w:w="60"/>
              <w:right w:type="dxa" w:w="80"/>
            </w:tcMar>
          </w:tcPr>
          <w:p>
            <w:r>
              <w:rPr>
                <w:sz w:val="17"/>
                <w:szCs w:val="17"/>
              </w:rPr>
              <w:t xml:space="preserve">7,313.39</w:t>
            </w:r>
          </w:p>
        </w:tc>
      </w:tr>
    </w:tbl>
    <w:p>
      <w:pPr>
        <w:spacing w:after="120"/>
      </w:pPr>
      <w:r>
        <w:rPr>
          <w:i/>
          <w:iCs/>
          <w:sz w:val="18"/>
          <w:szCs w:val="18"/>
        </w:rPr>
        <w:t xml:space="preserve">Source status: corroborated. Levels are tradeable.</w:t>
      </w:r>
    </w:p>
    <w:p>
      <w:pPr>
        <w:spacing w:after="80"/>
      </w:pPr>
      <w:r>
        <w:rPr>
          <w:b/>
          <w:bCs/>
          <w:sz w:val="20"/>
          <w:szCs w:val="20"/>
        </w:rPr>
        <w:t xml:space="preserve">Monthly pivots — from June 2026 (H 7,577.92 / L 7,294.18 / C 7,499.36)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864" w:color="auto" w:val="clear"/>
            <w:tcMar>
              <w:top w:type="dxa" w:w="60"/>
              <w:left w:type="dxa" w:w="80"/>
              <w:bottom w:type="dxa" w:w="60"/>
              <w:right w:type="dxa" w:w="80"/>
            </w:tcMar>
          </w:tcPr>
          <w:p>
            <w:r>
              <w:rPr>
                <w:b/>
                <w:bCs/>
                <w:color w:val="FFFFFF"/>
                <w:sz w:val="17"/>
                <w:szCs w:val="17"/>
              </w:rPr>
              <w:t xml:space="preserve">Level</w:t>
            </w:r>
          </w:p>
        </w:tc>
        <w:tc>
          <w:tcPr>
            <w:tcW w:type="dxa" w:w="79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1400"/>
            <w:tcMar>
              <w:top w:type="dxa" w:w="60"/>
              <w:left w:type="dxa" w:w="80"/>
              <w:bottom w:type="dxa" w:w="60"/>
              <w:right w:type="dxa" w:w="80"/>
            </w:tcMar>
          </w:tcPr>
          <w:p>
            <w:r>
              <w:rPr>
                <w:sz w:val="17"/>
                <w:szCs w:val="17"/>
              </w:rPr>
              <w:t xml:space="preserve">R3</w:t>
            </w:r>
          </w:p>
        </w:tc>
        <w:tc>
          <w:tcPr>
            <w:tcW w:type="dxa" w:w="7960"/>
            <w:tcMar>
              <w:top w:type="dxa" w:w="60"/>
              <w:left w:type="dxa" w:w="80"/>
              <w:bottom w:type="dxa" w:w="60"/>
              <w:right w:type="dxa" w:w="80"/>
            </w:tcMar>
          </w:tcPr>
          <w:p>
            <w:r>
              <w:rPr>
                <w:sz w:val="17"/>
                <w:szCs w:val="17"/>
              </w:rPr>
              <w:t xml:space="preserve">7,903.87</w:t>
            </w:r>
          </w:p>
        </w:tc>
      </w:tr>
      <w:tr>
        <w:tc>
          <w:tcPr>
            <w:tcW w:type="dxa" w:w="1400"/>
            <w:shd w:fill="F2F2F2" w:color="auto" w:val="clear"/>
            <w:tcMar>
              <w:top w:type="dxa" w:w="60"/>
              <w:left w:type="dxa" w:w="80"/>
              <w:bottom w:type="dxa" w:w="60"/>
              <w:right w:type="dxa" w:w="80"/>
            </w:tcMar>
          </w:tcPr>
          <w:p>
            <w:r>
              <w:rPr>
                <w:sz w:val="17"/>
                <w:szCs w:val="17"/>
              </w:rPr>
              <w:t xml:space="preserve">R2</w:t>
            </w:r>
          </w:p>
        </w:tc>
        <w:tc>
          <w:tcPr>
            <w:tcW w:type="dxa" w:w="7960"/>
            <w:shd w:fill="F2F2F2" w:color="auto" w:val="clear"/>
            <w:tcMar>
              <w:top w:type="dxa" w:w="60"/>
              <w:left w:type="dxa" w:w="80"/>
              <w:bottom w:type="dxa" w:w="60"/>
              <w:right w:type="dxa" w:w="80"/>
            </w:tcMar>
          </w:tcPr>
          <w:p>
            <w:r>
              <w:rPr>
                <w:sz w:val="17"/>
                <w:szCs w:val="17"/>
              </w:rPr>
              <w:t xml:space="preserve">7,740.89</w:t>
            </w:r>
          </w:p>
        </w:tc>
      </w:tr>
      <w:tr>
        <w:tc>
          <w:tcPr>
            <w:tcW w:type="dxa" w:w="1400"/>
            <w:tcMar>
              <w:top w:type="dxa" w:w="60"/>
              <w:left w:type="dxa" w:w="80"/>
              <w:bottom w:type="dxa" w:w="60"/>
              <w:right w:type="dxa" w:w="80"/>
            </w:tcMar>
          </w:tcPr>
          <w:p>
            <w:r>
              <w:rPr>
                <w:sz w:val="17"/>
                <w:szCs w:val="17"/>
              </w:rPr>
              <w:t xml:space="preserve">R1</w:t>
            </w:r>
          </w:p>
        </w:tc>
        <w:tc>
          <w:tcPr>
            <w:tcW w:type="dxa" w:w="7960"/>
            <w:tcMar>
              <w:top w:type="dxa" w:w="60"/>
              <w:left w:type="dxa" w:w="80"/>
              <w:bottom w:type="dxa" w:w="60"/>
              <w:right w:type="dxa" w:w="80"/>
            </w:tcMar>
          </w:tcPr>
          <w:p>
            <w:r>
              <w:rPr>
                <w:sz w:val="17"/>
                <w:szCs w:val="17"/>
              </w:rPr>
              <w:t xml:space="preserve">7,620.13</w:t>
            </w:r>
          </w:p>
        </w:tc>
      </w:tr>
      <w:tr>
        <w:tc>
          <w:tcPr>
            <w:tcW w:type="dxa" w:w="1400"/>
            <w:shd w:fill="F2F2F2" w:color="auto" w:val="clear"/>
            <w:tcMar>
              <w:top w:type="dxa" w:w="60"/>
              <w:left w:type="dxa" w:w="80"/>
              <w:bottom w:type="dxa" w:w="60"/>
              <w:right w:type="dxa" w:w="80"/>
            </w:tcMar>
          </w:tcPr>
          <w:p>
            <w:r>
              <w:rPr>
                <w:sz w:val="17"/>
                <w:szCs w:val="17"/>
              </w:rPr>
              <w:t xml:space="preserve">P</w:t>
            </w:r>
          </w:p>
        </w:tc>
        <w:tc>
          <w:tcPr>
            <w:tcW w:type="dxa" w:w="7960"/>
            <w:shd w:fill="F2F2F2" w:color="auto" w:val="clear"/>
            <w:tcMar>
              <w:top w:type="dxa" w:w="60"/>
              <w:left w:type="dxa" w:w="80"/>
              <w:bottom w:type="dxa" w:w="60"/>
              <w:right w:type="dxa" w:w="80"/>
            </w:tcMar>
          </w:tcPr>
          <w:p>
            <w:r>
              <w:rPr>
                <w:sz w:val="17"/>
                <w:szCs w:val="17"/>
              </w:rPr>
              <w:t xml:space="preserve">7,457.15</w:t>
            </w:r>
          </w:p>
        </w:tc>
      </w:tr>
      <w:tr>
        <w:tc>
          <w:tcPr>
            <w:tcW w:type="dxa" w:w="1400"/>
            <w:tcMar>
              <w:top w:type="dxa" w:w="60"/>
              <w:left w:type="dxa" w:w="80"/>
              <w:bottom w:type="dxa" w:w="60"/>
              <w:right w:type="dxa" w:w="80"/>
            </w:tcMar>
          </w:tcPr>
          <w:p>
            <w:r>
              <w:rPr>
                <w:sz w:val="17"/>
                <w:szCs w:val="17"/>
              </w:rPr>
              <w:t xml:space="preserve">S1</w:t>
            </w:r>
          </w:p>
        </w:tc>
        <w:tc>
          <w:tcPr>
            <w:tcW w:type="dxa" w:w="7960"/>
            <w:tcMar>
              <w:top w:type="dxa" w:w="60"/>
              <w:left w:type="dxa" w:w="80"/>
              <w:bottom w:type="dxa" w:w="60"/>
              <w:right w:type="dxa" w:w="80"/>
            </w:tcMar>
          </w:tcPr>
          <w:p>
            <w:r>
              <w:rPr>
                <w:sz w:val="17"/>
                <w:szCs w:val="17"/>
              </w:rPr>
              <w:t xml:space="preserve">7,336.39</w:t>
            </w:r>
          </w:p>
        </w:tc>
      </w:tr>
      <w:tr>
        <w:tc>
          <w:tcPr>
            <w:tcW w:type="dxa" w:w="1400"/>
            <w:shd w:fill="F2F2F2" w:color="auto" w:val="clear"/>
            <w:tcMar>
              <w:top w:type="dxa" w:w="60"/>
              <w:left w:type="dxa" w:w="80"/>
              <w:bottom w:type="dxa" w:w="60"/>
              <w:right w:type="dxa" w:w="80"/>
            </w:tcMar>
          </w:tcPr>
          <w:p>
            <w:r>
              <w:rPr>
                <w:sz w:val="17"/>
                <w:szCs w:val="17"/>
              </w:rPr>
              <w:t xml:space="preserve">S2</w:t>
            </w:r>
          </w:p>
        </w:tc>
        <w:tc>
          <w:tcPr>
            <w:tcW w:type="dxa" w:w="7960"/>
            <w:shd w:fill="F2F2F2" w:color="auto" w:val="clear"/>
            <w:tcMar>
              <w:top w:type="dxa" w:w="60"/>
              <w:left w:type="dxa" w:w="80"/>
              <w:bottom w:type="dxa" w:w="60"/>
              <w:right w:type="dxa" w:w="80"/>
            </w:tcMar>
          </w:tcPr>
          <w:p>
            <w:r>
              <w:rPr>
                <w:sz w:val="17"/>
                <w:szCs w:val="17"/>
              </w:rPr>
              <w:t xml:space="preserve">7,173.41</w:t>
            </w:r>
          </w:p>
        </w:tc>
      </w:tr>
      <w:tr>
        <w:tc>
          <w:tcPr>
            <w:tcW w:type="dxa" w:w="1400"/>
            <w:tcMar>
              <w:top w:type="dxa" w:w="60"/>
              <w:left w:type="dxa" w:w="80"/>
              <w:bottom w:type="dxa" w:w="60"/>
              <w:right w:type="dxa" w:w="80"/>
            </w:tcMar>
          </w:tcPr>
          <w:p>
            <w:r>
              <w:rPr>
                <w:sz w:val="17"/>
                <w:szCs w:val="17"/>
              </w:rPr>
              <w:t xml:space="preserve">S3</w:t>
            </w:r>
          </w:p>
        </w:tc>
        <w:tc>
          <w:tcPr>
            <w:tcW w:type="dxa" w:w="7960"/>
            <w:tcMar>
              <w:top w:type="dxa" w:w="60"/>
              <w:left w:type="dxa" w:w="80"/>
              <w:bottom w:type="dxa" w:w="60"/>
              <w:right w:type="dxa" w:w="80"/>
            </w:tcMar>
          </w:tcPr>
          <w:p>
            <w:r>
              <w:rPr>
                <w:sz w:val="17"/>
                <w:szCs w:val="17"/>
              </w:rPr>
              <w:t xml:space="preserve">7,052.65</w:t>
            </w:r>
          </w:p>
        </w:tc>
      </w:tr>
    </w:tbl>
    <w:p>
      <w:pPr>
        <w:spacing w:after="120"/>
      </w:pPr>
      <w:r>
        <w:rPr>
          <w:i/>
          <w:iCs/>
          <w:sz w:val="18"/>
          <w:szCs w:val="18"/>
        </w:rPr>
        <w:t xml:space="preserve">Source status: SINGLE-SOURCE — indicative only. The June monthly high, low, and close were reconstructed from a single aggregator's daily series rather than from two independent providers. All monthly levels in this table are marked indicative and are excluded from trade-card entry and stop construction per the suppression rules in §21. They are retained for narrative context only.</w:t>
      </w:r>
    </w:p>
    <w:p>
      <w:pPr>
        <w:spacing w:after="100"/>
      </w:pPr>
      <w:r>
        <w:rPr>
          <w:b/>
          <w:bCs/>
          <w:sz w:val="20"/>
          <w:szCs w:val="20"/>
        </w:rPr>
        <w:t xml:space="preserve">Position narrative:</w:t>
      </w:r>
    </w:p>
    <w:p>
      <w:pPr>
        <w:pStyle w:val="ListParagraph"/>
        <w:numPr>
          <w:ilvl w:val="0"/>
          <w:numId w:val="1"/>
        </w:numPr>
        <w:spacing w:after="60"/>
      </w:pPr>
      <w:r>
        <w:rPr>
          <w:sz w:val="20"/>
          <w:szCs w:val="20"/>
        </w:rPr>
        <w:t xml:space="preserve">Daily: the 16 July close of 7,533.77 sits 2.41 points below the daily pivot at 7,536.18 — a 0.032% gap, which is a statistical tie. The index closed exactly on its pivot. Nearest daily resistance is R1 at 7,568.33; nearest daily support is S1 at 7,501.61.</w:t>
      </w:r>
    </w:p>
    <w:p>
      <w:pPr>
        <w:pStyle w:val="ListParagraph"/>
        <w:numPr>
          <w:ilvl w:val="0"/>
          <w:numId w:val="1"/>
        </w:numPr>
        <w:spacing w:after="60"/>
      </w:pPr>
      <w:r>
        <w:rPr>
          <w:sz w:val="20"/>
          <w:szCs w:val="20"/>
        </w:rPr>
        <w:t xml:space="preserve">Weekly: the close sits 8.06 points above the weekly pivot at 7,525.71 (+0.11%) — marginally constructive. Weekly R1 at 7,629.61 is 95.8 points away, well beyond a single session's ATR; weekly S1 at 7,471.50 is 62.3 points below and is reachable within one session.</w:t>
      </w:r>
    </w:p>
    <w:p>
      <w:pPr>
        <w:pStyle w:val="ListParagraph"/>
        <w:numPr>
          <w:ilvl w:val="0"/>
          <w:numId w:val="1"/>
        </w:numPr>
        <w:spacing w:after="60"/>
      </w:pPr>
      <w:r>
        <w:rPr>
          <w:sz w:val="20"/>
          <w:szCs w:val="20"/>
        </w:rPr>
        <w:t xml:space="preserve">Monthly (indicative): the close sits 76.6 points above the monthly pivot at 7,457.15, and 86.4 points below monthly R1 at 7,620.13. The index is in the upper half of its monthly pivot structure without threatening the R1 boundary.</w:t>
      </w:r>
    </w:p>
    <w:p>
      <w:pPr>
        <w:pStyle w:val="ListParagraph"/>
        <w:numPr>
          <w:ilvl w:val="0"/>
          <w:numId w:val="1"/>
        </w:numPr>
        <w:spacing w:after="60"/>
      </w:pPr>
      <w:r>
        <w:rPr>
          <w:sz w:val="20"/>
          <w:szCs w:val="20"/>
        </w:rPr>
        <w:t xml:space="preserve">CONFLUENCE ZONE — daily S1 (7,501.61) and the twice-defended 16 July low (7,504.02) sit 0.032% apart. This is the single most important level in the report: an independently derived pivot landing on top of a level the market has already defended by price action twice this week.</w:t>
      </w:r>
    </w:p>
    <w:p>
      <w:pPr>
        <w:pStyle w:val="ListParagraph"/>
        <w:numPr>
          <w:ilvl w:val="0"/>
          <w:numId w:val="1"/>
        </w:numPr>
        <w:spacing w:after="60"/>
      </w:pPr>
      <w:r>
        <w:rPr>
          <w:sz w:val="20"/>
          <w:szCs w:val="20"/>
        </w:rPr>
        <w:t xml:space="preserve">CONFLUENCE ZONE — daily R1 (7,568.33) sits inside the 7,568–7,581 supply shelf rejected on both 10 and 15 July. Daily P (7,536.18) and weekly P (7,525.71) sit 0.139% apart — just outside the 0.05% flag threshold, but close enough to form a pivot cluster the index is currently sitting inside.</w:t>
      </w:r>
    </w:p>
    <w:p>
      <w:pPr>
        <w:pStyle w:val="Heading1"/>
        <w:spacing w:after="120" w:before="240"/>
      </w:pPr>
      <w:r>
        <w:t xml:space="preserve">§12  Key Market Considerations</w:t>
      </w:r>
    </w:p>
    <w:p>
      <w:pPr>
        <w:spacing w:after="80"/>
      </w:pPr>
      <w:r>
        <w:rPr>
          <w:b/>
          <w:bCs/>
          <w:sz w:val="20"/>
          <w:szCs w:val="20"/>
        </w:rPr>
        <w:t xml:space="preserve">Demand-side (earnings)</w:t>
      </w:r>
    </w:p>
    <w:p>
      <w:pPr>
        <w:pStyle w:val="ListParagraph"/>
        <w:numPr>
          <w:ilvl w:val="0"/>
          <w:numId w:val="1"/>
        </w:numPr>
        <w:spacing w:after="60"/>
      </w:pPr>
      <w:r>
        <w:rPr>
          <w:sz w:val="20"/>
          <w:szCs w:val="20"/>
        </w:rPr>
        <w:t xml:space="preserve">The Q2 print is running ahead of expectations on the whole. Taiwan Semiconductor delivered a 77% annual earnings gain and beat on the quarter; GE Aerospace beat on both lines ($2.02 vs $1.86 EPS; $12.63bn vs $11.86bn revenue) and raised full-year guidance; Goldman Sachs beat decisively earlier in the week ($20.98 vs $14.48 EPS) and rallied 9%.</w:t>
      </w:r>
    </w:p>
    <w:p>
      <w:pPr>
        <w:pStyle w:val="ListParagraph"/>
        <w:numPr>
          <w:ilvl w:val="0"/>
          <w:numId w:val="1"/>
        </w:numPr>
        <w:spacing w:after="60"/>
      </w:pPr>
      <w:r>
        <w:rPr>
          <w:sz w:val="20"/>
          <w:szCs w:val="20"/>
        </w:rPr>
        <w:t xml:space="preserve">The market's refusal to reward these beats is the story. TSMC fell more than 4% on a beat-and-raise. This is the second time in three sessions that strong guidance from a dominant chip firm preceded a sector pullback — a pattern worth taking seriously as the bulk of tech results arrive.</w:t>
      </w:r>
    </w:p>
    <w:p>
      <w:pPr>
        <w:pStyle w:val="ListParagraph"/>
        <w:numPr>
          <w:ilvl w:val="0"/>
          <w:numId w:val="1"/>
        </w:numPr>
        <w:spacing w:after="60"/>
      </w:pPr>
      <w:r>
        <w:rPr>
          <w:sz w:val="20"/>
          <w:szCs w:val="20"/>
        </w:rPr>
        <w:t xml:space="preserve">Netflix reported after Thursday's close and its response is unpriced at the time of writing. The stock is down 21.4% year-to-date and ~42% over twelve months on slowing engagement, making it a high-dispersion event.</w:t>
      </w:r>
    </w:p>
    <w:p>
      <w:pPr>
        <w:pStyle w:val="ListParagraph"/>
        <w:numPr>
          <w:ilvl w:val="0"/>
          <w:numId w:val="1"/>
        </w:numPr>
        <w:spacing w:after="60"/>
      </w:pPr>
      <w:r>
        <w:rPr>
          <w:sz w:val="20"/>
          <w:szCs w:val="20"/>
        </w:rPr>
        <w:t xml:space="preserve">Mega-cap dispersion is wide and rotational rather than directional: on 15 July, Apple +4% to an all-time high, Amazon and Alphabet each ~+3%, Microsoft ~+3% — while Micron fell 8%. On 16 July that reversed, with Alphabet −4.4% on reports it delayed its most advanced Gemini model release, while Nike (+4.04%), IBM (+3.90%), and Salesforce (+3.36%) led the Dow.</w:t>
      </w:r>
    </w:p>
    <w:p>
      <w:pPr>
        <w:spacing w:after="80"/>
      </w:pPr>
      <w:r>
        <w:rPr>
          <w:b/>
          <w:bCs/>
          <w:sz w:val="20"/>
          <w:szCs w:val="20"/>
        </w:rPr>
        <w:t xml:space="preserve">Supply-side (valuation and positioning)</w:t>
      </w:r>
    </w:p>
    <w:p>
      <w:pPr>
        <w:pStyle w:val="ListParagraph"/>
        <w:numPr>
          <w:ilvl w:val="0"/>
          <w:numId w:val="1"/>
        </w:numPr>
        <w:spacing w:after="60"/>
      </w:pPr>
      <w:r>
        <w:rPr>
          <w:sz w:val="20"/>
          <w:szCs w:val="20"/>
        </w:rPr>
        <w:t xml:space="preserve">The binding constraint is the AI capital-expenditure question. TSMC lifted 2026 capex guidance to $60–64bn from $52–56bn. The market read a raised spending forecast as a margin and return-on-capital problem rather than a demand signal.</w:t>
      </w:r>
    </w:p>
    <w:p>
      <w:pPr>
        <w:pStyle w:val="ListParagraph"/>
        <w:numPr>
          <w:ilvl w:val="0"/>
          <w:numId w:val="1"/>
        </w:numPr>
        <w:spacing w:after="60"/>
      </w:pPr>
      <w:r>
        <w:rPr>
          <w:sz w:val="20"/>
          <w:szCs w:val="20"/>
        </w:rPr>
        <w:t xml:space="preserve">Seaport's note on Nvidia crystallises the concern: Jensen Huang's projection that computing costs rise from ~$50bn toward $100bn per gigawatt implies Nvidia must increasingly subsidise its own smaller data-centre customers to keep them solvent — described as a deep contradiction in the business model. Nvidia had rallied 4.06% the prior session; the complex fell ~3–4% on 16 July.</w:t>
      </w:r>
    </w:p>
    <w:p>
      <w:pPr>
        <w:pStyle w:val="ListParagraph"/>
        <w:numPr>
          <w:ilvl w:val="0"/>
          <w:numId w:val="1"/>
        </w:numPr>
        <w:spacing w:after="60"/>
      </w:pPr>
      <w:r>
        <w:rPr>
          <w:sz w:val="20"/>
          <w:szCs w:val="20"/>
        </w:rPr>
        <w:t xml:space="preserve">Breadth is the counterweight and it is genuinely healthy: 62% of S&amp;P 500 constituents trade above their 50-day moving averages. On 16 July only two sectors declined — Technology (−2.28%) and Communication Services (−0.63%) — while the equal-weight-sensitive Russell 2000 fell just 0.06%. This is a leadership problem, not a market problem.</w:t>
      </w:r>
    </w:p>
    <w:p>
      <w:pPr>
        <w:spacing w:after="80"/>
      </w:pPr>
      <w:r>
        <w:rPr>
          <w:b/>
          <w:bCs/>
          <w:sz w:val="20"/>
          <w:szCs w:val="20"/>
        </w:rPr>
        <w:t xml:space="preserve">Policy</w:t>
      </w:r>
    </w:p>
    <w:p>
      <w:pPr>
        <w:pStyle w:val="ListParagraph"/>
        <w:numPr>
          <w:ilvl w:val="0"/>
          <w:numId w:val="1"/>
        </w:numPr>
        <w:spacing w:after="60"/>
      </w:pPr>
      <w:r>
        <w:rPr>
          <w:sz w:val="20"/>
          <w:szCs w:val="20"/>
        </w:rPr>
        <w:t xml:space="preserve">Two consecutive soft inflation prints: June CPI came in below expectations, and June PPI unexpectedly fell 0.3% — the first decline in nearly a year, driven largely by lower energy costs.</w:t>
      </w:r>
    </w:p>
    <w:p>
      <w:pPr>
        <w:pStyle w:val="ListParagraph"/>
        <w:numPr>
          <w:ilvl w:val="0"/>
          <w:numId w:val="1"/>
        </w:numPr>
        <w:spacing w:after="60"/>
      </w:pPr>
      <w:r>
        <w:rPr>
          <w:sz w:val="20"/>
          <w:szCs w:val="20"/>
        </w:rPr>
        <w:t xml:space="preserve">The Fed path is priced asymmetrically and, notably, toward hikes rather than cuts: ~12% probability of a hike this month, ~56% for September. Dallas Fed President Lorie Logan pushed back publicly on Thursday, arguing the week's inflation news was not good enough.</w:t>
      </w:r>
    </w:p>
    <w:p>
      <w:pPr>
        <w:pStyle w:val="ListParagraph"/>
        <w:numPr>
          <w:ilvl w:val="0"/>
          <w:numId w:val="1"/>
        </w:numPr>
        <w:spacing w:after="60"/>
      </w:pPr>
      <w:r>
        <w:rPr>
          <w:sz w:val="20"/>
          <w:szCs w:val="20"/>
        </w:rPr>
        <w:t xml:space="preserve">The 30-year mortgage rate hit 6.55%, its highest in almost a year — a reminder that the long end is not cooperating with the soft-inflation narrative.</w:t>
      </w:r>
    </w:p>
    <w:p>
      <w:pPr>
        <w:spacing w:after="80"/>
      </w:pPr>
      <w:r>
        <w:rPr>
          <w:b/>
          <w:bCs/>
          <w:sz w:val="20"/>
          <w:szCs w:val="20"/>
        </w:rPr>
        <w:t xml:space="preserve">Macro / geopolitical catalysts</w:t>
      </w:r>
    </w:p>
    <w:p>
      <w:pPr>
        <w:pStyle w:val="ListParagraph"/>
        <w:numPr>
          <w:ilvl w:val="0"/>
          <w:numId w:val="1"/>
        </w:numPr>
        <w:spacing w:after="60"/>
      </w:pPr>
      <w:r>
        <w:rPr>
          <w:sz w:val="20"/>
          <w:szCs w:val="20"/>
        </w:rPr>
        <w:t xml:space="preserve">The US–Iran conflict is live and escalating, with continued US strikes and the Strait of Hormuz in play. Trump abandoned the 20% transit protection fee in favour of trade and investment arrangements with Gulf states, but subsequently foreshadowed a fresh blockade.</w:t>
      </w:r>
    </w:p>
    <w:p>
      <w:pPr>
        <w:pStyle w:val="ListParagraph"/>
        <w:numPr>
          <w:ilvl w:val="0"/>
          <w:numId w:val="1"/>
        </w:numPr>
        <w:spacing w:after="60"/>
      </w:pPr>
      <w:r>
        <w:rPr>
          <w:sz w:val="20"/>
          <w:szCs w:val="20"/>
        </w:rPr>
        <w:t xml:space="preserve">Crude is holding near recent highs — WTI ~$79.3–79.7, Brent ~$85.4. Rising oil is feeding the long end of the yield curve, which is the transmission channel by which geopolitics reaches equity valuations.</w:t>
      </w:r>
    </w:p>
    <w:p>
      <w:pPr>
        <w:pStyle w:val="ListParagraph"/>
        <w:numPr>
          <w:ilvl w:val="0"/>
          <w:numId w:val="1"/>
        </w:numPr>
        <w:spacing w:after="60"/>
      </w:pPr>
      <w:r>
        <w:rPr>
          <w:sz w:val="20"/>
          <w:szCs w:val="20"/>
        </w:rPr>
        <w:t xml:space="preserve">June retail sales came in short of expectations — a modest but real crack in the consumer picture.</w:t>
      </w:r>
    </w:p>
    <w:p>
      <w:pPr>
        <w:pStyle w:val="ListParagraph"/>
        <w:numPr>
          <w:ilvl w:val="0"/>
          <w:numId w:val="1"/>
        </w:numPr>
        <w:spacing w:after="60"/>
      </w:pPr>
      <w:r>
        <w:rPr>
          <w:sz w:val="20"/>
          <w:szCs w:val="20"/>
        </w:rPr>
        <w:t xml:space="preserve">The Kospi's 6.4% Thursday plunge into a bear market after the Bank of Korea's first hike since January 2023 is a reminder that semiconductor-heavy indices globally are absorbing the same shock.</w:t>
      </w:r>
    </w:p>
    <w:p>
      <w:pPr>
        <w:pStyle w:val="Heading1"/>
        <w:spacing w:after="120" w:before="240"/>
      </w:pPr>
      <w:r>
        <w:t xml:space="preserve">§13  Sentiment, News &amp; Calendar</w:t>
      </w:r>
    </w:p>
    <w:p>
      <w:pPr>
        <w:spacing w:after="80"/>
      </w:pPr>
      <w:r>
        <w:rPr>
          <w:b/>
          <w:bCs/>
          <w:sz w:val="20"/>
          <w:szCs w:val="20"/>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4100"/>
        <w:gridCol w:w="2060"/>
      </w:tblGrid>
      <w:tr>
        <w:trPr>
          <w:tblHeader/>
        </w:trPr>
        <w:tc>
          <w:tcPr>
            <w:tcW w:type="dxa" w:w="2500"/>
            <w:shd w:fill="1F3864" w:color="auto" w:val="clear"/>
            <w:tcMar>
              <w:top w:type="dxa" w:w="60"/>
              <w:left w:type="dxa" w:w="80"/>
              <w:bottom w:type="dxa" w:w="60"/>
              <w:right w:type="dxa" w:w="80"/>
            </w:tcMar>
          </w:tcPr>
          <w:p>
            <w:r>
              <w:rPr>
                <w:b/>
                <w:bCs/>
                <w:color w:val="FFFFFF"/>
                <w:sz w:val="17"/>
                <w:szCs w:val="17"/>
              </w:rPr>
              <w:t xml:space="preserve">Article / Source</w:t>
            </w:r>
          </w:p>
        </w:tc>
        <w:tc>
          <w:tcPr>
            <w:tcW w:type="dxa" w:w="700"/>
            <w:shd w:fill="1F3864" w:color="auto" w:val="clear"/>
            <w:tcMar>
              <w:top w:type="dxa" w:w="60"/>
              <w:left w:type="dxa" w:w="80"/>
              <w:bottom w:type="dxa" w:w="60"/>
              <w:right w:type="dxa" w:w="80"/>
            </w:tcMar>
          </w:tcPr>
          <w:p>
            <w:r>
              <w:rPr>
                <w:b/>
                <w:bCs/>
                <w:color w:val="FFFFFF"/>
                <w:sz w:val="17"/>
                <w:szCs w:val="17"/>
              </w:rPr>
              <w:t xml:space="preserve">Date</w:t>
            </w:r>
          </w:p>
        </w:tc>
        <w:tc>
          <w:tcPr>
            <w:tcW w:type="dxa" w:w="4100"/>
            <w:shd w:fill="1F3864" w:color="auto" w:val="clear"/>
            <w:tcMar>
              <w:top w:type="dxa" w:w="60"/>
              <w:left w:type="dxa" w:w="80"/>
              <w:bottom w:type="dxa" w:w="60"/>
              <w:right w:type="dxa" w:w="80"/>
            </w:tcMar>
          </w:tcPr>
          <w:p>
            <w:r>
              <w:rPr>
                <w:b/>
                <w:bCs/>
                <w:color w:val="FFFFFF"/>
                <w:sz w:val="17"/>
                <w:szCs w:val="17"/>
              </w:rPr>
              <w:t xml:space="preserve">Summary</w:t>
            </w:r>
          </w:p>
        </w:tc>
        <w:tc>
          <w:tcPr>
            <w:tcW w:type="dxa" w:w="2060"/>
            <w:shd w:fill="1F3864" w:color="auto" w:val="clear"/>
            <w:tcMar>
              <w:top w:type="dxa" w:w="60"/>
              <w:left w:type="dxa" w:w="80"/>
              <w:bottom w:type="dxa" w:w="60"/>
              <w:right w:type="dxa" w:w="80"/>
            </w:tcMar>
          </w:tcPr>
          <w:p>
            <w:r>
              <w:rPr>
                <w:b/>
                <w:bCs/>
                <w:color w:val="FFFFFF"/>
                <w:sz w:val="17"/>
                <w:szCs w:val="17"/>
              </w:rPr>
              <w:t xml:space="preserve">Tilt</w:t>
            </w:r>
          </w:p>
        </w:tc>
      </w:tr>
      <w:tr>
        <w:tc>
          <w:tcPr>
            <w:tcW w:type="dxa" w:w="2500"/>
            <w:tcMar>
              <w:top w:type="dxa" w:w="60"/>
              <w:left w:type="dxa" w:w="80"/>
              <w:bottom w:type="dxa" w:w="60"/>
              <w:right w:type="dxa" w:w="80"/>
            </w:tcMar>
          </w:tcPr>
          <w:p>
            <w:r>
              <w:rPr>
                <w:sz w:val="17"/>
                <w:szCs w:val="17"/>
              </w:rPr>
              <w:t xml:space="preserve">TSMC beat-and-raise triggers chip sell-off (Bloomberg / CNBC)</w:t>
            </w:r>
          </w:p>
        </w:tc>
        <w:tc>
          <w:tcPr>
            <w:tcW w:type="dxa" w:w="700"/>
            <w:tcMar>
              <w:top w:type="dxa" w:w="60"/>
              <w:left w:type="dxa" w:w="80"/>
              <w:bottom w:type="dxa" w:w="60"/>
              <w:right w:type="dxa" w:w="80"/>
            </w:tcMar>
          </w:tcPr>
          <w:p>
            <w:r>
              <w:rPr>
                <w:sz w:val="17"/>
                <w:szCs w:val="17"/>
              </w:rPr>
              <w:t xml:space="preserve">16 Jul</w:t>
            </w:r>
          </w:p>
        </w:tc>
        <w:tc>
          <w:tcPr>
            <w:tcW w:type="dxa" w:w="4100"/>
            <w:tcMar>
              <w:top w:type="dxa" w:w="60"/>
              <w:left w:type="dxa" w:w="80"/>
              <w:bottom w:type="dxa" w:w="60"/>
              <w:right w:type="dxa" w:w="80"/>
            </w:tcMar>
          </w:tcPr>
          <w:p>
            <w:r>
              <w:rPr>
                <w:sz w:val="17"/>
                <w:szCs w:val="17"/>
              </w:rPr>
              <w:t xml:space="preserve">77% earnings gain and raised capex guidance met with a &gt;4% share decline; SMH −3–4%, Arm −5%+, SanDisk −12%, SK Hynix ADR −13%</w:t>
            </w:r>
          </w:p>
        </w:tc>
        <w:tc>
          <w:tcPr>
            <w:tcW w:type="dxa" w:w="2060"/>
            <w:tcMar>
              <w:top w:type="dxa" w:w="60"/>
              <w:left w:type="dxa" w:w="80"/>
              <w:bottom w:type="dxa" w:w="60"/>
              <w:right w:type="dxa" w:w="80"/>
            </w:tcMar>
          </w:tcPr>
          <w:p>
            <w:r>
              <w:rPr>
                <w:sz w:val="17"/>
                <w:szCs w:val="17"/>
              </w:rPr>
              <w:t xml:space="preserve">−0.60</w:t>
            </w:r>
          </w:p>
        </w:tc>
      </w:tr>
      <w:tr>
        <w:tc>
          <w:tcPr>
            <w:tcW w:type="dxa" w:w="2500"/>
            <w:shd w:fill="F2F2F2" w:color="auto" w:val="clear"/>
            <w:tcMar>
              <w:top w:type="dxa" w:w="60"/>
              <w:left w:type="dxa" w:w="80"/>
              <w:bottom w:type="dxa" w:w="60"/>
              <w:right w:type="dxa" w:w="80"/>
            </w:tcMar>
          </w:tcPr>
          <w:p>
            <w:r>
              <w:rPr>
                <w:sz w:val="17"/>
                <w:szCs w:val="17"/>
              </w:rPr>
              <w:t xml:space="preserve">Seaport note on Nvidia's business model (CNBC)</w:t>
            </w:r>
          </w:p>
        </w:tc>
        <w:tc>
          <w:tcPr>
            <w:tcW w:type="dxa" w:w="700"/>
            <w:shd w:fill="F2F2F2" w:color="auto" w:val="clear"/>
            <w:tcMar>
              <w:top w:type="dxa" w:w="60"/>
              <w:left w:type="dxa" w:w="80"/>
              <w:bottom w:type="dxa" w:w="60"/>
              <w:right w:type="dxa" w:w="80"/>
            </w:tcMar>
          </w:tcPr>
          <w:p>
            <w:r>
              <w:rPr>
                <w:sz w:val="17"/>
                <w:szCs w:val="17"/>
              </w:rPr>
              <w:t xml:space="preserve">16 Jul</w:t>
            </w:r>
          </w:p>
        </w:tc>
        <w:tc>
          <w:tcPr>
            <w:tcW w:type="dxa" w:w="4100"/>
            <w:shd w:fill="F2F2F2" w:color="auto" w:val="clear"/>
            <w:tcMar>
              <w:top w:type="dxa" w:w="60"/>
              <w:left w:type="dxa" w:w="80"/>
              <w:bottom w:type="dxa" w:w="60"/>
              <w:right w:type="dxa" w:w="80"/>
            </w:tcMar>
          </w:tcPr>
          <w:p>
            <w:r>
              <w:rPr>
                <w:sz w:val="17"/>
                <w:szCs w:val="17"/>
              </w:rPr>
              <w:t xml:space="preserve">Argues rising per-gigawatt compute costs force Nvidia to subsidise neocloud customers; calls it a deep contradiction</w:t>
            </w:r>
          </w:p>
        </w:tc>
        <w:tc>
          <w:tcPr>
            <w:tcW w:type="dxa" w:w="2060"/>
            <w:shd w:fill="F2F2F2" w:color="auto" w:val="clear"/>
            <w:tcMar>
              <w:top w:type="dxa" w:w="60"/>
              <w:left w:type="dxa" w:w="80"/>
              <w:bottom w:type="dxa" w:w="60"/>
              <w:right w:type="dxa" w:w="80"/>
            </w:tcMar>
          </w:tcPr>
          <w:p>
            <w:r>
              <w:rPr>
                <w:sz w:val="17"/>
                <w:szCs w:val="17"/>
              </w:rPr>
              <w:t xml:space="preserve">−0.50</w:t>
            </w:r>
          </w:p>
        </w:tc>
      </w:tr>
      <w:tr>
        <w:tc>
          <w:tcPr>
            <w:tcW w:type="dxa" w:w="2500"/>
            <w:tcMar>
              <w:top w:type="dxa" w:w="60"/>
              <w:left w:type="dxa" w:w="80"/>
              <w:bottom w:type="dxa" w:w="60"/>
              <w:right w:type="dxa" w:w="80"/>
            </w:tcMar>
          </w:tcPr>
          <w:p>
            <w:r>
              <w:rPr>
                <w:sz w:val="17"/>
                <w:szCs w:val="17"/>
              </w:rPr>
              <w:t xml:space="preserve">June PPI unexpectedly falls 0.3% (CNBC / TradingEconomics)</w:t>
            </w:r>
          </w:p>
        </w:tc>
        <w:tc>
          <w:tcPr>
            <w:tcW w:type="dxa" w:w="700"/>
            <w:tcMar>
              <w:top w:type="dxa" w:w="60"/>
              <w:left w:type="dxa" w:w="80"/>
              <w:bottom w:type="dxa" w:w="60"/>
              <w:right w:type="dxa" w:w="80"/>
            </w:tcMar>
          </w:tcPr>
          <w:p>
            <w:r>
              <w:rPr>
                <w:sz w:val="17"/>
                <w:szCs w:val="17"/>
              </w:rPr>
              <w:t xml:space="preserve">15–16 Jul</w:t>
            </w:r>
          </w:p>
        </w:tc>
        <w:tc>
          <w:tcPr>
            <w:tcW w:type="dxa" w:w="4100"/>
            <w:tcMar>
              <w:top w:type="dxa" w:w="60"/>
              <w:left w:type="dxa" w:w="80"/>
              <w:bottom w:type="dxa" w:w="60"/>
              <w:right w:type="dxa" w:w="80"/>
            </w:tcMar>
          </w:tcPr>
          <w:p>
            <w:r>
              <w:rPr>
                <w:sz w:val="17"/>
                <w:szCs w:val="17"/>
              </w:rPr>
              <w:t xml:space="preserve">First decline in nearly a year; follows a softer CPI. Near-term hike odds fall to ~12%</w:t>
            </w:r>
          </w:p>
        </w:tc>
        <w:tc>
          <w:tcPr>
            <w:tcW w:type="dxa" w:w="2060"/>
            <w:tcMar>
              <w:top w:type="dxa" w:w="60"/>
              <w:left w:type="dxa" w:w="80"/>
              <w:bottom w:type="dxa" w:w="60"/>
              <w:right w:type="dxa" w:w="80"/>
            </w:tcMar>
          </w:tcPr>
          <w:p>
            <w:r>
              <w:rPr>
                <w:sz w:val="17"/>
                <w:szCs w:val="17"/>
              </w:rPr>
              <w:t xml:space="preserve">+0.55</w:t>
            </w:r>
          </w:p>
        </w:tc>
      </w:tr>
      <w:tr>
        <w:tc>
          <w:tcPr>
            <w:tcW w:type="dxa" w:w="2500"/>
            <w:shd w:fill="F2F2F2" w:color="auto" w:val="clear"/>
            <w:tcMar>
              <w:top w:type="dxa" w:w="60"/>
              <w:left w:type="dxa" w:w="80"/>
              <w:bottom w:type="dxa" w:w="60"/>
              <w:right w:type="dxa" w:w="80"/>
            </w:tcMar>
          </w:tcPr>
          <w:p>
            <w:r>
              <w:rPr>
                <w:sz w:val="17"/>
                <w:szCs w:val="17"/>
              </w:rPr>
              <w:t xml:space="preserve">Alphabet delays most advanced Gemini model (TradingEconomics)</w:t>
            </w:r>
          </w:p>
        </w:tc>
        <w:tc>
          <w:tcPr>
            <w:tcW w:type="dxa" w:w="700"/>
            <w:shd w:fill="F2F2F2" w:color="auto" w:val="clear"/>
            <w:tcMar>
              <w:top w:type="dxa" w:w="60"/>
              <w:left w:type="dxa" w:w="80"/>
              <w:bottom w:type="dxa" w:w="60"/>
              <w:right w:type="dxa" w:w="80"/>
            </w:tcMar>
          </w:tcPr>
          <w:p>
            <w:r>
              <w:rPr>
                <w:sz w:val="17"/>
                <w:szCs w:val="17"/>
              </w:rPr>
              <w:t xml:space="preserve">16 Jul</w:t>
            </w:r>
          </w:p>
        </w:tc>
        <w:tc>
          <w:tcPr>
            <w:tcW w:type="dxa" w:w="4100"/>
            <w:shd w:fill="F2F2F2" w:color="auto" w:val="clear"/>
            <w:tcMar>
              <w:top w:type="dxa" w:w="60"/>
              <w:left w:type="dxa" w:w="80"/>
              <w:bottom w:type="dxa" w:w="60"/>
              <w:right w:type="dxa" w:w="80"/>
            </w:tcMar>
          </w:tcPr>
          <w:p>
            <w:r>
              <w:rPr>
                <w:sz w:val="17"/>
                <w:szCs w:val="17"/>
              </w:rPr>
              <w:t xml:space="preserve">Shares −4.4%; read as an AI execution stumble at a mega-cap</w:t>
            </w:r>
          </w:p>
        </w:tc>
        <w:tc>
          <w:tcPr>
            <w:tcW w:type="dxa" w:w="2060"/>
            <w:shd w:fill="F2F2F2" w:color="auto" w:val="clear"/>
            <w:tcMar>
              <w:top w:type="dxa" w:w="60"/>
              <w:left w:type="dxa" w:w="80"/>
              <w:bottom w:type="dxa" w:w="60"/>
              <w:right w:type="dxa" w:w="80"/>
            </w:tcMar>
          </w:tcPr>
          <w:p>
            <w:r>
              <w:rPr>
                <w:sz w:val="17"/>
                <w:szCs w:val="17"/>
              </w:rPr>
              <w:t xml:space="preserve">−0.40</w:t>
            </w:r>
          </w:p>
        </w:tc>
      </w:tr>
      <w:tr>
        <w:tc>
          <w:tcPr>
            <w:tcW w:type="dxa" w:w="2500"/>
            <w:tcMar>
              <w:top w:type="dxa" w:w="60"/>
              <w:left w:type="dxa" w:w="80"/>
              <w:bottom w:type="dxa" w:w="60"/>
              <w:right w:type="dxa" w:w="80"/>
            </w:tcMar>
          </w:tcPr>
          <w:p>
            <w:r>
              <w:rPr>
                <w:sz w:val="17"/>
                <w:szCs w:val="17"/>
              </w:rPr>
              <w:t xml:space="preserve">GE Aerospace beats and raises guidance (CNBC)</w:t>
            </w:r>
          </w:p>
        </w:tc>
        <w:tc>
          <w:tcPr>
            <w:tcW w:type="dxa" w:w="700"/>
            <w:tcMar>
              <w:top w:type="dxa" w:w="60"/>
              <w:left w:type="dxa" w:w="80"/>
              <w:bottom w:type="dxa" w:w="60"/>
              <w:right w:type="dxa" w:w="80"/>
            </w:tcMar>
          </w:tcPr>
          <w:p>
            <w:r>
              <w:rPr>
                <w:sz w:val="17"/>
                <w:szCs w:val="17"/>
              </w:rPr>
              <w:t xml:space="preserve">16 Jul</w:t>
            </w:r>
          </w:p>
        </w:tc>
        <w:tc>
          <w:tcPr>
            <w:tcW w:type="dxa" w:w="4100"/>
            <w:tcMar>
              <w:top w:type="dxa" w:w="60"/>
              <w:left w:type="dxa" w:w="80"/>
              <w:bottom w:type="dxa" w:w="60"/>
              <w:right w:type="dxa" w:w="80"/>
            </w:tcMar>
          </w:tcPr>
          <w:p>
            <w:r>
              <w:rPr>
                <w:sz w:val="17"/>
                <w:szCs w:val="17"/>
              </w:rPr>
              <w:t xml:space="preserve">EPS $2.02 vs $1.86; revenue $12.63bn vs $11.86bn; FY guidance raised</w:t>
            </w:r>
          </w:p>
        </w:tc>
        <w:tc>
          <w:tcPr>
            <w:tcW w:type="dxa" w:w="2060"/>
            <w:tcMar>
              <w:top w:type="dxa" w:w="60"/>
              <w:left w:type="dxa" w:w="80"/>
              <w:bottom w:type="dxa" w:w="60"/>
              <w:right w:type="dxa" w:w="80"/>
            </w:tcMar>
          </w:tcPr>
          <w:p>
            <w:r>
              <w:rPr>
                <w:sz w:val="17"/>
                <w:szCs w:val="17"/>
              </w:rPr>
              <w:t xml:space="preserve">+0.40</w:t>
            </w:r>
          </w:p>
        </w:tc>
      </w:tr>
      <w:tr>
        <w:tc>
          <w:tcPr>
            <w:tcW w:type="dxa" w:w="2500"/>
            <w:shd w:fill="F2F2F2" w:color="auto" w:val="clear"/>
            <w:tcMar>
              <w:top w:type="dxa" w:w="60"/>
              <w:left w:type="dxa" w:w="80"/>
              <w:bottom w:type="dxa" w:w="60"/>
              <w:right w:type="dxa" w:w="80"/>
            </w:tcMar>
          </w:tcPr>
          <w:p>
            <w:r>
              <w:rPr>
                <w:sz w:val="17"/>
                <w:szCs w:val="17"/>
              </w:rPr>
              <w:t xml:space="preserve">Breadth healthy at 62% above 50-DMA (Schwab)</w:t>
            </w:r>
          </w:p>
        </w:tc>
        <w:tc>
          <w:tcPr>
            <w:tcW w:type="dxa" w:w="700"/>
            <w:shd w:fill="F2F2F2" w:color="auto" w:val="clear"/>
            <w:tcMar>
              <w:top w:type="dxa" w:w="60"/>
              <w:left w:type="dxa" w:w="80"/>
              <w:bottom w:type="dxa" w:w="60"/>
              <w:right w:type="dxa" w:w="80"/>
            </w:tcMar>
          </w:tcPr>
          <w:p>
            <w:r>
              <w:rPr>
                <w:sz w:val="17"/>
                <w:szCs w:val="17"/>
              </w:rPr>
              <w:t xml:space="preserve">16 Jul</w:t>
            </w:r>
          </w:p>
        </w:tc>
        <w:tc>
          <w:tcPr>
            <w:tcW w:type="dxa" w:w="4100"/>
            <w:shd w:fill="F2F2F2" w:color="auto" w:val="clear"/>
            <w:tcMar>
              <w:top w:type="dxa" w:w="60"/>
              <w:left w:type="dxa" w:w="80"/>
              <w:bottom w:type="dxa" w:w="60"/>
              <w:right w:type="dxa" w:w="80"/>
            </w:tcMar>
          </w:tcPr>
          <w:p>
            <w:r>
              <w:rPr>
                <w:sz w:val="17"/>
                <w:szCs w:val="17"/>
              </w:rPr>
              <w:t xml:space="preserve">Participation broadening beneath the index; less concentrated market</w:t>
            </w:r>
          </w:p>
        </w:tc>
        <w:tc>
          <w:tcPr>
            <w:tcW w:type="dxa" w:w="2060"/>
            <w:shd w:fill="F2F2F2" w:color="auto" w:val="clear"/>
            <w:tcMar>
              <w:top w:type="dxa" w:w="60"/>
              <w:left w:type="dxa" w:w="80"/>
              <w:bottom w:type="dxa" w:w="60"/>
              <w:right w:type="dxa" w:w="80"/>
            </w:tcMar>
          </w:tcPr>
          <w:p>
            <w:r>
              <w:rPr>
                <w:sz w:val="17"/>
                <w:szCs w:val="17"/>
              </w:rPr>
              <w:t xml:space="preserve">+0.35</w:t>
            </w:r>
          </w:p>
        </w:tc>
      </w:tr>
      <w:tr>
        <w:tc>
          <w:tcPr>
            <w:tcW w:type="dxa" w:w="2500"/>
            <w:tcMar>
              <w:top w:type="dxa" w:w="60"/>
              <w:left w:type="dxa" w:w="80"/>
              <w:bottom w:type="dxa" w:w="60"/>
              <w:right w:type="dxa" w:w="80"/>
            </w:tcMar>
          </w:tcPr>
          <w:p>
            <w:r>
              <w:rPr>
                <w:sz w:val="17"/>
                <w:szCs w:val="17"/>
              </w:rPr>
              <w:t xml:space="preserve">US–Iran escalation; crude near highs (Schwab / TheStreet)</w:t>
            </w:r>
          </w:p>
        </w:tc>
        <w:tc>
          <w:tcPr>
            <w:tcW w:type="dxa" w:w="700"/>
            <w:tcMar>
              <w:top w:type="dxa" w:w="60"/>
              <w:left w:type="dxa" w:w="80"/>
              <w:bottom w:type="dxa" w:w="60"/>
              <w:right w:type="dxa" w:w="80"/>
            </w:tcMar>
          </w:tcPr>
          <w:p>
            <w:r>
              <w:rPr>
                <w:sz w:val="17"/>
                <w:szCs w:val="17"/>
              </w:rPr>
              <w:t xml:space="preserve">16 Jul</w:t>
            </w:r>
          </w:p>
        </w:tc>
        <w:tc>
          <w:tcPr>
            <w:tcW w:type="dxa" w:w="4100"/>
            <w:tcMar>
              <w:top w:type="dxa" w:w="60"/>
              <w:left w:type="dxa" w:w="80"/>
              <w:bottom w:type="dxa" w:w="60"/>
              <w:right w:type="dxa" w:w="80"/>
            </w:tcMar>
          </w:tcPr>
          <w:p>
            <w:r>
              <w:rPr>
                <w:sz w:val="17"/>
                <w:szCs w:val="17"/>
              </w:rPr>
              <w:t xml:space="preserve">Continued strikes; blockade rhetoric; WTI ~$79; long-end yields up</w:t>
            </w:r>
          </w:p>
        </w:tc>
        <w:tc>
          <w:tcPr>
            <w:tcW w:type="dxa" w:w="2060"/>
            <w:tcMar>
              <w:top w:type="dxa" w:w="60"/>
              <w:left w:type="dxa" w:w="80"/>
              <w:bottom w:type="dxa" w:w="60"/>
              <w:right w:type="dxa" w:w="80"/>
            </w:tcMar>
          </w:tcPr>
          <w:p>
            <w:r>
              <w:rPr>
                <w:sz w:val="17"/>
                <w:szCs w:val="17"/>
              </w:rPr>
              <w:t xml:space="preserve">−0.45</w:t>
            </w:r>
          </w:p>
        </w:tc>
      </w:tr>
      <w:tr>
        <w:tc>
          <w:tcPr>
            <w:tcW w:type="dxa" w:w="2500"/>
            <w:shd w:fill="F2F2F2" w:color="auto" w:val="clear"/>
            <w:tcMar>
              <w:top w:type="dxa" w:w="60"/>
              <w:left w:type="dxa" w:w="80"/>
              <w:bottom w:type="dxa" w:w="60"/>
              <w:right w:type="dxa" w:w="80"/>
            </w:tcMar>
          </w:tcPr>
          <w:p>
            <w:r>
              <w:rPr>
                <w:sz w:val="17"/>
                <w:szCs w:val="17"/>
              </w:rPr>
              <w:t xml:space="preserve">June retail sales miss (TheStreet / Schwab)</w:t>
            </w:r>
          </w:p>
        </w:tc>
        <w:tc>
          <w:tcPr>
            <w:tcW w:type="dxa" w:w="700"/>
            <w:shd w:fill="F2F2F2" w:color="auto" w:val="clear"/>
            <w:tcMar>
              <w:top w:type="dxa" w:w="60"/>
              <w:left w:type="dxa" w:w="80"/>
              <w:bottom w:type="dxa" w:w="60"/>
              <w:right w:type="dxa" w:w="80"/>
            </w:tcMar>
          </w:tcPr>
          <w:p>
            <w:r>
              <w:rPr>
                <w:sz w:val="17"/>
                <w:szCs w:val="17"/>
              </w:rPr>
              <w:t xml:space="preserve">16 Jul</w:t>
            </w:r>
          </w:p>
        </w:tc>
        <w:tc>
          <w:tcPr>
            <w:tcW w:type="dxa" w:w="4100"/>
            <w:shd w:fill="F2F2F2" w:color="auto" w:val="clear"/>
            <w:tcMar>
              <w:top w:type="dxa" w:w="60"/>
              <w:left w:type="dxa" w:w="80"/>
              <w:bottom w:type="dxa" w:w="60"/>
              <w:right w:type="dxa" w:w="80"/>
            </w:tcMar>
          </w:tcPr>
          <w:p>
            <w:r>
              <w:rPr>
                <w:sz w:val="17"/>
                <w:szCs w:val="17"/>
              </w:rPr>
              <w:t xml:space="preserve">Consumer print falls short of expectations</w:t>
            </w:r>
          </w:p>
        </w:tc>
        <w:tc>
          <w:tcPr>
            <w:tcW w:type="dxa" w:w="2060"/>
            <w:shd w:fill="F2F2F2" w:color="auto" w:val="clear"/>
            <w:tcMar>
              <w:top w:type="dxa" w:w="60"/>
              <w:left w:type="dxa" w:w="80"/>
              <w:bottom w:type="dxa" w:w="60"/>
              <w:right w:type="dxa" w:w="80"/>
            </w:tcMar>
          </w:tcPr>
          <w:p>
            <w:r>
              <w:rPr>
                <w:sz w:val="17"/>
                <w:szCs w:val="17"/>
              </w:rPr>
              <w:t xml:space="preserve">−0.25</w:t>
            </w:r>
          </w:p>
        </w:tc>
      </w:tr>
      <w:tr>
        <w:tc>
          <w:tcPr>
            <w:tcW w:type="dxa" w:w="2500"/>
            <w:tcMar>
              <w:top w:type="dxa" w:w="60"/>
              <w:left w:type="dxa" w:w="80"/>
              <w:bottom w:type="dxa" w:w="60"/>
              <w:right w:type="dxa" w:w="80"/>
            </w:tcMar>
          </w:tcPr>
          <w:p>
            <w:r>
              <w:rPr>
                <w:sz w:val="17"/>
                <w:szCs w:val="17"/>
              </w:rPr>
              <w:t xml:space="preserve">Logan: inflation news not good enough (CNBC)</w:t>
            </w:r>
          </w:p>
        </w:tc>
        <w:tc>
          <w:tcPr>
            <w:tcW w:type="dxa" w:w="700"/>
            <w:tcMar>
              <w:top w:type="dxa" w:w="60"/>
              <w:left w:type="dxa" w:w="80"/>
              <w:bottom w:type="dxa" w:w="60"/>
              <w:right w:type="dxa" w:w="80"/>
            </w:tcMar>
          </w:tcPr>
          <w:p>
            <w:r>
              <w:rPr>
                <w:sz w:val="17"/>
                <w:szCs w:val="17"/>
              </w:rPr>
              <w:t xml:space="preserve">16 Jul</w:t>
            </w:r>
          </w:p>
        </w:tc>
        <w:tc>
          <w:tcPr>
            <w:tcW w:type="dxa" w:w="4100"/>
            <w:tcMar>
              <w:top w:type="dxa" w:w="60"/>
              <w:left w:type="dxa" w:w="80"/>
              <w:bottom w:type="dxa" w:w="60"/>
              <w:right w:type="dxa" w:w="80"/>
            </w:tcMar>
          </w:tcPr>
          <w:p>
            <w:r>
              <w:rPr>
                <w:sz w:val="17"/>
                <w:szCs w:val="17"/>
              </w:rPr>
              <w:t xml:space="preserve">Dallas Fed pushes back on the dovish read</w:t>
            </w:r>
          </w:p>
        </w:tc>
        <w:tc>
          <w:tcPr>
            <w:tcW w:type="dxa" w:w="2060"/>
            <w:tcMar>
              <w:top w:type="dxa" w:w="60"/>
              <w:left w:type="dxa" w:w="80"/>
              <w:bottom w:type="dxa" w:w="60"/>
              <w:right w:type="dxa" w:w="80"/>
            </w:tcMar>
          </w:tcPr>
          <w:p>
            <w:r>
              <w:rPr>
                <w:sz w:val="17"/>
                <w:szCs w:val="17"/>
              </w:rPr>
              <w:t xml:space="preserve">−0.20</w:t>
            </w:r>
          </w:p>
        </w:tc>
      </w:tr>
    </w:tbl>
    <w:p>
      <w:pPr>
        <w:spacing w:after="80"/>
      </w:pPr>
      <w:r>
        <w:rPr>
          <w:b/>
          <w:bCs/>
          <w:sz w:val="20"/>
          <w:szCs w:val="20"/>
        </w:rPr>
        <w:t xml:space="preserve">§13b  Aggregate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Field</w:t>
            </w:r>
          </w:p>
        </w:tc>
        <w:tc>
          <w:tcPr>
            <w:tcW w:type="dxa" w:w="74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1900"/>
            <w:tcMar>
              <w:top w:type="dxa" w:w="60"/>
              <w:left w:type="dxa" w:w="80"/>
              <w:bottom w:type="dxa" w:w="60"/>
              <w:right w:type="dxa" w:w="80"/>
            </w:tcMar>
          </w:tcPr>
          <w:p>
            <w:r>
              <w:rPr>
                <w:sz w:val="17"/>
                <w:szCs w:val="17"/>
              </w:rPr>
              <w:t xml:space="preserve">Categorical</w:t>
            </w:r>
          </w:p>
        </w:tc>
        <w:tc>
          <w:tcPr>
            <w:tcW w:type="dxa" w:w="7460"/>
            <w:tcMar>
              <w:top w:type="dxa" w:w="60"/>
              <w:left w:type="dxa" w:w="80"/>
              <w:bottom w:type="dxa" w:w="60"/>
              <w:right w:type="dxa" w:w="80"/>
            </w:tcMar>
          </w:tcPr>
          <w:p>
            <w:r>
              <w:rPr>
                <w:sz w:val="17"/>
                <w:szCs w:val="17"/>
              </w:rPr>
              <w:t xml:space="preserve">Mildly Negative</w:t>
            </w:r>
          </w:p>
        </w:tc>
      </w:tr>
      <w:tr>
        <w:tc>
          <w:tcPr>
            <w:tcW w:type="dxa" w:w="1900"/>
            <w:shd w:fill="F2F2F2" w:color="auto" w:val="clear"/>
            <w:tcMar>
              <w:top w:type="dxa" w:w="60"/>
              <w:left w:type="dxa" w:w="80"/>
              <w:bottom w:type="dxa" w:w="60"/>
              <w:right w:type="dxa" w:w="80"/>
            </w:tcMar>
          </w:tcPr>
          <w:p>
            <w:r>
              <w:rPr>
                <w:sz w:val="17"/>
                <w:szCs w:val="17"/>
              </w:rPr>
              <w:t xml:space="preserve">Numeric tilt</w:t>
            </w:r>
          </w:p>
        </w:tc>
        <w:tc>
          <w:tcPr>
            <w:tcW w:type="dxa" w:w="7460"/>
            <w:shd w:fill="F2F2F2" w:color="auto" w:val="clear"/>
            <w:tcMar>
              <w:top w:type="dxa" w:w="60"/>
              <w:left w:type="dxa" w:w="80"/>
              <w:bottom w:type="dxa" w:w="60"/>
              <w:right w:type="dxa" w:w="80"/>
            </w:tcMar>
          </w:tcPr>
          <w:p>
            <w:r>
              <w:rPr>
                <w:sz w:val="17"/>
                <w:szCs w:val="17"/>
              </w:rPr>
              <w:t xml:space="preserve">−0.15</w:t>
            </w:r>
          </w:p>
        </w:tc>
      </w:tr>
      <w:tr>
        <w:tc>
          <w:tcPr>
            <w:tcW w:type="dxa" w:w="1900"/>
            <w:tcMar>
              <w:top w:type="dxa" w:w="60"/>
              <w:left w:type="dxa" w:w="80"/>
              <w:bottom w:type="dxa" w:w="60"/>
              <w:right w:type="dxa" w:w="80"/>
            </w:tcMar>
          </w:tcPr>
          <w:p>
            <w:r>
              <w:rPr>
                <w:sz w:val="17"/>
                <w:szCs w:val="17"/>
              </w:rPr>
              <w:t xml:space="preserve">Derivation</w:t>
            </w:r>
          </w:p>
        </w:tc>
        <w:tc>
          <w:tcPr>
            <w:tcW w:type="dxa" w:w="7460"/>
            <w:tcMar>
              <w:top w:type="dxa" w:w="60"/>
              <w:left w:type="dxa" w:w="80"/>
              <w:bottom w:type="dxa" w:w="60"/>
              <w:right w:type="dxa" w:w="80"/>
            </w:tcMar>
          </w:tcPr>
          <w:p>
            <w:r>
              <w:rPr>
                <w:sz w:val="17"/>
                <w:szCs w:val="17"/>
              </w:rPr>
              <w:t xml:space="preserve">Simple mean of the nine article tilts above (sum −1.10 / 9 = −0.122), adjusted to −0.15 to weight the two highest-salience items — the TSMC reaction and the Seaport/Nvidia note — which together drove the session's only two declining sectors and account for the entirety of the index's loss.</w:t>
            </w:r>
          </w:p>
        </w:tc>
      </w:tr>
      <w:tr>
        <w:tc>
          <w:tcPr>
            <w:tcW w:type="dxa" w:w="1900"/>
            <w:shd w:fill="F2F2F2" w:color="auto" w:val="clear"/>
            <w:tcMar>
              <w:top w:type="dxa" w:w="60"/>
              <w:left w:type="dxa" w:w="80"/>
              <w:bottom w:type="dxa" w:w="60"/>
              <w:right w:type="dxa" w:w="80"/>
            </w:tcMar>
          </w:tcPr>
          <w:p>
            <w:r>
              <w:rPr>
                <w:sz w:val="17"/>
                <w:szCs w:val="17"/>
              </w:rPr>
              <w:t xml:space="preserve">Commentary</w:t>
            </w:r>
          </w:p>
        </w:tc>
        <w:tc>
          <w:tcPr>
            <w:tcW w:type="dxa" w:w="7460"/>
            <w:shd w:fill="F2F2F2" w:color="auto" w:val="clear"/>
            <w:tcMar>
              <w:top w:type="dxa" w:w="60"/>
              <w:left w:type="dxa" w:w="80"/>
              <w:bottom w:type="dxa" w:w="60"/>
              <w:right w:type="dxa" w:w="80"/>
            </w:tcMar>
          </w:tcPr>
          <w:p>
            <w:r>
              <w:rPr>
                <w:sz w:val="17"/>
                <w:szCs w:val="17"/>
              </w:rPr>
              <w:t xml:space="preserve">The tilt is negative but shallow, and its composition matters more than its sign. The positive items (soft PPI, healthy breadth, GE's beat) are broad and structural. The negative items are narrow and concentrated in one theme — AI capex — but that theme currently owns the index's largest constituents. A −0.15 tilt with this composition is more fragile than a −0.15 tilt built from diffuse pessimism.</w:t>
            </w:r>
          </w:p>
        </w:tc>
      </w:tr>
    </w:tbl>
    <w:p>
      <w:pPr>
        <w:spacing w:after="80"/>
      </w:pPr>
      <w:r>
        <w:rPr>
          <w:b/>
          <w:bCs/>
          <w:sz w:val="20"/>
          <w:szCs w:val="20"/>
        </w:rPr>
        <w:t xml:space="preserve">§13c  News calendar — events already in the 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shd w:fill="1F3864" w:color="auto" w:val="clear"/>
            <w:tcMar>
              <w:top w:type="dxa" w:w="60"/>
              <w:left w:type="dxa" w:w="80"/>
              <w:bottom w:type="dxa" w:w="60"/>
              <w:right w:type="dxa" w:w="80"/>
            </w:tcMar>
          </w:tcPr>
          <w:p>
            <w:r>
              <w:rPr>
                <w:b/>
                <w:bCs/>
                <w:color w:val="FFFFFF"/>
                <w:sz w:val="17"/>
                <w:szCs w:val="17"/>
              </w:rPr>
              <w:t xml:space="preserve">Date</w:t>
            </w:r>
          </w:p>
        </w:tc>
        <w:tc>
          <w:tcPr>
            <w:tcW w:type="dxa" w:w="3200"/>
            <w:shd w:fill="1F3864" w:color="auto" w:val="clear"/>
            <w:tcMar>
              <w:top w:type="dxa" w:w="60"/>
              <w:left w:type="dxa" w:w="80"/>
              <w:bottom w:type="dxa" w:w="60"/>
              <w:right w:type="dxa" w:w="80"/>
            </w:tcMar>
          </w:tcPr>
          <w:p>
            <w:r>
              <w:rPr>
                <w:b/>
                <w:bCs/>
                <w:color w:val="FFFFFF"/>
                <w:sz w:val="17"/>
                <w:szCs w:val="17"/>
              </w:rPr>
              <w:t xml:space="preserve">Event</w:t>
            </w:r>
          </w:p>
        </w:tc>
        <w:tc>
          <w:tcPr>
            <w:tcW w:type="dxa" w:w="5360"/>
            <w:shd w:fill="1F3864" w:color="auto" w:val="clear"/>
            <w:tcMar>
              <w:top w:type="dxa" w:w="60"/>
              <w:left w:type="dxa" w:w="80"/>
              <w:bottom w:type="dxa" w:w="60"/>
              <w:right w:type="dxa" w:w="80"/>
            </w:tcMar>
          </w:tcPr>
          <w:p>
            <w:r>
              <w:rPr>
                <w:b/>
                <w:bCs/>
                <w:color w:val="FFFFFF"/>
                <w:sz w:val="17"/>
                <w:szCs w:val="17"/>
              </w:rPr>
              <w:t xml:space="preserve">Outcome</w:t>
            </w:r>
          </w:p>
        </w:tc>
      </w:tr>
      <w:tr>
        <w:tc>
          <w:tcPr>
            <w:tcW w:type="dxa" w:w="800"/>
            <w:tcMar>
              <w:top w:type="dxa" w:w="60"/>
              <w:left w:type="dxa" w:w="80"/>
              <w:bottom w:type="dxa" w:w="60"/>
              <w:right w:type="dxa" w:w="80"/>
            </w:tcMar>
          </w:tcPr>
          <w:p>
            <w:r>
              <w:rPr>
                <w:sz w:val="17"/>
                <w:szCs w:val="17"/>
              </w:rPr>
              <w:t xml:space="preserve">14 Jul</w:t>
            </w:r>
          </w:p>
        </w:tc>
        <w:tc>
          <w:tcPr>
            <w:tcW w:type="dxa" w:w="3200"/>
            <w:tcMar>
              <w:top w:type="dxa" w:w="60"/>
              <w:left w:type="dxa" w:w="80"/>
              <w:bottom w:type="dxa" w:w="60"/>
              <w:right w:type="dxa" w:w="80"/>
            </w:tcMar>
          </w:tcPr>
          <w:p>
            <w:r>
              <w:rPr>
                <w:sz w:val="17"/>
                <w:szCs w:val="17"/>
              </w:rPr>
              <w:t xml:space="preserve">June CPI</w:t>
            </w:r>
          </w:p>
        </w:tc>
        <w:tc>
          <w:tcPr>
            <w:tcW w:type="dxa" w:w="5360"/>
            <w:tcMar>
              <w:top w:type="dxa" w:w="60"/>
              <w:left w:type="dxa" w:w="80"/>
              <w:bottom w:type="dxa" w:w="60"/>
              <w:right w:type="dxa" w:w="80"/>
            </w:tcMar>
          </w:tcPr>
          <w:p>
            <w:r>
              <w:rPr>
                <w:sz w:val="17"/>
                <w:szCs w:val="17"/>
              </w:rPr>
              <w:t xml:space="preserve">Softer than expected — index +0.38%</w:t>
            </w:r>
          </w:p>
        </w:tc>
      </w:tr>
      <w:tr>
        <w:tc>
          <w:tcPr>
            <w:tcW w:type="dxa" w:w="800"/>
            <w:shd w:fill="F2F2F2" w:color="auto" w:val="clear"/>
            <w:tcMar>
              <w:top w:type="dxa" w:w="60"/>
              <w:left w:type="dxa" w:w="80"/>
              <w:bottom w:type="dxa" w:w="60"/>
              <w:right w:type="dxa" w:w="80"/>
            </w:tcMar>
          </w:tcPr>
          <w:p>
            <w:r>
              <w:rPr>
                <w:sz w:val="17"/>
                <w:szCs w:val="17"/>
              </w:rPr>
              <w:t xml:space="preserve">15 Jul</w:t>
            </w:r>
          </w:p>
        </w:tc>
        <w:tc>
          <w:tcPr>
            <w:tcW w:type="dxa" w:w="3200"/>
            <w:shd w:fill="F2F2F2" w:color="auto" w:val="clear"/>
            <w:tcMar>
              <w:top w:type="dxa" w:w="60"/>
              <w:left w:type="dxa" w:w="80"/>
              <w:bottom w:type="dxa" w:w="60"/>
              <w:right w:type="dxa" w:w="80"/>
            </w:tcMar>
          </w:tcPr>
          <w:p>
            <w:r>
              <w:rPr>
                <w:sz w:val="17"/>
                <w:szCs w:val="17"/>
              </w:rPr>
              <w:t xml:space="preserve">June PPI</w:t>
            </w:r>
          </w:p>
        </w:tc>
        <w:tc>
          <w:tcPr>
            <w:tcW w:type="dxa" w:w="5360"/>
            <w:shd w:fill="F2F2F2" w:color="auto" w:val="clear"/>
            <w:tcMar>
              <w:top w:type="dxa" w:w="60"/>
              <w:left w:type="dxa" w:w="80"/>
              <w:bottom w:type="dxa" w:w="60"/>
              <w:right w:type="dxa" w:w="80"/>
            </w:tcMar>
          </w:tcPr>
          <w:p>
            <w:r>
              <w:rPr>
                <w:sz w:val="17"/>
                <w:szCs w:val="17"/>
              </w:rPr>
              <w:t xml:space="preserve">−0.3%, first fall in ~a year — index +0.38%</w:t>
            </w:r>
          </w:p>
        </w:tc>
      </w:tr>
      <w:tr>
        <w:tc>
          <w:tcPr>
            <w:tcW w:type="dxa" w:w="800"/>
            <w:tcMar>
              <w:top w:type="dxa" w:w="60"/>
              <w:left w:type="dxa" w:w="80"/>
              <w:bottom w:type="dxa" w:w="60"/>
              <w:right w:type="dxa" w:w="80"/>
            </w:tcMar>
          </w:tcPr>
          <w:p>
            <w:r>
              <w:rPr>
                <w:sz w:val="17"/>
                <w:szCs w:val="17"/>
              </w:rPr>
              <w:t xml:space="preserve">16 Jul</w:t>
            </w:r>
          </w:p>
        </w:tc>
        <w:tc>
          <w:tcPr>
            <w:tcW w:type="dxa" w:w="3200"/>
            <w:tcMar>
              <w:top w:type="dxa" w:w="60"/>
              <w:left w:type="dxa" w:w="80"/>
              <w:bottom w:type="dxa" w:w="60"/>
              <w:right w:type="dxa" w:w="80"/>
            </w:tcMar>
          </w:tcPr>
          <w:p>
            <w:r>
              <w:rPr>
                <w:sz w:val="17"/>
                <w:szCs w:val="17"/>
              </w:rPr>
              <w:t xml:space="preserve">TSMC Q2</w:t>
            </w:r>
          </w:p>
        </w:tc>
        <w:tc>
          <w:tcPr>
            <w:tcW w:type="dxa" w:w="5360"/>
            <w:tcMar>
              <w:top w:type="dxa" w:w="60"/>
              <w:left w:type="dxa" w:w="80"/>
              <w:bottom w:type="dxa" w:w="60"/>
              <w:right w:type="dxa" w:w="80"/>
            </w:tcMar>
          </w:tcPr>
          <w:p>
            <w:r>
              <w:rPr>
                <w:sz w:val="17"/>
                <w:szCs w:val="17"/>
              </w:rPr>
              <w:t xml:space="preserve">Beat; capex raised to $60–64bn — shares −4%+, sector −3–4%</w:t>
            </w:r>
          </w:p>
        </w:tc>
      </w:tr>
      <w:tr>
        <w:tc>
          <w:tcPr>
            <w:tcW w:type="dxa" w:w="800"/>
            <w:shd w:fill="F2F2F2" w:color="auto" w:val="clear"/>
            <w:tcMar>
              <w:top w:type="dxa" w:w="60"/>
              <w:left w:type="dxa" w:w="80"/>
              <w:bottom w:type="dxa" w:w="60"/>
              <w:right w:type="dxa" w:w="80"/>
            </w:tcMar>
          </w:tcPr>
          <w:p>
            <w:r>
              <w:rPr>
                <w:sz w:val="17"/>
                <w:szCs w:val="17"/>
              </w:rPr>
              <w:t xml:space="preserve">16 Jul</w:t>
            </w:r>
          </w:p>
        </w:tc>
        <w:tc>
          <w:tcPr>
            <w:tcW w:type="dxa" w:w="3200"/>
            <w:shd w:fill="F2F2F2" w:color="auto" w:val="clear"/>
            <w:tcMar>
              <w:top w:type="dxa" w:w="60"/>
              <w:left w:type="dxa" w:w="80"/>
              <w:bottom w:type="dxa" w:w="60"/>
              <w:right w:type="dxa" w:w="80"/>
            </w:tcMar>
          </w:tcPr>
          <w:p>
            <w:r>
              <w:rPr>
                <w:sz w:val="17"/>
                <w:szCs w:val="17"/>
              </w:rPr>
              <w:t xml:space="preserve">June retail sales</w:t>
            </w:r>
          </w:p>
        </w:tc>
        <w:tc>
          <w:tcPr>
            <w:tcW w:type="dxa" w:w="5360"/>
            <w:shd w:fill="F2F2F2" w:color="auto" w:val="clear"/>
            <w:tcMar>
              <w:top w:type="dxa" w:w="60"/>
              <w:left w:type="dxa" w:w="80"/>
              <w:bottom w:type="dxa" w:w="60"/>
              <w:right w:type="dxa" w:w="80"/>
            </w:tcMar>
          </w:tcPr>
          <w:p>
            <w:r>
              <w:rPr>
                <w:sz w:val="17"/>
                <w:szCs w:val="17"/>
              </w:rPr>
              <w:t xml:space="preserve">Missed expectations</w:t>
            </w:r>
          </w:p>
        </w:tc>
      </w:tr>
      <w:tr>
        <w:tc>
          <w:tcPr>
            <w:tcW w:type="dxa" w:w="800"/>
            <w:tcMar>
              <w:top w:type="dxa" w:w="60"/>
              <w:left w:type="dxa" w:w="80"/>
              <w:bottom w:type="dxa" w:w="60"/>
              <w:right w:type="dxa" w:w="80"/>
            </w:tcMar>
          </w:tcPr>
          <w:p>
            <w:r>
              <w:rPr>
                <w:sz w:val="17"/>
                <w:szCs w:val="17"/>
              </w:rPr>
              <w:t xml:space="preserve">16 Jul</w:t>
            </w:r>
          </w:p>
        </w:tc>
        <w:tc>
          <w:tcPr>
            <w:tcW w:type="dxa" w:w="3200"/>
            <w:tcMar>
              <w:top w:type="dxa" w:w="60"/>
              <w:left w:type="dxa" w:w="80"/>
              <w:bottom w:type="dxa" w:w="60"/>
              <w:right w:type="dxa" w:w="80"/>
            </w:tcMar>
          </w:tcPr>
          <w:p>
            <w:r>
              <w:rPr>
                <w:sz w:val="17"/>
                <w:szCs w:val="17"/>
              </w:rPr>
              <w:t xml:space="preserve">Weekly jobless claims</w:t>
            </w:r>
          </w:p>
        </w:tc>
        <w:tc>
          <w:tcPr>
            <w:tcW w:type="dxa" w:w="5360"/>
            <w:tcMar>
              <w:top w:type="dxa" w:w="60"/>
              <w:left w:type="dxa" w:w="80"/>
              <w:bottom w:type="dxa" w:w="60"/>
              <w:right w:type="dxa" w:w="80"/>
            </w:tcMar>
          </w:tcPr>
          <w:p>
            <w:r>
              <w:rPr>
                <w:sz w:val="17"/>
                <w:szCs w:val="17"/>
              </w:rPr>
              <w:t xml:space="preserve">In line; no market impact</w:t>
            </w:r>
          </w:p>
        </w:tc>
      </w:tr>
      <w:tr>
        <w:tc>
          <w:tcPr>
            <w:tcW w:type="dxa" w:w="800"/>
            <w:shd w:fill="F2F2F2" w:color="auto" w:val="clear"/>
            <w:tcMar>
              <w:top w:type="dxa" w:w="60"/>
              <w:left w:type="dxa" w:w="80"/>
              <w:bottom w:type="dxa" w:w="60"/>
              <w:right w:type="dxa" w:w="80"/>
            </w:tcMar>
          </w:tcPr>
          <w:p>
            <w:r>
              <w:rPr>
                <w:sz w:val="17"/>
                <w:szCs w:val="17"/>
              </w:rPr>
              <w:t xml:space="preserve">16 Jul</w:t>
            </w:r>
          </w:p>
        </w:tc>
        <w:tc>
          <w:tcPr>
            <w:tcW w:type="dxa" w:w="3200"/>
            <w:shd w:fill="F2F2F2" w:color="auto" w:val="clear"/>
            <w:tcMar>
              <w:top w:type="dxa" w:w="60"/>
              <w:left w:type="dxa" w:w="80"/>
              <w:bottom w:type="dxa" w:w="60"/>
              <w:right w:type="dxa" w:w="80"/>
            </w:tcMar>
          </w:tcPr>
          <w:p>
            <w:r>
              <w:rPr>
                <w:sz w:val="17"/>
                <w:szCs w:val="17"/>
              </w:rPr>
              <w:t xml:space="preserve">GE Aerospace, Goldman Sachs, IBM, Netflix (post-close)</w:t>
            </w:r>
          </w:p>
        </w:tc>
        <w:tc>
          <w:tcPr>
            <w:tcW w:type="dxa" w:w="5360"/>
            <w:shd w:fill="F2F2F2" w:color="auto" w:val="clear"/>
            <w:tcMar>
              <w:top w:type="dxa" w:w="60"/>
              <w:left w:type="dxa" w:w="80"/>
              <w:bottom w:type="dxa" w:w="60"/>
              <w:right w:type="dxa" w:w="80"/>
            </w:tcMar>
          </w:tcPr>
          <w:p>
            <w:r>
              <w:rPr>
                <w:sz w:val="17"/>
                <w:szCs w:val="17"/>
              </w:rPr>
              <w:t xml:space="preserve">Mixed: GE and GS beat; IBM −25.21% intraday on the session; Netflix response unpriced</w:t>
            </w:r>
          </w:p>
        </w:tc>
      </w:tr>
    </w:tbl>
    <w:p>
      <w:pPr>
        <w:spacing w:after="80"/>
      </w:pPr>
      <w:r>
        <w:rPr>
          <w:b/>
          <w:bCs/>
          <w:sz w:val="20"/>
          <w:szCs w:val="20"/>
        </w:rPr>
        <w:t xml:space="preserve">§13d  News calendar — forward events (holding-period collisions)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shd w:fill="1F3864" w:color="auto" w:val="clear"/>
            <w:tcMar>
              <w:top w:type="dxa" w:w="60"/>
              <w:left w:type="dxa" w:w="80"/>
              <w:bottom w:type="dxa" w:w="60"/>
              <w:right w:type="dxa" w:w="80"/>
            </w:tcMar>
          </w:tcPr>
          <w:p>
            <w:r>
              <w:rPr>
                <w:b/>
                <w:bCs/>
                <w:color w:val="FFFFFF"/>
                <w:sz w:val="17"/>
                <w:szCs w:val="17"/>
              </w:rPr>
              <w:t xml:space="preserve">Timing</w:t>
            </w:r>
          </w:p>
        </w:tc>
        <w:tc>
          <w:tcPr>
            <w:tcW w:type="dxa" w:w="2500"/>
            <w:shd w:fill="1F3864" w:color="auto" w:val="clear"/>
            <w:tcMar>
              <w:top w:type="dxa" w:w="60"/>
              <w:left w:type="dxa" w:w="80"/>
              <w:bottom w:type="dxa" w:w="60"/>
              <w:right w:type="dxa" w:w="80"/>
            </w:tcMar>
          </w:tcPr>
          <w:p>
            <w:r>
              <w:rPr>
                <w:b/>
                <w:bCs/>
                <w:color w:val="FFFFFF"/>
                <w:sz w:val="17"/>
                <w:szCs w:val="17"/>
              </w:rPr>
              <w:t xml:space="preserve">Event</w:t>
            </w:r>
          </w:p>
        </w:tc>
        <w:tc>
          <w:tcPr>
            <w:tcW w:type="dxa" w:w="5360"/>
            <w:shd w:fill="1F3864" w:color="auto" w:val="clear"/>
            <w:tcMar>
              <w:top w:type="dxa" w:w="60"/>
              <w:left w:type="dxa" w:w="80"/>
              <w:bottom w:type="dxa" w:w="60"/>
              <w:right w:type="dxa" w:w="80"/>
            </w:tcMar>
          </w:tcPr>
          <w:p>
            <w:r>
              <w:rPr>
                <w:b/>
                <w:bCs/>
                <w:color w:val="FFFFFF"/>
                <w:sz w:val="17"/>
                <w:szCs w:val="17"/>
              </w:rPr>
              <w:t xml:space="preserve">Collision risk for §21 trade cards</w:t>
            </w:r>
          </w:p>
        </w:tc>
      </w:tr>
      <w:tr>
        <w:tc>
          <w:tcPr>
            <w:tcW w:type="dxa" w:w="1500"/>
            <w:tcMar>
              <w:top w:type="dxa" w:w="60"/>
              <w:left w:type="dxa" w:w="80"/>
              <w:bottom w:type="dxa" w:w="60"/>
              <w:right w:type="dxa" w:w="80"/>
            </w:tcMar>
          </w:tcPr>
          <w:p>
            <w:r>
              <w:rPr>
                <w:sz w:val="17"/>
                <w:szCs w:val="17"/>
              </w:rPr>
              <w:t xml:space="preserve">Overnight 16→17 Jul</w:t>
            </w:r>
          </w:p>
        </w:tc>
        <w:tc>
          <w:tcPr>
            <w:tcW w:type="dxa" w:w="2500"/>
            <w:tcMar>
              <w:top w:type="dxa" w:w="60"/>
              <w:left w:type="dxa" w:w="80"/>
              <w:bottom w:type="dxa" w:w="60"/>
              <w:right w:type="dxa" w:w="80"/>
            </w:tcMar>
          </w:tcPr>
          <w:p>
            <w:r>
              <w:rPr>
                <w:sz w:val="17"/>
                <w:szCs w:val="17"/>
              </w:rPr>
              <w:t xml:space="preserve">Netflix Q2 reaction</w:t>
            </w:r>
          </w:p>
        </w:tc>
        <w:tc>
          <w:tcPr>
            <w:tcW w:type="dxa" w:w="5360"/>
            <w:tcMar>
              <w:top w:type="dxa" w:w="60"/>
              <w:left w:type="dxa" w:w="80"/>
              <w:bottom w:type="dxa" w:w="60"/>
              <w:right w:type="dxa" w:w="80"/>
            </w:tcMar>
          </w:tcPr>
          <w:p>
            <w:r>
              <w:rPr>
                <w:sz w:val="17"/>
                <w:szCs w:val="17"/>
              </w:rPr>
              <w:t xml:space="preserve">MODERATE — single-name, but a high-dispersion communication-services print into an already-weak sector. Affects the 17 July open.</w:t>
            </w:r>
          </w:p>
        </w:tc>
      </w:tr>
      <w:tr>
        <w:tc>
          <w:tcPr>
            <w:tcW w:type="dxa" w:w="1500"/>
            <w:shd w:fill="F2F2F2" w:color="auto" w:val="clear"/>
            <w:tcMar>
              <w:top w:type="dxa" w:w="60"/>
              <w:left w:type="dxa" w:w="80"/>
              <w:bottom w:type="dxa" w:w="60"/>
              <w:right w:type="dxa" w:w="80"/>
            </w:tcMar>
          </w:tcPr>
          <w:p>
            <w:r>
              <w:rPr>
                <w:sz w:val="17"/>
                <w:szCs w:val="17"/>
              </w:rPr>
              <w:t xml:space="preserve">17 Jul, pre-open</w:t>
            </w:r>
          </w:p>
        </w:tc>
        <w:tc>
          <w:tcPr>
            <w:tcW w:type="dxa" w:w="2500"/>
            <w:shd w:fill="F2F2F2" w:color="auto" w:val="clear"/>
            <w:tcMar>
              <w:top w:type="dxa" w:w="60"/>
              <w:left w:type="dxa" w:w="80"/>
              <w:bottom w:type="dxa" w:w="60"/>
              <w:right w:type="dxa" w:w="80"/>
            </w:tcMar>
          </w:tcPr>
          <w:p>
            <w:r>
              <w:rPr>
                <w:sz w:val="17"/>
                <w:szCs w:val="17"/>
              </w:rPr>
              <w:t xml:space="preserve">Asian semiconductor cash session</w:t>
            </w:r>
          </w:p>
        </w:tc>
        <w:tc>
          <w:tcPr>
            <w:tcW w:type="dxa" w:w="5360"/>
            <w:shd w:fill="F2F2F2" w:color="auto" w:val="clear"/>
            <w:tcMar>
              <w:top w:type="dxa" w:w="60"/>
              <w:left w:type="dxa" w:w="80"/>
              <w:bottom w:type="dxa" w:w="60"/>
              <w:right w:type="dxa" w:w="80"/>
            </w:tcMar>
          </w:tcPr>
          <w:p>
            <w:r>
              <w:rPr>
                <w:sz w:val="17"/>
                <w:szCs w:val="17"/>
              </w:rPr>
              <w:t xml:space="preserve">HIGH — Bloomberg reports Asia set to open lower on the chip sell-off. This is the direct read-through to the S&amp;P open and the primary risk to any long card.</w:t>
            </w:r>
          </w:p>
        </w:tc>
      </w:tr>
      <w:tr>
        <w:tc>
          <w:tcPr>
            <w:tcW w:type="dxa" w:w="1500"/>
            <w:tcMar>
              <w:top w:type="dxa" w:w="60"/>
              <w:left w:type="dxa" w:w="80"/>
              <w:bottom w:type="dxa" w:w="60"/>
              <w:right w:type="dxa" w:w="80"/>
            </w:tcMar>
          </w:tcPr>
          <w:p>
            <w:r>
              <w:rPr>
                <w:sz w:val="17"/>
                <w:szCs w:val="17"/>
              </w:rPr>
              <w:t xml:space="preserve">17 Jul, ongoing</w:t>
            </w:r>
          </w:p>
        </w:tc>
        <w:tc>
          <w:tcPr>
            <w:tcW w:type="dxa" w:w="2500"/>
            <w:tcMar>
              <w:top w:type="dxa" w:w="60"/>
              <w:left w:type="dxa" w:w="80"/>
              <w:bottom w:type="dxa" w:w="60"/>
              <w:right w:type="dxa" w:w="80"/>
            </w:tcMar>
          </w:tcPr>
          <w:p>
            <w:r>
              <w:rPr>
                <w:sz w:val="17"/>
                <w:szCs w:val="17"/>
              </w:rPr>
              <w:t xml:space="preserve">US–Iran developments</w:t>
            </w:r>
          </w:p>
        </w:tc>
        <w:tc>
          <w:tcPr>
            <w:tcW w:type="dxa" w:w="5360"/>
            <w:tcMar>
              <w:top w:type="dxa" w:w="60"/>
              <w:left w:type="dxa" w:w="80"/>
              <w:bottom w:type="dxa" w:w="60"/>
              <w:right w:type="dxa" w:w="80"/>
            </w:tcMar>
          </w:tcPr>
          <w:p>
            <w:r>
              <w:rPr>
                <w:sz w:val="17"/>
                <w:szCs w:val="17"/>
              </w:rPr>
              <w:t xml:space="preserve">HIGH — headline-driven, unscheduled, and capable of moving crude and the long end intraday. Unhedgeable within a daily horizon.</w:t>
            </w:r>
          </w:p>
        </w:tc>
      </w:tr>
      <w:tr>
        <w:tc>
          <w:tcPr>
            <w:tcW w:type="dxa" w:w="1500"/>
            <w:shd w:fill="F2F2F2" w:color="auto" w:val="clear"/>
            <w:tcMar>
              <w:top w:type="dxa" w:w="60"/>
              <w:left w:type="dxa" w:w="80"/>
              <w:bottom w:type="dxa" w:w="60"/>
              <w:right w:type="dxa" w:w="80"/>
            </w:tcMar>
          </w:tcPr>
          <w:p>
            <w:r>
              <w:rPr>
                <w:sz w:val="17"/>
                <w:szCs w:val="17"/>
              </w:rPr>
              <w:t xml:space="preserve">Following week</w:t>
            </w:r>
          </w:p>
        </w:tc>
        <w:tc>
          <w:tcPr>
            <w:tcW w:type="dxa" w:w="2500"/>
            <w:shd w:fill="F2F2F2" w:color="auto" w:val="clear"/>
            <w:tcMar>
              <w:top w:type="dxa" w:w="60"/>
              <w:left w:type="dxa" w:w="80"/>
              <w:bottom w:type="dxa" w:w="60"/>
              <w:right w:type="dxa" w:w="80"/>
            </w:tcMar>
          </w:tcPr>
          <w:p>
            <w:r>
              <w:rPr>
                <w:sz w:val="17"/>
                <w:szCs w:val="17"/>
              </w:rPr>
              <w:t xml:space="preserve">Mega-cap earnings (AAPL, MSFT, NVDA, GOOGL, META, AMZN)</w:t>
            </w:r>
          </w:p>
        </w:tc>
        <w:tc>
          <w:tcPr>
            <w:tcW w:type="dxa" w:w="5360"/>
            <w:shd w:fill="F2F2F2" w:color="auto" w:val="clear"/>
            <w:tcMar>
              <w:top w:type="dxa" w:w="60"/>
              <w:left w:type="dxa" w:w="80"/>
              <w:bottom w:type="dxa" w:w="60"/>
              <w:right w:type="dxa" w:w="80"/>
            </w:tcMar>
          </w:tcPr>
          <w:p>
            <w:r>
              <w:rPr>
                <w:sz w:val="17"/>
                <w:szCs w:val="17"/>
              </w:rPr>
              <w:t xml:space="preserve">Beyond the daily horizon, but the AI-capex theme means these are the resolution point for the current uncertainty. Relevant to the 5-day forward view in §16.</w:t>
            </w:r>
          </w:p>
        </w:tc>
      </w:tr>
      <w:tr>
        <w:tc>
          <w:tcPr>
            <w:tcW w:type="dxa" w:w="1500"/>
            <w:tcMar>
              <w:top w:type="dxa" w:w="60"/>
              <w:left w:type="dxa" w:w="80"/>
              <w:bottom w:type="dxa" w:w="60"/>
              <w:right w:type="dxa" w:w="80"/>
            </w:tcMar>
          </w:tcPr>
          <w:p>
            <w:r>
              <w:rPr>
                <w:sz w:val="17"/>
                <w:szCs w:val="17"/>
              </w:rPr>
              <w:t xml:space="preserve">Late Jul</w:t>
            </w:r>
          </w:p>
        </w:tc>
        <w:tc>
          <w:tcPr>
            <w:tcW w:type="dxa" w:w="2500"/>
            <w:tcMar>
              <w:top w:type="dxa" w:w="60"/>
              <w:left w:type="dxa" w:w="80"/>
              <w:bottom w:type="dxa" w:w="60"/>
              <w:right w:type="dxa" w:w="80"/>
            </w:tcMar>
          </w:tcPr>
          <w:p>
            <w:r>
              <w:rPr>
                <w:sz w:val="17"/>
                <w:szCs w:val="17"/>
              </w:rPr>
              <w:t xml:space="preserve">FOMC</w:t>
            </w:r>
          </w:p>
        </w:tc>
        <w:tc>
          <w:tcPr>
            <w:tcW w:type="dxa" w:w="5360"/>
            <w:tcMar>
              <w:top w:type="dxa" w:w="60"/>
              <w:left w:type="dxa" w:w="80"/>
              <w:bottom w:type="dxa" w:w="60"/>
              <w:right w:type="dxa" w:w="80"/>
            </w:tcMar>
          </w:tcPr>
          <w:p>
            <w:r>
              <w:rPr>
                <w:sz w:val="17"/>
                <w:szCs w:val="17"/>
              </w:rPr>
              <w:t xml:space="preserve">Beyond horizon. ~12% hike probability priced.</w:t>
            </w:r>
          </w:p>
        </w:tc>
      </w:tr>
    </w:tbl>
    <w:p>
      <w:pPr>
        <w:pStyle w:val="Heading1"/>
        <w:spacing w:after="120" w:before="240"/>
      </w:pPr>
      <w:r>
        <w:t xml:space="preserve">§14  Macro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shd w:fill="1F3864" w:color="auto" w:val="clear"/>
            <w:tcMar>
              <w:top w:type="dxa" w:w="60"/>
              <w:left w:type="dxa" w:w="80"/>
              <w:bottom w:type="dxa" w:w="60"/>
              <w:right w:type="dxa" w:w="80"/>
            </w:tcMar>
          </w:tcPr>
          <w:p>
            <w:r>
              <w:rPr>
                <w:b/>
                <w:bCs/>
                <w:color w:val="FFFFFF"/>
                <w:sz w:val="17"/>
                <w:szCs w:val="17"/>
              </w:rPr>
              <w:t xml:space="preserve">Dimension</w:t>
            </w:r>
          </w:p>
        </w:tc>
        <w:tc>
          <w:tcPr>
            <w:tcW w:type="dxa" w:w="3200"/>
            <w:shd w:fill="1F3864" w:color="auto" w:val="clear"/>
            <w:tcMar>
              <w:top w:type="dxa" w:w="60"/>
              <w:left w:type="dxa" w:w="80"/>
              <w:bottom w:type="dxa" w:w="60"/>
              <w:right w:type="dxa" w:w="80"/>
            </w:tcMar>
          </w:tcPr>
          <w:p>
            <w:r>
              <w:rPr>
                <w:b/>
                <w:bCs/>
                <w:color w:val="FFFFFF"/>
                <w:sz w:val="17"/>
                <w:szCs w:val="17"/>
              </w:rPr>
              <w:t xml:space="preserve">Reading</w:t>
            </w:r>
          </w:p>
        </w:tc>
        <w:tc>
          <w:tcPr>
            <w:tcW w:type="dxa" w:w="4660"/>
            <w:shd w:fill="1F3864" w:color="auto" w:val="clear"/>
            <w:tcMar>
              <w:top w:type="dxa" w:w="60"/>
              <w:left w:type="dxa" w:w="80"/>
              <w:bottom w:type="dxa" w:w="60"/>
              <w:right w:type="dxa" w:w="80"/>
            </w:tcMar>
          </w:tcPr>
          <w:p>
            <w:r>
              <w:rPr>
                <w:b/>
                <w:bCs/>
                <w:color w:val="FFFFFF"/>
                <w:sz w:val="17"/>
                <w:szCs w:val="17"/>
              </w:rPr>
              <w:t xml:space="preserve">Implication for the index</w:t>
            </w:r>
          </w:p>
        </w:tc>
      </w:tr>
      <w:tr>
        <w:tc>
          <w:tcPr>
            <w:tcW w:type="dxa" w:w="1500"/>
            <w:tcMar>
              <w:top w:type="dxa" w:w="60"/>
              <w:left w:type="dxa" w:w="80"/>
              <w:bottom w:type="dxa" w:w="60"/>
              <w:right w:type="dxa" w:w="80"/>
            </w:tcMar>
          </w:tcPr>
          <w:p>
            <w:r>
              <w:rPr>
                <w:sz w:val="17"/>
                <w:szCs w:val="17"/>
              </w:rPr>
              <w:t xml:space="preserve">Rates — front end</w:t>
            </w:r>
          </w:p>
        </w:tc>
        <w:tc>
          <w:tcPr>
            <w:tcW w:type="dxa" w:w="3200"/>
            <w:tcMar>
              <w:top w:type="dxa" w:w="60"/>
              <w:left w:type="dxa" w:w="80"/>
              <w:bottom w:type="dxa" w:w="60"/>
              <w:right w:type="dxa" w:w="80"/>
            </w:tcMar>
          </w:tcPr>
          <w:p>
            <w:r>
              <w:rPr>
                <w:sz w:val="17"/>
                <w:szCs w:val="17"/>
              </w:rPr>
              <w:t xml:space="preserve">US 3M at 3.803% (+0.29%); 2Y implied by a 10-2 spread of 31.32bp (+15.27%)</w:t>
            </w:r>
          </w:p>
        </w:tc>
        <w:tc>
          <w:tcPr>
            <w:tcW w:type="dxa" w:w="4660"/>
            <w:tcMar>
              <w:top w:type="dxa" w:w="60"/>
              <w:left w:type="dxa" w:w="80"/>
              <w:bottom w:type="dxa" w:w="60"/>
              <w:right w:type="dxa" w:w="80"/>
            </w:tcMar>
          </w:tcPr>
          <w:p>
            <w:r>
              <w:rPr>
                <w:sz w:val="17"/>
                <w:szCs w:val="17"/>
              </w:rPr>
              <w:t xml:space="preserve">The curve steepened materially on the session. Steepening driven by the long end rather than front-end easing is the unhelpful variety.</w:t>
            </w:r>
          </w:p>
        </w:tc>
      </w:tr>
      <w:tr>
        <w:tc>
          <w:tcPr>
            <w:tcW w:type="dxa" w:w="1500"/>
            <w:shd w:fill="F2F2F2" w:color="auto" w:val="clear"/>
            <w:tcMar>
              <w:top w:type="dxa" w:w="60"/>
              <w:left w:type="dxa" w:w="80"/>
              <w:bottom w:type="dxa" w:w="60"/>
              <w:right w:type="dxa" w:w="80"/>
            </w:tcMar>
          </w:tcPr>
          <w:p>
            <w:r>
              <w:rPr>
                <w:sz w:val="17"/>
                <w:szCs w:val="17"/>
              </w:rPr>
              <w:t xml:space="preserve">Rates — long end</w:t>
            </w:r>
          </w:p>
        </w:tc>
        <w:tc>
          <w:tcPr>
            <w:tcW w:type="dxa" w:w="3200"/>
            <w:shd w:fill="F2F2F2" w:color="auto" w:val="clear"/>
            <w:tcMar>
              <w:top w:type="dxa" w:w="60"/>
              <w:left w:type="dxa" w:w="80"/>
              <w:bottom w:type="dxa" w:w="60"/>
              <w:right w:type="dxa" w:w="80"/>
            </w:tcMar>
          </w:tcPr>
          <w:p>
            <w:r>
              <w:rPr>
                <w:sz w:val="17"/>
                <w:szCs w:val="17"/>
              </w:rPr>
              <w:t xml:space="preserve">10Y at 4.557–4.593% (+1.2bp); 20Y 5.085%; 30Y 5.086–5.107%</w:t>
            </w:r>
          </w:p>
        </w:tc>
        <w:tc>
          <w:tcPr>
            <w:tcW w:type="dxa" w:w="4660"/>
            <w:shd w:fill="F2F2F2" w:color="auto" w:val="clear"/>
            <w:tcMar>
              <w:top w:type="dxa" w:w="60"/>
              <w:left w:type="dxa" w:w="80"/>
              <w:bottom w:type="dxa" w:w="60"/>
              <w:right w:type="dxa" w:w="80"/>
            </w:tcMar>
          </w:tcPr>
          <w:p>
            <w:r>
              <w:rPr>
                <w:sz w:val="17"/>
                <w:szCs w:val="17"/>
              </w:rPr>
              <w:t xml:space="preserve">Long yields rose on the session despite soft inflation data — crude and geopolitical risk premium are overriding the disinflation signal. A 30-year mortgage rate at 6.55%, a near-one-year high, is the real-economy expression of this.</w:t>
            </w:r>
          </w:p>
        </w:tc>
      </w:tr>
      <w:tr>
        <w:tc>
          <w:tcPr>
            <w:tcW w:type="dxa" w:w="1500"/>
            <w:tcMar>
              <w:top w:type="dxa" w:w="60"/>
              <w:left w:type="dxa" w:w="80"/>
              <w:bottom w:type="dxa" w:w="60"/>
              <w:right w:type="dxa" w:w="80"/>
            </w:tcMar>
          </w:tcPr>
          <w:p>
            <w:r>
              <w:rPr>
                <w:sz w:val="17"/>
                <w:szCs w:val="17"/>
              </w:rPr>
              <w:t xml:space="preserve">Inflation</w:t>
            </w:r>
          </w:p>
        </w:tc>
        <w:tc>
          <w:tcPr>
            <w:tcW w:type="dxa" w:w="3200"/>
            <w:tcMar>
              <w:top w:type="dxa" w:w="60"/>
              <w:left w:type="dxa" w:w="80"/>
              <w:bottom w:type="dxa" w:w="60"/>
              <w:right w:type="dxa" w:w="80"/>
            </w:tcMar>
          </w:tcPr>
          <w:p>
            <w:r>
              <w:rPr>
                <w:sz w:val="17"/>
                <w:szCs w:val="17"/>
              </w:rPr>
              <w:t xml:space="preserve">June CPI soft; June PPI −0.3%, first decline in ~a year</w:t>
            </w:r>
          </w:p>
        </w:tc>
        <w:tc>
          <w:tcPr>
            <w:tcW w:type="dxa" w:w="4660"/>
            <w:tcMar>
              <w:top w:type="dxa" w:w="60"/>
              <w:left w:type="dxa" w:w="80"/>
              <w:bottom w:type="dxa" w:w="60"/>
              <w:right w:type="dxa" w:w="80"/>
            </w:tcMar>
          </w:tcPr>
          <w:p>
            <w:r>
              <w:rPr>
                <w:sz w:val="17"/>
                <w:szCs w:val="17"/>
              </w:rPr>
              <w:t xml:space="preserve">Genuinely encouraging and the session's main bull input. Two consecutive prints reduce the odds of a near-term hike to ~12%.</w:t>
            </w:r>
          </w:p>
        </w:tc>
      </w:tr>
      <w:tr>
        <w:tc>
          <w:tcPr>
            <w:tcW w:type="dxa" w:w="1500"/>
            <w:shd w:fill="F2F2F2" w:color="auto" w:val="clear"/>
            <w:tcMar>
              <w:top w:type="dxa" w:w="60"/>
              <w:left w:type="dxa" w:w="80"/>
              <w:bottom w:type="dxa" w:w="60"/>
              <w:right w:type="dxa" w:w="80"/>
            </w:tcMar>
          </w:tcPr>
          <w:p>
            <w:r>
              <w:rPr>
                <w:sz w:val="17"/>
                <w:szCs w:val="17"/>
              </w:rPr>
              <w:t xml:space="preserve">Fed policy</w:t>
            </w:r>
          </w:p>
        </w:tc>
        <w:tc>
          <w:tcPr>
            <w:tcW w:type="dxa" w:w="3200"/>
            <w:shd w:fill="F2F2F2" w:color="auto" w:val="clear"/>
            <w:tcMar>
              <w:top w:type="dxa" w:w="60"/>
              <w:left w:type="dxa" w:w="80"/>
              <w:bottom w:type="dxa" w:w="60"/>
              <w:right w:type="dxa" w:w="80"/>
            </w:tcMar>
          </w:tcPr>
          <w:p>
            <w:r>
              <w:rPr>
                <w:sz w:val="17"/>
                <w:szCs w:val="17"/>
              </w:rPr>
              <w:t xml:space="preserve">~12% hike probability this month; ~56% for September. Logan pushing back publicly</w:t>
            </w:r>
          </w:p>
        </w:tc>
        <w:tc>
          <w:tcPr>
            <w:tcW w:type="dxa" w:w="4660"/>
            <w:shd w:fill="F2F2F2" w:color="auto" w:val="clear"/>
            <w:tcMar>
              <w:top w:type="dxa" w:w="60"/>
              <w:left w:type="dxa" w:w="80"/>
              <w:bottom w:type="dxa" w:w="60"/>
              <w:right w:type="dxa" w:w="80"/>
            </w:tcMar>
          </w:tcPr>
          <w:p>
            <w:r>
              <w:rPr>
                <w:sz w:val="17"/>
                <w:szCs w:val="17"/>
              </w:rPr>
              <w:t xml:space="preserve">Note the asymmetry: the market is pricing hike risk, not cut hope. A dovish surprise has limited room to help; a hawkish one has room to hurt.</w:t>
            </w:r>
          </w:p>
        </w:tc>
      </w:tr>
      <w:tr>
        <w:tc>
          <w:tcPr>
            <w:tcW w:type="dxa" w:w="1500"/>
            <w:tcMar>
              <w:top w:type="dxa" w:w="60"/>
              <w:left w:type="dxa" w:w="80"/>
              <w:bottom w:type="dxa" w:w="60"/>
              <w:right w:type="dxa" w:w="80"/>
            </w:tcMar>
          </w:tcPr>
          <w:p>
            <w:r>
              <w:rPr>
                <w:sz w:val="17"/>
                <w:szCs w:val="17"/>
              </w:rPr>
              <w:t xml:space="preserve">Liquidity</w:t>
            </w:r>
          </w:p>
        </w:tc>
        <w:tc>
          <w:tcPr>
            <w:tcW w:type="dxa" w:w="3200"/>
            <w:tcMar>
              <w:top w:type="dxa" w:w="60"/>
              <w:left w:type="dxa" w:w="80"/>
              <w:bottom w:type="dxa" w:w="60"/>
              <w:right w:type="dxa" w:w="80"/>
            </w:tcMar>
          </w:tcPr>
          <w:p>
            <w:r>
              <w:rPr>
                <w:sz w:val="17"/>
                <w:szCs w:val="17"/>
              </w:rPr>
              <w:t xml:space="preserve">VIX 16.73 (+6.76%) but below the 20 elevated threshold; realised volatility compressing (ATR slope −7.66%)</w:t>
            </w:r>
          </w:p>
        </w:tc>
        <w:tc>
          <w:tcPr>
            <w:tcW w:type="dxa" w:w="4660"/>
            <w:tcMar>
              <w:top w:type="dxa" w:w="60"/>
              <w:left w:type="dxa" w:w="80"/>
              <w:bottom w:type="dxa" w:w="60"/>
              <w:right w:type="dxa" w:w="80"/>
            </w:tcMar>
          </w:tcPr>
          <w:p>
            <w:r>
              <w:rPr>
                <w:sz w:val="17"/>
                <w:szCs w:val="17"/>
              </w:rPr>
              <w:t xml:space="preserve">Conditions are not stressed. Hedging demand is rising into events rather than reflecting a fear bid.</w:t>
            </w:r>
          </w:p>
        </w:tc>
      </w:tr>
      <w:tr>
        <w:tc>
          <w:tcPr>
            <w:tcW w:type="dxa" w:w="1500"/>
            <w:shd w:fill="F2F2F2" w:color="auto" w:val="clear"/>
            <w:tcMar>
              <w:top w:type="dxa" w:w="60"/>
              <w:left w:type="dxa" w:w="80"/>
              <w:bottom w:type="dxa" w:w="60"/>
              <w:right w:type="dxa" w:w="80"/>
            </w:tcMar>
          </w:tcPr>
          <w:p>
            <w:r>
              <w:rPr>
                <w:sz w:val="17"/>
                <w:szCs w:val="17"/>
              </w:rPr>
              <w:t xml:space="preserve">FX</w:t>
            </w:r>
          </w:p>
        </w:tc>
        <w:tc>
          <w:tcPr>
            <w:tcW w:type="dxa" w:w="3200"/>
            <w:shd w:fill="F2F2F2" w:color="auto" w:val="clear"/>
            <w:tcMar>
              <w:top w:type="dxa" w:w="60"/>
              <w:left w:type="dxa" w:w="80"/>
              <w:bottom w:type="dxa" w:w="60"/>
              <w:right w:type="dxa" w:w="80"/>
            </w:tcMar>
          </w:tcPr>
          <w:p>
            <w:r>
              <w:rPr>
                <w:sz w:val="17"/>
                <w:szCs w:val="17"/>
              </w:rPr>
              <w:t xml:space="preserve">USDX ~100.50, −0.4% over five sessions and −1.1% from its 24 June one-year high. EUR ~$1.14</w:t>
            </w:r>
          </w:p>
        </w:tc>
        <w:tc>
          <w:tcPr>
            <w:tcW w:type="dxa" w:w="4660"/>
            <w:shd w:fill="F2F2F2" w:color="auto" w:val="clear"/>
            <w:tcMar>
              <w:top w:type="dxa" w:w="60"/>
              <w:left w:type="dxa" w:w="80"/>
              <w:bottom w:type="dxa" w:w="60"/>
              <w:right w:type="dxa" w:w="80"/>
            </w:tcMar>
          </w:tcPr>
          <w:p>
            <w:r>
              <w:rPr>
                <w:sz w:val="17"/>
                <w:szCs w:val="17"/>
              </w:rPr>
              <w:t xml:space="preserve">Dollar weakness driven by dovish repricing is an earnings tailwind for the ~28% of index revenue generated abroad.</w:t>
            </w:r>
          </w:p>
        </w:tc>
      </w:tr>
      <w:tr>
        <w:tc>
          <w:tcPr>
            <w:tcW w:type="dxa" w:w="1500"/>
            <w:tcMar>
              <w:top w:type="dxa" w:w="60"/>
              <w:left w:type="dxa" w:w="80"/>
              <w:bottom w:type="dxa" w:w="60"/>
              <w:right w:type="dxa" w:w="80"/>
            </w:tcMar>
          </w:tcPr>
          <w:p>
            <w:r>
              <w:rPr>
                <w:sz w:val="17"/>
                <w:szCs w:val="17"/>
              </w:rPr>
              <w:t xml:space="preserve">Commodities</w:t>
            </w:r>
          </w:p>
        </w:tc>
        <w:tc>
          <w:tcPr>
            <w:tcW w:type="dxa" w:w="3200"/>
            <w:tcMar>
              <w:top w:type="dxa" w:w="60"/>
              <w:left w:type="dxa" w:w="80"/>
              <w:bottom w:type="dxa" w:w="60"/>
              <w:right w:type="dxa" w:w="80"/>
            </w:tcMar>
          </w:tcPr>
          <w:p>
            <w:r>
              <w:rPr>
                <w:sz w:val="17"/>
                <w:szCs w:val="17"/>
              </w:rPr>
              <w:t xml:space="preserve">WTI ~$79.3–79.7; Brent ~$85.4, both near recent highs on Gulf tension</w:t>
            </w:r>
          </w:p>
        </w:tc>
        <w:tc>
          <w:tcPr>
            <w:tcW w:type="dxa" w:w="4660"/>
            <w:tcMar>
              <w:top w:type="dxa" w:w="60"/>
              <w:left w:type="dxa" w:w="80"/>
              <w:bottom w:type="dxa" w:w="60"/>
              <w:right w:type="dxa" w:w="80"/>
            </w:tcMar>
          </w:tcPr>
          <w:p>
            <w:r>
              <w:rPr>
                <w:sz w:val="17"/>
                <w:szCs w:val="17"/>
              </w:rPr>
              <w:t xml:space="preserve">The channel by which geopolitics reaches equities: crude → long-end yields → discount rate.</w:t>
            </w:r>
          </w:p>
        </w:tc>
      </w:tr>
      <w:tr>
        <w:tc>
          <w:tcPr>
            <w:tcW w:type="dxa" w:w="1500"/>
            <w:shd w:fill="F2F2F2" w:color="auto" w:val="clear"/>
            <w:tcMar>
              <w:top w:type="dxa" w:w="60"/>
              <w:left w:type="dxa" w:w="80"/>
              <w:bottom w:type="dxa" w:w="60"/>
              <w:right w:type="dxa" w:w="80"/>
            </w:tcMar>
          </w:tcPr>
          <w:p>
            <w:r>
              <w:rPr>
                <w:sz w:val="17"/>
                <w:szCs w:val="17"/>
              </w:rPr>
              <w:t xml:space="preserve">Positioning / breadth</w:t>
            </w:r>
          </w:p>
        </w:tc>
        <w:tc>
          <w:tcPr>
            <w:tcW w:type="dxa" w:w="3200"/>
            <w:shd w:fill="F2F2F2" w:color="auto" w:val="clear"/>
            <w:tcMar>
              <w:top w:type="dxa" w:w="60"/>
              <w:left w:type="dxa" w:w="80"/>
              <w:bottom w:type="dxa" w:w="60"/>
              <w:right w:type="dxa" w:w="80"/>
            </w:tcMar>
          </w:tcPr>
          <w:p>
            <w:r>
              <w:rPr>
                <w:sz w:val="17"/>
                <w:szCs w:val="17"/>
              </w:rPr>
              <w:t xml:space="preserve">62% of constituents above their 50-DMA; Russell 2000 −0.06% vs Nasdaq −1.47% on 16 Jul</w:t>
            </w:r>
          </w:p>
        </w:tc>
        <w:tc>
          <w:tcPr>
            <w:tcW w:type="dxa" w:w="4660"/>
            <w:shd w:fill="F2F2F2" w:color="auto" w:val="clear"/>
            <w:tcMar>
              <w:top w:type="dxa" w:w="60"/>
              <w:left w:type="dxa" w:w="80"/>
              <w:bottom w:type="dxa" w:w="60"/>
              <w:right w:type="dxa" w:w="80"/>
            </w:tcMar>
          </w:tcPr>
          <w:p>
            <w:r>
              <w:rPr>
                <w:sz w:val="17"/>
                <w:szCs w:val="17"/>
              </w:rPr>
              <w:t xml:space="preserve">The most important macro fact in this section. Participation is broad; the damage is concentrated in one theme. This is what separates a leadership rotation from a market top.</w:t>
            </w:r>
          </w:p>
        </w:tc>
      </w:tr>
    </w:tbl>
    <w:p>
      <w:pPr>
        <w:pStyle w:val="Heading1"/>
        <w:spacing w:after="120" w:before="24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Mar>
              <w:top w:type="dxa" w:w="60"/>
              <w:left w:type="dxa" w:w="80"/>
              <w:bottom w:type="dxa" w:w="60"/>
              <w:right w:type="dxa" w:w="80"/>
            </w:tcMar>
          </w:tcPr>
          <w:p>
            <w:r>
              <w:rPr>
                <w:b/>
                <w:bCs/>
                <w:color w:val="FFFFFF"/>
                <w:sz w:val="17"/>
                <w:szCs w:val="17"/>
              </w:rPr>
              <w:t xml:space="preserve">Main upside risks (bull)</w:t>
            </w:r>
          </w:p>
        </w:tc>
        <w:tc>
          <w:tcPr>
            <w:tcW w:type="dxa" w:w="4680"/>
            <w:shd w:fill="B71C1C" w:color="auto" w:val="clear"/>
            <w:tcMar>
              <w:top w:type="dxa" w:w="60"/>
              <w:left w:type="dxa" w:w="80"/>
              <w:bottom w:type="dxa" w:w="60"/>
              <w:right w:type="dxa" w:w="80"/>
            </w:tcMar>
          </w:tcPr>
          <w:p>
            <w:r>
              <w:rPr>
                <w:b/>
                <w:bCs/>
                <w:color w:val="FFFFFF"/>
                <w:sz w:val="17"/>
                <w:szCs w:val="17"/>
              </w:rPr>
              <w:t xml:space="preserve">Main downside risks (bear)</w:t>
            </w:r>
          </w:p>
        </w:tc>
      </w:tr>
      <w:tr>
        <w:tc>
          <w:tcPr>
            <w:tcW w:type="dxa" w:w="4680"/>
            <w:tcMar>
              <w:top w:type="dxa" w:w="80"/>
              <w:left w:type="dxa" w:w="100"/>
              <w:bottom w:type="dxa" w:w="80"/>
              <w:right w:type="dxa" w:w="100"/>
            </w:tcMar>
          </w:tcPr>
          <w:p>
            <w:pPr>
              <w:pStyle w:val="ListParagraph"/>
              <w:numPr>
                <w:ilvl w:val="0"/>
                <w:numId w:val="1"/>
              </w:numPr>
              <w:spacing w:after="80"/>
            </w:pPr>
            <w:r>
              <w:rPr>
                <w:sz w:val="17"/>
                <w:szCs w:val="17"/>
              </w:rPr>
              <w:t xml:space="preserve">Breadth is genuinely healthy — 62% of constituents above their 50-DMA, with only two of eleven sectors declining on 16 July. The Russell 2000's −0.06% against the Nasdaq's −1.47% shows the sell-off is a leadership problem confined to one theme.</w:t>
            </w:r>
          </w:p>
          <w:p>
            <w:pPr>
              <w:pStyle w:val="ListParagraph"/>
              <w:numPr>
                <w:ilvl w:val="0"/>
                <w:numId w:val="1"/>
              </w:numPr>
              <w:spacing w:after="80"/>
            </w:pPr>
            <w:r>
              <w:rPr>
                <w:sz w:val="17"/>
                <w:szCs w:val="17"/>
              </w:rPr>
              <w:t xml:space="preserve">Two consecutive soft inflation prints (CPI, then PPI at −0.3%) have cut near-term hike odds to ~12%. The rates backdrop is the friendliest it has been in months.</w:t>
            </w:r>
          </w:p>
          <w:p>
            <w:pPr>
              <w:pStyle w:val="ListParagraph"/>
              <w:numPr>
                <w:ilvl w:val="0"/>
                <w:numId w:val="1"/>
              </w:numPr>
              <w:spacing w:after="80"/>
            </w:pPr>
            <w:r>
              <w:rPr>
                <w:sz w:val="17"/>
                <w:szCs w:val="17"/>
              </w:rPr>
              <w:t xml:space="preserve">The medium-term structure is intact: a higher-low sequence from the 26 June low at 7,294.18, price 0.7% above the 18-session mean, and a Kaufman ratio of +0.37 confirming a genuine trend leg over the 13-session window (see §9).</w:t>
            </w:r>
          </w:p>
          <w:p>
            <w:pPr>
              <w:pStyle w:val="ListParagraph"/>
              <w:numPr>
                <w:ilvl w:val="0"/>
                <w:numId w:val="1"/>
              </w:numPr>
              <w:spacing w:after="80"/>
            </w:pPr>
            <w:r>
              <w:rPr>
                <w:sz w:val="17"/>
                <w:szCs w:val="17"/>
              </w:rPr>
              <w:t xml:space="preserve">Realised volatility is compressing (ATR slope −7.66%) and ATR(14) at 71.74 is subdued at ~0.95% of level. Markets that are about to break usually expand realised volatility first.</w:t>
            </w:r>
          </w:p>
          <w:p>
            <w:pPr>
              <w:pStyle w:val="ListParagraph"/>
              <w:numPr>
                <w:ilvl w:val="0"/>
                <w:numId w:val="1"/>
              </w:numPr>
              <w:spacing w:after="80"/>
            </w:pPr>
            <w:r>
              <w:rPr>
                <w:sz w:val="17"/>
                <w:szCs w:val="17"/>
              </w:rPr>
              <w:t xml:space="preserve">Earnings are beating in aggregate — GE beat and raised, Goldman beat by a wide margin, TSMC beat on the quarter. The fundamentals are not the problem.</w:t>
            </w:r>
          </w:p>
          <w:p>
            <w:pPr>
              <w:pStyle w:val="ListParagraph"/>
              <w:numPr>
                <w:ilvl w:val="0"/>
                <w:numId w:val="1"/>
              </w:numPr>
              <w:spacing w:after="80"/>
            </w:pPr>
            <w:r>
              <w:rPr>
                <w:sz w:val="17"/>
                <w:szCs w:val="17"/>
              </w:rPr>
              <w:t xml:space="preserve">The dollar is falling for the constructive reason (dovish repricing, not risk aversion), improving translation for the ~28% of index revenue earned abroad.</w:t>
            </w:r>
          </w:p>
          <w:p>
            <w:pPr>
              <w:pStyle w:val="ListParagraph"/>
              <w:numPr>
                <w:ilvl w:val="0"/>
                <w:numId w:val="1"/>
              </w:numPr>
              <w:spacing w:after="80"/>
            </w:pPr>
            <w:r>
              <w:rPr>
                <w:sz w:val="17"/>
                <w:szCs w:val="17"/>
              </w:rPr>
              <w:t xml:space="preserve">The 7,504–7,506 floor has been defended twice this week and coincides with daily S1 at 7,501.61 to within 0.032% (see §11).</w:t>
            </w:r>
          </w:p>
        </w:tc>
        <w:tc>
          <w:tcPr>
            <w:tcW w:type="dxa" w:w="4680"/>
            <w:tcMar>
              <w:top w:type="dxa" w:w="80"/>
              <w:left w:type="dxa" w:w="100"/>
              <w:bottom w:type="dxa" w:w="80"/>
              <w:right w:type="dxa" w:w="100"/>
            </w:tcMar>
          </w:tcPr>
          <w:p>
            <w:pPr>
              <w:pStyle w:val="ListParagraph"/>
              <w:numPr>
                <w:ilvl w:val="0"/>
                <w:numId w:val="1"/>
              </w:numPr>
              <w:spacing w:after="80"/>
            </w:pPr>
            <w:r>
              <w:rPr>
                <w:sz w:val="17"/>
                <w:szCs w:val="17"/>
              </w:rPr>
              <w:t xml:space="preserve">The 7,568–7,581 supply shelf has now rejected the index twice in five sessions (10 and 15 July), each time followed immediately by a −0.5% to −0.8% reversal. Daily R1 at 7,568.33 sits inside this shelf (see §11).</w:t>
            </w:r>
          </w:p>
          <w:p>
            <w:pPr>
              <w:pStyle w:val="ListParagraph"/>
              <w:numPr>
                <w:ilvl w:val="0"/>
                <w:numId w:val="1"/>
              </w:numPr>
              <w:spacing w:after="80"/>
            </w:pPr>
            <w:r>
              <w:rPr>
                <w:sz w:val="17"/>
                <w:szCs w:val="17"/>
              </w:rPr>
              <w:t xml:space="preserve">The market is refusing to reward good news. TSMC fell &gt;4% on a beat-and-raise; this is the second time in three sessions that strong chip guidance preceded a sector pullback. When beats stop working, the problem is the multiple, not the earnings.</w:t>
            </w:r>
          </w:p>
          <w:p>
            <w:pPr>
              <w:pStyle w:val="ListParagraph"/>
              <w:numPr>
                <w:ilvl w:val="0"/>
                <w:numId w:val="1"/>
              </w:numPr>
              <w:spacing w:after="80"/>
            </w:pPr>
            <w:r>
              <w:rPr>
                <w:sz w:val="17"/>
                <w:szCs w:val="17"/>
              </w:rPr>
              <w:t xml:space="preserve">The AI-capex reassessment is structural, not a one-session wobble. Seaport's argument — that Nvidia must subsidise its own customers to sustain demand — questions the return on the capital cycle that has driven this index's leadership.</w:t>
            </w:r>
          </w:p>
          <w:p>
            <w:pPr>
              <w:pStyle w:val="ListParagraph"/>
              <w:numPr>
                <w:ilvl w:val="0"/>
                <w:numId w:val="1"/>
              </w:numPr>
              <w:spacing w:after="80"/>
            </w:pPr>
            <w:r>
              <w:rPr>
                <w:sz w:val="17"/>
                <w:szCs w:val="17"/>
              </w:rPr>
              <w:t xml:space="preserve">Two of three cross-asset counters contradict the constructive regime, and both (VIX +6.76%, DAX −0.84% to −0.98%) point at the same driver from different markets (see §10).</w:t>
            </w:r>
          </w:p>
          <w:p>
            <w:pPr>
              <w:pStyle w:val="ListParagraph"/>
              <w:numPr>
                <w:ilvl w:val="0"/>
                <w:numId w:val="1"/>
              </w:numPr>
              <w:spacing w:after="80"/>
            </w:pPr>
            <w:r>
              <w:rPr>
                <w:sz w:val="17"/>
                <w:szCs w:val="17"/>
              </w:rPr>
              <w:t xml:space="preserve">Long-end yields rose despite soft inflation — crude near recent highs on the live US–Iran conflict is overriding the disinflation signal. The 30-year mortgage rate at 6.55% is a near-one-year high.</w:t>
            </w:r>
          </w:p>
          <w:p>
            <w:pPr>
              <w:pStyle w:val="ListParagraph"/>
              <w:numPr>
                <w:ilvl w:val="0"/>
                <w:numId w:val="1"/>
              </w:numPr>
              <w:spacing w:after="80"/>
            </w:pPr>
            <w:r>
              <w:rPr>
                <w:sz w:val="17"/>
                <w:szCs w:val="17"/>
              </w:rPr>
              <w:t xml:space="preserve">Forward event risk is stacked against the open: Netflix's post-close print is unpriced, and Asia was reported set to open lower on the chip sell-off (see §13d).</w:t>
            </w:r>
          </w:p>
          <w:p>
            <w:pPr>
              <w:pStyle w:val="ListParagraph"/>
              <w:numPr>
                <w:ilvl w:val="0"/>
                <w:numId w:val="1"/>
              </w:numPr>
              <w:spacing w:after="80"/>
            </w:pPr>
            <w:r>
              <w:rPr>
                <w:sz w:val="17"/>
                <w:szCs w:val="17"/>
              </w:rPr>
              <w:t xml:space="preserve">The Fed path is priced toward hikes (~56% for September), not cuts. Dovish surprises have little room to help; Logan has already pushed back on the week's data.</w:t>
            </w:r>
          </w:p>
          <w:p>
            <w:pPr>
              <w:pStyle w:val="ListParagraph"/>
              <w:numPr>
                <w:ilvl w:val="0"/>
                <w:numId w:val="1"/>
              </w:numPr>
              <w:spacing w:after="80"/>
            </w:pPr>
            <w:r>
              <w:rPr>
                <w:sz w:val="17"/>
                <w:szCs w:val="17"/>
              </w:rPr>
              <w:t xml:space="preserve">Implied and realised volatility are diverging — the options market is pricing something the cash tape has not yet delivered. Inside a range only 1.08× ATR wide, this is a coiling signature (see §9).</w:t>
            </w:r>
          </w:p>
        </w:tc>
      </w:tr>
    </w:tbl>
    <w:p>
      <w:pPr>
        <w:spacing w:after="160"/>
      </w:pPr>
      <w:r>
        <w:rPr>
          <w:sz w:val="20"/>
          <w:szCs w:val="20"/>
        </w:rPr>
        <w:t xml:space="preserve">Balance: the bear case is currently better-organised. Both sides carry real weight, but the bull arguments are diffuse and structural (breadth, rates, trend) while the bear arguments converge on a single mechanism — AI-capex repricing — that happens to own the index's largest constituents and is being expressed simultaneously in the VIX, the DAX, and the Kospi. A concentrated, correlated bear case beats a diffuse bull case over a daily horizon, even when the diffuse case is the more durable one over months.</w:t>
      </w:r>
    </w:p>
    <w:p>
      <w:pPr>
        <w:pStyle w:val="Heading1"/>
        <w:spacing w:after="120" w:before="240"/>
      </w:pPr>
      <w:r>
        <w:t xml:space="preserve">§16  Forward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Field</w:t>
            </w:r>
          </w:p>
        </w:tc>
        <w:tc>
          <w:tcPr>
            <w:tcW w:type="dxa" w:w="7460"/>
            <w:shd w:fill="1F3864" w:color="auto" w:val="clear"/>
            <w:tcMar>
              <w:top w:type="dxa" w:w="60"/>
              <w:left w:type="dxa" w:w="80"/>
              <w:bottom w:type="dxa" w:w="60"/>
              <w:right w:type="dxa" w:w="80"/>
            </w:tcMar>
          </w:tcPr>
          <w:p>
            <w:r>
              <w:rPr>
                <w:b/>
                <w:bCs/>
                <w:color w:val="FFFFFF"/>
                <w:sz w:val="17"/>
                <w:szCs w:val="17"/>
              </w:rPr>
              <w:t xml:space="preserve">Assessment</w:t>
            </w:r>
          </w:p>
        </w:tc>
      </w:tr>
      <w:tr>
        <w:tc>
          <w:tcPr>
            <w:tcW w:type="dxa" w:w="1900"/>
            <w:tcMar>
              <w:top w:type="dxa" w:w="60"/>
              <w:left w:type="dxa" w:w="80"/>
              <w:bottom w:type="dxa" w:w="60"/>
              <w:right w:type="dxa" w:w="80"/>
            </w:tcMar>
          </w:tcPr>
          <w:p>
            <w:r>
              <w:rPr>
                <w:sz w:val="17"/>
                <w:szCs w:val="17"/>
              </w:rPr>
              <w:t xml:space="preserve">Expected direction (5 sessions)</w:t>
            </w:r>
          </w:p>
        </w:tc>
        <w:tc>
          <w:tcPr>
            <w:tcW w:type="dxa" w:w="7460"/>
            <w:tcMar>
              <w:top w:type="dxa" w:w="60"/>
              <w:left w:type="dxa" w:w="80"/>
              <w:bottom w:type="dxa" w:w="60"/>
              <w:right w:type="dxa" w:w="80"/>
            </w:tcMar>
          </w:tcPr>
          <w:p>
            <w:r>
              <w:rPr>
                <w:sz w:val="17"/>
                <w:szCs w:val="17"/>
              </w:rPr>
              <w:t xml:space="preserve">Sideways with a mild downward skew. The 7,504–7,581 range is more likely to persist than to resolve within the horizon; if it resolves, the balance of evidence in §15 favours a downside break.</w:t>
            </w:r>
          </w:p>
        </w:tc>
      </w:tr>
      <w:tr>
        <w:tc>
          <w:tcPr>
            <w:tcW w:type="dxa" w:w="1900"/>
            <w:shd w:fill="F2F2F2" w:color="auto" w:val="clear"/>
            <w:tcMar>
              <w:top w:type="dxa" w:w="60"/>
              <w:left w:type="dxa" w:w="80"/>
              <w:bottom w:type="dxa" w:w="60"/>
              <w:right w:type="dxa" w:w="80"/>
            </w:tcMar>
          </w:tcPr>
          <w:p>
            <w:r>
              <w:rPr>
                <w:sz w:val="17"/>
                <w:szCs w:val="17"/>
              </w:rPr>
              <w:t xml:space="preserve">Expected trading range</w:t>
            </w:r>
          </w:p>
        </w:tc>
        <w:tc>
          <w:tcPr>
            <w:tcW w:type="dxa" w:w="7460"/>
            <w:shd w:fill="F2F2F2" w:color="auto" w:val="clear"/>
            <w:tcMar>
              <w:top w:type="dxa" w:w="60"/>
              <w:left w:type="dxa" w:w="80"/>
              <w:bottom w:type="dxa" w:w="60"/>
              <w:right w:type="dxa" w:w="80"/>
            </w:tcMar>
          </w:tcPr>
          <w:p>
            <w:r>
              <w:rPr>
                <w:sz w:val="17"/>
                <w:szCs w:val="17"/>
              </w:rPr>
              <w:t xml:space="preserve">7,469 – 7,581. The lower bound is daily S2 (7,469.46), which sits close to weekly S1 (7,471.50) — a natural second line of defence if the 7,504 floor fails. The upper bound is the twice-rejected 15 July high.</w:t>
            </w:r>
          </w:p>
        </w:tc>
      </w:tr>
      <w:tr>
        <w:tc>
          <w:tcPr>
            <w:tcW w:type="dxa" w:w="1900"/>
            <w:tcMar>
              <w:top w:type="dxa" w:w="60"/>
              <w:left w:type="dxa" w:w="80"/>
              <w:bottom w:type="dxa" w:w="60"/>
              <w:right w:type="dxa" w:w="80"/>
            </w:tcMar>
          </w:tcPr>
          <w:p>
            <w:r>
              <w:rPr>
                <w:sz w:val="17"/>
                <w:szCs w:val="17"/>
              </w:rPr>
              <w:t xml:space="preserve">Confidence</w:t>
            </w:r>
          </w:p>
        </w:tc>
        <w:tc>
          <w:tcPr>
            <w:tcW w:type="dxa" w:w="7460"/>
            <w:tcMar>
              <w:top w:type="dxa" w:w="60"/>
              <w:left w:type="dxa" w:w="80"/>
              <w:bottom w:type="dxa" w:w="60"/>
              <w:right w:type="dxa" w:w="80"/>
            </w:tcMar>
          </w:tcPr>
          <w:p>
            <w:r>
              <w:rPr>
                <w:sz w:val="17"/>
                <w:szCs w:val="17"/>
              </w:rPr>
              <w:t xml:space="preserve">Medium</w:t>
            </w:r>
          </w:p>
        </w:tc>
      </w:tr>
      <w:tr>
        <w:tc>
          <w:tcPr>
            <w:tcW w:type="dxa" w:w="1900"/>
            <w:shd w:fill="F2F2F2" w:color="auto" w:val="clear"/>
            <w:tcMar>
              <w:top w:type="dxa" w:w="60"/>
              <w:left w:type="dxa" w:w="80"/>
              <w:bottom w:type="dxa" w:w="60"/>
              <w:right w:type="dxa" w:w="80"/>
            </w:tcMar>
          </w:tcPr>
          <w:p>
            <w:r>
              <w:rPr>
                <w:sz w:val="17"/>
                <w:szCs w:val="17"/>
              </w:rPr>
              <w:t xml:space="preserve">Base case invalidation</w:t>
            </w:r>
          </w:p>
        </w:tc>
        <w:tc>
          <w:tcPr>
            <w:tcW w:type="dxa" w:w="7460"/>
            <w:shd w:fill="F2F2F2" w:color="auto" w:val="clear"/>
            <w:tcMar>
              <w:top w:type="dxa" w:w="60"/>
              <w:left w:type="dxa" w:w="80"/>
              <w:bottom w:type="dxa" w:w="60"/>
              <w:right w:type="dxa" w:w="80"/>
            </w:tcMar>
          </w:tcPr>
          <w:p>
            <w:r>
              <w:rPr>
                <w:sz w:val="17"/>
                <w:szCs w:val="17"/>
              </w:rPr>
              <w:t xml:space="preserve">Two consecutive closes above 7,581.50 invalidate the range thesis and re-establish TREND_UP; the Kaufman reading at +0.37 means the structure to support such a move already exists. On the downside, a close below 7,469.46 invalidates the range and opens the 61.8% retracement of the 10-session swing at 7,482.82 as a failed level, with the monthly pivot at 7,457.15 (indicative) as the next reference.</w:t>
            </w:r>
          </w:p>
        </w:tc>
      </w:tr>
    </w:tbl>
    <w:p>
      <w:pPr>
        <w:spacing w:after="100"/>
      </w:pPr>
      <w:r>
        <w:rPr>
          <w:b/>
          <w:bCs/>
          <w:sz w:val="20"/>
          <w:szCs w:val="20"/>
        </w:rPr>
        <w:t xml:space="preserve">Regime consistency check — flagged:</w:t>
      </w:r>
    </w:p>
    <w:p>
      <w:pPr>
        <w:spacing w:after="160"/>
      </w:pPr>
      <w:r>
        <w:rPr>
          <w:sz w:val="20"/>
          <w:szCs w:val="20"/>
        </w:rPr>
        <w:t xml:space="preserve">This forward view does not contradict the technical regime, but it sits in explicit tension with one component of it, and that is disclosed rather than smoothed over. The Kaufman classification is TRENDING-UP at +0.37, and the medium-term structural read is constructive. A sideways-to-lower five-day view is not what those signals alone would produce. The reconciliation is the one set out in §9: the Kaufman window is carrying a trend leg that concluded on 10 July, and the five sessions since have delivered net −9.87 points across roughly 158 points of path — the definition of an inefficient, non-trending market. The forward view respects the regime label actually assigned (TRANSITION), not the Kaufman sub-signal in isolation. Were the index to close above 7,581.50 twice, the Kaufman signal would be vindicated and this view would be wrong in the specific way it expects to be wrong.</w:t>
      </w:r>
    </w:p>
    <w:p>
      <w:pPr>
        <w:pStyle w:val="Heading1"/>
        <w:spacing w:after="120" w:before="240"/>
      </w:pPr>
      <w:r>
        <w:t xml:space="preserve">§17  Forecast</w:t>
      </w:r>
    </w:p>
    <w:p>
      <w:pPr>
        <w:shd w:fill="EEF3FA" w:color="auto" w:val="clear"/>
        <w:spacing w:after="160" w:before="100"/>
      </w:pPr>
      <w:r>
        <w:rPr>
          <w:b/>
          <w:bCs/>
          <w:i/>
          <w:iCs/>
          <w:sz w:val="22"/>
          <w:szCs w:val="22"/>
        </w:rPr>
        <w:t xml:space="preserve">The S&amp;P 500 is likely to open the 17 July session under pressure from the Asian semiconductor read-through and to trade within the 7,504–7,570 band, with the twice-defended 7,501–7,506 confluence the decisive level — a hold there keeps the medium-term uptrend intact, while a sustained break targets 7,469.</w:t>
      </w:r>
    </w:p>
    <w:p>
      <w:pPr>
        <w:pStyle w:val="Heading1"/>
        <w:spacing w:after="120" w:before="240"/>
      </w:pPr>
      <w: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Field</w:t>
            </w:r>
          </w:p>
        </w:tc>
        <w:tc>
          <w:tcPr>
            <w:tcW w:type="dxa" w:w="7460"/>
            <w:shd w:fill="1F3864" w:color="auto" w:val="clear"/>
            <w:tcMar>
              <w:top w:type="dxa" w:w="60"/>
              <w:left w:type="dxa" w:w="80"/>
              <w:bottom w:type="dxa" w:w="60"/>
              <w:right w:type="dxa" w:w="80"/>
            </w:tcMar>
          </w:tcPr>
          <w:p>
            <w:r>
              <w:rPr>
                <w:b/>
                <w:bCs/>
                <w:color w:val="FFFFFF"/>
                <w:sz w:val="17"/>
                <w:szCs w:val="17"/>
              </w:rPr>
              <w:t xml:space="preserve">Judgement</w:t>
            </w:r>
          </w:p>
        </w:tc>
      </w:tr>
      <w:tr>
        <w:tc>
          <w:tcPr>
            <w:tcW w:type="dxa" w:w="1900"/>
            <w:tcMar>
              <w:top w:type="dxa" w:w="60"/>
              <w:left w:type="dxa" w:w="80"/>
              <w:bottom w:type="dxa" w:w="60"/>
              <w:right w:type="dxa" w:w="80"/>
            </w:tcMar>
          </w:tcPr>
          <w:p>
            <w:r>
              <w:rPr>
                <w:sz w:val="17"/>
                <w:szCs w:val="17"/>
              </w:rPr>
              <w:t xml:space="preserve">Consensus price call</w:t>
            </w:r>
          </w:p>
        </w:tc>
        <w:tc>
          <w:tcPr>
            <w:tcW w:type="dxa" w:w="7460"/>
            <w:tcMar>
              <w:top w:type="dxa" w:w="60"/>
              <w:left w:type="dxa" w:w="80"/>
              <w:bottom w:type="dxa" w:w="60"/>
              <w:right w:type="dxa" w:w="80"/>
            </w:tcMar>
          </w:tcPr>
          <w:p>
            <w:r>
              <w:rPr>
                <w:sz w:val="17"/>
                <w:szCs w:val="17"/>
              </w:rPr>
              <w:t xml:space="preserve">7,533.77 index points (16 July official close)</w:t>
            </w:r>
          </w:p>
        </w:tc>
      </w:tr>
      <w:tr>
        <w:tc>
          <w:tcPr>
            <w:tcW w:type="dxa" w:w="1900"/>
            <w:shd w:fill="F2F2F2" w:color="auto" w:val="clear"/>
            <w:tcMar>
              <w:top w:type="dxa" w:w="60"/>
              <w:left w:type="dxa" w:w="80"/>
              <w:bottom w:type="dxa" w:w="60"/>
              <w:right w:type="dxa" w:w="80"/>
            </w:tcMar>
          </w:tcPr>
          <w:p>
            <w:r>
              <w:rPr>
                <w:sz w:val="17"/>
                <w:szCs w:val="17"/>
              </w:rPr>
              <w:t xml:space="preserve">Confidence</w:t>
            </w:r>
          </w:p>
        </w:tc>
        <w:tc>
          <w:tcPr>
            <w:tcW w:type="dxa" w:w="7460"/>
            <w:shd w:fill="F2F2F2" w:color="auto" w:val="clear"/>
            <w:tcMar>
              <w:top w:type="dxa" w:w="60"/>
              <w:left w:type="dxa" w:w="80"/>
              <w:bottom w:type="dxa" w:w="60"/>
              <w:right w:type="dxa" w:w="80"/>
            </w:tcMar>
          </w:tcPr>
          <w:p>
            <w:r>
              <w:rPr>
                <w:sz w:val="17"/>
                <w:szCs w:val="17"/>
              </w:rPr>
              <w:t xml:space="preserve">High on the price; Medium on the directional view</w:t>
            </w:r>
          </w:p>
        </w:tc>
      </w:tr>
    </w:tbl>
    <w:p>
      <w:pPr>
        <w:spacing w:after="100"/>
      </w:pPr>
      <w:r>
        <w:rPr>
          <w:b/>
          <w:bCs/>
          <w:sz w:val="20"/>
          <w:szCs w:val="20"/>
        </w:rPr>
        <w:t xml:space="preserve">Three most important reasons:</w:t>
      </w:r>
    </w:p>
    <w:p>
      <w:pPr>
        <w:pStyle w:val="ListParagraph"/>
        <w:numPr>
          <w:ilvl w:val="0"/>
          <w:numId w:val="1"/>
        </w:numPr>
        <w:spacing w:after="60"/>
      </w:pPr>
      <w:r>
        <w:rPr>
          <w:sz w:val="20"/>
          <w:szCs w:val="20"/>
        </w:rPr>
        <w:t xml:space="preserve">1 — The double-top rejection at 7,568–7,581 is the dominant technical fact. Two attempts, two immediate reversals, two identical RSI2 whipsaws (87→34, then 76→35) in five sessions. A level tested twice and defended twice is a level until proven otherwise, and the 1.57-point gap between the two highs is noise, not progress.</w:t>
      </w:r>
    </w:p>
    <w:p>
      <w:pPr>
        <w:pStyle w:val="ListParagraph"/>
        <w:numPr>
          <w:ilvl w:val="0"/>
          <w:numId w:val="1"/>
        </w:numPr>
        <w:spacing w:after="60"/>
      </w:pPr>
      <w:r>
        <w:rPr>
          <w:sz w:val="20"/>
          <w:szCs w:val="20"/>
        </w:rPr>
        <w:t xml:space="preserve">2 — The market is not rewarding good news, and that is a multiple problem rather than an earnings problem. TSMC beat and raised and fell more than 4%. Goldman beat by 45% and rallied, but the index still could not hold 7,570. When a beat-and-raise from the most systemically important chip manufacturer in the world produces a sector-wide 3–4% decline, the market is repricing the AI capital cycle's return on capital, not its demand.</w:t>
      </w:r>
    </w:p>
    <w:p>
      <w:pPr>
        <w:pStyle w:val="ListParagraph"/>
        <w:numPr>
          <w:ilvl w:val="0"/>
          <w:numId w:val="1"/>
        </w:numPr>
        <w:spacing w:after="60"/>
      </w:pPr>
      <w:r>
        <w:rPr>
          <w:sz w:val="20"/>
          <w:szCs w:val="20"/>
        </w:rPr>
        <w:t xml:space="preserve">3 — Breadth is the genuine counterweight and it is why this is a Medium-confidence view rather than a High-confidence bearish one. With 62% of constituents above their 50-DMA, only two sectors declining, and the Russell 2000 essentially flat against the Nasdaq's −1.47%, the damage is contained to one theme. This is a leadership rotation with a valuation question attached — not a market breaking down. That is precisely why the base case is a range rather than a decline.</w:t>
      </w:r>
    </w:p>
    <w:p>
      <w:pPr>
        <w:spacing w:after="80"/>
      </w:pPr>
      <w:r>
        <w:rPr>
          <w:b/>
          <w:bCs/>
          <w:sz w:val="20"/>
          <w:szCs w:val="20"/>
        </w:rPr>
        <w:t xml:space="preserve">Single watch item:</w:t>
      </w:r>
    </w:p>
    <w:p>
      <w:pPr>
        <w:spacing w:after="160"/>
      </w:pPr>
      <w:r>
        <w:rPr>
          <w:sz w:val="20"/>
          <w:szCs w:val="20"/>
        </w:rPr>
        <w:t xml:space="preserve">Whether the semiconductor complex stabilises on the 17 July open. Everything else in this report is downstream of that one question. The rates backdrop is supportive, breadth is healthy, and earnings are beating — the AI-capex reassessment is the only active driver capable of overriding all three, and its next expression arrives with the Asian cash session before the US open.</w:t>
      </w:r>
    </w:p>
    <w:p>
      <w:pPr>
        <w:pStyle w:val="Heading1"/>
        <w:spacing w:after="120" w:before="240"/>
      </w:pPr>
      <w:r>
        <w:t xml:space="preserve">§19  Source Discipline Note</w:t>
      </w:r>
    </w:p>
    <w:p>
      <w:pPr>
        <w:spacing w:after="80"/>
      </w:pPr>
      <w:r>
        <w:rPr>
          <w:b/>
          <w:bCs/>
          <w:sz w:val="20"/>
          <w:szCs w:val="20"/>
        </w:rPr>
        <w:t xml:space="preserve">Live vs indicative data</w:t>
      </w:r>
    </w:p>
    <w:p>
      <w:pPr>
        <w:pStyle w:val="ListParagraph"/>
        <w:numPr>
          <w:ilvl w:val="0"/>
          <w:numId w:val="1"/>
        </w:numPr>
        <w:spacing w:after="60"/>
      </w:pPr>
      <w:r>
        <w:rPr>
          <w:sz w:val="20"/>
          <w:szCs w:val="20"/>
        </w:rPr>
        <w:t xml:space="preserve">The 16 July close (7,533.77) is live and definitional — published by S&amp;P Dow Jones and independently reproduced by five sources with zero dispersion.</w:t>
      </w:r>
    </w:p>
    <w:p>
      <w:pPr>
        <w:pStyle w:val="ListParagraph"/>
        <w:numPr>
          <w:ilvl w:val="0"/>
          <w:numId w:val="1"/>
        </w:numPr>
        <w:spacing w:after="60"/>
      </w:pPr>
      <w:r>
        <w:rPr>
          <w:sz w:val="20"/>
          <w:szCs w:val="20"/>
        </w:rPr>
        <w:t xml:space="preserve">Closes for all five sessions in §6 are corroborated by at least two independent sources.</w:t>
      </w:r>
    </w:p>
    <w:p>
      <w:pPr>
        <w:pStyle w:val="ListParagraph"/>
        <w:numPr>
          <w:ilvl w:val="0"/>
          <w:numId w:val="1"/>
        </w:numPr>
        <w:spacing w:after="60"/>
      </w:pPr>
      <w:r>
        <w:rPr>
          <w:sz w:val="20"/>
          <w:szCs w:val="20"/>
        </w:rPr>
        <w:t xml:space="preserve">The 15 July intraday high and low (7,581.50 / 7,540.20) are reconstructed from a single aggregator range statement rather than from two independent provider feeds. That row's OHLC is indicative for range purposes. Its close is corroborated and therefore remains pivot-eligible. Because 7,581.50 is the 5-session swing high used as a stop anchor in §21, this limitation is material and is repeated on the affected trade card.</w:t>
      </w:r>
    </w:p>
    <w:p>
      <w:pPr>
        <w:pStyle w:val="ListParagraph"/>
        <w:numPr>
          <w:ilvl w:val="0"/>
          <w:numId w:val="1"/>
        </w:numPr>
        <w:spacing w:after="60"/>
      </w:pPr>
      <w:r>
        <w:rPr>
          <w:sz w:val="20"/>
          <w:szCs w:val="20"/>
        </w:rPr>
        <w:t xml:space="preserve">SPY ETF data was used as a corroborating proxy for the 10 and 13 July sessions where a second independent index feed was unavailable. A proxy is weaker than a direct feed; the deltas were nil at the close in both cases.</w:t>
      </w:r>
    </w:p>
    <w:p>
      <w:pPr>
        <w:spacing w:after="80"/>
      </w:pPr>
      <w:r>
        <w:rPr>
          <w:b/>
          <w:bCs/>
          <w:sz w:val="20"/>
          <w:szCs w:val="20"/>
        </w:rPr>
        <w:t xml:space="preserve">Corroboration status per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color="auto" w:val="clear"/>
            <w:tcMar>
              <w:top w:type="dxa" w:w="60"/>
              <w:left w:type="dxa" w:w="80"/>
              <w:bottom w:type="dxa" w:w="60"/>
              <w:right w:type="dxa" w:w="80"/>
            </w:tcMar>
          </w:tcPr>
          <w:p>
            <w:r>
              <w:rPr>
                <w:b/>
                <w:bCs/>
                <w:color w:val="FFFFFF"/>
                <w:sz w:val="17"/>
                <w:szCs w:val="17"/>
              </w:rPr>
              <w:t xml:space="preserve">Instrument</w:t>
            </w:r>
          </w:p>
        </w:tc>
        <w:tc>
          <w:tcPr>
            <w:tcW w:type="dxa" w:w="2400"/>
            <w:shd w:fill="1F3864" w:color="auto" w:val="clear"/>
            <w:tcMar>
              <w:top w:type="dxa" w:w="60"/>
              <w:left w:type="dxa" w:w="80"/>
              <w:bottom w:type="dxa" w:w="60"/>
              <w:right w:type="dxa" w:w="80"/>
            </w:tcMar>
          </w:tcPr>
          <w:p>
            <w:r>
              <w:rPr>
                <w:b/>
                <w:bCs/>
                <w:color w:val="FFFFFF"/>
                <w:sz w:val="17"/>
                <w:szCs w:val="17"/>
              </w:rPr>
              <w:t xml:space="preserve">Status</w:t>
            </w:r>
          </w:p>
        </w:tc>
        <w:tc>
          <w:tcPr>
            <w:tcW w:type="dxa" w:w="4560"/>
            <w:shd w:fill="1F3864" w:color="auto" w:val="clear"/>
            <w:tcMar>
              <w:top w:type="dxa" w:w="60"/>
              <w:left w:type="dxa" w:w="80"/>
              <w:bottom w:type="dxa" w:w="60"/>
              <w:right w:type="dxa" w:w="80"/>
            </w:tcMar>
          </w:tcPr>
          <w:p>
            <w:r>
              <w:rPr>
                <w:b/>
                <w:bCs/>
                <w:color w:val="FFFFFF"/>
                <w:sz w:val="17"/>
                <w:szCs w:val="17"/>
              </w:rPr>
              <w:t xml:space="preserve">Note</w:t>
            </w:r>
          </w:p>
        </w:tc>
      </w:tr>
      <w:tr>
        <w:tc>
          <w:tcPr>
            <w:tcW w:type="dxa" w:w="2400"/>
            <w:tcMar>
              <w:top w:type="dxa" w:w="60"/>
              <w:left w:type="dxa" w:w="80"/>
              <w:bottom w:type="dxa" w:w="60"/>
              <w:right w:type="dxa" w:w="80"/>
            </w:tcMar>
          </w:tcPr>
          <w:p>
            <w:r>
              <w:rPr>
                <w:sz w:val="17"/>
                <w:szCs w:val="17"/>
              </w:rPr>
              <w:t xml:space="preserve">S&amp;P 500 cash — closes</w:t>
            </w:r>
          </w:p>
        </w:tc>
        <w:tc>
          <w:tcPr>
            <w:tcW w:type="dxa" w:w="2400"/>
            <w:tcMar>
              <w:top w:type="dxa" w:w="60"/>
              <w:left w:type="dxa" w:w="80"/>
              <w:bottom w:type="dxa" w:w="60"/>
              <w:right w:type="dxa" w:w="80"/>
            </w:tcMar>
          </w:tcPr>
          <w:p>
            <w:r>
              <w:rPr>
                <w:sz w:val="17"/>
                <w:szCs w:val="17"/>
              </w:rPr>
              <w:t xml:space="preserve">CORROBORATED</w:t>
            </w:r>
          </w:p>
        </w:tc>
        <w:tc>
          <w:tcPr>
            <w:tcW w:type="dxa" w:w="4560"/>
            <w:tcMar>
              <w:top w:type="dxa" w:w="60"/>
              <w:left w:type="dxa" w:w="80"/>
              <w:bottom w:type="dxa" w:w="60"/>
              <w:right w:type="dxa" w:w="80"/>
            </w:tcMar>
          </w:tcPr>
          <w:p>
            <w:r>
              <w:rPr>
                <w:sz w:val="17"/>
                <w:szCs w:val="17"/>
              </w:rPr>
              <w:t xml:space="preserve">All five sessions, ≥2 independent sources</w:t>
            </w:r>
          </w:p>
        </w:tc>
      </w:tr>
      <w:tr>
        <w:tc>
          <w:tcPr>
            <w:tcW w:type="dxa" w:w="2400"/>
            <w:shd w:fill="F2F2F2" w:color="auto" w:val="clear"/>
            <w:tcMar>
              <w:top w:type="dxa" w:w="60"/>
              <w:left w:type="dxa" w:w="80"/>
              <w:bottom w:type="dxa" w:w="60"/>
              <w:right w:type="dxa" w:w="80"/>
            </w:tcMar>
          </w:tcPr>
          <w:p>
            <w:r>
              <w:rPr>
                <w:sz w:val="17"/>
                <w:szCs w:val="17"/>
              </w:rPr>
              <w:t xml:space="preserve">S&amp;P 500 cash — 15 Jul intraday H/L</w:t>
            </w:r>
          </w:p>
        </w:tc>
        <w:tc>
          <w:tcPr>
            <w:tcW w:type="dxa" w:w="2400"/>
            <w:shd w:fill="F2F2F2" w:color="auto" w:val="clear"/>
            <w:tcMar>
              <w:top w:type="dxa" w:w="60"/>
              <w:left w:type="dxa" w:w="80"/>
              <w:bottom w:type="dxa" w:w="60"/>
              <w:right w:type="dxa" w:w="80"/>
            </w:tcMar>
          </w:tcPr>
          <w:p>
            <w:r>
              <w:rPr>
                <w:sz w:val="17"/>
                <w:szCs w:val="17"/>
              </w:rPr>
              <w:t xml:space="preserve">SINGLE-SOURCE — indicative</w:t>
            </w:r>
          </w:p>
        </w:tc>
        <w:tc>
          <w:tcPr>
            <w:tcW w:type="dxa" w:w="4560"/>
            <w:shd w:fill="F2F2F2" w:color="auto" w:val="clear"/>
            <w:tcMar>
              <w:top w:type="dxa" w:w="60"/>
              <w:left w:type="dxa" w:w="80"/>
              <w:bottom w:type="dxa" w:w="60"/>
              <w:right w:type="dxa" w:w="80"/>
            </w:tcMar>
          </w:tcPr>
          <w:p>
            <w:r>
              <w:rPr>
                <w:sz w:val="17"/>
                <w:szCs w:val="17"/>
              </w:rPr>
              <w:t xml:space="preserve">Reconstructed from an aggregator range statement</w:t>
            </w:r>
          </w:p>
        </w:tc>
      </w:tr>
      <w:tr>
        <w:tc>
          <w:tcPr>
            <w:tcW w:type="dxa" w:w="2400"/>
            <w:tcMar>
              <w:top w:type="dxa" w:w="60"/>
              <w:left w:type="dxa" w:w="80"/>
              <w:bottom w:type="dxa" w:w="60"/>
              <w:right w:type="dxa" w:w="80"/>
            </w:tcMar>
          </w:tcPr>
          <w:p>
            <w:r>
              <w:rPr>
                <w:sz w:val="17"/>
                <w:szCs w:val="17"/>
              </w:rPr>
              <w:t xml:space="preserve">Daily pivots (16 Jul basis)</w:t>
            </w:r>
          </w:p>
        </w:tc>
        <w:tc>
          <w:tcPr>
            <w:tcW w:type="dxa" w:w="2400"/>
            <w:tcMar>
              <w:top w:type="dxa" w:w="60"/>
              <w:left w:type="dxa" w:w="80"/>
              <w:bottom w:type="dxa" w:w="60"/>
              <w:right w:type="dxa" w:w="80"/>
            </w:tcMar>
          </w:tcPr>
          <w:p>
            <w:r>
              <w:rPr>
                <w:sz w:val="17"/>
                <w:szCs w:val="17"/>
              </w:rPr>
              <w:t xml:space="preserve">CORROBORATED</w:t>
            </w:r>
          </w:p>
        </w:tc>
        <w:tc>
          <w:tcPr>
            <w:tcW w:type="dxa" w:w="4560"/>
            <w:tcMar>
              <w:top w:type="dxa" w:w="60"/>
              <w:left w:type="dxa" w:w="80"/>
              <w:bottom w:type="dxa" w:w="60"/>
              <w:right w:type="dxa" w:w="80"/>
            </w:tcMar>
          </w:tcPr>
          <w:p>
            <w:r>
              <w:rPr>
                <w:sz w:val="17"/>
                <w:szCs w:val="17"/>
              </w:rPr>
              <w:t xml:space="preserve">Tradeable</w:t>
            </w:r>
          </w:p>
        </w:tc>
      </w:tr>
      <w:tr>
        <w:tc>
          <w:tcPr>
            <w:tcW w:type="dxa" w:w="2400"/>
            <w:shd w:fill="F2F2F2" w:color="auto" w:val="clear"/>
            <w:tcMar>
              <w:top w:type="dxa" w:w="60"/>
              <w:left w:type="dxa" w:w="80"/>
              <w:bottom w:type="dxa" w:w="60"/>
              <w:right w:type="dxa" w:w="80"/>
            </w:tcMar>
          </w:tcPr>
          <w:p>
            <w:r>
              <w:rPr>
                <w:sz w:val="17"/>
                <w:szCs w:val="17"/>
              </w:rPr>
              <w:t xml:space="preserve">Weekly pivots (6–10 Jul basis)</w:t>
            </w:r>
          </w:p>
        </w:tc>
        <w:tc>
          <w:tcPr>
            <w:tcW w:type="dxa" w:w="2400"/>
            <w:shd w:fill="F2F2F2" w:color="auto" w:val="clear"/>
            <w:tcMar>
              <w:top w:type="dxa" w:w="60"/>
              <w:left w:type="dxa" w:w="80"/>
              <w:bottom w:type="dxa" w:w="60"/>
              <w:right w:type="dxa" w:w="80"/>
            </w:tcMar>
          </w:tcPr>
          <w:p>
            <w:r>
              <w:rPr>
                <w:sz w:val="17"/>
                <w:szCs w:val="17"/>
              </w:rPr>
              <w:t xml:space="preserve">CORROBORATED</w:t>
            </w:r>
          </w:p>
        </w:tc>
        <w:tc>
          <w:tcPr>
            <w:tcW w:type="dxa" w:w="4560"/>
            <w:shd w:fill="F2F2F2" w:color="auto" w:val="clear"/>
            <w:tcMar>
              <w:top w:type="dxa" w:w="60"/>
              <w:left w:type="dxa" w:w="80"/>
              <w:bottom w:type="dxa" w:w="60"/>
              <w:right w:type="dxa" w:w="80"/>
            </w:tcMar>
          </w:tcPr>
          <w:p>
            <w:r>
              <w:rPr>
                <w:sz w:val="17"/>
                <w:szCs w:val="17"/>
              </w:rPr>
              <w:t xml:space="preserve">Tradeable</w:t>
            </w:r>
          </w:p>
        </w:tc>
      </w:tr>
      <w:tr>
        <w:tc>
          <w:tcPr>
            <w:tcW w:type="dxa" w:w="2400"/>
            <w:tcMar>
              <w:top w:type="dxa" w:w="60"/>
              <w:left w:type="dxa" w:w="80"/>
              <w:bottom w:type="dxa" w:w="60"/>
              <w:right w:type="dxa" w:w="80"/>
            </w:tcMar>
          </w:tcPr>
          <w:p>
            <w:r>
              <w:rPr>
                <w:sz w:val="17"/>
                <w:szCs w:val="17"/>
              </w:rPr>
              <w:t xml:space="preserve">Monthly pivots (June basis)</w:t>
            </w:r>
          </w:p>
        </w:tc>
        <w:tc>
          <w:tcPr>
            <w:tcW w:type="dxa" w:w="2400"/>
            <w:tcMar>
              <w:top w:type="dxa" w:w="60"/>
              <w:left w:type="dxa" w:w="80"/>
              <w:bottom w:type="dxa" w:w="60"/>
              <w:right w:type="dxa" w:w="80"/>
            </w:tcMar>
          </w:tcPr>
          <w:p>
            <w:r>
              <w:rPr>
                <w:sz w:val="17"/>
                <w:szCs w:val="17"/>
              </w:rPr>
              <w:t xml:space="preserve">SINGLE-SOURCE — indicative</w:t>
            </w:r>
          </w:p>
        </w:tc>
        <w:tc>
          <w:tcPr>
            <w:tcW w:type="dxa" w:w="4560"/>
            <w:tcMar>
              <w:top w:type="dxa" w:w="60"/>
              <w:left w:type="dxa" w:w="80"/>
              <w:bottom w:type="dxa" w:w="60"/>
              <w:right w:type="dxa" w:w="80"/>
            </w:tcMar>
          </w:tcPr>
          <w:p>
            <w:r>
              <w:rPr>
                <w:sz w:val="17"/>
                <w:szCs w:val="17"/>
              </w:rPr>
              <w:t xml:space="preserve">Excluded from §21 entry and stop construction</w:t>
            </w:r>
          </w:p>
        </w:tc>
      </w:tr>
      <w:tr>
        <w:tc>
          <w:tcPr>
            <w:tcW w:type="dxa" w:w="2400"/>
            <w:shd w:fill="F2F2F2" w:color="auto" w:val="clear"/>
            <w:tcMar>
              <w:top w:type="dxa" w:w="60"/>
              <w:left w:type="dxa" w:w="80"/>
              <w:bottom w:type="dxa" w:w="60"/>
              <w:right w:type="dxa" w:w="80"/>
            </w:tcMar>
          </w:tcPr>
          <w:p>
            <w:r>
              <w:rPr>
                <w:sz w:val="17"/>
                <w:szCs w:val="17"/>
              </w:rPr>
              <w:t xml:space="preserve">USDX</w:t>
            </w:r>
          </w:p>
        </w:tc>
        <w:tc>
          <w:tcPr>
            <w:tcW w:type="dxa" w:w="2400"/>
            <w:shd w:fill="F2F2F2" w:color="auto" w:val="clear"/>
            <w:tcMar>
              <w:top w:type="dxa" w:w="60"/>
              <w:left w:type="dxa" w:w="80"/>
              <w:bottom w:type="dxa" w:w="60"/>
              <w:right w:type="dxa" w:w="80"/>
            </w:tcMar>
          </w:tcPr>
          <w:p>
            <w:r>
              <w:rPr>
                <w:sz w:val="17"/>
                <w:szCs w:val="17"/>
              </w:rPr>
              <w:t xml:space="preserve">SINGLE-SOURCE — indicative</w:t>
            </w:r>
          </w:p>
        </w:tc>
        <w:tc>
          <w:tcPr>
            <w:tcW w:type="dxa" w:w="4560"/>
            <w:shd w:fill="F2F2F2" w:color="auto" w:val="clear"/>
            <w:tcMar>
              <w:top w:type="dxa" w:w="60"/>
              <w:left w:type="dxa" w:w="80"/>
              <w:bottom w:type="dxa" w:w="60"/>
              <w:right w:type="dxa" w:w="80"/>
            </w:tcMar>
          </w:tcPr>
          <w:p>
            <w:r>
              <w:rPr>
                <w:sz w:val="17"/>
                <w:szCs w:val="17"/>
              </w:rPr>
              <w:t xml:space="preserve">Level ~100.50–100.53; direction corroborated across two sources</w:t>
            </w:r>
          </w:p>
        </w:tc>
      </w:tr>
      <w:tr>
        <w:tc>
          <w:tcPr>
            <w:tcW w:type="dxa" w:w="2400"/>
            <w:tcMar>
              <w:top w:type="dxa" w:w="60"/>
              <w:left w:type="dxa" w:w="80"/>
              <w:bottom w:type="dxa" w:w="60"/>
              <w:right w:type="dxa" w:w="80"/>
            </w:tcMar>
          </w:tcPr>
          <w:p>
            <w:r>
              <w:rPr>
                <w:sz w:val="17"/>
                <w:szCs w:val="17"/>
              </w:rPr>
              <w:t xml:space="preserve">VIX</w:t>
            </w:r>
          </w:p>
        </w:tc>
        <w:tc>
          <w:tcPr>
            <w:tcW w:type="dxa" w:w="2400"/>
            <w:tcMar>
              <w:top w:type="dxa" w:w="60"/>
              <w:left w:type="dxa" w:w="80"/>
              <w:bottom w:type="dxa" w:w="60"/>
              <w:right w:type="dxa" w:w="80"/>
            </w:tcMar>
          </w:tcPr>
          <w:p>
            <w:r>
              <w:rPr>
                <w:sz w:val="17"/>
                <w:szCs w:val="17"/>
              </w:rPr>
              <w:t xml:space="preserve">CORROBORATED</w:t>
            </w:r>
          </w:p>
        </w:tc>
        <w:tc>
          <w:tcPr>
            <w:tcW w:type="dxa" w:w="4560"/>
            <w:tcMar>
              <w:top w:type="dxa" w:w="60"/>
              <w:left w:type="dxa" w:w="80"/>
              <w:bottom w:type="dxa" w:w="60"/>
              <w:right w:type="dxa" w:w="80"/>
            </w:tcMar>
          </w:tcPr>
          <w:p>
            <w:r>
              <w:rPr>
                <w:sz w:val="17"/>
                <w:szCs w:val="17"/>
              </w:rPr>
              <w:t xml:space="preserve">16.73 (+6.76%) confirmed by two sources</w:t>
            </w:r>
          </w:p>
        </w:tc>
      </w:tr>
      <w:tr>
        <w:tc>
          <w:tcPr>
            <w:tcW w:type="dxa" w:w="2400"/>
            <w:shd w:fill="F2F2F2" w:color="auto" w:val="clear"/>
            <w:tcMar>
              <w:top w:type="dxa" w:w="60"/>
              <w:left w:type="dxa" w:w="80"/>
              <w:bottom w:type="dxa" w:w="60"/>
              <w:right w:type="dxa" w:w="80"/>
            </w:tcMar>
          </w:tcPr>
          <w:p>
            <w:r>
              <w:rPr>
                <w:sz w:val="17"/>
                <w:szCs w:val="17"/>
              </w:rPr>
              <w:t xml:space="preserve">DAX 40</w:t>
            </w:r>
          </w:p>
        </w:tc>
        <w:tc>
          <w:tcPr>
            <w:tcW w:type="dxa" w:w="2400"/>
            <w:shd w:fill="F2F2F2" w:color="auto" w:val="clear"/>
            <w:tcMar>
              <w:top w:type="dxa" w:w="60"/>
              <w:left w:type="dxa" w:w="80"/>
              <w:bottom w:type="dxa" w:w="60"/>
              <w:right w:type="dxa" w:w="80"/>
            </w:tcMar>
          </w:tcPr>
          <w:p>
            <w:r>
              <w:rPr>
                <w:sz w:val="17"/>
                <w:szCs w:val="17"/>
              </w:rPr>
              <w:t xml:space="preserve">SINGLE-SOURCE — indicative</w:t>
            </w:r>
          </w:p>
        </w:tc>
        <w:tc>
          <w:tcPr>
            <w:tcW w:type="dxa" w:w="4560"/>
            <w:shd w:fill="F2F2F2" w:color="auto" w:val="clear"/>
            <w:tcMar>
              <w:top w:type="dxa" w:w="60"/>
              <w:left w:type="dxa" w:w="80"/>
              <w:bottom w:type="dxa" w:w="60"/>
              <w:right w:type="dxa" w:w="80"/>
            </w:tcMar>
          </w:tcPr>
          <w:p>
            <w:r>
              <w:rPr>
                <w:sz w:val="17"/>
                <w:szCs w:val="17"/>
              </w:rPr>
              <w:t xml:space="preserve">24,772.41 vs 24,789.59 across two feeds; direction corroborated, level is not</w:t>
            </w:r>
          </w:p>
        </w:tc>
      </w:tr>
    </w:tbl>
    <w:p>
      <w:pPr>
        <w:spacing w:after="80"/>
      </w:pPr>
      <w:r>
        <w:rPr>
          <w:b/>
          <w:bCs/>
          <w:sz w:val="20"/>
          <w:szCs w:val="20"/>
        </w:rPr>
        <w:t xml:space="preserve">Data gaps</w:t>
      </w:r>
    </w:p>
    <w:p>
      <w:pPr>
        <w:pStyle w:val="ListParagraph"/>
        <w:numPr>
          <w:ilvl w:val="0"/>
          <w:numId w:val="1"/>
        </w:numPr>
        <w:spacing w:after="60"/>
      </w:pPr>
      <w:r>
        <w:rPr>
          <w:sz w:val="20"/>
          <w:szCs w:val="20"/>
        </w:rPr>
        <w:t xml:space="preserve">The 25-session medium window is populated with 18 validated sessions (22 June – 16 July). Swing_high_25d and swing_low_25d are computed over the available window and are stated as such. This shortens the medium-term structural lookback and is disclosed rather than back-filled from an uncorroborated source.</w:t>
      </w:r>
    </w:p>
    <w:p>
      <w:pPr>
        <w:pStyle w:val="ListParagraph"/>
        <w:numPr>
          <w:ilvl w:val="0"/>
          <w:numId w:val="1"/>
        </w:numPr>
        <w:spacing w:after="60"/>
      </w:pPr>
      <w:r>
        <w:rPr>
          <w:sz w:val="20"/>
          <w:szCs w:val="20"/>
        </w:rPr>
        <w:t xml:space="preserve">The Kaufman Efficiency Ratio (13-session, EMA-3 smoothed) is computed over a validated but partially proxy-corroborated close series.</w:t>
      </w:r>
    </w:p>
    <w:p>
      <w:pPr>
        <w:pStyle w:val="ListParagraph"/>
        <w:numPr>
          <w:ilvl w:val="0"/>
          <w:numId w:val="1"/>
        </w:numPr>
        <w:spacing w:after="60"/>
      </w:pPr>
      <w:r>
        <w:rPr>
          <w:sz w:val="20"/>
          <w:szCs w:val="20"/>
        </w:rPr>
        <w:t xml:space="preserve">Charts were not produced this session (see §7 and §20).</w:t>
      </w:r>
    </w:p>
    <w:p>
      <w:pPr>
        <w:spacing w:after="80"/>
      </w:pPr>
      <w:r>
        <w:rPr>
          <w:b/>
          <w:bCs/>
          <w:sz w:val="20"/>
          <w:szCs w:val="20"/>
        </w:rPr>
        <w:t xml:space="preserve">Normalization assumptions</w:t>
      </w:r>
    </w:p>
    <w:p>
      <w:pPr>
        <w:pStyle w:val="ListParagraph"/>
        <w:numPr>
          <w:ilvl w:val="0"/>
          <w:numId w:val="1"/>
        </w:numPr>
        <w:spacing w:after="60"/>
      </w:pPr>
      <w:r>
        <w:rPr>
          <w:sz w:val="20"/>
          <w:szCs w:val="20"/>
        </w:rPr>
        <w:t xml:space="preserve">No currency, delivery, grade, or location adjustments were required — all sources quote the same instrument on the same basis.</w:t>
      </w:r>
    </w:p>
    <w:p>
      <w:pPr>
        <w:pStyle w:val="ListParagraph"/>
        <w:numPr>
          <w:ilvl w:val="0"/>
          <w:numId w:val="1"/>
        </w:numPr>
        <w:spacing w:after="60"/>
      </w:pPr>
      <w:r>
        <w:rPr>
          <w:sz w:val="20"/>
          <w:szCs w:val="20"/>
        </w:rPr>
        <w:t xml:space="preserve">The 0.10-point Investing.com delta at the close is attributed to derived-feed rounding and resolved in favour of the index provider.</w:t>
      </w:r>
    </w:p>
    <w:p>
      <w:pPr>
        <w:pStyle w:val="ListParagraph"/>
        <w:numPr>
          <w:ilvl w:val="0"/>
          <w:numId w:val="1"/>
        </w:numPr>
        <w:spacing w:after="60"/>
      </w:pPr>
      <w:r>
        <w:rPr>
          <w:sz w:val="20"/>
          <w:szCs w:val="20"/>
        </w:rPr>
        <w:t xml:space="preserve">CME ES / US500 CFD quotes (~7,521) are excluded from the cash consensus and retained for basis confirmation only.</w:t>
      </w:r>
    </w:p>
    <w:p>
      <w:pPr>
        <w:pStyle w:val="ListParagraph"/>
        <w:numPr>
          <w:ilvl w:val="0"/>
          <w:numId w:val="1"/>
        </w:numPr>
        <w:spacing w:after="60"/>
      </w:pPr>
      <w:r>
        <w:rPr>
          <w:sz w:val="20"/>
          <w:szCs w:val="20"/>
        </w:rPr>
        <w:t xml:space="preserve">The daily-open anchor was overridden to 00:00 UK at the analyst's instruction, replacing this instance's configured 07:00 UK value. This is an operational deviation with real consequences and is flagged here as well as in §20: the S&amp;P 500 cash index trades 14:30–21:00 UK, so a market order at 00:00 UK is not executable against the cash index. All §21 entries anchored at 00:00 UK must therefore be treated as pending orders that trigger at the 14:30 UK cash open, or be routed through an instrument that trades overnight. The configured 07:00 UK anchor exists precisely because it sits in the European pre-NY-open window where futures-led re-pricing is informative; 00:00 UK precedes even that. Trade cards in §21 are constructed on this basis and each carries the caveat.</w:t>
      </w:r>
    </w:p>
    <w:p>
      <w:pPr>
        <w:pStyle w:val="Heading1"/>
        <w:spacing w:after="120" w:before="240"/>
      </w:pPr>
      <w: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Item</w:t>
            </w:r>
          </w:p>
        </w:tc>
        <w:tc>
          <w:tcPr>
            <w:tcW w:type="dxa" w:w="7460"/>
            <w:shd w:fill="1F3864" w:color="auto" w:val="clear"/>
            <w:tcMar>
              <w:top w:type="dxa" w:w="60"/>
              <w:left w:type="dxa" w:w="80"/>
              <w:bottom w:type="dxa" w:w="60"/>
              <w:right w:type="dxa" w:w="80"/>
            </w:tcMar>
          </w:tcPr>
          <w:p>
            <w:r>
              <w:rPr>
                <w:b/>
                <w:bCs/>
                <w:color w:val="FFFFFF"/>
                <w:sz w:val="17"/>
                <w:szCs w:val="17"/>
              </w:rPr>
              <w:t xml:space="preserve">Record</w:t>
            </w:r>
          </w:p>
        </w:tc>
      </w:tr>
      <w:tr>
        <w:tc>
          <w:tcPr>
            <w:tcW w:type="dxa" w:w="1900"/>
            <w:tcMar>
              <w:top w:type="dxa" w:w="60"/>
              <w:left w:type="dxa" w:w="80"/>
              <w:bottom w:type="dxa" w:w="60"/>
              <w:right w:type="dxa" w:w="80"/>
            </w:tcMar>
          </w:tcPr>
          <w:p>
            <w:r>
              <w:rPr>
                <w:sz w:val="17"/>
                <w:szCs w:val="17"/>
              </w:rPr>
              <w:t xml:space="preserve">Run timestamp</w:t>
            </w:r>
          </w:p>
        </w:tc>
        <w:tc>
          <w:tcPr>
            <w:tcW w:type="dxa" w:w="7460"/>
            <w:tcMar>
              <w:top w:type="dxa" w:w="60"/>
              <w:left w:type="dxa" w:w="80"/>
              <w:bottom w:type="dxa" w:w="60"/>
              <w:right w:type="dxa" w:w="80"/>
            </w:tcMar>
          </w:tcPr>
          <w:p>
            <w:r>
              <w:rPr>
                <w:sz w:val="17"/>
                <w:szCs w:val="17"/>
              </w:rPr>
              <w:t xml:space="preserve">17 July 2026, 04:22 UK</w:t>
            </w:r>
          </w:p>
        </w:tc>
      </w:tr>
      <w:tr>
        <w:tc>
          <w:tcPr>
            <w:tcW w:type="dxa" w:w="1900"/>
            <w:shd w:fill="F2F2F2" w:color="auto" w:val="clear"/>
            <w:tcMar>
              <w:top w:type="dxa" w:w="60"/>
              <w:left w:type="dxa" w:w="80"/>
              <w:bottom w:type="dxa" w:w="60"/>
              <w:right w:type="dxa" w:w="80"/>
            </w:tcMar>
          </w:tcPr>
          <w:p>
            <w:r>
              <w:rPr>
                <w:sz w:val="17"/>
                <w:szCs w:val="17"/>
              </w:rPr>
              <w:t xml:space="preserve">Sources attempted</w:t>
            </w:r>
          </w:p>
        </w:tc>
        <w:tc>
          <w:tcPr>
            <w:tcW w:type="dxa" w:w="7460"/>
            <w:shd w:fill="F2F2F2" w:color="auto" w:val="clear"/>
            <w:tcMar>
              <w:top w:type="dxa" w:w="60"/>
              <w:left w:type="dxa" w:w="80"/>
              <w:bottom w:type="dxa" w:w="60"/>
              <w:right w:type="dxa" w:w="80"/>
            </w:tcMar>
          </w:tcPr>
          <w:p>
            <w:r>
              <w:rPr>
                <w:sz w:val="17"/>
                <w:szCs w:val="17"/>
              </w:rPr>
              <w:t xml:space="preserve">S&amp;P Dow Jones (via FRED), CNBC, Yahoo Finance, Investing.com, Bloomberg, TheStreet, Schwab, TradingEconomics, StockAnalysis (SPY proxy), Benzinga. All returned usable data except Bloomberg, which was partially paywalled and contributed directional context only.</w:t>
            </w:r>
          </w:p>
        </w:tc>
      </w:tr>
      <w:tr>
        <w:tc>
          <w:tcPr>
            <w:tcW w:type="dxa" w:w="1900"/>
            <w:tcMar>
              <w:top w:type="dxa" w:w="60"/>
              <w:left w:type="dxa" w:w="80"/>
              <w:bottom w:type="dxa" w:w="60"/>
              <w:right w:type="dxa" w:w="80"/>
            </w:tcMar>
          </w:tcPr>
          <w:p>
            <w:r>
              <w:rPr>
                <w:sz w:val="17"/>
                <w:szCs w:val="17"/>
              </w:rPr>
              <w:t xml:space="preserve">Validation method</w:t>
            </w:r>
          </w:p>
        </w:tc>
        <w:tc>
          <w:tcPr>
            <w:tcW w:type="dxa" w:w="7460"/>
            <w:tcMar>
              <w:top w:type="dxa" w:w="60"/>
              <w:left w:type="dxa" w:w="80"/>
              <w:bottom w:type="dxa" w:w="60"/>
              <w:right w:type="dxa" w:w="80"/>
            </w:tcMar>
          </w:tcPr>
          <w:p>
            <w:r>
              <w:rPr>
                <w:sz w:val="17"/>
                <w:szCs w:val="17"/>
              </w:rPr>
              <w:t xml:space="preserve">Dual-source corroboration on every OHLC row. Weighted median for the consensus. Deltas recorded per row in §6. Index-provider value takes precedence over aggregators where a delta exists.</w:t>
            </w:r>
          </w:p>
        </w:tc>
      </w:tr>
      <w:tr>
        <w:tc>
          <w:tcPr>
            <w:tcW w:type="dxa" w:w="1900"/>
            <w:shd w:fill="F2F2F2" w:color="auto" w:val="clear"/>
            <w:tcMar>
              <w:top w:type="dxa" w:w="60"/>
              <w:left w:type="dxa" w:w="80"/>
              <w:bottom w:type="dxa" w:w="60"/>
              <w:right w:type="dxa" w:w="80"/>
            </w:tcMar>
          </w:tcPr>
          <w:p>
            <w:r>
              <w:rPr>
                <w:sz w:val="17"/>
                <w:szCs w:val="17"/>
              </w:rPr>
              <w:t xml:space="preserve">Corroboration pairs</w:t>
            </w:r>
          </w:p>
        </w:tc>
        <w:tc>
          <w:tcPr>
            <w:tcW w:type="dxa" w:w="7460"/>
            <w:shd w:fill="F2F2F2" w:color="auto" w:val="clear"/>
            <w:tcMar>
              <w:top w:type="dxa" w:w="60"/>
              <w:left w:type="dxa" w:w="80"/>
              <w:bottom w:type="dxa" w:w="60"/>
              <w:right w:type="dxa" w:w="80"/>
            </w:tcMar>
          </w:tcPr>
          <w:p>
            <w:r>
              <w:rPr>
                <w:sz w:val="17"/>
                <w:szCs w:val="17"/>
              </w:rPr>
              <w:t xml:space="preserve">10 Jul: Investing.com / SPY proxy · 13 Jul: Investing.com / SPY proxy · 14 Jul: Investing.com / Yahoo · 15 Jul: FRED-S&amp;P DJI / CNBC · 16 Jul: Investing.com / CNBC + Yahoo</w:t>
            </w:r>
          </w:p>
        </w:tc>
      </w:tr>
      <w:tr>
        <w:tc>
          <w:tcPr>
            <w:tcW w:type="dxa" w:w="1900"/>
            <w:tcMar>
              <w:top w:type="dxa" w:w="60"/>
              <w:left w:type="dxa" w:w="80"/>
              <w:bottom w:type="dxa" w:w="60"/>
              <w:right w:type="dxa" w:w="80"/>
            </w:tcMar>
          </w:tcPr>
          <w:p>
            <w:r>
              <w:rPr>
                <w:sz w:val="17"/>
                <w:szCs w:val="17"/>
              </w:rPr>
              <w:t xml:space="preserve">Sentiment derivation</w:t>
            </w:r>
          </w:p>
        </w:tc>
        <w:tc>
          <w:tcPr>
            <w:tcW w:type="dxa" w:w="7460"/>
            <w:tcMar>
              <w:top w:type="dxa" w:w="60"/>
              <w:left w:type="dxa" w:w="80"/>
              <w:bottom w:type="dxa" w:w="60"/>
              <w:right w:type="dxa" w:w="80"/>
            </w:tcMar>
          </w:tcPr>
          <w:p>
            <w:r>
              <w:rPr>
                <w:sz w:val="17"/>
                <w:szCs w:val="17"/>
              </w:rPr>
              <w:t xml:space="preserve">Nine articles scored individually (§13a); arithmetic mean −0.122; adjusted to −0.15 to weight the two highest-salience items (TSMC reaction, Seaport/Nvidia note). Categorical: Mildly Negative. Sentiment was frozen at the 16 July close for backtest replay — no post-close information was permitted into any reconstructed session.</w:t>
            </w:r>
          </w:p>
        </w:tc>
      </w:tr>
      <w:tr>
        <w:tc>
          <w:tcPr>
            <w:tcW w:type="dxa" w:w="1900"/>
            <w:shd w:fill="F2F2F2" w:color="auto" w:val="clear"/>
            <w:tcMar>
              <w:top w:type="dxa" w:w="60"/>
              <w:left w:type="dxa" w:w="80"/>
              <w:bottom w:type="dxa" w:w="60"/>
              <w:right w:type="dxa" w:w="80"/>
            </w:tcMar>
          </w:tcPr>
          <w:p>
            <w:r>
              <w:rPr>
                <w:sz w:val="17"/>
                <w:szCs w:val="17"/>
              </w:rPr>
              <w:t xml:space="preserve">Forecast reasoning</w:t>
            </w:r>
          </w:p>
        </w:tc>
        <w:tc>
          <w:tcPr>
            <w:tcW w:type="dxa" w:w="7460"/>
            <w:shd w:fill="F2F2F2" w:color="auto" w:val="clear"/>
            <w:tcMar>
              <w:top w:type="dxa" w:w="60"/>
              <w:left w:type="dxa" w:w="80"/>
              <w:bottom w:type="dxa" w:w="60"/>
              <w:right w:type="dxa" w:w="80"/>
            </w:tcMar>
          </w:tcPr>
          <w:p>
            <w:r>
              <w:rPr>
                <w:sz w:val="17"/>
                <w:szCs w:val="17"/>
              </w:rPr>
              <w:t xml:space="preserve">Short-term technical (double-top rejection, RSI2 whipsaw) weighted against medium-term structure (higher lows, Kaufman +0.37). Contradiction resolved in favour of the short-term signal for a daily horizon, per the reasoning in §9. Regime labelled TRANSITION.</w:t>
            </w:r>
          </w:p>
        </w:tc>
      </w:tr>
      <w:tr>
        <w:tc>
          <w:tcPr>
            <w:tcW w:type="dxa" w:w="1900"/>
            <w:tcMar>
              <w:top w:type="dxa" w:w="60"/>
              <w:left w:type="dxa" w:w="80"/>
              <w:bottom w:type="dxa" w:w="60"/>
              <w:right w:type="dxa" w:w="80"/>
            </w:tcMar>
          </w:tcPr>
          <w:p>
            <w:r>
              <w:rPr>
                <w:sz w:val="17"/>
                <w:szCs w:val="17"/>
              </w:rPr>
              <w:t xml:space="preserve">Direction-score weights</w:t>
            </w:r>
          </w:p>
        </w:tc>
        <w:tc>
          <w:tcPr>
            <w:tcW w:type="dxa" w:w="7460"/>
            <w:tcMar>
              <w:top w:type="dxa" w:w="60"/>
              <w:left w:type="dxa" w:w="80"/>
              <w:bottom w:type="dxa" w:w="60"/>
              <w:right w:type="dxa" w:w="80"/>
            </w:tcMar>
          </w:tcPr>
          <w:p>
            <w:r>
              <w:rPr>
                <w:sz w:val="17"/>
                <w:szCs w:val="17"/>
              </w:rPr>
              <w:t xml:space="preserve">Defaults, unmodified. Short technical 0.25 · Medium regime 0.20 · Volatility regime 0.10 · Kaufman 0.15 · Sentiment 0.15 · Cross-asset 0.15. Sum = 1.00. Weights are locked for the first 20 forward-test sessions; this is session 1, so no tuning was applied or considered.</w:t>
            </w:r>
          </w:p>
        </w:tc>
      </w:tr>
      <w:tr>
        <w:tc>
          <w:tcPr>
            <w:tcW w:type="dxa" w:w="1900"/>
            <w:shd w:fill="F2F2F2" w:color="auto" w:val="clear"/>
            <w:tcMar>
              <w:top w:type="dxa" w:w="60"/>
              <w:left w:type="dxa" w:w="80"/>
              <w:bottom w:type="dxa" w:w="60"/>
              <w:right w:type="dxa" w:w="80"/>
            </w:tcMar>
          </w:tcPr>
          <w:p>
            <w:r>
              <w:rPr>
                <w:sz w:val="17"/>
                <w:szCs w:val="17"/>
              </w:rPr>
              <w:t xml:space="preserve">Direction score</w:t>
            </w:r>
          </w:p>
        </w:tc>
        <w:tc>
          <w:tcPr>
            <w:tcW w:type="dxa" w:w="7460"/>
            <w:shd w:fill="F2F2F2" w:color="auto" w:val="clear"/>
            <w:tcMar>
              <w:top w:type="dxa" w:w="60"/>
              <w:left w:type="dxa" w:w="80"/>
              <w:bottom w:type="dxa" w:w="60"/>
              <w:right w:type="dxa" w:w="80"/>
            </w:tcMar>
          </w:tcPr>
          <w:p>
            <w:r>
              <w:rPr>
                <w:sz w:val="17"/>
                <w:szCs w:val="17"/>
              </w:rPr>
              <w:t xml:space="preserve">−0.0525. Components: short technical −0.50 (RSI2 35.4, in the 20–40 band) · medium regime +0.40 · volatility regime +0.30 (ATR slope −7.66%, compression is risk-supportive for equities) · Kaufman +0.30 (KER +0.37 &gt; 0.13 threshold) · sentiment −0.15 · cross-asset −0.40 (VIX and DAX contradict; USDX confirms).</w:t>
            </w:r>
          </w:p>
        </w:tc>
      </w:tr>
      <w:tr>
        <w:tc>
          <w:tcPr>
            <w:tcW w:type="dxa" w:w="1900"/>
            <w:tcMar>
              <w:top w:type="dxa" w:w="60"/>
              <w:left w:type="dxa" w:w="80"/>
              <w:bottom w:type="dxa" w:w="60"/>
              <w:right w:type="dxa" w:w="80"/>
            </w:tcMar>
          </w:tcPr>
          <w:p>
            <w:r>
              <w:rPr>
                <w:sz w:val="17"/>
                <w:szCs w:val="17"/>
              </w:rPr>
              <w:t xml:space="preserve">SUPPRESSION OVERRIDE — Trade 1</w:t>
            </w:r>
          </w:p>
        </w:tc>
        <w:tc>
          <w:tcPr>
            <w:tcW w:type="dxa" w:w="7460"/>
            <w:tcMar>
              <w:top w:type="dxa" w:w="60"/>
              <w:left w:type="dxa" w:w="80"/>
              <w:bottom w:type="dxa" w:w="60"/>
              <w:right w:type="dxa" w:w="80"/>
            </w:tcMar>
          </w:tcPr>
          <w:p>
            <w:r>
              <w:rPr>
                <w:sz w:val="17"/>
                <w:szCs w:val="17"/>
              </w:rPr>
              <w:t xml:space="preserve">The absolute direction score of 0.0525 is below the 0.25 conviction threshold. Under standard operation Trade 1 would be SUPPRESSED. The analyst issued an explicit instruction not to suppress trading strategies. Trade 1 is therefore produced at MINIMAL conviction with the threshold breach stated on the card itself. This is a deliberate, logged deviation from the configured suppression rule, not an engine result.</w:t>
            </w:r>
          </w:p>
        </w:tc>
      </w:tr>
      <w:tr>
        <w:tc>
          <w:tcPr>
            <w:tcW w:type="dxa" w:w="1900"/>
            <w:shd w:fill="F2F2F2" w:color="auto" w:val="clear"/>
            <w:tcMar>
              <w:top w:type="dxa" w:w="60"/>
              <w:left w:type="dxa" w:w="80"/>
              <w:bottom w:type="dxa" w:w="60"/>
              <w:right w:type="dxa" w:w="80"/>
            </w:tcMar>
          </w:tcPr>
          <w:p>
            <w:r>
              <w:rPr>
                <w:sz w:val="17"/>
                <w:szCs w:val="17"/>
              </w:rPr>
              <w:t xml:space="preserve">CORROBORATION LENIENCY — instructed</w:t>
            </w:r>
          </w:p>
        </w:tc>
        <w:tc>
          <w:tcPr>
            <w:tcW w:type="dxa" w:w="7460"/>
            <w:shd w:fill="F2F2F2" w:color="auto" w:val="clear"/>
            <w:tcMar>
              <w:top w:type="dxa" w:w="60"/>
              <w:left w:type="dxa" w:w="80"/>
              <w:bottom w:type="dxa" w:w="60"/>
              <w:right w:type="dxa" w:w="80"/>
            </w:tcMar>
          </w:tcPr>
          <w:p>
            <w:r>
              <w:rPr>
                <w:sz w:val="17"/>
                <w:szCs w:val="17"/>
              </w:rPr>
              <w:t xml:space="preserve">The analyst instructed leniency on price-source corroboration where full corroboration was not achievable. Applied to: the 15 July intraday H/L, the USDX and DAX levels, and the June monthly pivot basis. Each instance is flagged at point of use. The closes and the daily/weekly pivot bases required no leniency — they are fully corroborated.</w:t>
            </w:r>
          </w:p>
        </w:tc>
      </w:tr>
      <w:tr>
        <w:tc>
          <w:tcPr>
            <w:tcW w:type="dxa" w:w="1900"/>
            <w:tcMar>
              <w:top w:type="dxa" w:w="60"/>
              <w:left w:type="dxa" w:w="80"/>
              <w:bottom w:type="dxa" w:w="60"/>
              <w:right w:type="dxa" w:w="80"/>
            </w:tcMar>
          </w:tcPr>
          <w:p>
            <w:r>
              <w:rPr>
                <w:sz w:val="17"/>
                <w:szCs w:val="17"/>
              </w:rPr>
              <w:t xml:space="preserve">ANCHOR OVERRIDE — instructed</w:t>
            </w:r>
          </w:p>
        </w:tc>
        <w:tc>
          <w:tcPr>
            <w:tcW w:type="dxa" w:w="7460"/>
            <w:tcMar>
              <w:top w:type="dxa" w:w="60"/>
              <w:left w:type="dxa" w:w="80"/>
              <w:bottom w:type="dxa" w:w="60"/>
              <w:right w:type="dxa" w:w="80"/>
            </w:tcMar>
          </w:tcPr>
          <w:p>
            <w:r>
              <w:rPr>
                <w:sz w:val="17"/>
                <w:szCs w:val="17"/>
              </w:rPr>
              <w:t xml:space="preserve">The daily-open anchor was overridden from this instance's configured 07:00 UK to 00:00 UK at the analyst's instruction. The S&amp;P 500 cash index does not trade at 00:00 UK. Every §21 entry is affected; the executability caveat is repeated on each card and in §19.</w:t>
            </w:r>
          </w:p>
        </w:tc>
      </w:tr>
      <w:tr>
        <w:tc>
          <w:tcPr>
            <w:tcW w:type="dxa" w:w="1900"/>
            <w:shd w:fill="F2F2F2" w:color="auto" w:val="clear"/>
            <w:tcMar>
              <w:top w:type="dxa" w:w="60"/>
              <w:left w:type="dxa" w:w="80"/>
              <w:bottom w:type="dxa" w:w="60"/>
              <w:right w:type="dxa" w:w="80"/>
            </w:tcMar>
          </w:tcPr>
          <w:p>
            <w:r>
              <w:rPr>
                <w:sz w:val="17"/>
                <w:szCs w:val="17"/>
              </w:rPr>
              <w:t xml:space="preserve">Fib swing selection</w:t>
            </w:r>
          </w:p>
        </w:tc>
        <w:tc>
          <w:tcPr>
            <w:tcW w:type="dxa" w:w="7460"/>
            <w:shd w:fill="F2F2F2" w:color="auto" w:val="clear"/>
            <w:tcMar>
              <w:top w:type="dxa" w:w="60"/>
              <w:left w:type="dxa" w:w="80"/>
              <w:bottom w:type="dxa" w:w="60"/>
              <w:right w:type="dxa" w:w="80"/>
            </w:tcMar>
          </w:tcPr>
          <w:p>
            <w:r>
              <w:rPr>
                <w:sz w:val="17"/>
                <w:szCs w:val="17"/>
              </w:rPr>
              <w:t xml:space="preserve">The 4-session swing (7,504.02–7,581.50) spans 77.48 points = 1.08× ATR(14), below the 2× ATR qualifying magnitude of 143.47. The adaptive rule was applied and the lookback extended to 10 sessions: 7,421.82–7,581.50 = 159.68 points = 2.23× ATR. Qualifies. All fib levels in §21 derive from the extended swing.</w:t>
            </w:r>
          </w:p>
        </w:tc>
      </w:tr>
      <w:tr>
        <w:tc>
          <w:tcPr>
            <w:tcW w:type="dxa" w:w="1900"/>
            <w:tcMar>
              <w:top w:type="dxa" w:w="60"/>
              <w:left w:type="dxa" w:w="80"/>
              <w:bottom w:type="dxa" w:w="60"/>
              <w:right w:type="dxa" w:w="80"/>
            </w:tcMar>
          </w:tcPr>
          <w:p>
            <w:r>
              <w:rPr>
                <w:sz w:val="17"/>
                <w:szCs w:val="17"/>
              </w:rPr>
              <w:t xml:space="preserve">Backtest reconstruction</w:t>
            </w:r>
          </w:p>
        </w:tc>
        <w:tc>
          <w:tcPr>
            <w:tcW w:type="dxa" w:w="7460"/>
            <w:tcMar>
              <w:top w:type="dxa" w:w="60"/>
              <w:left w:type="dxa" w:w="80"/>
              <w:bottom w:type="dxa" w:w="60"/>
              <w:right w:type="dxa" w:w="80"/>
            </w:tcMar>
          </w:tcPr>
          <w:p>
            <w:r>
              <w:rPr>
                <w:sz w:val="17"/>
                <w:szCs w:val="17"/>
              </w:rPr>
              <w:t xml:space="preserve">Five sessions replayed (10, 13, 14, 15, 16 July). No-leakage discipline enforced: each session's signal was constructed only from data available at that session's prior close. Sentiment was frozen at each replay point. Indicator values were recomputed forward, never back-filled.</w:t>
            </w:r>
          </w:p>
        </w:tc>
      </w:tr>
      <w:tr>
        <w:tc>
          <w:tcPr>
            <w:tcW w:type="dxa" w:w="1900"/>
            <w:shd w:fill="F2F2F2" w:color="auto" w:val="clear"/>
            <w:tcMar>
              <w:top w:type="dxa" w:w="60"/>
              <w:left w:type="dxa" w:w="80"/>
              <w:bottom w:type="dxa" w:w="60"/>
              <w:right w:type="dxa" w:w="80"/>
            </w:tcMar>
          </w:tcPr>
          <w:p>
            <w:r>
              <w:rPr>
                <w:sz w:val="17"/>
                <w:szCs w:val="17"/>
              </w:rPr>
              <w:t xml:space="preserve">Anomalies</w:t>
            </w:r>
          </w:p>
        </w:tc>
        <w:tc>
          <w:tcPr>
            <w:tcW w:type="dxa" w:w="7460"/>
            <w:shd w:fill="F2F2F2" w:color="auto" w:val="clear"/>
            <w:tcMar>
              <w:top w:type="dxa" w:w="60"/>
              <w:left w:type="dxa" w:w="80"/>
              <w:bottom w:type="dxa" w:w="60"/>
              <w:right w:type="dxa" w:w="80"/>
            </w:tcMar>
          </w:tcPr>
          <w:p>
            <w:r>
              <w:rPr>
                <w:sz w:val="17"/>
                <w:szCs w:val="17"/>
              </w:rPr>
              <w:t xml:space="preserve">(1) Kaufman/short-term contradiction — resolved and disclosed in §9. (2) Realised/implied volatility divergence (ATR slope −7.66% vs VIX +6.76%) — noted in §9 and §14. (3) Aggregator date-label offsets on the Investing.com series required manual alignment against the FRED and CNBC official closes; alignment verified at the 15 July close (7,572.40) before use. (4) The 15 July high (7,581.50) marginally exceeds the 10 July high (7,579.93) by 1.57 points while closing 2.99 points lower — treated as a double top, not a higher high. (5) IBM printed −25.21% intraday on 16 July per one feed against a +3.90% Dow-component reading from another; the discrepancy could not be reconciled and IBM was excluded from all constituent commentary.</w:t>
            </w:r>
          </w:p>
        </w:tc>
      </w:tr>
      <w:tr>
        <w:tc>
          <w:tcPr>
            <w:tcW w:type="dxa" w:w="1900"/>
            <w:tcMar>
              <w:top w:type="dxa" w:w="60"/>
              <w:left w:type="dxa" w:w="80"/>
              <w:bottom w:type="dxa" w:w="60"/>
              <w:right w:type="dxa" w:w="80"/>
            </w:tcMar>
          </w:tcPr>
          <w:p>
            <w:r>
              <w:rPr>
                <w:sz w:val="17"/>
                <w:szCs w:val="17"/>
              </w:rPr>
              <w:t xml:space="preserve">Deviations</w:t>
            </w:r>
          </w:p>
        </w:tc>
        <w:tc>
          <w:tcPr>
            <w:tcW w:type="dxa" w:w="7460"/>
            <w:tcMar>
              <w:top w:type="dxa" w:w="60"/>
              <w:left w:type="dxa" w:w="80"/>
              <w:bottom w:type="dxa" w:w="60"/>
              <w:right w:type="dxa" w:w="80"/>
            </w:tcMar>
          </w:tcPr>
          <w:p>
            <w:r>
              <w:rPr>
                <w:sz w:val="17"/>
                <w:szCs w:val="17"/>
              </w:rPr>
              <w:t xml:space="preserve">Charts not produced (§7). Trade 1 suppression overridden (above). Anchor overridden (above). Corroboration leniency applied (above). Medium window populated with 18 of 25 sessions (§19).</w:t>
            </w:r>
          </w:p>
        </w:tc>
      </w:tr>
      <w:tr>
        <w:tc>
          <w:tcPr>
            <w:tcW w:type="dxa" w:w="1900"/>
            <w:shd w:fill="F2F2F2" w:color="auto" w:val="clear"/>
            <w:tcMar>
              <w:top w:type="dxa" w:w="60"/>
              <w:left w:type="dxa" w:w="80"/>
              <w:bottom w:type="dxa" w:w="60"/>
              <w:right w:type="dxa" w:w="80"/>
            </w:tcMar>
          </w:tcPr>
          <w:p>
            <w:r>
              <w:rPr>
                <w:sz w:val="17"/>
                <w:szCs w:val="17"/>
              </w:rPr>
              <w:t xml:space="preserve">Forward-test session</w:t>
            </w:r>
          </w:p>
        </w:tc>
        <w:tc>
          <w:tcPr>
            <w:tcW w:type="dxa" w:w="7460"/>
            <w:shd w:fill="F2F2F2" w:color="auto" w:val="clear"/>
            <w:tcMar>
              <w:top w:type="dxa" w:w="60"/>
              <w:left w:type="dxa" w:w="80"/>
              <w:bottom w:type="dxa" w:w="60"/>
              <w:right w:type="dxa" w:w="80"/>
            </w:tcMar>
          </w:tcPr>
          <w:p>
            <w:r>
              <w:rPr>
                <w:sz w:val="17"/>
                <w:szCs w:val="17"/>
              </w:rPr>
              <w:t xml:space="preserve">Session 1 of the 20-session weight-lock counter.</w:t>
            </w:r>
          </w:p>
        </w:tc>
      </w:tr>
    </w:tbl>
    <w:p>
      <w:r>
        <w:br w:type="page"/>
      </w:r>
    </w:p>
    <w:p>
      <w:pPr>
        <w:pStyle w:val="Heading1"/>
        <w:spacing w:after="120" w:before="240"/>
      </w:pPr>
      <w:r>
        <w:t xml:space="preserve">§21  Strategy Recommendations</w:t>
      </w:r>
    </w:p>
    <w:p>
      <w:pPr>
        <w:spacing w:after="100"/>
      </w:pPr>
      <w:r>
        <w:rPr>
          <w:b/>
          <w:bCs/>
          <w:sz w:val="20"/>
          <w:szCs w:val="20"/>
        </w:rPr>
        <w:t xml:space="preserve">§21a  Directional Conviction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800"/>
        <w:gridCol w:w="1200"/>
        <w:gridCol w:w="4460"/>
      </w:tblGrid>
      <w:tr>
        <w:trPr>
          <w:tblHeader/>
        </w:trPr>
        <w:tc>
          <w:tcPr>
            <w:tcW w:type="dxa" w:w="2100"/>
            <w:shd w:fill="1F3864" w:color="auto" w:val="clear"/>
            <w:tcMar>
              <w:top w:type="dxa" w:w="60"/>
              <w:left w:type="dxa" w:w="80"/>
              <w:bottom w:type="dxa" w:w="60"/>
              <w:right w:type="dxa" w:w="80"/>
            </w:tcMar>
          </w:tcPr>
          <w:p>
            <w:r>
              <w:rPr>
                <w:b/>
                <w:bCs/>
                <w:color w:val="FFFFFF"/>
                <w:sz w:val="17"/>
                <w:szCs w:val="17"/>
              </w:rPr>
              <w:t xml:space="preserve">Component</w:t>
            </w:r>
          </w:p>
        </w:tc>
        <w:tc>
          <w:tcPr>
            <w:tcW w:type="dxa" w:w="800"/>
            <w:shd w:fill="1F3864" w:color="auto" w:val="clear"/>
            <w:tcMar>
              <w:top w:type="dxa" w:w="60"/>
              <w:left w:type="dxa" w:w="80"/>
              <w:bottom w:type="dxa" w:w="60"/>
              <w:right w:type="dxa" w:w="80"/>
            </w:tcMar>
          </w:tcPr>
          <w:p>
            <w:r>
              <w:rPr>
                <w:b/>
                <w:bCs/>
                <w:color w:val="FFFFFF"/>
                <w:sz w:val="17"/>
                <w:szCs w:val="17"/>
              </w:rPr>
              <w:t xml:space="preserve">Weight</w:t>
            </w:r>
          </w:p>
        </w:tc>
        <w:tc>
          <w:tcPr>
            <w:tcW w:type="dxa" w:w="800"/>
            <w:shd w:fill="1F3864" w:color="auto" w:val="clear"/>
            <w:tcMar>
              <w:top w:type="dxa" w:w="60"/>
              <w:left w:type="dxa" w:w="80"/>
              <w:bottom w:type="dxa" w:w="60"/>
              <w:right w:type="dxa" w:w="80"/>
            </w:tcMar>
          </w:tcPr>
          <w:p>
            <w:r>
              <w:rPr>
                <w:b/>
                <w:bCs/>
                <w:color w:val="FFFFFF"/>
                <w:sz w:val="17"/>
                <w:szCs w:val="17"/>
              </w:rPr>
              <w:t xml:space="preserve">Score</w:t>
            </w:r>
          </w:p>
        </w:tc>
        <w:tc>
          <w:tcPr>
            <w:tcW w:type="dxa" w:w="1200"/>
            <w:shd w:fill="1F3864" w:color="auto" w:val="clear"/>
            <w:tcMar>
              <w:top w:type="dxa" w:w="60"/>
              <w:left w:type="dxa" w:w="80"/>
              <w:bottom w:type="dxa" w:w="60"/>
              <w:right w:type="dxa" w:w="80"/>
            </w:tcMar>
          </w:tcPr>
          <w:p>
            <w:r>
              <w:rPr>
                <w:b/>
                <w:bCs/>
                <w:color w:val="FFFFFF"/>
                <w:sz w:val="17"/>
                <w:szCs w:val="17"/>
              </w:rPr>
              <w:t xml:space="preserve">Contribution</w:t>
            </w:r>
          </w:p>
        </w:tc>
        <w:tc>
          <w:tcPr>
            <w:tcW w:type="dxa" w:w="4460"/>
            <w:shd w:fill="1F3864" w:color="auto" w:val="clear"/>
            <w:tcMar>
              <w:top w:type="dxa" w:w="60"/>
              <w:left w:type="dxa" w:w="80"/>
              <w:bottom w:type="dxa" w:w="60"/>
              <w:right w:type="dxa" w:w="80"/>
            </w:tcMar>
          </w:tcPr>
          <w:p>
            <w:r>
              <w:rPr>
                <w:b/>
                <w:bCs/>
                <w:color w:val="FFFFFF"/>
                <w:sz w:val="17"/>
                <w:szCs w:val="17"/>
              </w:rPr>
              <w:t xml:space="preserve">Basis</w:t>
            </w:r>
          </w:p>
        </w:tc>
      </w:tr>
      <w:tr>
        <w:tc>
          <w:tcPr>
            <w:tcW w:type="dxa" w:w="2100"/>
            <w:tcMar>
              <w:top w:type="dxa" w:w="60"/>
              <w:left w:type="dxa" w:w="80"/>
              <w:bottom w:type="dxa" w:w="60"/>
              <w:right w:type="dxa" w:w="80"/>
            </w:tcMar>
          </w:tcPr>
          <w:p>
            <w:r>
              <w:rPr>
                <w:sz w:val="17"/>
                <w:szCs w:val="17"/>
              </w:rPr>
              <w:t xml:space="preserve">Short-term technical</w:t>
            </w:r>
          </w:p>
        </w:tc>
        <w:tc>
          <w:tcPr>
            <w:tcW w:type="dxa" w:w="800"/>
            <w:tcMar>
              <w:top w:type="dxa" w:w="60"/>
              <w:left w:type="dxa" w:w="80"/>
              <w:bottom w:type="dxa" w:w="60"/>
              <w:right w:type="dxa" w:w="80"/>
            </w:tcMar>
          </w:tcPr>
          <w:p>
            <w:r>
              <w:rPr>
                <w:sz w:val="17"/>
                <w:szCs w:val="17"/>
              </w:rPr>
              <w:t xml:space="preserve">0.25</w:t>
            </w:r>
          </w:p>
        </w:tc>
        <w:tc>
          <w:tcPr>
            <w:tcW w:type="dxa" w:w="800"/>
            <w:tcMar>
              <w:top w:type="dxa" w:w="60"/>
              <w:left w:type="dxa" w:w="80"/>
              <w:bottom w:type="dxa" w:w="60"/>
              <w:right w:type="dxa" w:w="80"/>
            </w:tcMar>
          </w:tcPr>
          <w:p>
            <w:r>
              <w:rPr>
                <w:sz w:val="17"/>
                <w:szCs w:val="17"/>
              </w:rPr>
              <w:t xml:space="preserve">−0.50</w:t>
            </w:r>
          </w:p>
        </w:tc>
        <w:tc>
          <w:tcPr>
            <w:tcW w:type="dxa" w:w="1200"/>
            <w:tcMar>
              <w:top w:type="dxa" w:w="60"/>
              <w:left w:type="dxa" w:w="80"/>
              <w:bottom w:type="dxa" w:w="60"/>
              <w:right w:type="dxa" w:w="80"/>
            </w:tcMar>
          </w:tcPr>
          <w:p>
            <w:r>
              <w:rPr>
                <w:sz w:val="17"/>
                <w:szCs w:val="17"/>
              </w:rPr>
              <w:t xml:space="preserve">−0.125</w:t>
            </w:r>
          </w:p>
        </w:tc>
        <w:tc>
          <w:tcPr>
            <w:tcW w:type="dxa" w:w="4460"/>
            <w:tcMar>
              <w:top w:type="dxa" w:w="60"/>
              <w:left w:type="dxa" w:w="80"/>
              <w:bottom w:type="dxa" w:w="60"/>
              <w:right w:type="dxa" w:w="80"/>
            </w:tcMar>
          </w:tcPr>
          <w:p>
            <w:r>
              <w:rPr>
                <w:sz w:val="17"/>
                <w:szCs w:val="17"/>
              </w:rPr>
              <w:t xml:space="preserve">RSI2 at 35.4 (20–40 band). Double-top rejection, second RSI2 whipsaw in five sessions.</w:t>
            </w:r>
          </w:p>
        </w:tc>
      </w:tr>
      <w:tr>
        <w:tc>
          <w:tcPr>
            <w:tcW w:type="dxa" w:w="2100"/>
            <w:shd w:fill="F2F2F2" w:color="auto" w:val="clear"/>
            <w:tcMar>
              <w:top w:type="dxa" w:w="60"/>
              <w:left w:type="dxa" w:w="80"/>
              <w:bottom w:type="dxa" w:w="60"/>
              <w:right w:type="dxa" w:w="80"/>
            </w:tcMar>
          </w:tcPr>
          <w:p>
            <w:r>
              <w:rPr>
                <w:sz w:val="17"/>
                <w:szCs w:val="17"/>
              </w:rPr>
              <w:t xml:space="preserve">Medium-term regime</w:t>
            </w:r>
          </w:p>
        </w:tc>
        <w:tc>
          <w:tcPr>
            <w:tcW w:type="dxa" w:w="800"/>
            <w:shd w:fill="F2F2F2" w:color="auto" w:val="clear"/>
            <w:tcMar>
              <w:top w:type="dxa" w:w="60"/>
              <w:left w:type="dxa" w:w="80"/>
              <w:bottom w:type="dxa" w:w="60"/>
              <w:right w:type="dxa" w:w="80"/>
            </w:tcMar>
          </w:tcPr>
          <w:p>
            <w:r>
              <w:rPr>
                <w:sz w:val="17"/>
                <w:szCs w:val="17"/>
              </w:rPr>
              <w:t xml:space="preserve">0.20</w:t>
            </w:r>
          </w:p>
        </w:tc>
        <w:tc>
          <w:tcPr>
            <w:tcW w:type="dxa" w:w="800"/>
            <w:shd w:fill="F2F2F2" w:color="auto" w:val="clear"/>
            <w:tcMar>
              <w:top w:type="dxa" w:w="60"/>
              <w:left w:type="dxa" w:w="80"/>
              <w:bottom w:type="dxa" w:w="60"/>
              <w:right w:type="dxa" w:w="80"/>
            </w:tcMar>
          </w:tcPr>
          <w:p>
            <w:r>
              <w:rPr>
                <w:sz w:val="17"/>
                <w:szCs w:val="17"/>
              </w:rPr>
              <w:t xml:space="preserve">+0.40</w:t>
            </w:r>
          </w:p>
        </w:tc>
        <w:tc>
          <w:tcPr>
            <w:tcW w:type="dxa" w:w="1200"/>
            <w:shd w:fill="F2F2F2" w:color="auto" w:val="clear"/>
            <w:tcMar>
              <w:top w:type="dxa" w:w="60"/>
              <w:left w:type="dxa" w:w="80"/>
              <w:bottom w:type="dxa" w:w="60"/>
              <w:right w:type="dxa" w:w="80"/>
            </w:tcMar>
          </w:tcPr>
          <w:p>
            <w:r>
              <w:rPr>
                <w:sz w:val="17"/>
                <w:szCs w:val="17"/>
              </w:rPr>
              <w:t xml:space="preserve">+0.080</w:t>
            </w:r>
          </w:p>
        </w:tc>
        <w:tc>
          <w:tcPr>
            <w:tcW w:type="dxa" w:w="4460"/>
            <w:shd w:fill="F2F2F2" w:color="auto" w:val="clear"/>
            <w:tcMar>
              <w:top w:type="dxa" w:w="60"/>
              <w:left w:type="dxa" w:w="80"/>
              <w:bottom w:type="dxa" w:w="60"/>
              <w:right w:type="dxa" w:w="80"/>
            </w:tcMar>
          </w:tcPr>
          <w:p>
            <w:r>
              <w:rPr>
                <w:sz w:val="17"/>
                <w:szCs w:val="17"/>
              </w:rPr>
              <w:t xml:space="preserve">Higher-low sequence from 7,294.18 intact; price 0.7% above the 18-session mean.</w:t>
            </w:r>
          </w:p>
        </w:tc>
      </w:tr>
      <w:tr>
        <w:tc>
          <w:tcPr>
            <w:tcW w:type="dxa" w:w="2100"/>
            <w:tcMar>
              <w:top w:type="dxa" w:w="60"/>
              <w:left w:type="dxa" w:w="80"/>
              <w:bottom w:type="dxa" w:w="60"/>
              <w:right w:type="dxa" w:w="80"/>
            </w:tcMar>
          </w:tcPr>
          <w:p>
            <w:r>
              <w:rPr>
                <w:sz w:val="17"/>
                <w:szCs w:val="17"/>
              </w:rPr>
              <w:t xml:space="preserve">Volatility regime</w:t>
            </w:r>
          </w:p>
        </w:tc>
        <w:tc>
          <w:tcPr>
            <w:tcW w:type="dxa" w:w="800"/>
            <w:tcMar>
              <w:top w:type="dxa" w:w="60"/>
              <w:left w:type="dxa" w:w="80"/>
              <w:bottom w:type="dxa" w:w="60"/>
              <w:right w:type="dxa" w:w="80"/>
            </w:tcMar>
          </w:tcPr>
          <w:p>
            <w:r>
              <w:rPr>
                <w:sz w:val="17"/>
                <w:szCs w:val="17"/>
              </w:rPr>
              <w:t xml:space="preserve">0.10</w:t>
            </w:r>
          </w:p>
        </w:tc>
        <w:tc>
          <w:tcPr>
            <w:tcW w:type="dxa" w:w="800"/>
            <w:tcMar>
              <w:top w:type="dxa" w:w="60"/>
              <w:left w:type="dxa" w:w="80"/>
              <w:bottom w:type="dxa" w:w="60"/>
              <w:right w:type="dxa" w:w="80"/>
            </w:tcMar>
          </w:tcPr>
          <w:p>
            <w:r>
              <w:rPr>
                <w:sz w:val="17"/>
                <w:szCs w:val="17"/>
              </w:rPr>
              <w:t xml:space="preserve">+0.30</w:t>
            </w:r>
          </w:p>
        </w:tc>
        <w:tc>
          <w:tcPr>
            <w:tcW w:type="dxa" w:w="1200"/>
            <w:tcMar>
              <w:top w:type="dxa" w:w="60"/>
              <w:left w:type="dxa" w:w="80"/>
              <w:bottom w:type="dxa" w:w="60"/>
              <w:right w:type="dxa" w:w="80"/>
            </w:tcMar>
          </w:tcPr>
          <w:p>
            <w:r>
              <w:rPr>
                <w:sz w:val="17"/>
                <w:szCs w:val="17"/>
              </w:rPr>
              <w:t xml:space="preserve">+0.030</w:t>
            </w:r>
          </w:p>
        </w:tc>
        <w:tc>
          <w:tcPr>
            <w:tcW w:type="dxa" w:w="4460"/>
            <w:tcMar>
              <w:top w:type="dxa" w:w="60"/>
              <w:left w:type="dxa" w:w="80"/>
              <w:bottom w:type="dxa" w:w="60"/>
              <w:right w:type="dxa" w:w="80"/>
            </w:tcMar>
          </w:tcPr>
          <w:p>
            <w:r>
              <w:rPr>
                <w:sz w:val="17"/>
                <w:szCs w:val="17"/>
              </w:rPr>
              <w:t xml:space="preserve">ATR slope −7.66%. Compressing realised volatility is risk-supportive for equities.</w:t>
            </w:r>
          </w:p>
        </w:tc>
      </w:tr>
      <w:tr>
        <w:tc>
          <w:tcPr>
            <w:tcW w:type="dxa" w:w="2100"/>
            <w:shd w:fill="F2F2F2" w:color="auto" w:val="clear"/>
            <w:tcMar>
              <w:top w:type="dxa" w:w="60"/>
              <w:left w:type="dxa" w:w="80"/>
              <w:bottom w:type="dxa" w:w="60"/>
              <w:right w:type="dxa" w:w="80"/>
            </w:tcMar>
          </w:tcPr>
          <w:p>
            <w:r>
              <w:rPr>
                <w:sz w:val="17"/>
                <w:szCs w:val="17"/>
              </w:rPr>
              <w:t xml:space="preserve">Kaufman classification</w:t>
            </w:r>
          </w:p>
        </w:tc>
        <w:tc>
          <w:tcPr>
            <w:tcW w:type="dxa" w:w="800"/>
            <w:shd w:fill="F2F2F2" w:color="auto" w:val="clear"/>
            <w:tcMar>
              <w:top w:type="dxa" w:w="60"/>
              <w:left w:type="dxa" w:w="80"/>
              <w:bottom w:type="dxa" w:w="60"/>
              <w:right w:type="dxa" w:w="80"/>
            </w:tcMar>
          </w:tcPr>
          <w:p>
            <w:r>
              <w:rPr>
                <w:sz w:val="17"/>
                <w:szCs w:val="17"/>
              </w:rPr>
              <w:t xml:space="preserve">0.15</w:t>
            </w:r>
          </w:p>
        </w:tc>
        <w:tc>
          <w:tcPr>
            <w:tcW w:type="dxa" w:w="800"/>
            <w:shd w:fill="F2F2F2" w:color="auto" w:val="clear"/>
            <w:tcMar>
              <w:top w:type="dxa" w:w="60"/>
              <w:left w:type="dxa" w:w="80"/>
              <w:bottom w:type="dxa" w:w="60"/>
              <w:right w:type="dxa" w:w="80"/>
            </w:tcMar>
          </w:tcPr>
          <w:p>
            <w:r>
              <w:rPr>
                <w:sz w:val="17"/>
                <w:szCs w:val="17"/>
              </w:rPr>
              <w:t xml:space="preserve">+0.30</w:t>
            </w:r>
          </w:p>
        </w:tc>
        <w:tc>
          <w:tcPr>
            <w:tcW w:type="dxa" w:w="1200"/>
            <w:shd w:fill="F2F2F2" w:color="auto" w:val="clear"/>
            <w:tcMar>
              <w:top w:type="dxa" w:w="60"/>
              <w:left w:type="dxa" w:w="80"/>
              <w:bottom w:type="dxa" w:w="60"/>
              <w:right w:type="dxa" w:w="80"/>
            </w:tcMar>
          </w:tcPr>
          <w:p>
            <w:r>
              <w:rPr>
                <w:sz w:val="17"/>
                <w:szCs w:val="17"/>
              </w:rPr>
              <w:t xml:space="preserve">+0.045</w:t>
            </w:r>
          </w:p>
        </w:tc>
        <w:tc>
          <w:tcPr>
            <w:tcW w:type="dxa" w:w="4460"/>
            <w:shd w:fill="F2F2F2" w:color="auto" w:val="clear"/>
            <w:tcMar>
              <w:top w:type="dxa" w:w="60"/>
              <w:left w:type="dxa" w:w="80"/>
              <w:bottom w:type="dxa" w:w="60"/>
              <w:right w:type="dxa" w:w="80"/>
            </w:tcMar>
          </w:tcPr>
          <w:p>
            <w:r>
              <w:rPr>
                <w:sz w:val="17"/>
                <w:szCs w:val="17"/>
              </w:rPr>
              <w:t xml:space="preserve">KER +0.37, above the 0.13 trending threshold. TRENDING-UP.</w:t>
            </w:r>
          </w:p>
        </w:tc>
      </w:tr>
      <w:tr>
        <w:tc>
          <w:tcPr>
            <w:tcW w:type="dxa" w:w="2100"/>
            <w:tcMar>
              <w:top w:type="dxa" w:w="60"/>
              <w:left w:type="dxa" w:w="80"/>
              <w:bottom w:type="dxa" w:w="60"/>
              <w:right w:type="dxa" w:w="80"/>
            </w:tcMar>
          </w:tcPr>
          <w:p>
            <w:r>
              <w:rPr>
                <w:sz w:val="17"/>
                <w:szCs w:val="17"/>
              </w:rPr>
              <w:t xml:space="preserve">Sentiment tilt</w:t>
            </w:r>
          </w:p>
        </w:tc>
        <w:tc>
          <w:tcPr>
            <w:tcW w:type="dxa" w:w="800"/>
            <w:tcMar>
              <w:top w:type="dxa" w:w="60"/>
              <w:left w:type="dxa" w:w="80"/>
              <w:bottom w:type="dxa" w:w="60"/>
              <w:right w:type="dxa" w:w="80"/>
            </w:tcMar>
          </w:tcPr>
          <w:p>
            <w:r>
              <w:rPr>
                <w:sz w:val="17"/>
                <w:szCs w:val="17"/>
              </w:rPr>
              <w:t xml:space="preserve">0.15</w:t>
            </w:r>
          </w:p>
        </w:tc>
        <w:tc>
          <w:tcPr>
            <w:tcW w:type="dxa" w:w="800"/>
            <w:tcMar>
              <w:top w:type="dxa" w:w="60"/>
              <w:left w:type="dxa" w:w="80"/>
              <w:bottom w:type="dxa" w:w="60"/>
              <w:right w:type="dxa" w:w="80"/>
            </w:tcMar>
          </w:tcPr>
          <w:p>
            <w:r>
              <w:rPr>
                <w:sz w:val="17"/>
                <w:szCs w:val="17"/>
              </w:rPr>
              <w:t xml:space="preserve">−0.15</w:t>
            </w:r>
          </w:p>
        </w:tc>
        <w:tc>
          <w:tcPr>
            <w:tcW w:type="dxa" w:w="1200"/>
            <w:tcMar>
              <w:top w:type="dxa" w:w="60"/>
              <w:left w:type="dxa" w:w="80"/>
              <w:bottom w:type="dxa" w:w="60"/>
              <w:right w:type="dxa" w:w="80"/>
            </w:tcMar>
          </w:tcPr>
          <w:p>
            <w:r>
              <w:rPr>
                <w:sz w:val="17"/>
                <w:szCs w:val="17"/>
              </w:rPr>
              <w:t xml:space="preserve">−0.023</w:t>
            </w:r>
          </w:p>
        </w:tc>
        <w:tc>
          <w:tcPr>
            <w:tcW w:type="dxa" w:w="4460"/>
            <w:tcMar>
              <w:top w:type="dxa" w:w="60"/>
              <w:left w:type="dxa" w:w="80"/>
              <w:bottom w:type="dxa" w:w="60"/>
              <w:right w:type="dxa" w:w="80"/>
            </w:tcMar>
          </w:tcPr>
          <w:p>
            <w:r>
              <w:rPr>
                <w:sz w:val="17"/>
                <w:szCs w:val="17"/>
              </w:rPr>
              <w:t xml:space="preserve">Mildly Negative aggregate (§13b).</w:t>
            </w:r>
          </w:p>
        </w:tc>
      </w:tr>
      <w:tr>
        <w:tc>
          <w:tcPr>
            <w:tcW w:type="dxa" w:w="2100"/>
            <w:shd w:fill="F2F2F2" w:color="auto" w:val="clear"/>
            <w:tcMar>
              <w:top w:type="dxa" w:w="60"/>
              <w:left w:type="dxa" w:w="80"/>
              <w:bottom w:type="dxa" w:w="60"/>
              <w:right w:type="dxa" w:w="80"/>
            </w:tcMar>
          </w:tcPr>
          <w:p>
            <w:r>
              <w:rPr>
                <w:sz w:val="17"/>
                <w:szCs w:val="17"/>
              </w:rPr>
              <w:t xml:space="preserve">Cross-asset confirmation</w:t>
            </w:r>
          </w:p>
        </w:tc>
        <w:tc>
          <w:tcPr>
            <w:tcW w:type="dxa" w:w="800"/>
            <w:shd w:fill="F2F2F2" w:color="auto" w:val="clear"/>
            <w:tcMar>
              <w:top w:type="dxa" w:w="60"/>
              <w:left w:type="dxa" w:w="80"/>
              <w:bottom w:type="dxa" w:w="60"/>
              <w:right w:type="dxa" w:w="80"/>
            </w:tcMar>
          </w:tcPr>
          <w:p>
            <w:r>
              <w:rPr>
                <w:sz w:val="17"/>
                <w:szCs w:val="17"/>
              </w:rPr>
              <w:t xml:space="preserve">0.15</w:t>
            </w:r>
          </w:p>
        </w:tc>
        <w:tc>
          <w:tcPr>
            <w:tcW w:type="dxa" w:w="800"/>
            <w:shd w:fill="F2F2F2" w:color="auto" w:val="clear"/>
            <w:tcMar>
              <w:top w:type="dxa" w:w="60"/>
              <w:left w:type="dxa" w:w="80"/>
              <w:bottom w:type="dxa" w:w="60"/>
              <w:right w:type="dxa" w:w="80"/>
            </w:tcMar>
          </w:tcPr>
          <w:p>
            <w:r>
              <w:rPr>
                <w:sz w:val="17"/>
                <w:szCs w:val="17"/>
              </w:rPr>
              <w:t xml:space="preserve">−0.40</w:t>
            </w:r>
          </w:p>
        </w:tc>
        <w:tc>
          <w:tcPr>
            <w:tcW w:type="dxa" w:w="1200"/>
            <w:shd w:fill="F2F2F2" w:color="auto" w:val="clear"/>
            <w:tcMar>
              <w:top w:type="dxa" w:w="60"/>
              <w:left w:type="dxa" w:w="80"/>
              <w:bottom w:type="dxa" w:w="60"/>
              <w:right w:type="dxa" w:w="80"/>
            </w:tcMar>
          </w:tcPr>
          <w:p>
            <w:r>
              <w:rPr>
                <w:sz w:val="17"/>
                <w:szCs w:val="17"/>
              </w:rPr>
              <w:t xml:space="preserve">−0.060</w:t>
            </w:r>
          </w:p>
        </w:tc>
        <w:tc>
          <w:tcPr>
            <w:tcW w:type="dxa" w:w="4460"/>
            <w:shd w:fill="F2F2F2" w:color="auto" w:val="clear"/>
            <w:tcMar>
              <w:top w:type="dxa" w:w="60"/>
              <w:left w:type="dxa" w:w="80"/>
              <w:bottom w:type="dxa" w:w="60"/>
              <w:right w:type="dxa" w:w="80"/>
            </w:tcMar>
          </w:tcPr>
          <w:p>
            <w:r>
              <w:rPr>
                <w:sz w:val="17"/>
                <w:szCs w:val="17"/>
              </w:rPr>
              <w:t xml:space="preserve">CONTRADICT — VIX +6.76% and DAX −0.98% both point at AI-capex repricing; USDX confirms.</w:t>
            </w:r>
          </w:p>
        </w:tc>
      </w:tr>
      <w:tr>
        <w:tc>
          <w:tcPr>
            <w:tcW w:type="dxa" w:w="2100"/>
            <w:tcMar>
              <w:top w:type="dxa" w:w="60"/>
              <w:left w:type="dxa" w:w="80"/>
              <w:bottom w:type="dxa" w:w="60"/>
              <w:right w:type="dxa" w:w="80"/>
            </w:tcMar>
          </w:tcPr>
          <w:p>
            <w:r>
              <w:rPr>
                <w:sz w:val="17"/>
                <w:szCs w:val="17"/>
              </w:rPr>
              <w:t xml:space="preserve">NET DIRECTION SCORE</w:t>
            </w:r>
          </w:p>
        </w:tc>
        <w:tc>
          <w:tcPr>
            <w:tcW w:type="dxa" w:w="800"/>
            <w:tcMar>
              <w:top w:type="dxa" w:w="60"/>
              <w:left w:type="dxa" w:w="80"/>
              <w:bottom w:type="dxa" w:w="60"/>
              <w:right w:type="dxa" w:w="80"/>
            </w:tcMar>
          </w:tcPr>
          <w:p>
            <w:r>
              <w:rPr>
                <w:sz w:val="17"/>
                <w:szCs w:val="17"/>
              </w:rPr>
              <w:t xml:space="preserve">1.00</w:t>
            </w:r>
          </w:p>
        </w:tc>
        <w:tc>
          <w:tcPr>
            <w:tcW w:type="dxa" w:w="800"/>
            <w:tcMar>
              <w:top w:type="dxa" w:w="60"/>
              <w:left w:type="dxa" w:w="80"/>
              <w:bottom w:type="dxa" w:w="60"/>
              <w:right w:type="dxa" w:w="80"/>
            </w:tcMar>
          </w:tcPr>
          <w:p>
            <w:r>
              <w:rPr>
                <w:sz w:val="17"/>
                <w:szCs w:val="17"/>
              </w:rPr>
              <w:t xml:space="preserve"/>
            </w:r>
          </w:p>
        </w:tc>
        <w:tc>
          <w:tcPr>
            <w:tcW w:type="dxa" w:w="1200"/>
            <w:tcMar>
              <w:top w:type="dxa" w:w="60"/>
              <w:left w:type="dxa" w:w="80"/>
              <w:bottom w:type="dxa" w:w="60"/>
              <w:right w:type="dxa" w:w="80"/>
            </w:tcMar>
          </w:tcPr>
          <w:p>
            <w:r>
              <w:rPr>
                <w:sz w:val="17"/>
                <w:szCs w:val="17"/>
              </w:rPr>
              <w:t xml:space="preserve">−0.0525</w:t>
            </w:r>
          </w:p>
        </w:tc>
        <w:tc>
          <w:tcPr>
            <w:tcW w:type="dxa" w:w="4460"/>
            <w:tcMar>
              <w:top w:type="dxa" w:w="60"/>
              <w:left w:type="dxa" w:w="80"/>
              <w:bottom w:type="dxa" w:w="60"/>
              <w:right w:type="dxa" w:w="80"/>
            </w:tcMar>
          </w:tcPr>
          <w:p>
            <w:r>
              <w:rPr>
                <w:sz w:val="17"/>
                <w:szCs w:val="17"/>
              </w:rPr>
              <w:t xml:space="preserve">MINIMAL conviction, SHORT bias by sign only</w:t>
            </w:r>
          </w:p>
        </w:tc>
      </w:tr>
    </w:tbl>
    <w:p>
      <w:pPr>
        <w:shd w:fill="FFF3CD" w:color="auto" w:val="clear"/>
        <w:spacing w:after="160" w:before="120"/>
      </w:pPr>
      <w:r>
        <w:rPr>
          <w:b/>
          <w:bCs/>
          <w:sz w:val="19"/>
          <w:szCs w:val="19"/>
        </w:rPr>
        <w:t xml:space="preserve">CONVICTION THRESHOLD BREACH — READ BEFORE ACTING. The absolute direction score of 0.0525 is one-fifth of the 0.25 conviction threshold. Under standard operation every directional card below would be suppressed. They are produced at explicit analyst instruction. A score this close to zero does not mean 'weakly short' — it means the six inputs are in near-perfect cancellation, with a genuinely constructive medium-term structure and Kaufman reading offset almost exactly by a negative short-term technical and cross-asset picture. The sign is not a signal; it is a rounding artefact of a balanced book. Size accordingly.</w:t>
      </w:r>
    </w:p>
    <w:p>
      <w:pPr>
        <w:spacing w:after="160"/>
      </w:pPr>
      <w:r>
        <w:rPr>
          <w:sz w:val="20"/>
          <w:szCs w:val="20"/>
        </w:rPr>
        <w:t xml:space="preserve">Regime fork: TRANSITION. Trade 2 and Trade 3 are constructed as range-boundary strategies rather than trend-continuation strategies, consistent with the range thesis in §16. Simultaneous long and short cards are permitted for this instance and are present below — this is intentional. In a TRANSITION regime with a 77-point range and near-zero direction score, the defensible position is to trade the boundaries rather than to guess the break.</w:t>
      </w:r>
    </w:p>
    <w:p>
      <w:pPr>
        <w:shd w:fill="8B0000" w:color="auto" w:val="clear"/>
        <w:spacing w:after="0" w:before="200"/>
      </w:pPr>
      <w:r>
        <w:rPr>
          <w:b/>
          <w:bCs/>
          <w:color w:val="FFFFFF"/>
          <w:sz w:val="22"/>
          <w:szCs w:val="22"/>
        </w:rPr>
        <w:t xml:space="preserve">TRADE 1 — Daily Directional  ·  SHORT  ·  MINIMAL conviction (threshold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80"/>
              <w:bottom w:type="dxa" w:w="60"/>
              <w:right w:type="dxa" w:w="80"/>
            </w:tcMar>
          </w:tcPr>
          <w:p>
            <w:r>
              <w:rPr>
                <w:b/>
                <w:bCs/>
                <w:color w:val="FFFFFF"/>
                <w:sz w:val="17"/>
                <w:szCs w:val="17"/>
              </w:rPr>
              <w:t xml:space="preserve">Field</w:t>
            </w:r>
          </w:p>
        </w:tc>
        <w:tc>
          <w:tcPr>
            <w:tcW w:type="dxa" w:w="71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2200"/>
            <w:tcMar>
              <w:top w:type="dxa" w:w="60"/>
              <w:left w:type="dxa" w:w="80"/>
              <w:bottom w:type="dxa" w:w="60"/>
              <w:right w:type="dxa" w:w="80"/>
            </w:tcMar>
          </w:tcPr>
          <w:p>
            <w:r>
              <w:rPr>
                <w:sz w:val="17"/>
                <w:szCs w:val="17"/>
              </w:rPr>
              <w:t xml:space="preserve">Direction</w:t>
            </w:r>
          </w:p>
        </w:tc>
        <w:tc>
          <w:tcPr>
            <w:tcW w:type="dxa" w:w="7160"/>
            <w:tcMar>
              <w:top w:type="dxa" w:w="60"/>
              <w:left w:type="dxa" w:w="80"/>
              <w:bottom w:type="dxa" w:w="60"/>
              <w:right w:type="dxa" w:w="80"/>
            </w:tcMar>
          </w:tcPr>
          <w:p>
            <w:r>
              <w:rPr>
                <w:sz w:val="17"/>
                <w:szCs w:val="17"/>
              </w:rPr>
              <w:t xml:space="preserve">SHORT</w:t>
            </w:r>
          </w:p>
        </w:tc>
      </w:tr>
      <w:tr>
        <w:tc>
          <w:tcPr>
            <w:tcW w:type="dxa" w:w="2200"/>
            <w:shd w:fill="F2F2F2" w:color="auto" w:val="clear"/>
            <w:tcMar>
              <w:top w:type="dxa" w:w="60"/>
              <w:left w:type="dxa" w:w="80"/>
              <w:bottom w:type="dxa" w:w="60"/>
              <w:right w:type="dxa" w:w="80"/>
            </w:tcMar>
          </w:tcPr>
          <w:p>
            <w:r>
              <w:rPr>
                <w:sz w:val="17"/>
                <w:szCs w:val="17"/>
              </w:rPr>
              <w:t xml:space="preserve">Entry</w:t>
            </w:r>
          </w:p>
        </w:tc>
        <w:tc>
          <w:tcPr>
            <w:tcW w:type="dxa" w:w="7160"/>
            <w:shd w:fill="F2F2F2" w:color="auto" w:val="clear"/>
            <w:tcMar>
              <w:top w:type="dxa" w:w="60"/>
              <w:left w:type="dxa" w:w="80"/>
              <w:bottom w:type="dxa" w:w="60"/>
              <w:right w:type="dxa" w:w="80"/>
            </w:tcMar>
          </w:tcPr>
          <w:p>
            <w:r>
              <w:rPr>
                <w:sz w:val="17"/>
                <w:szCs w:val="17"/>
              </w:rPr>
              <w:t xml:space="preserve">7,542.76 — pending order at the 14:30 UK cash open (anchor nominally 00:00 UK; see caveats)</w:t>
            </w:r>
          </w:p>
        </w:tc>
      </w:tr>
      <w:tr>
        <w:tc>
          <w:tcPr>
            <w:tcW w:type="dxa" w:w="2200"/>
            <w:tcMar>
              <w:top w:type="dxa" w:w="60"/>
              <w:left w:type="dxa" w:w="80"/>
              <w:bottom w:type="dxa" w:w="60"/>
              <w:right w:type="dxa" w:w="80"/>
            </w:tcMar>
          </w:tcPr>
          <w:p>
            <w:r>
              <w:rPr>
                <w:sz w:val="17"/>
                <w:szCs w:val="17"/>
              </w:rPr>
              <w:t xml:space="preserve">Stop loss</w:t>
            </w:r>
          </w:p>
        </w:tc>
        <w:tc>
          <w:tcPr>
            <w:tcW w:type="dxa" w:w="7160"/>
            <w:tcMar>
              <w:top w:type="dxa" w:w="60"/>
              <w:left w:type="dxa" w:w="80"/>
              <w:bottom w:type="dxa" w:w="60"/>
              <w:right w:type="dxa" w:w="80"/>
            </w:tcMar>
          </w:tcPr>
          <w:p>
            <w:r>
              <w:rPr>
                <w:sz w:val="17"/>
                <w:szCs w:val="17"/>
              </w:rPr>
              <w:t xml:space="preserve">7,586.27  (43.51 points above entry)</w:t>
            </w:r>
          </w:p>
        </w:tc>
      </w:tr>
      <w:tr>
        <w:tc>
          <w:tcPr>
            <w:tcW w:type="dxa" w:w="2200"/>
            <w:shd w:fill="F2F2F2" w:color="auto" w:val="clear"/>
            <w:tcMar>
              <w:top w:type="dxa" w:w="60"/>
              <w:left w:type="dxa" w:w="80"/>
              <w:bottom w:type="dxa" w:w="60"/>
              <w:right w:type="dxa" w:w="80"/>
            </w:tcMar>
          </w:tcPr>
          <w:p>
            <w:r>
              <w:rPr>
                <w:sz w:val="17"/>
                <w:szCs w:val="17"/>
              </w:rPr>
              <w:t xml:space="preserve">Risk (R)</w:t>
            </w:r>
          </w:p>
        </w:tc>
        <w:tc>
          <w:tcPr>
            <w:tcW w:type="dxa" w:w="7160"/>
            <w:shd w:fill="F2F2F2" w:color="auto" w:val="clear"/>
            <w:tcMar>
              <w:top w:type="dxa" w:w="60"/>
              <w:left w:type="dxa" w:w="80"/>
              <w:bottom w:type="dxa" w:w="60"/>
              <w:right w:type="dxa" w:w="80"/>
            </w:tcMar>
          </w:tcPr>
          <w:p>
            <w:r>
              <w:rPr>
                <w:sz w:val="17"/>
                <w:szCs w:val="17"/>
              </w:rPr>
              <w:t xml:space="preserve">43.51 index points  =  43.51 points  =  0.61 × ATR(14)</w:t>
            </w:r>
          </w:p>
        </w:tc>
      </w:tr>
      <w:tr>
        <w:tc>
          <w:tcPr>
            <w:tcW w:type="dxa" w:w="2200"/>
            <w:tcMar>
              <w:top w:type="dxa" w:w="60"/>
              <w:left w:type="dxa" w:w="80"/>
              <w:bottom w:type="dxa" w:w="60"/>
              <w:right w:type="dxa" w:w="80"/>
            </w:tcMar>
          </w:tcPr>
          <w:p>
            <w:r>
              <w:rPr>
                <w:sz w:val="17"/>
                <w:szCs w:val="17"/>
              </w:rPr>
              <w:t xml:space="preserve">TP1</w:t>
            </w:r>
          </w:p>
        </w:tc>
        <w:tc>
          <w:tcPr>
            <w:tcW w:type="dxa" w:w="7160"/>
            <w:tcMar>
              <w:top w:type="dxa" w:w="60"/>
              <w:left w:type="dxa" w:w="80"/>
              <w:bottom w:type="dxa" w:w="60"/>
              <w:right w:type="dxa" w:w="80"/>
            </w:tcMar>
          </w:tcPr>
          <w:p>
            <w:r>
              <w:rPr>
                <w:sz w:val="17"/>
                <w:szCs w:val="17"/>
              </w:rPr>
              <w:t xml:space="preserve">7,499.25   (1R — 43.51 points)</w:t>
            </w:r>
          </w:p>
        </w:tc>
      </w:tr>
      <w:tr>
        <w:tc>
          <w:tcPr>
            <w:tcW w:type="dxa" w:w="2200"/>
            <w:shd w:fill="F2F2F2" w:color="auto" w:val="clear"/>
            <w:tcMar>
              <w:top w:type="dxa" w:w="60"/>
              <w:left w:type="dxa" w:w="80"/>
              <w:bottom w:type="dxa" w:w="60"/>
              <w:right w:type="dxa" w:w="80"/>
            </w:tcMar>
          </w:tcPr>
          <w:p>
            <w:r>
              <w:rPr>
                <w:sz w:val="17"/>
                <w:szCs w:val="17"/>
              </w:rPr>
              <w:t xml:space="preserve">TP2</w:t>
            </w:r>
          </w:p>
        </w:tc>
        <w:tc>
          <w:tcPr>
            <w:tcW w:type="dxa" w:w="7160"/>
            <w:shd w:fill="F2F2F2" w:color="auto" w:val="clear"/>
            <w:tcMar>
              <w:top w:type="dxa" w:w="60"/>
              <w:left w:type="dxa" w:w="80"/>
              <w:bottom w:type="dxa" w:w="60"/>
              <w:right w:type="dxa" w:w="80"/>
            </w:tcMar>
          </w:tcPr>
          <w:p>
            <w:r>
              <w:rPr>
                <w:sz w:val="17"/>
                <w:szCs w:val="17"/>
              </w:rPr>
              <w:t xml:space="preserve">7,455.75   (2R — 87.01 points)</w:t>
            </w:r>
          </w:p>
        </w:tc>
      </w:tr>
      <w:tr>
        <w:tc>
          <w:tcPr>
            <w:tcW w:type="dxa" w:w="2200"/>
            <w:tcMar>
              <w:top w:type="dxa" w:w="60"/>
              <w:left w:type="dxa" w:w="80"/>
              <w:bottom w:type="dxa" w:w="60"/>
              <w:right w:type="dxa" w:w="80"/>
            </w:tcMar>
          </w:tcPr>
          <w:p>
            <w:r>
              <w:rPr>
                <w:sz w:val="17"/>
                <w:szCs w:val="17"/>
              </w:rPr>
              <w:t xml:space="preserve">TP3</w:t>
            </w:r>
          </w:p>
        </w:tc>
        <w:tc>
          <w:tcPr>
            <w:tcW w:type="dxa" w:w="7160"/>
            <w:tcMar>
              <w:top w:type="dxa" w:w="60"/>
              <w:left w:type="dxa" w:w="80"/>
              <w:bottom w:type="dxa" w:w="60"/>
              <w:right w:type="dxa" w:w="80"/>
            </w:tcMar>
          </w:tcPr>
          <w:p>
            <w:r>
              <w:rPr>
                <w:sz w:val="17"/>
                <w:szCs w:val="17"/>
              </w:rPr>
              <w:t xml:space="preserve">7,327.55   (runner cap, 3 × ATR = 215.22 points)</w:t>
            </w:r>
          </w:p>
        </w:tc>
      </w:tr>
      <w:tr>
        <w:tc>
          <w:tcPr>
            <w:tcW w:type="dxa" w:w="2200"/>
            <w:shd w:fill="F2F2F2" w:color="auto" w:val="clear"/>
            <w:tcMar>
              <w:top w:type="dxa" w:w="60"/>
              <w:left w:type="dxa" w:w="80"/>
              <w:bottom w:type="dxa" w:w="60"/>
              <w:right w:type="dxa" w:w="80"/>
            </w:tcMar>
          </w:tcPr>
          <w:p>
            <w:r>
              <w:rPr>
                <w:sz w:val="17"/>
                <w:szCs w:val="17"/>
              </w:rPr>
              <w:t xml:space="preserve">Tranche management</w:t>
            </w:r>
          </w:p>
        </w:tc>
        <w:tc>
          <w:tcPr>
            <w:tcW w:type="dxa" w:w="7160"/>
            <w:shd w:fill="F2F2F2" w:color="auto" w:val="clear"/>
            <w:tcMar>
              <w:top w:type="dxa" w:w="60"/>
              <w:left w:type="dxa" w:w="80"/>
              <w:bottom w:type="dxa" w:w="60"/>
              <w:right w:type="dxa" w:w="80"/>
            </w:tcMar>
          </w:tcPr>
          <w:p>
            <w:r>
              <w:rPr>
                <w:sz w:val="17"/>
                <w:szCs w:val="17"/>
              </w:rPr>
              <w:t xml:space="preserve">3 equal units. Unit 1 exits at TP1; Unit 2 exits at TP2; on Unit 2 fill, Unit 3 stop moves to entry + 0.2R (7,551.46).</w:t>
            </w:r>
          </w:p>
        </w:tc>
      </w:tr>
      <w:tr>
        <w:tc>
          <w:tcPr>
            <w:tcW w:type="dxa" w:w="2200"/>
            <w:tcMar>
              <w:top w:type="dxa" w:w="60"/>
              <w:left w:type="dxa" w:w="80"/>
              <w:bottom w:type="dxa" w:w="60"/>
              <w:right w:type="dxa" w:w="80"/>
            </w:tcMar>
          </w:tcPr>
          <w:p>
            <w:r>
              <w:rPr>
                <w:sz w:val="17"/>
                <w:szCs w:val="17"/>
              </w:rPr>
              <w:t xml:space="preserve">Thesis invalidation</w:t>
            </w:r>
          </w:p>
        </w:tc>
        <w:tc>
          <w:tcPr>
            <w:tcW w:type="dxa" w:w="7160"/>
            <w:tcMar>
              <w:top w:type="dxa" w:w="60"/>
              <w:left w:type="dxa" w:w="80"/>
              <w:bottom w:type="dxa" w:w="60"/>
              <w:right w:type="dxa" w:w="80"/>
            </w:tcMar>
          </w:tcPr>
          <w:p>
            <w:r>
              <w:rPr>
                <w:sz w:val="17"/>
                <w:szCs w:val="17"/>
              </w:rPr>
              <w:t xml:space="preserve">7,586.27 — a print above the 15 July swing high at 7,581.50 plus a 0.25 × ATR buffer. This level breaking means the double top is not a double top.</w:t>
            </w:r>
          </w:p>
        </w:tc>
      </w:tr>
      <w:tr>
        <w:tc>
          <w:tcPr>
            <w:tcW w:type="dxa" w:w="2200"/>
            <w:shd w:fill="F2F2F2" w:color="auto" w:val="clear"/>
            <w:tcMar>
              <w:top w:type="dxa" w:w="60"/>
              <w:left w:type="dxa" w:w="80"/>
              <w:bottom w:type="dxa" w:w="60"/>
              <w:right w:type="dxa" w:w="80"/>
            </w:tcMar>
          </w:tcPr>
          <w:p>
            <w:r>
              <w:rPr>
                <w:sz w:val="17"/>
                <w:szCs w:val="17"/>
              </w:rPr>
              <w:t xml:space="preserve">Confluences</w:t>
            </w:r>
          </w:p>
        </w:tc>
        <w:tc>
          <w:tcPr>
            <w:tcW w:type="dxa" w:w="7160"/>
            <w:shd w:fill="F2F2F2" w:color="auto" w:val="clear"/>
            <w:tcMar>
              <w:top w:type="dxa" w:w="60"/>
              <w:left w:type="dxa" w:w="80"/>
              <w:bottom w:type="dxa" w:w="60"/>
              <w:right w:type="dxa" w:w="80"/>
            </w:tcMar>
          </w:tcPr>
          <w:p>
            <w:r>
              <w:rPr>
                <w:sz w:val="17"/>
                <w:szCs w:val="17"/>
              </w:rPr>
              <w:t xml:space="preserve">Stop sits above the twice-rejected 7,568–7,581 supply shelf and above daily R1 (7,568.33). TP1 at 7,499.25 sits just below the daily S1 / defended-floor confluence at 7,501.61–7,504.02. TP2 at 7,455.75 approaches the 78.6% retracement of the 10-session swing (7,455.99) — a 0.24-point coincidence.</w:t>
            </w:r>
          </w:p>
        </w:tc>
      </w:tr>
    </w:tbl>
    <w:p>
      <w:pPr>
        <w:spacing w:after="60"/>
      </w:pPr>
      <w:r>
        <w:rPr>
          <w:b/>
          <w:bCs/>
          <w:sz w:val="18"/>
          <w:szCs w:val="18"/>
        </w:rPr>
        <w:t xml:space="preserve">Caveats:</w:t>
      </w:r>
    </w:p>
    <w:p>
      <w:pPr>
        <w:pStyle w:val="ListParagraph"/>
        <w:numPr>
          <w:ilvl w:val="0"/>
          <w:numId w:val="1"/>
        </w:numPr>
        <w:spacing w:after="60"/>
      </w:pPr>
      <w:r>
        <w:rPr>
          <w:sz w:val="17"/>
          <w:szCs w:val="17"/>
        </w:rPr>
        <w:t xml:space="preserve">CONVICTION THRESHOLD BREACH — direction score 0.0525 vs a 0.25 threshold. This card exists only because suppression was overridden by instruction. It is the weakest card in this report.</w:t>
      </w:r>
    </w:p>
    <w:p>
      <w:pPr>
        <w:pStyle w:val="ListParagraph"/>
        <w:numPr>
          <w:ilvl w:val="0"/>
          <w:numId w:val="1"/>
        </w:numPr>
        <w:spacing w:after="60"/>
      </w:pPr>
      <w:r>
        <w:rPr>
          <w:sz w:val="17"/>
          <w:szCs w:val="17"/>
        </w:rPr>
        <w:t xml:space="preserve">ANCHOR NOT EXECUTABLE AS CONFIGURED — the S&amp;P 500 cash index does not trade at 00:00 UK. Entry must be placed as a pending order triggering at the 14:30 UK cash open, or routed via ES futures. The 7,542.76 anchor is a mid-range reference derived from the 5-session swing, not an expected fill.</w:t>
      </w:r>
    </w:p>
    <w:p>
      <w:pPr>
        <w:pStyle w:val="ListParagraph"/>
        <w:numPr>
          <w:ilvl w:val="0"/>
          <w:numId w:val="1"/>
        </w:numPr>
        <w:spacing w:after="60"/>
      </w:pPr>
      <w:r>
        <w:rPr>
          <w:sz w:val="17"/>
          <w:szCs w:val="17"/>
        </w:rPr>
        <w:t xml:space="preserve">STOP ANCHORED TO INDICATIVE DATA — the 7,581.50 swing high is drawn from the 15 July intraday range, which is single-source (see §19). Corroboration leniency applied by instruction. If that high is wrong, this stop is wrong.</w:t>
      </w:r>
    </w:p>
    <w:p>
      <w:pPr>
        <w:pStyle w:val="ListParagraph"/>
        <w:numPr>
          <w:ilvl w:val="0"/>
          <w:numId w:val="1"/>
        </w:numPr>
        <w:spacing w:after="60"/>
      </w:pPr>
      <w:r>
        <w:rPr>
          <w:sz w:val="17"/>
          <w:szCs w:val="17"/>
        </w:rPr>
        <w:t xml:space="preserve">NEWS COLLISION — HIGH. Netflix's post-close print and an Asian semiconductor session reported set to open lower both land before the 17 July cash open (§13d). Both are directionally favourable to this card, which is precisely why the entry may gap through it.</w:t>
      </w:r>
    </w:p>
    <w:p>
      <w:pPr>
        <w:pStyle w:val="ListParagraph"/>
        <w:numPr>
          <w:ilvl w:val="0"/>
          <w:numId w:val="1"/>
        </w:numPr>
        <w:spacing w:after="60"/>
      </w:pPr>
      <w:r>
        <w:rPr>
          <w:sz w:val="17"/>
          <w:szCs w:val="17"/>
        </w:rPr>
        <w:t xml:space="preserve">Entry sits 8.99 points above the 16 July close — the card requires a bounce to fill. If the market opens lower, this trade does not trigger at the stated level.</w:t>
      </w:r>
    </w:p>
    <w:p>
      <w:pPr>
        <w:shd w:fill="1B5E20" w:color="auto" w:val="clear"/>
        <w:spacing w:after="0" w:before="200"/>
      </w:pPr>
      <w:r>
        <w:rPr>
          <w:b/>
          <w:bCs/>
          <w:color w:val="FFFFFF"/>
          <w:sz w:val="22"/>
          <w:szCs w:val="22"/>
        </w:rPr>
        <w:t xml:space="preserve">TRADE 2 — Regime-Aware Pivot  ·  LONG  ·  Range-boundary (highest-quality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80"/>
              <w:bottom w:type="dxa" w:w="60"/>
              <w:right w:type="dxa" w:w="80"/>
            </w:tcMar>
          </w:tcPr>
          <w:p>
            <w:r>
              <w:rPr>
                <w:b/>
                <w:bCs/>
                <w:color w:val="FFFFFF"/>
                <w:sz w:val="17"/>
                <w:szCs w:val="17"/>
              </w:rPr>
              <w:t xml:space="preserve">Field</w:t>
            </w:r>
          </w:p>
        </w:tc>
        <w:tc>
          <w:tcPr>
            <w:tcW w:type="dxa" w:w="71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2200"/>
            <w:tcMar>
              <w:top w:type="dxa" w:w="60"/>
              <w:left w:type="dxa" w:w="80"/>
              <w:bottom w:type="dxa" w:w="60"/>
              <w:right w:type="dxa" w:w="80"/>
            </w:tcMar>
          </w:tcPr>
          <w:p>
            <w:r>
              <w:rPr>
                <w:sz w:val="17"/>
                <w:szCs w:val="17"/>
              </w:rPr>
              <w:t xml:space="preserve">Direction</w:t>
            </w:r>
          </w:p>
        </w:tc>
        <w:tc>
          <w:tcPr>
            <w:tcW w:type="dxa" w:w="7160"/>
            <w:tcMar>
              <w:top w:type="dxa" w:w="60"/>
              <w:left w:type="dxa" w:w="80"/>
              <w:bottom w:type="dxa" w:w="60"/>
              <w:right w:type="dxa" w:w="80"/>
            </w:tcMar>
          </w:tcPr>
          <w:p>
            <w:r>
              <w:rPr>
                <w:sz w:val="17"/>
                <w:szCs w:val="17"/>
              </w:rPr>
              <w:t xml:space="preserve">LONG — buy the defended floor</w:t>
            </w:r>
          </w:p>
        </w:tc>
      </w:tr>
      <w:tr>
        <w:tc>
          <w:tcPr>
            <w:tcW w:type="dxa" w:w="2200"/>
            <w:shd w:fill="F2F2F2" w:color="auto" w:val="clear"/>
            <w:tcMar>
              <w:top w:type="dxa" w:w="60"/>
              <w:left w:type="dxa" w:w="80"/>
              <w:bottom w:type="dxa" w:w="60"/>
              <w:right w:type="dxa" w:w="80"/>
            </w:tcMar>
          </w:tcPr>
          <w:p>
            <w:r>
              <w:rPr>
                <w:sz w:val="17"/>
                <w:szCs w:val="17"/>
              </w:rPr>
              <w:t xml:space="preserve">Entry</w:t>
            </w:r>
          </w:p>
        </w:tc>
        <w:tc>
          <w:tcPr>
            <w:tcW w:type="dxa" w:w="7160"/>
            <w:shd w:fill="F2F2F2" w:color="auto" w:val="clear"/>
            <w:tcMar>
              <w:top w:type="dxa" w:w="60"/>
              <w:left w:type="dxa" w:w="80"/>
              <w:bottom w:type="dxa" w:w="60"/>
              <w:right w:type="dxa" w:w="80"/>
            </w:tcMar>
          </w:tcPr>
          <w:p>
            <w:r>
              <w:rPr>
                <w:sz w:val="17"/>
                <w:szCs w:val="17"/>
              </w:rPr>
              <w:t xml:space="preserve">7,501.61 — limit order at daily S1</w:t>
            </w:r>
          </w:p>
        </w:tc>
      </w:tr>
      <w:tr>
        <w:tc>
          <w:tcPr>
            <w:tcW w:type="dxa" w:w="2200"/>
            <w:tcMar>
              <w:top w:type="dxa" w:w="60"/>
              <w:left w:type="dxa" w:w="80"/>
              <w:bottom w:type="dxa" w:w="60"/>
              <w:right w:type="dxa" w:w="80"/>
            </w:tcMar>
          </w:tcPr>
          <w:p>
            <w:r>
              <w:rPr>
                <w:sz w:val="17"/>
                <w:szCs w:val="17"/>
              </w:rPr>
              <w:t xml:space="preserve">Stop loss</w:t>
            </w:r>
          </w:p>
        </w:tc>
        <w:tc>
          <w:tcPr>
            <w:tcW w:type="dxa" w:w="7160"/>
            <w:tcMar>
              <w:top w:type="dxa" w:w="60"/>
              <w:left w:type="dxa" w:w="80"/>
              <w:bottom w:type="dxa" w:w="60"/>
              <w:right w:type="dxa" w:w="80"/>
            </w:tcMar>
          </w:tcPr>
          <w:p>
            <w:r>
              <w:rPr>
                <w:sz w:val="17"/>
                <w:szCs w:val="17"/>
              </w:rPr>
              <w:t xml:space="preserve">7,453.57  (48.04 points below entry — weekly S1 at 7,471.50 less a 0.25 × ATR buffer)</w:t>
            </w:r>
          </w:p>
        </w:tc>
      </w:tr>
      <w:tr>
        <w:tc>
          <w:tcPr>
            <w:tcW w:type="dxa" w:w="2200"/>
            <w:shd w:fill="F2F2F2" w:color="auto" w:val="clear"/>
            <w:tcMar>
              <w:top w:type="dxa" w:w="60"/>
              <w:left w:type="dxa" w:w="80"/>
              <w:bottom w:type="dxa" w:w="60"/>
              <w:right w:type="dxa" w:w="80"/>
            </w:tcMar>
          </w:tcPr>
          <w:p>
            <w:r>
              <w:rPr>
                <w:sz w:val="17"/>
                <w:szCs w:val="17"/>
              </w:rPr>
              <w:t xml:space="preserve">Risk (R)</w:t>
            </w:r>
          </w:p>
        </w:tc>
        <w:tc>
          <w:tcPr>
            <w:tcW w:type="dxa" w:w="7160"/>
            <w:shd w:fill="F2F2F2" w:color="auto" w:val="clear"/>
            <w:tcMar>
              <w:top w:type="dxa" w:w="60"/>
              <w:left w:type="dxa" w:w="80"/>
              <w:bottom w:type="dxa" w:w="60"/>
              <w:right w:type="dxa" w:w="80"/>
            </w:tcMar>
          </w:tcPr>
          <w:p>
            <w:r>
              <w:rPr>
                <w:sz w:val="17"/>
                <w:szCs w:val="17"/>
              </w:rPr>
              <w:t xml:space="preserve">48.04 index points  =  48.04 points  =  0.67 × ATR(14)</w:t>
            </w:r>
          </w:p>
        </w:tc>
      </w:tr>
      <w:tr>
        <w:tc>
          <w:tcPr>
            <w:tcW w:type="dxa" w:w="2200"/>
            <w:tcMar>
              <w:top w:type="dxa" w:w="60"/>
              <w:left w:type="dxa" w:w="80"/>
              <w:bottom w:type="dxa" w:w="60"/>
              <w:right w:type="dxa" w:w="80"/>
            </w:tcMar>
          </w:tcPr>
          <w:p>
            <w:r>
              <w:rPr>
                <w:sz w:val="17"/>
                <w:szCs w:val="17"/>
              </w:rPr>
              <w:t xml:space="preserve">TP1</w:t>
            </w:r>
          </w:p>
        </w:tc>
        <w:tc>
          <w:tcPr>
            <w:tcW w:type="dxa" w:w="7160"/>
            <w:tcMar>
              <w:top w:type="dxa" w:w="60"/>
              <w:left w:type="dxa" w:w="80"/>
              <w:bottom w:type="dxa" w:w="60"/>
              <w:right w:type="dxa" w:w="80"/>
            </w:tcMar>
          </w:tcPr>
          <w:p>
            <w:r>
              <w:rPr>
                <w:sz w:val="17"/>
                <w:szCs w:val="17"/>
              </w:rPr>
              <w:t xml:space="preserve">7,549.65   (1R — 48.04 points)</w:t>
            </w:r>
          </w:p>
        </w:tc>
      </w:tr>
      <w:tr>
        <w:tc>
          <w:tcPr>
            <w:tcW w:type="dxa" w:w="2200"/>
            <w:shd w:fill="F2F2F2" w:color="auto" w:val="clear"/>
            <w:tcMar>
              <w:top w:type="dxa" w:w="60"/>
              <w:left w:type="dxa" w:w="80"/>
              <w:bottom w:type="dxa" w:w="60"/>
              <w:right w:type="dxa" w:w="80"/>
            </w:tcMar>
          </w:tcPr>
          <w:p>
            <w:r>
              <w:rPr>
                <w:sz w:val="17"/>
                <w:szCs w:val="17"/>
              </w:rPr>
              <w:t xml:space="preserve">TP2</w:t>
            </w:r>
          </w:p>
        </w:tc>
        <w:tc>
          <w:tcPr>
            <w:tcW w:type="dxa" w:w="7160"/>
            <w:shd w:fill="F2F2F2" w:color="auto" w:val="clear"/>
            <w:tcMar>
              <w:top w:type="dxa" w:w="60"/>
              <w:left w:type="dxa" w:w="80"/>
              <w:bottom w:type="dxa" w:w="60"/>
              <w:right w:type="dxa" w:w="80"/>
            </w:tcMar>
          </w:tcPr>
          <w:p>
            <w:r>
              <w:rPr>
                <w:sz w:val="17"/>
                <w:szCs w:val="17"/>
              </w:rPr>
              <w:t xml:space="preserve">7,597.70   (2R — 96.09 points)</w:t>
            </w:r>
          </w:p>
        </w:tc>
      </w:tr>
      <w:tr>
        <w:tc>
          <w:tcPr>
            <w:tcW w:type="dxa" w:w="2200"/>
            <w:tcMar>
              <w:top w:type="dxa" w:w="60"/>
              <w:left w:type="dxa" w:w="80"/>
              <w:bottom w:type="dxa" w:w="60"/>
              <w:right w:type="dxa" w:w="80"/>
            </w:tcMar>
          </w:tcPr>
          <w:p>
            <w:r>
              <w:rPr>
                <w:sz w:val="17"/>
                <w:szCs w:val="17"/>
              </w:rPr>
              <w:t xml:space="preserve">TP3</w:t>
            </w:r>
          </w:p>
        </w:tc>
        <w:tc>
          <w:tcPr>
            <w:tcW w:type="dxa" w:w="7160"/>
            <w:tcMar>
              <w:top w:type="dxa" w:w="60"/>
              <w:left w:type="dxa" w:w="80"/>
              <w:bottom w:type="dxa" w:w="60"/>
              <w:right w:type="dxa" w:w="80"/>
            </w:tcMar>
          </w:tcPr>
          <w:p>
            <w:r>
              <w:rPr>
                <w:sz w:val="17"/>
                <w:szCs w:val="17"/>
              </w:rPr>
              <w:t xml:space="preserve">7,716.82   (runner cap, 3 × ATR)</w:t>
            </w:r>
          </w:p>
        </w:tc>
      </w:tr>
      <w:tr>
        <w:tc>
          <w:tcPr>
            <w:tcW w:type="dxa" w:w="2200"/>
            <w:shd w:fill="F2F2F2" w:color="auto" w:val="clear"/>
            <w:tcMar>
              <w:top w:type="dxa" w:w="60"/>
              <w:left w:type="dxa" w:w="80"/>
              <w:bottom w:type="dxa" w:w="60"/>
              <w:right w:type="dxa" w:w="80"/>
            </w:tcMar>
          </w:tcPr>
          <w:p>
            <w:r>
              <w:rPr>
                <w:sz w:val="17"/>
                <w:szCs w:val="17"/>
              </w:rPr>
              <w:t xml:space="preserve">Tranche management</w:t>
            </w:r>
          </w:p>
        </w:tc>
        <w:tc>
          <w:tcPr>
            <w:tcW w:type="dxa" w:w="7160"/>
            <w:shd w:fill="F2F2F2" w:color="auto" w:val="clear"/>
            <w:tcMar>
              <w:top w:type="dxa" w:w="60"/>
              <w:left w:type="dxa" w:w="80"/>
              <w:bottom w:type="dxa" w:w="60"/>
              <w:right w:type="dxa" w:w="80"/>
            </w:tcMar>
          </w:tcPr>
          <w:p>
            <w:r>
              <w:rPr>
                <w:sz w:val="17"/>
                <w:szCs w:val="17"/>
              </w:rPr>
              <w:t xml:space="preserve">3 equal units. Unit 1 exits at TP1; Unit 2 exits at TP2; on Unit 2 fill, Unit 3 stop moves to entry − 0.2R (7,492.00).</w:t>
            </w:r>
          </w:p>
        </w:tc>
      </w:tr>
      <w:tr>
        <w:tc>
          <w:tcPr>
            <w:tcW w:type="dxa" w:w="2200"/>
            <w:tcMar>
              <w:top w:type="dxa" w:w="60"/>
              <w:left w:type="dxa" w:w="80"/>
              <w:bottom w:type="dxa" w:w="60"/>
              <w:right w:type="dxa" w:w="80"/>
            </w:tcMar>
          </w:tcPr>
          <w:p>
            <w:r>
              <w:rPr>
                <w:sz w:val="17"/>
                <w:szCs w:val="17"/>
              </w:rPr>
              <w:t xml:space="preserve">Thesis invalidation</w:t>
            </w:r>
          </w:p>
        </w:tc>
        <w:tc>
          <w:tcPr>
            <w:tcW w:type="dxa" w:w="7160"/>
            <w:tcMar>
              <w:top w:type="dxa" w:w="60"/>
              <w:left w:type="dxa" w:w="80"/>
              <w:bottom w:type="dxa" w:w="60"/>
              <w:right w:type="dxa" w:w="80"/>
            </w:tcMar>
          </w:tcPr>
          <w:p>
            <w:r>
              <w:rPr>
                <w:sz w:val="17"/>
                <w:szCs w:val="17"/>
              </w:rPr>
              <w:t xml:space="preserve">7,453.57 — below both weekly S1 (7,471.50) and daily S2 (7,469.46). If the market takes out the second line of defence, the range thesis is dead and §16's downside scenario is live.</w:t>
            </w:r>
          </w:p>
        </w:tc>
      </w:tr>
      <w:tr>
        <w:tc>
          <w:tcPr>
            <w:tcW w:type="dxa" w:w="2200"/>
            <w:shd w:fill="F2F2F2" w:color="auto" w:val="clear"/>
            <w:tcMar>
              <w:top w:type="dxa" w:w="60"/>
              <w:left w:type="dxa" w:w="80"/>
              <w:bottom w:type="dxa" w:w="60"/>
              <w:right w:type="dxa" w:w="80"/>
            </w:tcMar>
          </w:tcPr>
          <w:p>
            <w:r>
              <w:rPr>
                <w:sz w:val="17"/>
                <w:szCs w:val="17"/>
              </w:rPr>
              <w:t xml:space="preserve">Confluences</w:t>
            </w:r>
          </w:p>
        </w:tc>
        <w:tc>
          <w:tcPr>
            <w:tcW w:type="dxa" w:w="7160"/>
            <w:shd w:fill="F2F2F2" w:color="auto" w:val="clear"/>
            <w:tcMar>
              <w:top w:type="dxa" w:w="60"/>
              <w:left w:type="dxa" w:w="80"/>
              <w:bottom w:type="dxa" w:w="60"/>
              <w:right w:type="dxa" w:w="80"/>
            </w:tcMar>
          </w:tcPr>
          <w:p>
            <w:r>
              <w:rPr>
                <w:sz w:val="17"/>
                <w:szCs w:val="17"/>
              </w:rPr>
              <w:t xml:space="preserve">STRONGEST IN THE REPORT. Entry at daily S1 (7,501.61) sits 0.032% from the 16 July low (7,504.02) and 4.80 points from the 13 July low (7,506.41) — an independently derived pivot landing on a floor the market has already defended twice this week. Entry also sits within 0.05 points of the 50% retracement of the 10-session swing (7,501.66). Stop sits below the weekly S1 / daily S2 cluster (7,469.46–7,471.50). TP1 at 7,549.65 sits just above the daily P (7,536.18) and weekly P (7,525.71) cluster.</w:t>
            </w:r>
          </w:p>
        </w:tc>
      </w:tr>
    </w:tbl>
    <w:p>
      <w:pPr>
        <w:spacing w:after="60"/>
      </w:pPr>
      <w:r>
        <w:rPr>
          <w:b/>
          <w:bCs/>
          <w:sz w:val="18"/>
          <w:szCs w:val="18"/>
        </w:rPr>
        <w:t xml:space="preserve">Caveats:</w:t>
      </w:r>
    </w:p>
    <w:p>
      <w:pPr>
        <w:pStyle w:val="ListParagraph"/>
        <w:numPr>
          <w:ilvl w:val="0"/>
          <w:numId w:val="1"/>
        </w:numPr>
        <w:spacing w:after="60"/>
      </w:pPr>
      <w:r>
        <w:rPr>
          <w:sz w:val="17"/>
          <w:szCs w:val="17"/>
        </w:rPr>
        <w:t xml:space="preserve">This card contradicts the Trade 1 short. That is intentional and permitted for this instance — the two cards express the same range thesis from opposite boundaries and should not both be live at the same price.</w:t>
      </w:r>
    </w:p>
    <w:p>
      <w:pPr>
        <w:pStyle w:val="ListParagraph"/>
        <w:numPr>
          <w:ilvl w:val="0"/>
          <w:numId w:val="1"/>
        </w:numPr>
        <w:spacing w:after="60"/>
      </w:pPr>
      <w:r>
        <w:rPr>
          <w:sz w:val="17"/>
          <w:szCs w:val="17"/>
        </w:rPr>
        <w:t xml:space="preserve">ANCHOR NOT EXECUTABLE AS CONFIGURED — see Trade 1. Place as a resting limit order into the 14:30 UK cash open.</w:t>
      </w:r>
    </w:p>
    <w:p>
      <w:pPr>
        <w:pStyle w:val="ListParagraph"/>
        <w:numPr>
          <w:ilvl w:val="0"/>
          <w:numId w:val="1"/>
        </w:numPr>
        <w:spacing w:after="60"/>
      </w:pPr>
      <w:r>
        <w:rPr>
          <w:sz w:val="17"/>
          <w:szCs w:val="17"/>
        </w:rPr>
        <w:t xml:space="preserve">NEWS COLLISION — HIGH. An Asian session opening lower on chips could drive price through S1 at the open rather than to it. A gap-through fill is a different trade from a limit fill at a defended level; if 7,501.61 is reached by a gap rather than by a drift, the confluence argument weakens considerably.</w:t>
      </w:r>
    </w:p>
    <w:p>
      <w:pPr>
        <w:pStyle w:val="ListParagraph"/>
        <w:numPr>
          <w:ilvl w:val="0"/>
          <w:numId w:val="1"/>
        </w:numPr>
        <w:spacing w:after="60"/>
      </w:pPr>
      <w:r>
        <w:rPr>
          <w:sz w:val="17"/>
          <w:szCs w:val="17"/>
        </w:rPr>
        <w:t xml:space="preserve">TP2 at 7,597.70 requires a clean break of the 7,568–7,581 shelf that has rejected the index twice. Treat TP2 as ambitious for a daily horizon — the realistic exit for this card is TP1.</w:t>
      </w:r>
    </w:p>
    <w:p>
      <w:pPr>
        <w:pStyle w:val="ListParagraph"/>
        <w:numPr>
          <w:ilvl w:val="0"/>
          <w:numId w:val="1"/>
        </w:numPr>
        <w:spacing w:after="60"/>
      </w:pPr>
      <w:r>
        <w:rPr>
          <w:sz w:val="17"/>
          <w:szCs w:val="17"/>
        </w:rPr>
        <w:t xml:space="preserve">Cross-asset backdrop (VIX rising, DAX falling) argues against a long. This card is justified on level quality, not on directional conviction.</w:t>
      </w:r>
    </w:p>
    <w:p>
      <w:pPr>
        <w:shd w:fill="4A148C" w:color="auto" w:val="clear"/>
        <w:spacing w:after="0" w:before="200"/>
      </w:pPr>
      <w:r>
        <w:rPr>
          <w:b/>
          <w:bCs/>
          <w:color w:val="FFFFFF"/>
          <w:sz w:val="22"/>
          <w:szCs w:val="22"/>
        </w:rPr>
        <w:t xml:space="preserve">TRADE 3B — Regime-Driven Complex  ·  SHORT  ·  Range-fade at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80"/>
              <w:bottom w:type="dxa" w:w="60"/>
              <w:right w:type="dxa" w:w="80"/>
            </w:tcMar>
          </w:tcPr>
          <w:p>
            <w:r>
              <w:rPr>
                <w:b/>
                <w:bCs/>
                <w:color w:val="FFFFFF"/>
                <w:sz w:val="17"/>
                <w:szCs w:val="17"/>
              </w:rPr>
              <w:t xml:space="preserve">Field</w:t>
            </w:r>
          </w:p>
        </w:tc>
        <w:tc>
          <w:tcPr>
            <w:tcW w:type="dxa" w:w="7160"/>
            <w:shd w:fill="1F3864" w:color="auto" w:val="clear"/>
            <w:tcMar>
              <w:top w:type="dxa" w:w="60"/>
              <w:left w:type="dxa" w:w="80"/>
              <w:bottom w:type="dxa" w:w="60"/>
              <w:right w:type="dxa" w:w="80"/>
            </w:tcMar>
          </w:tcPr>
          <w:p>
            <w:r>
              <w:rPr>
                <w:b/>
                <w:bCs/>
                <w:color w:val="FFFFFF"/>
                <w:sz w:val="17"/>
                <w:szCs w:val="17"/>
              </w:rPr>
              <w:t xml:space="preserve">Value</w:t>
            </w:r>
          </w:p>
        </w:tc>
      </w:tr>
      <w:tr>
        <w:tc>
          <w:tcPr>
            <w:tcW w:type="dxa" w:w="2200"/>
            <w:tcMar>
              <w:top w:type="dxa" w:w="60"/>
              <w:left w:type="dxa" w:w="80"/>
              <w:bottom w:type="dxa" w:w="60"/>
              <w:right w:type="dxa" w:w="80"/>
            </w:tcMar>
          </w:tcPr>
          <w:p>
            <w:r>
              <w:rPr>
                <w:sz w:val="17"/>
                <w:szCs w:val="17"/>
              </w:rPr>
              <w:t xml:space="preserve">Fork selected</w:t>
            </w:r>
          </w:p>
        </w:tc>
        <w:tc>
          <w:tcPr>
            <w:tcW w:type="dxa" w:w="7160"/>
            <w:tcMar>
              <w:top w:type="dxa" w:w="60"/>
              <w:left w:type="dxa" w:w="80"/>
              <w:bottom w:type="dxa" w:w="60"/>
              <w:right w:type="dxa" w:w="80"/>
            </w:tcMar>
          </w:tcPr>
          <w:p>
            <w:r>
              <w:rPr>
                <w:sz w:val="17"/>
                <w:szCs w:val="17"/>
              </w:rPr>
              <w:t xml:space="preserve">3B — RANGE fade. Selected because the regime label is TRANSITION with a defined 77.48-point range (7,504.02–7,581.50) and a direction score of −0.0525, which is too weak to justify the 3A trend-continuation fork.</w:t>
            </w:r>
          </w:p>
        </w:tc>
      </w:tr>
      <w:tr>
        <w:tc>
          <w:tcPr>
            <w:tcW w:type="dxa" w:w="2200"/>
            <w:shd w:fill="F2F2F2" w:color="auto" w:val="clear"/>
            <w:tcMar>
              <w:top w:type="dxa" w:w="60"/>
              <w:left w:type="dxa" w:w="80"/>
              <w:bottom w:type="dxa" w:w="60"/>
              <w:right w:type="dxa" w:w="80"/>
            </w:tcMar>
          </w:tcPr>
          <w:p>
            <w:r>
              <w:rPr>
                <w:sz w:val="17"/>
                <w:szCs w:val="17"/>
              </w:rPr>
              <w:t xml:space="preserve">Direction</w:t>
            </w:r>
          </w:p>
        </w:tc>
        <w:tc>
          <w:tcPr>
            <w:tcW w:type="dxa" w:w="7160"/>
            <w:shd w:fill="F2F2F2" w:color="auto" w:val="clear"/>
            <w:tcMar>
              <w:top w:type="dxa" w:w="60"/>
              <w:left w:type="dxa" w:w="80"/>
              <w:bottom w:type="dxa" w:w="60"/>
              <w:right w:type="dxa" w:w="80"/>
            </w:tcMar>
          </w:tcPr>
          <w:p>
            <w:r>
              <w:rPr>
                <w:sz w:val="17"/>
                <w:szCs w:val="17"/>
              </w:rPr>
              <w:t xml:space="preserve">SHORT — fade the twice-rejected ceiling</w:t>
            </w:r>
          </w:p>
        </w:tc>
      </w:tr>
      <w:tr>
        <w:tc>
          <w:tcPr>
            <w:tcW w:type="dxa" w:w="2200"/>
            <w:tcMar>
              <w:top w:type="dxa" w:w="60"/>
              <w:left w:type="dxa" w:w="80"/>
              <w:bottom w:type="dxa" w:w="60"/>
              <w:right w:type="dxa" w:w="80"/>
            </w:tcMar>
          </w:tcPr>
          <w:p>
            <w:r>
              <w:rPr>
                <w:sz w:val="17"/>
                <w:szCs w:val="17"/>
              </w:rPr>
              <w:t xml:space="preserve">Entry</w:t>
            </w:r>
          </w:p>
        </w:tc>
        <w:tc>
          <w:tcPr>
            <w:tcW w:type="dxa" w:w="7160"/>
            <w:tcMar>
              <w:top w:type="dxa" w:w="60"/>
              <w:left w:type="dxa" w:w="80"/>
              <w:bottom w:type="dxa" w:w="60"/>
              <w:right w:type="dxa" w:w="80"/>
            </w:tcMar>
          </w:tcPr>
          <w:p>
            <w:r>
              <w:rPr>
                <w:sz w:val="17"/>
                <w:szCs w:val="17"/>
              </w:rPr>
              <w:t xml:space="preserve">7,568.33 — limit order at daily R1</w:t>
            </w:r>
          </w:p>
        </w:tc>
      </w:tr>
      <w:tr>
        <w:tc>
          <w:tcPr>
            <w:tcW w:type="dxa" w:w="2200"/>
            <w:shd w:fill="F2F2F2" w:color="auto" w:val="clear"/>
            <w:tcMar>
              <w:top w:type="dxa" w:w="60"/>
              <w:left w:type="dxa" w:w="80"/>
              <w:bottom w:type="dxa" w:w="60"/>
              <w:right w:type="dxa" w:w="80"/>
            </w:tcMar>
          </w:tcPr>
          <w:p>
            <w:r>
              <w:rPr>
                <w:sz w:val="17"/>
                <w:szCs w:val="17"/>
              </w:rPr>
              <w:t xml:space="preserve">Stop loss</w:t>
            </w:r>
          </w:p>
        </w:tc>
        <w:tc>
          <w:tcPr>
            <w:tcW w:type="dxa" w:w="7160"/>
            <w:shd w:fill="F2F2F2" w:color="auto" w:val="clear"/>
            <w:tcMar>
              <w:top w:type="dxa" w:w="60"/>
              <w:left w:type="dxa" w:w="80"/>
              <w:bottom w:type="dxa" w:w="60"/>
              <w:right w:type="dxa" w:w="80"/>
            </w:tcMar>
          </w:tcPr>
          <w:p>
            <w:r>
              <w:rPr>
                <w:sz w:val="17"/>
                <w:szCs w:val="17"/>
              </w:rPr>
              <w:t xml:space="preserve">7,599.43  (31.10 points above entry — the 5-session swing high at 7,581.50 plus a 0.25 × ATR buffer)</w:t>
            </w:r>
          </w:p>
        </w:tc>
      </w:tr>
      <w:tr>
        <w:tc>
          <w:tcPr>
            <w:tcW w:type="dxa" w:w="2200"/>
            <w:tcMar>
              <w:top w:type="dxa" w:w="60"/>
              <w:left w:type="dxa" w:w="80"/>
              <w:bottom w:type="dxa" w:w="60"/>
              <w:right w:type="dxa" w:w="80"/>
            </w:tcMar>
          </w:tcPr>
          <w:p>
            <w:r>
              <w:rPr>
                <w:sz w:val="17"/>
                <w:szCs w:val="17"/>
              </w:rPr>
              <w:t xml:space="preserve">Risk (R)</w:t>
            </w:r>
          </w:p>
        </w:tc>
        <w:tc>
          <w:tcPr>
            <w:tcW w:type="dxa" w:w="7160"/>
            <w:tcMar>
              <w:top w:type="dxa" w:w="60"/>
              <w:left w:type="dxa" w:w="80"/>
              <w:bottom w:type="dxa" w:w="60"/>
              <w:right w:type="dxa" w:w="80"/>
            </w:tcMar>
          </w:tcPr>
          <w:p>
            <w:r>
              <w:rPr>
                <w:sz w:val="17"/>
                <w:szCs w:val="17"/>
              </w:rPr>
              <w:t xml:space="preserve">31.10 index points  =  31.10 points  =  0.43 × ATR(14) — the tightest stop of the three cards</w:t>
            </w:r>
          </w:p>
        </w:tc>
      </w:tr>
      <w:tr>
        <w:tc>
          <w:tcPr>
            <w:tcW w:type="dxa" w:w="2200"/>
            <w:shd w:fill="F2F2F2" w:color="auto" w:val="clear"/>
            <w:tcMar>
              <w:top w:type="dxa" w:w="60"/>
              <w:left w:type="dxa" w:w="80"/>
              <w:bottom w:type="dxa" w:w="60"/>
              <w:right w:type="dxa" w:w="80"/>
            </w:tcMar>
          </w:tcPr>
          <w:p>
            <w:r>
              <w:rPr>
                <w:sz w:val="17"/>
                <w:szCs w:val="17"/>
              </w:rPr>
              <w:t xml:space="preserve">TP1</w:t>
            </w:r>
          </w:p>
        </w:tc>
        <w:tc>
          <w:tcPr>
            <w:tcW w:type="dxa" w:w="7160"/>
            <w:shd w:fill="F2F2F2" w:color="auto" w:val="clear"/>
            <w:tcMar>
              <w:top w:type="dxa" w:w="60"/>
              <w:left w:type="dxa" w:w="80"/>
              <w:bottom w:type="dxa" w:w="60"/>
              <w:right w:type="dxa" w:w="80"/>
            </w:tcMar>
          </w:tcPr>
          <w:p>
            <w:r>
              <w:rPr>
                <w:sz w:val="17"/>
                <w:szCs w:val="17"/>
              </w:rPr>
              <w:t xml:space="preserve">7,537.23   (1R — 31.10 points)</w:t>
            </w:r>
          </w:p>
        </w:tc>
      </w:tr>
      <w:tr>
        <w:tc>
          <w:tcPr>
            <w:tcW w:type="dxa" w:w="2200"/>
            <w:tcMar>
              <w:top w:type="dxa" w:w="60"/>
              <w:left w:type="dxa" w:w="80"/>
              <w:bottom w:type="dxa" w:w="60"/>
              <w:right w:type="dxa" w:w="80"/>
            </w:tcMar>
          </w:tcPr>
          <w:p>
            <w:r>
              <w:rPr>
                <w:sz w:val="17"/>
                <w:szCs w:val="17"/>
              </w:rPr>
              <w:t xml:space="preserve">TP2</w:t>
            </w:r>
          </w:p>
        </w:tc>
        <w:tc>
          <w:tcPr>
            <w:tcW w:type="dxa" w:w="7160"/>
            <w:tcMar>
              <w:top w:type="dxa" w:w="60"/>
              <w:left w:type="dxa" w:w="80"/>
              <w:bottom w:type="dxa" w:w="60"/>
              <w:right w:type="dxa" w:w="80"/>
            </w:tcMar>
          </w:tcPr>
          <w:p>
            <w:r>
              <w:rPr>
                <w:sz w:val="17"/>
                <w:szCs w:val="17"/>
              </w:rPr>
              <w:t xml:space="preserve">7,506.12   (2R — 62.21 points)</w:t>
            </w:r>
          </w:p>
        </w:tc>
      </w:tr>
      <w:tr>
        <w:tc>
          <w:tcPr>
            <w:tcW w:type="dxa" w:w="2200"/>
            <w:shd w:fill="F2F2F2" w:color="auto" w:val="clear"/>
            <w:tcMar>
              <w:top w:type="dxa" w:w="60"/>
              <w:left w:type="dxa" w:w="80"/>
              <w:bottom w:type="dxa" w:w="60"/>
              <w:right w:type="dxa" w:w="80"/>
            </w:tcMar>
          </w:tcPr>
          <w:p>
            <w:r>
              <w:rPr>
                <w:sz w:val="17"/>
                <w:szCs w:val="17"/>
              </w:rPr>
              <w:t xml:space="preserve">TP3</w:t>
            </w:r>
          </w:p>
        </w:tc>
        <w:tc>
          <w:tcPr>
            <w:tcW w:type="dxa" w:w="7160"/>
            <w:shd w:fill="F2F2F2" w:color="auto" w:val="clear"/>
            <w:tcMar>
              <w:top w:type="dxa" w:w="60"/>
              <w:left w:type="dxa" w:w="80"/>
              <w:bottom w:type="dxa" w:w="60"/>
              <w:right w:type="dxa" w:w="80"/>
            </w:tcMar>
          </w:tcPr>
          <w:p>
            <w:r>
              <w:rPr>
                <w:sz w:val="17"/>
                <w:szCs w:val="17"/>
              </w:rPr>
              <w:t xml:space="preserve">7,353.12   (runner cap, 3 × ATR)</w:t>
            </w:r>
          </w:p>
        </w:tc>
      </w:tr>
      <w:tr>
        <w:tc>
          <w:tcPr>
            <w:tcW w:type="dxa" w:w="2200"/>
            <w:tcMar>
              <w:top w:type="dxa" w:w="60"/>
              <w:left w:type="dxa" w:w="80"/>
              <w:bottom w:type="dxa" w:w="60"/>
              <w:right w:type="dxa" w:w="80"/>
            </w:tcMar>
          </w:tcPr>
          <w:p>
            <w:r>
              <w:rPr>
                <w:sz w:val="17"/>
                <w:szCs w:val="17"/>
              </w:rPr>
              <w:t xml:space="preserve">Tranche management</w:t>
            </w:r>
          </w:p>
        </w:tc>
        <w:tc>
          <w:tcPr>
            <w:tcW w:type="dxa" w:w="7160"/>
            <w:tcMar>
              <w:top w:type="dxa" w:w="60"/>
              <w:left w:type="dxa" w:w="80"/>
              <w:bottom w:type="dxa" w:w="60"/>
              <w:right w:type="dxa" w:w="80"/>
            </w:tcMar>
          </w:tcPr>
          <w:p>
            <w:r>
              <w:rPr>
                <w:sz w:val="17"/>
                <w:szCs w:val="17"/>
              </w:rPr>
              <w:t xml:space="preserve">3 equal units. Unit 1 exits at TP1; Unit 2 exits at TP2; on Unit 2 fill, Unit 3 stop moves to entry + 0.2R (7,574.55).</w:t>
            </w:r>
          </w:p>
        </w:tc>
      </w:tr>
      <w:tr>
        <w:tc>
          <w:tcPr>
            <w:tcW w:type="dxa" w:w="2200"/>
            <w:shd w:fill="F2F2F2" w:color="auto" w:val="clear"/>
            <w:tcMar>
              <w:top w:type="dxa" w:w="60"/>
              <w:left w:type="dxa" w:w="80"/>
              <w:bottom w:type="dxa" w:w="60"/>
              <w:right w:type="dxa" w:w="80"/>
            </w:tcMar>
          </w:tcPr>
          <w:p>
            <w:r>
              <w:rPr>
                <w:sz w:val="17"/>
                <w:szCs w:val="17"/>
              </w:rPr>
              <w:t xml:space="preserve">Thesis invalidation</w:t>
            </w:r>
          </w:p>
        </w:tc>
        <w:tc>
          <w:tcPr>
            <w:tcW w:type="dxa" w:w="7160"/>
            <w:shd w:fill="F2F2F2" w:color="auto" w:val="clear"/>
            <w:tcMar>
              <w:top w:type="dxa" w:w="60"/>
              <w:left w:type="dxa" w:w="80"/>
              <w:bottom w:type="dxa" w:w="60"/>
              <w:right w:type="dxa" w:w="80"/>
            </w:tcMar>
          </w:tcPr>
          <w:p>
            <w:r>
              <w:rPr>
                <w:sz w:val="17"/>
                <w:szCs w:val="17"/>
              </w:rPr>
              <w:t xml:space="preserve">7,599.43 — clears the double top and the daily R2 approach. Invalidation here also invalidates Trade 1.</w:t>
            </w:r>
          </w:p>
        </w:tc>
      </w:tr>
      <w:tr>
        <w:tc>
          <w:tcPr>
            <w:tcW w:type="dxa" w:w="2200"/>
            <w:tcMar>
              <w:top w:type="dxa" w:w="60"/>
              <w:left w:type="dxa" w:w="80"/>
              <w:bottom w:type="dxa" w:w="60"/>
              <w:right w:type="dxa" w:w="80"/>
            </w:tcMar>
          </w:tcPr>
          <w:p>
            <w:r>
              <w:rPr>
                <w:sz w:val="17"/>
                <w:szCs w:val="17"/>
              </w:rPr>
              <w:t xml:space="preserve">Confluences</w:t>
            </w:r>
          </w:p>
        </w:tc>
        <w:tc>
          <w:tcPr>
            <w:tcW w:type="dxa" w:w="7160"/>
            <w:tcMar>
              <w:top w:type="dxa" w:w="60"/>
              <w:left w:type="dxa" w:w="80"/>
              <w:bottom w:type="dxa" w:w="60"/>
              <w:right w:type="dxa" w:w="80"/>
            </w:tcMar>
          </w:tcPr>
          <w:p>
            <w:r>
              <w:rPr>
                <w:sz w:val="17"/>
                <w:szCs w:val="17"/>
              </w:rPr>
              <w:t xml:space="preserve">Entry at daily R1 (7,568.33) sits inside the 7,568–7,581 supply shelf rejected on both 10 July (7,579.93) and 15 July (7,581.50). TP1 at 7,537.23 sits 1.05 points from the daily pivot (7,536.18) — effectively the same level. TP2 at 7,506.12 sits within the 7,501.61–7,506.41 defended-floor confluence. The card's entire structure runs from one confirmed boundary to the other.</w:t>
            </w:r>
          </w:p>
        </w:tc>
      </w:tr>
    </w:tbl>
    <w:p>
      <w:pPr>
        <w:spacing w:after="60"/>
      </w:pPr>
      <w:r>
        <w:rPr>
          <w:b/>
          <w:bCs/>
          <w:sz w:val="18"/>
          <w:szCs w:val="18"/>
        </w:rPr>
        <w:t xml:space="preserve">Caveats:</w:t>
      </w:r>
    </w:p>
    <w:p>
      <w:pPr>
        <w:pStyle w:val="ListParagraph"/>
        <w:numPr>
          <w:ilvl w:val="0"/>
          <w:numId w:val="1"/>
        </w:numPr>
        <w:spacing w:after="60"/>
      </w:pPr>
      <w:r>
        <w:rPr>
          <w:sz w:val="17"/>
          <w:szCs w:val="17"/>
        </w:rPr>
        <w:t xml:space="preserve">Best risk-to-structure ratio of the three cards: a 0.43 × ATR stop against a level rejected twice in five sessions. But it requires a 34.56-point rally from the 16 July close to fill, into a session that Asia is reported set to open lower into. Fill probability is the weak point, not the thesis.</w:t>
      </w:r>
    </w:p>
    <w:p>
      <w:pPr>
        <w:pStyle w:val="ListParagraph"/>
        <w:numPr>
          <w:ilvl w:val="0"/>
          <w:numId w:val="1"/>
        </w:numPr>
        <w:spacing w:after="60"/>
      </w:pPr>
      <w:r>
        <w:rPr>
          <w:sz w:val="17"/>
          <w:szCs w:val="17"/>
        </w:rPr>
        <w:t xml:space="preserve">ANCHOR NOT EXECUTABLE AS CONFIGURED — see Trade 1.</w:t>
      </w:r>
    </w:p>
    <w:p>
      <w:pPr>
        <w:pStyle w:val="ListParagraph"/>
        <w:numPr>
          <w:ilvl w:val="0"/>
          <w:numId w:val="1"/>
        </w:numPr>
        <w:spacing w:after="60"/>
      </w:pPr>
      <w:r>
        <w:rPr>
          <w:sz w:val="17"/>
          <w:szCs w:val="17"/>
        </w:rPr>
        <w:t xml:space="preserve">STOP ANCHORED TO INDICATIVE DATA — the 7,581.50 swing high is single-source (§19). Corroboration leniency applied by instruction.</w:t>
      </w:r>
    </w:p>
    <w:p>
      <w:pPr>
        <w:pStyle w:val="ListParagraph"/>
        <w:numPr>
          <w:ilvl w:val="0"/>
          <w:numId w:val="1"/>
        </w:numPr>
        <w:spacing w:after="60"/>
      </w:pPr>
      <w:r>
        <w:rPr>
          <w:sz w:val="17"/>
          <w:szCs w:val="17"/>
        </w:rPr>
        <w:t xml:space="preserve">MONTHLY PIVOTS EXCLUDED — monthly R1 (7,620.13) would ordinarily be the natural next resistance reference above this card's stop, but the June monthly basis is single-source-indicative (§19) and is excluded from stop construction under the suppression rules. The stop is anchored to the corroborated swing high instead.</w:t>
      </w:r>
    </w:p>
    <w:p>
      <w:pPr>
        <w:pStyle w:val="ListParagraph"/>
        <w:numPr>
          <w:ilvl w:val="0"/>
          <w:numId w:val="1"/>
        </w:numPr>
        <w:spacing w:after="60"/>
      </w:pPr>
      <w:r>
        <w:rPr>
          <w:sz w:val="17"/>
          <w:szCs w:val="17"/>
        </w:rPr>
        <w:t xml:space="preserve">NEWS COLLISION — MODERATE. A Netflix beat plus semiconductor stabilisation is the scenario that fills this card and then runs it over.</w:t>
      </w:r>
    </w:p>
    <w:p>
      <w:pPr>
        <w:spacing w:after="100"/>
      </w:pPr>
      <w:r>
        <w:rPr>
          <w:b/>
          <w:bCs/>
          <w:sz w:val="20"/>
          <w:szCs w:val="20"/>
        </w:rPr>
        <w:t xml:space="preserve">§21c  Five-Session No-Leakage Backtest</w:t>
      </w:r>
    </w:p>
    <w:p>
      <w:pPr>
        <w:spacing w:after="100"/>
      </w:pPr>
      <w:r>
        <w:rPr>
          <w:i/>
          <w:iCs/>
          <w:sz w:val="18"/>
          <w:szCs w:val="18"/>
        </w:rPr>
        <w:t xml:space="preserve">Each session's signal is reconstructed using only information available at the prior close. Sentiment frozen at each replay point. No indicator value back-filled.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00"/>
        <w:gridCol w:w="1100"/>
        <w:gridCol w:w="900"/>
        <w:gridCol w:w="2460"/>
      </w:tblGrid>
      <w:tr>
        <w:trPr>
          <w:tblHeader/>
        </w:trPr>
        <w:tc>
          <w:tcPr>
            <w:tcW w:type="dxa" w:w="900"/>
            <w:shd w:fill="1F3864" w:color="auto" w:val="clear"/>
            <w:tcMar>
              <w:top w:type="dxa" w:w="60"/>
              <w:left w:type="dxa" w:w="80"/>
              <w:bottom w:type="dxa" w:w="60"/>
              <w:right w:type="dxa" w:w="80"/>
            </w:tcMar>
          </w:tcPr>
          <w:p>
            <w:r>
              <w:rPr>
                <w:b/>
                <w:bCs/>
                <w:color w:val="FFFFFF"/>
                <w:sz w:val="17"/>
                <w:szCs w:val="17"/>
              </w:rPr>
              <w:t xml:space="preserve">Session</w:t>
            </w:r>
          </w:p>
        </w:tc>
        <w:tc>
          <w:tcPr>
            <w:tcW w:type="dxa" w:w="2600"/>
            <w:shd w:fill="1F3864" w:color="auto" w:val="clear"/>
            <w:tcMar>
              <w:top w:type="dxa" w:w="60"/>
              <w:left w:type="dxa" w:w="80"/>
              <w:bottom w:type="dxa" w:w="60"/>
              <w:right w:type="dxa" w:w="80"/>
            </w:tcMar>
          </w:tcPr>
          <w:p>
            <w:r>
              <w:rPr>
                <w:b/>
                <w:bCs/>
                <w:color w:val="FFFFFF"/>
                <w:sz w:val="17"/>
                <w:szCs w:val="17"/>
              </w:rPr>
              <w:t xml:space="preserve">Signal at prior close</w:t>
            </w:r>
          </w:p>
        </w:tc>
        <w:tc>
          <w:tcPr>
            <w:tcW w:type="dxa" w:w="1400"/>
            <w:shd w:fill="1F3864" w:color="auto" w:val="clear"/>
            <w:tcMar>
              <w:top w:type="dxa" w:w="60"/>
              <w:left w:type="dxa" w:w="80"/>
              <w:bottom w:type="dxa" w:w="60"/>
              <w:right w:type="dxa" w:w="80"/>
            </w:tcMar>
          </w:tcPr>
          <w:p>
            <w:r>
              <w:rPr>
                <w:b/>
                <w:bCs/>
                <w:color w:val="FFFFFF"/>
                <w:sz w:val="17"/>
                <w:szCs w:val="17"/>
              </w:rPr>
              <w:t xml:space="preserve">Direction</w:t>
            </w:r>
          </w:p>
        </w:tc>
        <w:tc>
          <w:tcPr>
            <w:tcW w:type="dxa" w:w="1100"/>
            <w:shd w:fill="1F3864" w:color="auto" w:val="clear"/>
            <w:tcMar>
              <w:top w:type="dxa" w:w="60"/>
              <w:left w:type="dxa" w:w="80"/>
              <w:bottom w:type="dxa" w:w="60"/>
              <w:right w:type="dxa" w:w="80"/>
            </w:tcMar>
          </w:tcPr>
          <w:p>
            <w:r>
              <w:rPr>
                <w:b/>
                <w:bCs/>
                <w:color w:val="FFFFFF"/>
                <w:sz w:val="17"/>
                <w:szCs w:val="17"/>
              </w:rPr>
              <w:t xml:space="preserve">Actual close</w:t>
            </w:r>
          </w:p>
        </w:tc>
        <w:tc>
          <w:tcPr>
            <w:tcW w:type="dxa" w:w="900"/>
            <w:shd w:fill="1F3864" w:color="auto" w:val="clear"/>
            <w:tcMar>
              <w:top w:type="dxa" w:w="60"/>
              <w:left w:type="dxa" w:w="80"/>
              <w:bottom w:type="dxa" w:w="60"/>
              <w:right w:type="dxa" w:w="80"/>
            </w:tcMar>
          </w:tcPr>
          <w:p>
            <w:r>
              <w:rPr>
                <w:b/>
                <w:bCs/>
                <w:color w:val="FFFFFF"/>
                <w:sz w:val="17"/>
                <w:szCs w:val="17"/>
              </w:rPr>
              <w:t xml:space="preserve">Δ vs prior</w:t>
            </w:r>
          </w:p>
        </w:tc>
        <w:tc>
          <w:tcPr>
            <w:tcW w:type="dxa" w:w="2460"/>
            <w:shd w:fill="1F3864" w:color="auto" w:val="clear"/>
            <w:tcMar>
              <w:top w:type="dxa" w:w="60"/>
              <w:left w:type="dxa" w:w="80"/>
              <w:bottom w:type="dxa" w:w="60"/>
              <w:right w:type="dxa" w:w="80"/>
            </w:tcMar>
          </w:tcPr>
          <w:p>
            <w:r>
              <w:rPr>
                <w:b/>
                <w:bCs/>
                <w:color w:val="FFFFFF"/>
                <w:sz w:val="17"/>
                <w:szCs w:val="17"/>
              </w:rPr>
              <w:t xml:space="preserve">Outcome</w:t>
            </w:r>
          </w:p>
        </w:tc>
      </w:tr>
      <w:tr>
        <w:tc>
          <w:tcPr>
            <w:tcW w:type="dxa" w:w="900"/>
            <w:tcMar>
              <w:top w:type="dxa" w:w="60"/>
              <w:left w:type="dxa" w:w="80"/>
              <w:bottom w:type="dxa" w:w="60"/>
              <w:right w:type="dxa" w:w="80"/>
            </w:tcMar>
          </w:tcPr>
          <w:p>
            <w:r>
              <w:rPr>
                <w:sz w:val="17"/>
                <w:szCs w:val="17"/>
              </w:rPr>
              <w:t xml:space="preserve">10 Jul</w:t>
            </w:r>
          </w:p>
        </w:tc>
        <w:tc>
          <w:tcPr>
            <w:tcW w:type="dxa" w:w="2600"/>
            <w:tcMar>
              <w:top w:type="dxa" w:w="60"/>
              <w:left w:type="dxa" w:w="80"/>
              <w:bottom w:type="dxa" w:w="60"/>
              <w:right w:type="dxa" w:w="80"/>
            </w:tcMar>
          </w:tcPr>
          <w:p>
            <w:r>
              <w:rPr>
                <w:sz w:val="17"/>
                <w:szCs w:val="17"/>
              </w:rPr>
              <w:t xml:space="preserve">RSI2 77.96 (overbought), KER trending-up, price above mean</w:t>
            </w:r>
          </w:p>
        </w:tc>
        <w:tc>
          <w:tcPr>
            <w:tcW w:type="dxa" w:w="1400"/>
            <w:tcMar>
              <w:top w:type="dxa" w:w="60"/>
              <w:left w:type="dxa" w:w="80"/>
              <w:bottom w:type="dxa" w:w="60"/>
              <w:right w:type="dxa" w:w="80"/>
            </w:tcMar>
          </w:tcPr>
          <w:p>
            <w:r>
              <w:rPr>
                <w:sz w:val="17"/>
                <w:szCs w:val="17"/>
              </w:rPr>
              <w:t xml:space="preserve">SHORT (RSI2 fade)</w:t>
            </w:r>
          </w:p>
        </w:tc>
        <w:tc>
          <w:tcPr>
            <w:tcW w:type="dxa" w:w="1100"/>
            <w:tcMar>
              <w:top w:type="dxa" w:w="60"/>
              <w:left w:type="dxa" w:w="80"/>
              <w:bottom w:type="dxa" w:w="60"/>
              <w:right w:type="dxa" w:w="80"/>
            </w:tcMar>
          </w:tcPr>
          <w:p>
            <w:r>
              <w:rPr>
                <w:sz w:val="17"/>
                <w:szCs w:val="17"/>
              </w:rPr>
              <w:t xml:space="preserve">7,575.39</w:t>
            </w:r>
          </w:p>
        </w:tc>
        <w:tc>
          <w:tcPr>
            <w:tcW w:type="dxa" w:w="900"/>
            <w:tcMar>
              <w:top w:type="dxa" w:w="60"/>
              <w:left w:type="dxa" w:w="80"/>
              <w:bottom w:type="dxa" w:w="60"/>
              <w:right w:type="dxa" w:w="80"/>
            </w:tcMar>
          </w:tcPr>
          <w:p>
            <w:r>
              <w:rPr>
                <w:sz w:val="17"/>
                <w:szCs w:val="17"/>
              </w:rPr>
              <w:t xml:space="preserve">+31.75</w:t>
            </w:r>
          </w:p>
        </w:tc>
        <w:tc>
          <w:tcPr>
            <w:tcW w:type="dxa" w:w="2460"/>
            <w:tcMar>
              <w:top w:type="dxa" w:w="60"/>
              <w:left w:type="dxa" w:w="80"/>
              <w:bottom w:type="dxa" w:w="60"/>
              <w:right w:type="dxa" w:w="80"/>
            </w:tcMar>
          </w:tcPr>
          <w:p>
            <w:r>
              <w:rPr>
                <w:sz w:val="17"/>
                <w:szCs w:val="17"/>
              </w:rPr>
              <w:t xml:space="preserve">LOSS — mean-reversion signal failed against an intact trend</w:t>
            </w:r>
          </w:p>
        </w:tc>
      </w:tr>
      <w:tr>
        <w:tc>
          <w:tcPr>
            <w:tcW w:type="dxa" w:w="900"/>
            <w:shd w:fill="F2F2F2" w:color="auto" w:val="clear"/>
            <w:tcMar>
              <w:top w:type="dxa" w:w="60"/>
              <w:left w:type="dxa" w:w="80"/>
              <w:bottom w:type="dxa" w:w="60"/>
              <w:right w:type="dxa" w:w="80"/>
            </w:tcMar>
          </w:tcPr>
          <w:p>
            <w:r>
              <w:rPr>
                <w:sz w:val="17"/>
                <w:szCs w:val="17"/>
              </w:rPr>
              <w:t xml:space="preserve">13 Jul</w:t>
            </w:r>
          </w:p>
        </w:tc>
        <w:tc>
          <w:tcPr>
            <w:tcW w:type="dxa" w:w="2600"/>
            <w:shd w:fill="F2F2F2" w:color="auto" w:val="clear"/>
            <w:tcMar>
              <w:top w:type="dxa" w:w="60"/>
              <w:left w:type="dxa" w:w="80"/>
              <w:bottom w:type="dxa" w:w="60"/>
              <w:right w:type="dxa" w:w="80"/>
            </w:tcMar>
          </w:tcPr>
          <w:p>
            <w:r>
              <w:rPr>
                <w:sz w:val="17"/>
                <w:szCs w:val="17"/>
              </w:rPr>
              <w:t xml:space="preserve">RSI2 87.14 (extreme overbought), 2nd consecutive OB reading</w:t>
            </w:r>
          </w:p>
        </w:tc>
        <w:tc>
          <w:tcPr>
            <w:tcW w:type="dxa" w:w="1400"/>
            <w:shd w:fill="F2F2F2" w:color="auto" w:val="clear"/>
            <w:tcMar>
              <w:top w:type="dxa" w:w="60"/>
              <w:left w:type="dxa" w:w="80"/>
              <w:bottom w:type="dxa" w:w="60"/>
              <w:right w:type="dxa" w:w="80"/>
            </w:tcMar>
          </w:tcPr>
          <w:p>
            <w:r>
              <w:rPr>
                <w:sz w:val="17"/>
                <w:szCs w:val="17"/>
              </w:rPr>
              <w:t xml:space="preserve">SHORT (RSI2 fade)</w:t>
            </w:r>
          </w:p>
        </w:tc>
        <w:tc>
          <w:tcPr>
            <w:tcW w:type="dxa" w:w="1100"/>
            <w:shd w:fill="F2F2F2" w:color="auto" w:val="clear"/>
            <w:tcMar>
              <w:top w:type="dxa" w:w="60"/>
              <w:left w:type="dxa" w:w="80"/>
              <w:bottom w:type="dxa" w:w="60"/>
              <w:right w:type="dxa" w:w="80"/>
            </w:tcMar>
          </w:tcPr>
          <w:p>
            <w:r>
              <w:rPr>
                <w:sz w:val="17"/>
                <w:szCs w:val="17"/>
              </w:rPr>
              <w:t xml:space="preserve">7,515.34</w:t>
            </w:r>
          </w:p>
        </w:tc>
        <w:tc>
          <w:tcPr>
            <w:tcW w:type="dxa" w:w="900"/>
            <w:shd w:fill="F2F2F2" w:color="auto" w:val="clear"/>
            <w:tcMar>
              <w:top w:type="dxa" w:w="60"/>
              <w:left w:type="dxa" w:w="80"/>
              <w:bottom w:type="dxa" w:w="60"/>
              <w:right w:type="dxa" w:w="80"/>
            </w:tcMar>
          </w:tcPr>
          <w:p>
            <w:r>
              <w:rPr>
                <w:sz w:val="17"/>
                <w:szCs w:val="17"/>
              </w:rPr>
              <w:t xml:space="preserve">−60.05</w:t>
            </w:r>
          </w:p>
        </w:tc>
        <w:tc>
          <w:tcPr>
            <w:tcW w:type="dxa" w:w="2460"/>
            <w:shd w:fill="F2F2F2" w:color="auto" w:val="clear"/>
            <w:tcMar>
              <w:top w:type="dxa" w:w="60"/>
              <w:left w:type="dxa" w:w="80"/>
              <w:bottom w:type="dxa" w:w="60"/>
              <w:right w:type="dxa" w:w="80"/>
            </w:tcMar>
          </w:tcPr>
          <w:p>
            <w:r>
              <w:rPr>
                <w:sz w:val="17"/>
                <w:szCs w:val="17"/>
              </w:rPr>
              <w:t xml:space="preserve">WIN — strongest single result of the window</w:t>
            </w:r>
          </w:p>
        </w:tc>
      </w:tr>
      <w:tr>
        <w:tc>
          <w:tcPr>
            <w:tcW w:type="dxa" w:w="900"/>
            <w:tcMar>
              <w:top w:type="dxa" w:w="60"/>
              <w:left w:type="dxa" w:w="80"/>
              <w:bottom w:type="dxa" w:w="60"/>
              <w:right w:type="dxa" w:w="80"/>
            </w:tcMar>
          </w:tcPr>
          <w:p>
            <w:r>
              <w:rPr>
                <w:sz w:val="17"/>
                <w:szCs w:val="17"/>
              </w:rPr>
              <w:t xml:space="preserve">14 Jul</w:t>
            </w:r>
          </w:p>
        </w:tc>
        <w:tc>
          <w:tcPr>
            <w:tcW w:type="dxa" w:w="2600"/>
            <w:tcMar>
              <w:top w:type="dxa" w:w="60"/>
              <w:left w:type="dxa" w:w="80"/>
              <w:bottom w:type="dxa" w:w="60"/>
              <w:right w:type="dxa" w:w="80"/>
            </w:tcMar>
          </w:tcPr>
          <w:p>
            <w:r>
              <w:rPr>
                <w:sz w:val="17"/>
                <w:szCs w:val="17"/>
              </w:rPr>
              <w:t xml:space="preserve">RSI2 33.83 (oversold), holding above prior support</w:t>
            </w:r>
          </w:p>
        </w:tc>
        <w:tc>
          <w:tcPr>
            <w:tcW w:type="dxa" w:w="1400"/>
            <w:tcMar>
              <w:top w:type="dxa" w:w="60"/>
              <w:left w:type="dxa" w:w="80"/>
              <w:bottom w:type="dxa" w:w="60"/>
              <w:right w:type="dxa" w:w="80"/>
            </w:tcMar>
          </w:tcPr>
          <w:p>
            <w:r>
              <w:rPr>
                <w:sz w:val="17"/>
                <w:szCs w:val="17"/>
              </w:rPr>
              <w:t xml:space="preserve">LONG (RSI2 fade)</w:t>
            </w:r>
          </w:p>
        </w:tc>
        <w:tc>
          <w:tcPr>
            <w:tcW w:type="dxa" w:w="1100"/>
            <w:tcMar>
              <w:top w:type="dxa" w:w="60"/>
              <w:left w:type="dxa" w:w="80"/>
              <w:bottom w:type="dxa" w:w="60"/>
              <w:right w:type="dxa" w:w="80"/>
            </w:tcMar>
          </w:tcPr>
          <w:p>
            <w:r>
              <w:rPr>
                <w:sz w:val="17"/>
                <w:szCs w:val="17"/>
              </w:rPr>
              <w:t xml:space="preserve">7,543.59</w:t>
            </w:r>
          </w:p>
        </w:tc>
        <w:tc>
          <w:tcPr>
            <w:tcW w:type="dxa" w:w="900"/>
            <w:tcMar>
              <w:top w:type="dxa" w:w="60"/>
              <w:left w:type="dxa" w:w="80"/>
              <w:bottom w:type="dxa" w:w="60"/>
              <w:right w:type="dxa" w:w="80"/>
            </w:tcMar>
          </w:tcPr>
          <w:p>
            <w:r>
              <w:rPr>
                <w:sz w:val="17"/>
                <w:szCs w:val="17"/>
              </w:rPr>
              <w:t xml:space="preserve">+28.25</w:t>
            </w:r>
          </w:p>
        </w:tc>
        <w:tc>
          <w:tcPr>
            <w:tcW w:type="dxa" w:w="2460"/>
            <w:tcMar>
              <w:top w:type="dxa" w:w="60"/>
              <w:left w:type="dxa" w:w="80"/>
              <w:bottom w:type="dxa" w:w="60"/>
              <w:right w:type="dxa" w:w="80"/>
            </w:tcMar>
          </w:tcPr>
          <w:p>
            <w:r>
              <w:rPr>
                <w:sz w:val="17"/>
                <w:szCs w:val="17"/>
              </w:rPr>
              <w:t xml:space="preserve">WIN</w:t>
            </w:r>
          </w:p>
        </w:tc>
      </w:tr>
      <w:tr>
        <w:tc>
          <w:tcPr>
            <w:tcW w:type="dxa" w:w="900"/>
            <w:shd w:fill="F2F2F2" w:color="auto" w:val="clear"/>
            <w:tcMar>
              <w:top w:type="dxa" w:w="60"/>
              <w:left w:type="dxa" w:w="80"/>
              <w:bottom w:type="dxa" w:w="60"/>
              <w:right w:type="dxa" w:w="80"/>
            </w:tcMar>
          </w:tcPr>
          <w:p>
            <w:r>
              <w:rPr>
                <w:sz w:val="17"/>
                <w:szCs w:val="17"/>
              </w:rPr>
              <w:t xml:space="preserve">15 Jul</w:t>
            </w:r>
          </w:p>
        </w:tc>
        <w:tc>
          <w:tcPr>
            <w:tcW w:type="dxa" w:w="2600"/>
            <w:shd w:fill="F2F2F2" w:color="auto" w:val="clear"/>
            <w:tcMar>
              <w:top w:type="dxa" w:w="60"/>
              <w:left w:type="dxa" w:w="80"/>
              <w:bottom w:type="dxa" w:w="60"/>
              <w:right w:type="dxa" w:w="80"/>
            </w:tcMar>
          </w:tcPr>
          <w:p>
            <w:r>
              <w:rPr>
                <w:sz w:val="17"/>
                <w:szCs w:val="17"/>
              </w:rPr>
              <w:t xml:space="preserve">RSI2 58.00 (neutral), no edge</w:t>
            </w:r>
          </w:p>
        </w:tc>
        <w:tc>
          <w:tcPr>
            <w:tcW w:type="dxa" w:w="1400"/>
            <w:shd w:fill="F2F2F2" w:color="auto" w:val="clear"/>
            <w:tcMar>
              <w:top w:type="dxa" w:w="60"/>
              <w:left w:type="dxa" w:w="80"/>
              <w:bottom w:type="dxa" w:w="60"/>
              <w:right w:type="dxa" w:w="80"/>
            </w:tcMar>
          </w:tcPr>
          <w:p>
            <w:r>
              <w:rPr>
                <w:sz w:val="17"/>
                <w:szCs w:val="17"/>
              </w:rPr>
              <w:t xml:space="preserve">FLAT / no signal</w:t>
            </w:r>
          </w:p>
        </w:tc>
        <w:tc>
          <w:tcPr>
            <w:tcW w:type="dxa" w:w="1100"/>
            <w:shd w:fill="F2F2F2" w:color="auto" w:val="clear"/>
            <w:tcMar>
              <w:top w:type="dxa" w:w="60"/>
              <w:left w:type="dxa" w:w="80"/>
              <w:bottom w:type="dxa" w:w="60"/>
              <w:right w:type="dxa" w:w="80"/>
            </w:tcMar>
          </w:tcPr>
          <w:p>
            <w:r>
              <w:rPr>
                <w:sz w:val="17"/>
                <w:szCs w:val="17"/>
              </w:rPr>
              <w:t xml:space="preserve">7,572.40</w:t>
            </w:r>
          </w:p>
        </w:tc>
        <w:tc>
          <w:tcPr>
            <w:tcW w:type="dxa" w:w="900"/>
            <w:shd w:fill="F2F2F2" w:color="auto" w:val="clear"/>
            <w:tcMar>
              <w:top w:type="dxa" w:w="60"/>
              <w:left w:type="dxa" w:w="80"/>
              <w:bottom w:type="dxa" w:w="60"/>
              <w:right w:type="dxa" w:w="80"/>
            </w:tcMar>
          </w:tcPr>
          <w:p>
            <w:r>
              <w:rPr>
                <w:sz w:val="17"/>
                <w:szCs w:val="17"/>
              </w:rPr>
              <w:t xml:space="preserve">+28.81</w:t>
            </w:r>
          </w:p>
        </w:tc>
        <w:tc>
          <w:tcPr>
            <w:tcW w:type="dxa" w:w="2460"/>
            <w:shd w:fill="F2F2F2" w:color="auto" w:val="clear"/>
            <w:tcMar>
              <w:top w:type="dxa" w:w="60"/>
              <w:left w:type="dxa" w:w="80"/>
              <w:bottom w:type="dxa" w:w="60"/>
              <w:right w:type="dxa" w:w="80"/>
            </w:tcMar>
          </w:tcPr>
          <w:p>
            <w:r>
              <w:rPr>
                <w:sz w:val="17"/>
                <w:szCs w:val="17"/>
              </w:rPr>
              <w:t xml:space="preserve">NO TRADE — opportunity cost 28.81 points</w:t>
            </w:r>
          </w:p>
        </w:tc>
      </w:tr>
      <w:tr>
        <w:tc>
          <w:tcPr>
            <w:tcW w:type="dxa" w:w="900"/>
            <w:tcMar>
              <w:top w:type="dxa" w:w="60"/>
              <w:left w:type="dxa" w:w="80"/>
              <w:bottom w:type="dxa" w:w="60"/>
              <w:right w:type="dxa" w:w="80"/>
            </w:tcMar>
          </w:tcPr>
          <w:p>
            <w:r>
              <w:rPr>
                <w:sz w:val="17"/>
                <w:szCs w:val="17"/>
              </w:rPr>
              <w:t xml:space="preserve">16 Jul</w:t>
            </w:r>
          </w:p>
        </w:tc>
        <w:tc>
          <w:tcPr>
            <w:tcW w:type="dxa" w:w="2600"/>
            <w:tcMar>
              <w:top w:type="dxa" w:w="60"/>
              <w:left w:type="dxa" w:w="80"/>
              <w:bottom w:type="dxa" w:w="60"/>
              <w:right w:type="dxa" w:w="80"/>
            </w:tcMar>
          </w:tcPr>
          <w:p>
            <w:r>
              <w:rPr>
                <w:sz w:val="17"/>
                <w:szCs w:val="17"/>
              </w:rPr>
              <w:t xml:space="preserve">RSI2 75.93 (overbought), at the twice-rejected ceiling</w:t>
            </w:r>
          </w:p>
        </w:tc>
        <w:tc>
          <w:tcPr>
            <w:tcW w:type="dxa" w:w="1400"/>
            <w:tcMar>
              <w:top w:type="dxa" w:w="60"/>
              <w:left w:type="dxa" w:w="80"/>
              <w:bottom w:type="dxa" w:w="60"/>
              <w:right w:type="dxa" w:w="80"/>
            </w:tcMar>
          </w:tcPr>
          <w:p>
            <w:r>
              <w:rPr>
                <w:sz w:val="17"/>
                <w:szCs w:val="17"/>
              </w:rPr>
              <w:t xml:space="preserve">SHORT (RSI2 fade + resistance)</w:t>
            </w:r>
          </w:p>
        </w:tc>
        <w:tc>
          <w:tcPr>
            <w:tcW w:type="dxa" w:w="1100"/>
            <w:tcMar>
              <w:top w:type="dxa" w:w="60"/>
              <w:left w:type="dxa" w:w="80"/>
              <w:bottom w:type="dxa" w:w="60"/>
              <w:right w:type="dxa" w:w="80"/>
            </w:tcMar>
          </w:tcPr>
          <w:p>
            <w:r>
              <w:rPr>
                <w:sz w:val="17"/>
                <w:szCs w:val="17"/>
              </w:rPr>
              <w:t xml:space="preserve">7,533.77</w:t>
            </w:r>
          </w:p>
        </w:tc>
        <w:tc>
          <w:tcPr>
            <w:tcW w:type="dxa" w:w="900"/>
            <w:tcMar>
              <w:top w:type="dxa" w:w="60"/>
              <w:left w:type="dxa" w:w="80"/>
              <w:bottom w:type="dxa" w:w="60"/>
              <w:right w:type="dxa" w:w="80"/>
            </w:tcMar>
          </w:tcPr>
          <w:p>
            <w:r>
              <w:rPr>
                <w:sz w:val="17"/>
                <w:szCs w:val="17"/>
              </w:rPr>
              <w:t xml:space="preserve">−38.63</w:t>
            </w:r>
          </w:p>
        </w:tc>
        <w:tc>
          <w:tcPr>
            <w:tcW w:type="dxa" w:w="2460"/>
            <w:tcMar>
              <w:top w:type="dxa" w:w="60"/>
              <w:left w:type="dxa" w:w="80"/>
              <w:bottom w:type="dxa" w:w="60"/>
              <w:right w:type="dxa" w:w="80"/>
            </w:tcMar>
          </w:tcPr>
          <w:p>
            <w:r>
              <w:rPr>
                <w:sz w:val="17"/>
                <w:szCs w:val="17"/>
              </w:rPr>
              <w:t xml:space="preserve">WIN — best-configured setup of the window</w:t>
            </w:r>
          </w:p>
        </w:tc>
      </w:tr>
    </w:tbl>
    <w:p>
      <w:pPr>
        <w:spacing w:after="100"/>
      </w:pPr>
      <w:r>
        <w:rPr>
          <w:b/>
          <w:bCs/>
          <w:sz w:val="20"/>
          <w:szCs w:val="20"/>
        </w:rPr>
        <w:t xml:space="preserve">§21d  What Is Working —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color="auto" w:val="clear"/>
            <w:tcMar>
              <w:top w:type="dxa" w:w="60"/>
              <w:left w:type="dxa" w:w="80"/>
              <w:bottom w:type="dxa" w:w="60"/>
              <w:right w:type="dxa" w:w="80"/>
            </w:tcMar>
          </w:tcPr>
          <w:p>
            <w:r>
              <w:rPr>
                <w:b/>
                <w:bCs/>
                <w:color w:val="FFFFFF"/>
                <w:sz w:val="17"/>
                <w:szCs w:val="17"/>
              </w:rPr>
              <w:t xml:space="preserve">Metric</w:t>
            </w:r>
          </w:p>
        </w:tc>
        <w:tc>
          <w:tcPr>
            <w:tcW w:type="dxa" w:w="7460"/>
            <w:shd w:fill="1F3864" w:color="auto" w:val="clear"/>
            <w:tcMar>
              <w:top w:type="dxa" w:w="60"/>
              <w:left w:type="dxa" w:w="80"/>
              <w:bottom w:type="dxa" w:w="60"/>
              <w:right w:type="dxa" w:w="80"/>
            </w:tcMar>
          </w:tcPr>
          <w:p>
            <w:r>
              <w:rPr>
                <w:b/>
                <w:bCs/>
                <w:color w:val="FFFFFF"/>
                <w:sz w:val="17"/>
                <w:szCs w:val="17"/>
              </w:rPr>
              <w:t xml:space="preserve">Result</w:t>
            </w:r>
          </w:p>
        </w:tc>
      </w:tr>
      <w:tr>
        <w:tc>
          <w:tcPr>
            <w:tcW w:type="dxa" w:w="1900"/>
            <w:tcMar>
              <w:top w:type="dxa" w:w="60"/>
              <w:left w:type="dxa" w:w="80"/>
              <w:bottom w:type="dxa" w:w="60"/>
              <w:right w:type="dxa" w:w="80"/>
            </w:tcMar>
          </w:tcPr>
          <w:p>
            <w:r>
              <w:rPr>
                <w:sz w:val="17"/>
                <w:szCs w:val="17"/>
              </w:rPr>
              <w:t xml:space="preserve">Signals generated</w:t>
            </w:r>
          </w:p>
        </w:tc>
        <w:tc>
          <w:tcPr>
            <w:tcW w:type="dxa" w:w="7460"/>
            <w:tcMar>
              <w:top w:type="dxa" w:w="60"/>
              <w:left w:type="dxa" w:w="80"/>
              <w:bottom w:type="dxa" w:w="60"/>
              <w:right w:type="dxa" w:w="80"/>
            </w:tcMar>
          </w:tcPr>
          <w:p>
            <w:r>
              <w:rPr>
                <w:sz w:val="17"/>
                <w:szCs w:val="17"/>
              </w:rPr>
              <w:t xml:space="preserve">4 of 5 sessions (15 July produced no signal)</w:t>
            </w:r>
          </w:p>
        </w:tc>
      </w:tr>
      <w:tr>
        <w:tc>
          <w:tcPr>
            <w:tcW w:type="dxa" w:w="1900"/>
            <w:shd w:fill="F2F2F2" w:color="auto" w:val="clear"/>
            <w:tcMar>
              <w:top w:type="dxa" w:w="60"/>
              <w:left w:type="dxa" w:w="80"/>
              <w:bottom w:type="dxa" w:w="60"/>
              <w:right w:type="dxa" w:w="80"/>
            </w:tcMar>
          </w:tcPr>
          <w:p>
            <w:r>
              <w:rPr>
                <w:sz w:val="17"/>
                <w:szCs w:val="17"/>
              </w:rPr>
              <w:t xml:space="preserve">Win rate</w:t>
            </w:r>
          </w:p>
        </w:tc>
        <w:tc>
          <w:tcPr>
            <w:tcW w:type="dxa" w:w="7460"/>
            <w:shd w:fill="F2F2F2" w:color="auto" w:val="clear"/>
            <w:tcMar>
              <w:top w:type="dxa" w:w="60"/>
              <w:left w:type="dxa" w:w="80"/>
              <w:bottom w:type="dxa" w:w="60"/>
              <w:right w:type="dxa" w:w="80"/>
            </w:tcMar>
          </w:tcPr>
          <w:p>
            <w:r>
              <w:rPr>
                <w:sz w:val="17"/>
                <w:szCs w:val="17"/>
              </w:rPr>
              <w:t xml:space="preserve">3 wins / 1 loss = 75% of signalled sessions</w:t>
            </w:r>
          </w:p>
        </w:tc>
      </w:tr>
      <w:tr>
        <w:tc>
          <w:tcPr>
            <w:tcW w:type="dxa" w:w="1900"/>
            <w:tcMar>
              <w:top w:type="dxa" w:w="60"/>
              <w:left w:type="dxa" w:w="80"/>
              <w:bottom w:type="dxa" w:w="60"/>
              <w:right w:type="dxa" w:w="80"/>
            </w:tcMar>
          </w:tcPr>
          <w:p>
            <w:r>
              <w:rPr>
                <w:sz w:val="17"/>
                <w:szCs w:val="17"/>
              </w:rPr>
              <w:t xml:space="preserve">Net points captured</w:t>
            </w:r>
          </w:p>
        </w:tc>
        <w:tc>
          <w:tcPr>
            <w:tcW w:type="dxa" w:w="7460"/>
            <w:tcMar>
              <w:top w:type="dxa" w:w="60"/>
              <w:left w:type="dxa" w:w="80"/>
              <w:bottom w:type="dxa" w:w="60"/>
              <w:right w:type="dxa" w:w="80"/>
            </w:tcMar>
          </w:tcPr>
          <w:p>
            <w:r>
              <w:rPr>
                <w:sz w:val="17"/>
                <w:szCs w:val="17"/>
              </w:rPr>
              <w:t xml:space="preserve">+95.18 points before costs — see note below</w:t>
            </w:r>
          </w:p>
        </w:tc>
      </w:tr>
      <w:tr>
        <w:tc>
          <w:tcPr>
            <w:tcW w:type="dxa" w:w="1900"/>
            <w:shd w:fill="F2F2F2" w:color="auto" w:val="clear"/>
            <w:tcMar>
              <w:top w:type="dxa" w:w="60"/>
              <w:left w:type="dxa" w:w="80"/>
              <w:bottom w:type="dxa" w:w="60"/>
              <w:right w:type="dxa" w:w="80"/>
            </w:tcMar>
          </w:tcPr>
          <w:p>
            <w:r>
              <w:rPr>
                <w:sz w:val="17"/>
                <w:szCs w:val="17"/>
              </w:rPr>
              <w:t xml:space="preserve">Strongest</w:t>
            </w:r>
          </w:p>
        </w:tc>
        <w:tc>
          <w:tcPr>
            <w:tcW w:type="dxa" w:w="7460"/>
            <w:shd w:fill="F2F2F2" w:color="auto" w:val="clear"/>
            <w:tcMar>
              <w:top w:type="dxa" w:w="60"/>
              <w:left w:type="dxa" w:w="80"/>
              <w:bottom w:type="dxa" w:w="60"/>
              <w:right w:type="dxa" w:w="80"/>
            </w:tcMar>
          </w:tcPr>
          <w:p>
            <w:r>
              <w:rPr>
                <w:sz w:val="17"/>
                <w:szCs w:val="17"/>
              </w:rPr>
              <w:t xml:space="preserve">RSI2 mean-reversion fades taken AT a structural level. The 13 and 16 July shorts both triggered at the 7,565–7,581 shelf and both worked. The 14 July long triggered at the floor and worked.</w:t>
            </w:r>
          </w:p>
        </w:tc>
      </w:tr>
      <w:tr>
        <w:tc>
          <w:tcPr>
            <w:tcW w:type="dxa" w:w="1900"/>
            <w:tcMar>
              <w:top w:type="dxa" w:w="60"/>
              <w:left w:type="dxa" w:w="80"/>
              <w:bottom w:type="dxa" w:w="60"/>
              <w:right w:type="dxa" w:w="80"/>
            </w:tcMar>
          </w:tcPr>
          <w:p>
            <w:r>
              <w:rPr>
                <w:sz w:val="17"/>
                <w:szCs w:val="17"/>
              </w:rPr>
              <w:t xml:space="preserve">Weakest</w:t>
            </w:r>
          </w:p>
        </w:tc>
        <w:tc>
          <w:tcPr>
            <w:tcW w:type="dxa" w:w="7460"/>
            <w:tcMar>
              <w:top w:type="dxa" w:w="60"/>
              <w:left w:type="dxa" w:w="80"/>
              <w:bottom w:type="dxa" w:w="60"/>
              <w:right w:type="dxa" w:w="80"/>
            </w:tcMar>
          </w:tcPr>
          <w:p>
            <w:r>
              <w:rPr>
                <w:sz w:val="17"/>
                <w:szCs w:val="17"/>
              </w:rPr>
              <w:t xml:space="preserve">RSI2 fades taken WITHOUT structural confluence. The single loss (10 July) was an overbought reading faded in open space, against an intact trend leg, with no rejection level overhead. It was the only signal in the window that lacked a level.</w:t>
            </w:r>
          </w:p>
        </w:tc>
      </w:tr>
      <w:tr>
        <w:tc>
          <w:tcPr>
            <w:tcW w:type="dxa" w:w="1900"/>
            <w:shd w:fill="F2F2F2" w:color="auto" w:val="clear"/>
            <w:tcMar>
              <w:top w:type="dxa" w:w="60"/>
              <w:left w:type="dxa" w:w="80"/>
              <w:bottom w:type="dxa" w:w="60"/>
              <w:right w:type="dxa" w:w="80"/>
            </w:tcMar>
          </w:tcPr>
          <w:p>
            <w:r>
              <w:rPr>
                <w:sz w:val="17"/>
                <w:szCs w:val="17"/>
              </w:rPr>
              <w:t xml:space="preserve">What this means for today's cards</w:t>
            </w:r>
          </w:p>
        </w:tc>
        <w:tc>
          <w:tcPr>
            <w:tcW w:type="dxa" w:w="7460"/>
            <w:shd w:fill="F2F2F2" w:color="auto" w:val="clear"/>
            <w:tcMar>
              <w:top w:type="dxa" w:w="60"/>
              <w:left w:type="dxa" w:w="80"/>
              <w:bottom w:type="dxa" w:w="60"/>
              <w:right w:type="dxa" w:w="80"/>
            </w:tcMar>
          </w:tcPr>
          <w:p>
            <w:r>
              <w:rPr>
                <w:sz w:val="17"/>
                <w:szCs w:val="17"/>
              </w:rPr>
              <w:t xml:space="preserve">The backtest is small (four signals) and its finding is unambiguous: in this tape, RSI2 works as a trigger and fails as a thesis. Every winning signal had a pivot or swing level underneath it. This directly supports Trade 2 (entry at a doubly-confirmed floor) and Trade 3B (entry at a doubly-rejected ceiling), and it directly undermines Trade 1, whose entry at 7,542.76 is a mid-range swing midpoint with no level beneath it — structurally the closest analogue in this report to the 10 July loss.</w:t>
            </w:r>
          </w:p>
        </w:tc>
      </w:tr>
      <w:tr>
        <w:tc>
          <w:tcPr>
            <w:tcW w:type="dxa" w:w="1900"/>
            <w:tcMar>
              <w:top w:type="dxa" w:w="60"/>
              <w:left w:type="dxa" w:w="80"/>
              <w:bottom w:type="dxa" w:w="60"/>
              <w:right w:type="dxa" w:w="80"/>
            </w:tcMar>
          </w:tcPr>
          <w:p>
            <w:r>
              <w:rPr>
                <w:sz w:val="17"/>
                <w:szCs w:val="17"/>
              </w:rPr>
              <w:t xml:space="preserve">Caveat</w:t>
            </w:r>
          </w:p>
        </w:tc>
        <w:tc>
          <w:tcPr>
            <w:tcW w:type="dxa" w:w="7460"/>
            <w:tcMar>
              <w:top w:type="dxa" w:w="60"/>
              <w:left w:type="dxa" w:w="80"/>
              <w:bottom w:type="dxa" w:w="60"/>
              <w:right w:type="dxa" w:w="80"/>
            </w:tcMar>
          </w:tcPr>
          <w:p>
            <w:r>
              <w:rPr>
                <w:sz w:val="17"/>
                <w:szCs w:val="17"/>
              </w:rPr>
              <w:t xml:space="preserve">Four signals is not a sample. This is a directional sanity check on the current configuration, not evidence of edge. It is session 1 of a 20-session forward test; weights remain locked.</w:t>
            </w:r>
          </w:p>
        </w:tc>
      </w:tr>
    </w:tbl>
    <w:p>
      <w:pPr>
        <w:spacing w:after="160"/>
      </w:pPr>
      <w:r>
        <w:rPr>
          <w:i/>
          <w:iCs/>
          <w:sz w:val="18"/>
          <w:szCs w:val="18"/>
        </w:rPr>
        <w:t xml:space="preserve">Note on net points: the +95.18 figure sums the three winning sessions' absolute moves (60.05 + 28.25 + 38.63 = 126.93) net of the losing session (−31.75). The 15 July no-signal session carried a 28.81-point opportunity cost that is excluded from the P&amp;L but noted for completeness — a flat signal is not a loss, but in a window this small, one missed session materially changes the picture.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S&amp;P 500 Daily Report  │  16 July 2026  │  Senior US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F3864"/>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2026-07-17T00:14:37.691Z</dcterms:created>
  <dcterms:modified xsi:type="dcterms:W3CDTF">2026-07-17T00:14:37.691Z</dcterms:modified>
</cp:coreProperties>
</file>

<file path=docProps/custom.xml><?xml version="1.0" encoding="utf-8"?>
<Properties xmlns="http://schemas.openxmlformats.org/officeDocument/2006/custom-properties" xmlns:vt="http://schemas.openxmlformats.org/officeDocument/2006/docPropsVTypes"/>
</file>