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S&amp;P 500 Report — Daily: 20 July 2026</w:t>
      </w:r>
    </w:p>
    <w:p>
      <w:pPr>
        <w:spacing w:after="60"/>
      </w:pPr>
      <w:r>
        <w:rPr>
          <w:i/>
          <w:iCs/>
          <w:color w:val="666666"/>
          <w:sz w:val="20"/>
          <w:szCs w:val="20"/>
        </w:rPr>
        <w:t xml:space="preserve">With reference to: USDX · VIX · DAX 40</w:t>
      </w:r>
    </w:p>
    <w:p>
      <w:pPr>
        <w:pBdr>
          <w:bottom w:val="single" w:color="1F3864" w:sz="6" w:space="6"/>
        </w:pBdr>
        <w:spacing w:after="200"/>
      </w:pPr>
      <w:r>
        <w:rPr>
          <w:color w:val="222222"/>
          <w:sz w:val="18"/>
          <w:szCs w:val="18"/>
        </w:rPr>
        <w:t xml:space="preserve">Senior US Equity Strategist  ·  As of close 17 July 2026 (America/New_York)  ·  Issued for the session of 20 July 2026</w:t>
      </w:r>
    </w:p>
    <w:p>
      <w:pPr>
        <w:pStyle w:val="Heading1"/>
        <w:spacing w:after="110" w:before="220"/>
      </w:pPr>
      <w:r>
        <w:rPr>
          <w:b/>
          <w:bCs/>
          <w:color w:val="1F3864"/>
        </w:rPr>
        <w:t xml:space="preserve">1 · Executive Snapshot</w:t>
      </w:r>
    </w:p>
    <w:p>
      <w:pPr>
        <w:spacing w:after="100"/>
        <w:jc w:val="both"/>
      </w:pPr>
      <w:r>
        <w:rPr>
          <w:sz w:val="20"/>
          <w:szCs w:val="20"/>
        </w:rPr>
        <w:t xml:space="preserve">The S&amp;P 500 enters the session of 20 July 2026 at a consensus level of 7,457.69 index points, the corroborated close of Friday 17 July, after a three-session slide that took the index down roughly 1.6% on the week and ended its first losing week in three. Market tone is risk-off and defensive: the dominant drivers are (i) a deepening semiconductor sell-off that pushed a key chip gauge into a 20%-from-high drawdown on AI-capex sustainability fears, (ii) a renewed spike in oil on fresh US–Iran hostilities around the Strait of Hormuz that revived inflation and rate-hold concerns, and (iii) a strong but overshadowed Q2 earnings season (about 90% of early reporters beating, aggregate growth revised up toward 26%). The short-term technical state is Transitional–Bearish: the last two sessions closed below their opens with RSI2 collapsing to 0.0 on Friday. The medium-term 25-session regime is Transitional, with an overlap ratio of 0.54 and directional persistence of 0.50 — neither cleanly trending nor cleanly ranging — and the most recent close sitting mid-range (55th percentile). The Kaufman Efficiency Ratio classifies as Trending Up — Moderate on smoothed data (a lagging read that conflicts with current price action and is flagged explicitly in §9). The single most important watch item is whether Friday's break of the rising short-term structure extends into a confirmed close below the 25-session floor near 7,294, or whether dip-buyers defend the 7,431–7,457 shelf. Directional conviction for the session is SHORT (score −0.57).</w:t>
      </w:r>
    </w:p>
    <w:p>
      <w:pPr>
        <w:pStyle w:val="Heading1"/>
        <w:spacing w:after="110" w:before="220"/>
      </w:pPr>
      <w:r>
        <w:rPr>
          <w:b/>
          <w:bCs/>
          <w:color w:val="1F3864"/>
        </w:rPr>
        <w:t xml:space="preserve">2 · Market Definition</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6760"/>
      </w:tblGrid>
      <w:tr>
        <w:tc>
          <w:tcPr>
            <w:tcW w:type="dxa" w:w="2600"/>
            <w:shd w:fill="F2F2F2" w:color="auto" w:val="clear"/>
            <w:tcMar>
              <w:top w:type="dxa" w:w="40"/>
              <w:left w:type="dxa" w:w="70"/>
              <w:bottom w:type="dxa" w:w="40"/>
              <w:right w:type="dxa" w:w="70"/>
            </w:tcMar>
          </w:tcPr>
          <w:p>
            <w:pPr>
              <w:jc w:val="left"/>
            </w:pPr>
            <w:r>
              <w:rPr>
                <w:b/>
                <w:bCs/>
                <w:color w:val="222222"/>
                <w:sz w:val="18"/>
                <w:szCs w:val="18"/>
              </w:rPr>
              <w:t xml:space="preserve">Field</w:t>
            </w:r>
          </w:p>
        </w:tc>
        <w:tc>
          <w:tcPr>
            <w:tcW w:type="dxa" w:w="6760"/>
            <w:shd w:fill="F2F2F2" w:color="auto" w:val="clear"/>
            <w:tcMar>
              <w:top w:type="dxa" w:w="40"/>
              <w:left w:type="dxa" w:w="70"/>
              <w:bottom w:type="dxa" w:w="40"/>
              <w:right w:type="dxa" w:w="70"/>
            </w:tcMar>
          </w:tcPr>
          <w:p>
            <w:pPr>
              <w:jc w:val="left"/>
            </w:pPr>
            <w:r>
              <w:rPr>
                <w:b/>
                <w:bCs/>
                <w:color w:val="222222"/>
                <w:sz w:val="18"/>
                <w:szCs w:val="18"/>
              </w:rPr>
              <w:t xml:space="preserve">Definition</w:t>
            </w:r>
          </w:p>
        </w:tc>
      </w:tr>
      <w:tr>
        <w:tc>
          <w:tcPr>
            <w:tcW w:type="dxa" w:w="2600"/>
            <w:tcMar>
              <w:top w:type="dxa" w:w="40"/>
              <w:left w:type="dxa" w:w="70"/>
              <w:bottom w:type="dxa" w:w="40"/>
              <w:right w:type="dxa" w:w="70"/>
            </w:tcMar>
          </w:tcPr>
          <w:p>
            <w:pPr>
              <w:jc w:val="left"/>
            </w:pPr>
            <w:r>
              <w:rPr>
                <w:b/>
                <w:bCs/>
                <w:color w:val="222222"/>
                <w:sz w:val="18"/>
                <w:szCs w:val="18"/>
              </w:rPr>
              <w:t xml:space="preserve">Asset</w:t>
            </w:r>
          </w:p>
        </w:tc>
        <w:tc>
          <w:tcPr>
            <w:tcW w:type="dxa" w:w="6760"/>
            <w:tcMar>
              <w:top w:type="dxa" w:w="40"/>
              <w:left w:type="dxa" w:w="70"/>
              <w:bottom w:type="dxa" w:w="40"/>
              <w:right w:type="dxa" w:w="70"/>
            </w:tcMar>
          </w:tcPr>
          <w:p>
            <w:pPr>
              <w:jc w:val="left"/>
            </w:pPr>
            <w:r>
              <w:rPr>
                <w:b w:val="false"/>
                <w:bCs w:val="false"/>
                <w:color w:val="222222"/>
                <w:sz w:val="18"/>
                <w:szCs w:val="18"/>
              </w:rPr>
              <w:t xml:space="preserve">S&amp;P 500 cash index (^GSPC)</w:t>
            </w:r>
          </w:p>
        </w:tc>
      </w:tr>
      <w:tr>
        <w:tc>
          <w:tcPr>
            <w:tcW w:type="dxa" w:w="2600"/>
            <w:tcMar>
              <w:top w:type="dxa" w:w="40"/>
              <w:left w:type="dxa" w:w="70"/>
              <w:bottom w:type="dxa" w:w="40"/>
              <w:right w:type="dxa" w:w="70"/>
            </w:tcMar>
          </w:tcPr>
          <w:p>
            <w:pPr>
              <w:jc w:val="left"/>
            </w:pPr>
            <w:r>
              <w:rPr>
                <w:b/>
                <w:bCs/>
                <w:color w:val="222222"/>
                <w:sz w:val="18"/>
                <w:szCs w:val="18"/>
              </w:rPr>
              <w:t xml:space="preserve">Specification</w:t>
            </w:r>
          </w:p>
        </w:tc>
        <w:tc>
          <w:tcPr>
            <w:tcW w:type="dxa" w:w="6760"/>
            <w:tcMar>
              <w:top w:type="dxa" w:w="40"/>
              <w:left w:type="dxa" w:w="70"/>
              <w:bottom w:type="dxa" w:w="40"/>
              <w:right w:type="dxa" w:w="70"/>
            </w:tcMar>
          </w:tcPr>
          <w:p>
            <w:pPr>
              <w:jc w:val="left"/>
            </w:pPr>
            <w:r>
              <w:rPr>
                <w:b w:val="false"/>
                <w:bCs w:val="false"/>
                <w:color w:val="222222"/>
                <w:sz w:val="18"/>
                <w:szCs w:val="18"/>
              </w:rPr>
              <w:t xml:space="preserve">Large-cap US equity benchmark, 503 constituents; float-cap weighted; rebalanced quarterly by S&amp;P Dow Jones</w:t>
            </w:r>
          </w:p>
        </w:tc>
      </w:tr>
      <w:tr>
        <w:tc>
          <w:tcPr>
            <w:tcW w:type="dxa" w:w="2600"/>
            <w:tcMar>
              <w:top w:type="dxa" w:w="40"/>
              <w:left w:type="dxa" w:w="70"/>
              <w:bottom w:type="dxa" w:w="40"/>
              <w:right w:type="dxa" w:w="70"/>
            </w:tcMar>
          </w:tcPr>
          <w:p>
            <w:pPr>
              <w:jc w:val="left"/>
            </w:pPr>
            <w:r>
              <w:rPr>
                <w:b/>
                <w:bCs/>
                <w:color w:val="222222"/>
                <w:sz w:val="18"/>
                <w:szCs w:val="18"/>
              </w:rPr>
              <w:t xml:space="preserve">Scope</w:t>
            </w:r>
          </w:p>
        </w:tc>
        <w:tc>
          <w:tcPr>
            <w:tcW w:type="dxa" w:w="6760"/>
            <w:tcMar>
              <w:top w:type="dxa" w:w="40"/>
              <w:left w:type="dxa" w:w="70"/>
              <w:bottom w:type="dxa" w:w="40"/>
              <w:right w:type="dxa" w:w="70"/>
            </w:tcMar>
          </w:tcPr>
          <w:p>
            <w:pPr>
              <w:jc w:val="left"/>
            </w:pPr>
            <w:r>
              <w:rPr>
                <w:b w:val="false"/>
                <w:bCs w:val="false"/>
                <w:color w:val="222222"/>
                <w:sz w:val="18"/>
                <w:szCs w:val="18"/>
              </w:rPr>
              <w:t xml:space="preserve">Global / US — headline US benchmark with a global investor base</w:t>
            </w:r>
          </w:p>
        </w:tc>
      </w:tr>
      <w:tr>
        <w:tc>
          <w:tcPr>
            <w:tcW w:type="dxa" w:w="2600"/>
            <w:tcMar>
              <w:top w:type="dxa" w:w="40"/>
              <w:left w:type="dxa" w:w="70"/>
              <w:bottom w:type="dxa" w:w="40"/>
              <w:right w:type="dxa" w:w="70"/>
            </w:tcMar>
          </w:tcPr>
          <w:p>
            <w:pPr>
              <w:jc w:val="left"/>
            </w:pPr>
            <w:r>
              <w:rPr>
                <w:b/>
                <w:bCs/>
                <w:color w:val="222222"/>
                <w:sz w:val="18"/>
                <w:szCs w:val="18"/>
              </w:rPr>
              <w:t xml:space="preserve">Delivery / price basis</w:t>
            </w:r>
          </w:p>
        </w:tc>
        <w:tc>
          <w:tcPr>
            <w:tcW w:type="dxa" w:w="6760"/>
            <w:tcMar>
              <w:top w:type="dxa" w:w="40"/>
              <w:left w:type="dxa" w:w="70"/>
              <w:bottom w:type="dxa" w:w="40"/>
              <w:right w:type="dxa" w:w="70"/>
            </w:tcMar>
          </w:tcPr>
          <w:p>
            <w:pPr>
              <w:jc w:val="left"/>
            </w:pPr>
            <w:r>
              <w:rPr>
                <w:b w:val="false"/>
                <w:bCs w:val="false"/>
                <w:color w:val="222222"/>
                <w:sz w:val="18"/>
                <w:szCs w:val="18"/>
              </w:rPr>
              <w:t xml:space="preserve">Cash index level (continuous), NYSE/NASDAQ regular session 09:30–16:00 ET; pre-/after-market excluded from OHLC</w:t>
            </w:r>
          </w:p>
        </w:tc>
      </w:tr>
      <w:tr>
        <w:tc>
          <w:tcPr>
            <w:tcW w:type="dxa" w:w="2600"/>
            <w:tcMar>
              <w:top w:type="dxa" w:w="40"/>
              <w:left w:type="dxa" w:w="70"/>
              <w:bottom w:type="dxa" w:w="40"/>
              <w:right w:type="dxa" w:w="70"/>
            </w:tcMar>
          </w:tcPr>
          <w:p>
            <w:pPr>
              <w:jc w:val="left"/>
            </w:pPr>
            <w:r>
              <w:rPr>
                <w:b/>
                <w:bCs/>
                <w:color w:val="222222"/>
                <w:sz w:val="18"/>
                <w:szCs w:val="18"/>
              </w:rPr>
              <w:t xml:space="preserve">Unit / currency</w:t>
            </w:r>
          </w:p>
        </w:tc>
        <w:tc>
          <w:tcPr>
            <w:tcW w:type="dxa" w:w="6760"/>
            <w:tcMar>
              <w:top w:type="dxa" w:w="40"/>
              <w:left w:type="dxa" w:w="70"/>
              <w:bottom w:type="dxa" w:w="40"/>
              <w:right w:type="dxa" w:w="70"/>
            </w:tcMar>
          </w:tcPr>
          <w:p>
            <w:pPr>
              <w:jc w:val="left"/>
            </w:pPr>
            <w:r>
              <w:rPr>
                <w:b w:val="false"/>
                <w:bCs w:val="false"/>
                <w:color w:val="222222"/>
                <w:sz w:val="18"/>
                <w:szCs w:val="18"/>
              </w:rPr>
              <w:t xml:space="preserve">Index points · USD; tick 0.01 (“point”)</w:t>
            </w:r>
          </w:p>
        </w:tc>
      </w:tr>
      <w:tr>
        <w:tc>
          <w:tcPr>
            <w:tcW w:type="dxa" w:w="2600"/>
            <w:tcMar>
              <w:top w:type="dxa" w:w="40"/>
              <w:left w:type="dxa" w:w="70"/>
              <w:bottom w:type="dxa" w:w="40"/>
              <w:right w:type="dxa" w:w="70"/>
            </w:tcMar>
          </w:tcPr>
          <w:p>
            <w:pPr>
              <w:jc w:val="left"/>
            </w:pPr>
            <w:r>
              <w:rPr>
                <w:b/>
                <w:bCs/>
                <w:color w:val="222222"/>
                <w:sz w:val="18"/>
                <w:szCs w:val="18"/>
              </w:rPr>
              <w:t xml:space="preserve">As-of date</w:t>
            </w:r>
          </w:p>
        </w:tc>
        <w:tc>
          <w:tcPr>
            <w:tcW w:type="dxa" w:w="6760"/>
            <w:tcMar>
              <w:top w:type="dxa" w:w="40"/>
              <w:left w:type="dxa" w:w="70"/>
              <w:bottom w:type="dxa" w:w="40"/>
              <w:right w:type="dxa" w:w="70"/>
            </w:tcMar>
          </w:tcPr>
          <w:p>
            <w:pPr>
              <w:jc w:val="left"/>
            </w:pPr>
            <w:r>
              <w:rPr>
                <w:b w:val="false"/>
                <w:bCs w:val="false"/>
                <w:color w:val="222222"/>
                <w:sz w:val="18"/>
                <w:szCs w:val="18"/>
              </w:rPr>
              <w:t xml:space="preserve">Close 17 July 2026 (America/New_York); report issued for the session of 20 July 2026</w:t>
            </w:r>
          </w:p>
        </w:tc>
      </w:tr>
      <w:tr>
        <w:tc>
          <w:tcPr>
            <w:tcW w:type="dxa" w:w="2600"/>
            <w:tcMar>
              <w:top w:type="dxa" w:w="40"/>
              <w:left w:type="dxa" w:w="70"/>
              <w:bottom w:type="dxa" w:w="40"/>
              <w:right w:type="dxa" w:w="70"/>
            </w:tcMar>
          </w:tcPr>
          <w:p>
            <w:pPr>
              <w:jc w:val="left"/>
            </w:pPr>
            <w:r>
              <w:rPr>
                <w:b/>
                <w:bCs/>
                <w:color w:val="222222"/>
                <w:sz w:val="18"/>
                <w:szCs w:val="18"/>
              </w:rPr>
              <w:t xml:space="preserve">Lookback window</w:t>
            </w:r>
          </w:p>
        </w:tc>
        <w:tc>
          <w:tcPr>
            <w:tcW w:type="dxa" w:w="6760"/>
            <w:tcMar>
              <w:top w:type="dxa" w:w="40"/>
              <w:left w:type="dxa" w:w="70"/>
              <w:bottom w:type="dxa" w:w="40"/>
              <w:right w:type="dxa" w:w="70"/>
            </w:tcMar>
          </w:tcPr>
          <w:p>
            <w:pPr>
              <w:jc w:val="left"/>
            </w:pPr>
            <w:r>
              <w:rPr>
                <w:b w:val="false"/>
                <w:bCs w:val="false"/>
                <w:color w:val="222222"/>
                <w:sz w:val="18"/>
                <w:szCs w:val="18"/>
              </w:rPr>
              <w:t xml:space="preserve">5 sessions (execution block); 25 sessions (regime block)</w:t>
            </w:r>
          </w:p>
        </w:tc>
      </w:tr>
    </w:tbl>
    <w:p>
      <w:pPr>
        <w:spacing w:after="120"/>
      </w:pPr>
      <w:r>
        <w:rPr>
          <w:i/>
          <w:iCs/>
          <w:color w:val="666666"/>
          <w:sz w:val="17"/>
          <w:szCs w:val="17"/>
        </w:rPr>
        <w:t xml:space="preserve">The daily-open execution anchor for this instance is the 07:00 UK pre-New-York window, where futures-led re-pricing into the cash open is most informative. Trade 1 in §21 is entered at that anchor on 20 July.</w:t>
      </w:r>
    </w:p>
    <w:p>
      <w:pPr>
        <w:pStyle w:val="Heading1"/>
        <w:spacing w:after="110" w:before="220"/>
      </w:pPr>
      <w:r>
        <w:rPr>
          <w:b/>
          <w:bCs/>
          <w:color w:val="1F3864"/>
        </w:rPr>
        <w:t xml:space="preserve">3 · Consensus Price Call</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900"/>
        <w:gridCol w:w="1600"/>
        <w:gridCol w:w="1500"/>
        <w:gridCol w:w="1300"/>
        <w:gridCol w:w="1360"/>
        <w:gridCol w:w="1700"/>
      </w:tblGrid>
      <w:tr>
        <w:trPr>
          <w:tblHeader/>
        </w:trPr>
        <w:tc>
          <w:tcPr>
            <w:tcW w:type="dxa" w:w="1900"/>
            <w:shd w:fill="1F3864" w:color="auto" w:val="clear"/>
            <w:tcMar>
              <w:top w:type="dxa" w:w="40"/>
              <w:left w:type="dxa" w:w="70"/>
              <w:bottom w:type="dxa" w:w="40"/>
              <w:right w:type="dxa" w:w="70"/>
            </w:tcMar>
          </w:tcPr>
          <w:p>
            <w:pPr>
              <w:jc w:val="left"/>
            </w:pPr>
            <w:r>
              <w:rPr>
                <w:b/>
                <w:bCs/>
                <w:color w:val="FFFFFF"/>
                <w:sz w:val="18"/>
                <w:szCs w:val="18"/>
              </w:rPr>
              <w:t xml:space="preserve">Consensus</w:t>
            </w:r>
          </w:p>
        </w:tc>
        <w:tc>
          <w:tcPr>
            <w:tcW w:type="dxa" w:w="1600"/>
            <w:shd w:fill="1F3864" w:color="auto" w:val="clear"/>
            <w:tcMar>
              <w:top w:type="dxa" w:w="40"/>
              <w:left w:type="dxa" w:w="70"/>
              <w:bottom w:type="dxa" w:w="40"/>
              <w:right w:type="dxa" w:w="70"/>
            </w:tcMar>
          </w:tcPr>
          <w:p>
            <w:pPr>
              <w:jc w:val="left"/>
            </w:pPr>
            <w:r>
              <w:rPr>
                <w:b/>
                <w:bCs/>
                <w:color w:val="FFFFFF"/>
                <w:sz w:val="18"/>
                <w:szCs w:val="18"/>
              </w:rPr>
              <w:t xml:space="preserve">Range</w:t>
            </w:r>
          </w:p>
        </w:tc>
        <w:tc>
          <w:tcPr>
            <w:tcW w:type="dxa" w:w="1500"/>
            <w:shd w:fill="1F3864" w:color="auto" w:val="clear"/>
            <w:tcMar>
              <w:top w:type="dxa" w:w="40"/>
              <w:left w:type="dxa" w:w="70"/>
              <w:bottom w:type="dxa" w:w="40"/>
              <w:right w:type="dxa" w:w="70"/>
            </w:tcMar>
          </w:tcPr>
          <w:p>
            <w:pPr>
              <w:jc w:val="left"/>
            </w:pPr>
            <w:r>
              <w:rPr>
                <w:b/>
                <w:bCs/>
                <w:color w:val="FFFFFF"/>
                <w:sz w:val="18"/>
                <w:szCs w:val="18"/>
              </w:rPr>
              <w:t xml:space="preserve">Basis</w:t>
            </w:r>
          </w:p>
        </w:tc>
        <w:tc>
          <w:tcPr>
            <w:tcW w:type="dxa" w:w="1300"/>
            <w:shd w:fill="1F3864" w:color="auto" w:val="clear"/>
            <w:tcMar>
              <w:top w:type="dxa" w:w="40"/>
              <w:left w:type="dxa" w:w="70"/>
              <w:bottom w:type="dxa" w:w="40"/>
              <w:right w:type="dxa" w:w="70"/>
            </w:tcMar>
          </w:tcPr>
          <w:p>
            <w:pPr>
              <w:jc w:val="left"/>
            </w:pPr>
            <w:r>
              <w:rPr>
                <w:b/>
                <w:bCs/>
                <w:color w:val="FFFFFF"/>
                <w:sz w:val="18"/>
                <w:szCs w:val="18"/>
              </w:rPr>
              <w:t xml:space="preserve">Confidence</w:t>
            </w:r>
          </w:p>
        </w:tc>
        <w:tc>
          <w:tcPr>
            <w:tcW w:type="dxa" w:w="1360"/>
            <w:shd w:fill="1F3864" w:color="auto" w:val="clear"/>
            <w:tcMar>
              <w:top w:type="dxa" w:w="40"/>
              <w:left w:type="dxa" w:w="70"/>
              <w:bottom w:type="dxa" w:w="40"/>
              <w:right w:type="dxa" w:w="70"/>
            </w:tcMar>
          </w:tcPr>
          <w:p>
            <w:pPr>
              <w:jc w:val="left"/>
            </w:pPr>
            <w:r>
              <w:rPr>
                <w:b/>
                <w:bCs/>
                <w:color w:val="FFFFFF"/>
                <w:sz w:val="18"/>
                <w:szCs w:val="18"/>
              </w:rPr>
              <w:t xml:space="preserve">Tone</w:t>
            </w:r>
          </w:p>
        </w:tc>
        <w:tc>
          <w:tcPr>
            <w:tcW w:type="dxa" w:w="1700"/>
            <w:shd w:fill="1F3864" w:color="auto" w:val="clear"/>
            <w:tcMar>
              <w:top w:type="dxa" w:w="40"/>
              <w:left w:type="dxa" w:w="70"/>
              <w:bottom w:type="dxa" w:w="40"/>
              <w:right w:type="dxa" w:w="70"/>
            </w:tcMar>
          </w:tcPr>
          <w:p>
            <w:pPr>
              <w:jc w:val="left"/>
            </w:pPr>
            <w:r>
              <w:rPr>
                <w:b/>
                <w:bCs/>
                <w:color w:val="FFFFFF"/>
                <w:sz w:val="18"/>
                <w:szCs w:val="18"/>
              </w:rPr>
              <w:t xml:space="preserve">Rationale</w:t>
            </w:r>
          </w:p>
        </w:tc>
      </w:tr>
      <w:tr>
        <w:tc>
          <w:tcPr>
            <w:tcW w:type="dxa" w:w="1900"/>
            <w:tcMar>
              <w:top w:type="dxa" w:w="40"/>
              <w:left w:type="dxa" w:w="70"/>
              <w:bottom w:type="dxa" w:w="40"/>
              <w:right w:type="dxa" w:w="70"/>
            </w:tcMar>
          </w:tcPr>
          <w:p>
            <w:pPr>
              <w:jc w:val="left"/>
            </w:pPr>
            <w:r>
              <w:rPr>
                <w:b/>
                <w:bCs/>
                <w:color w:val="222222"/>
                <w:sz w:val="18"/>
                <w:szCs w:val="18"/>
              </w:rPr>
              <w:t xml:space="preserve">7,457.69</w:t>
            </w:r>
          </w:p>
        </w:tc>
        <w:tc>
          <w:tcPr>
            <w:tcW w:type="dxa" w:w="1600"/>
            <w:tcMar>
              <w:top w:type="dxa" w:w="40"/>
              <w:left w:type="dxa" w:w="70"/>
              <w:bottom w:type="dxa" w:w="40"/>
              <w:right w:type="dxa" w:w="70"/>
            </w:tcMar>
          </w:tcPr>
          <w:p>
            <w:pPr>
              <w:jc w:val="left"/>
            </w:pPr>
            <w:r>
              <w:rPr>
                <w:b w:val="false"/>
                <w:bCs w:val="false"/>
                <w:color w:val="222222"/>
                <w:sz w:val="18"/>
                <w:szCs w:val="18"/>
              </w:rPr>
              <w:t xml:space="preserve">7,431 – 7,498</w:t>
            </w:r>
          </w:p>
        </w:tc>
        <w:tc>
          <w:tcPr>
            <w:tcW w:type="dxa" w:w="1500"/>
            <w:tcMar>
              <w:top w:type="dxa" w:w="40"/>
              <w:left w:type="dxa" w:w="70"/>
              <w:bottom w:type="dxa" w:w="40"/>
              <w:right w:type="dxa" w:w="70"/>
            </w:tcMar>
          </w:tcPr>
          <w:p>
            <w:pPr>
              <w:jc w:val="left"/>
            </w:pPr>
            <w:r>
              <w:rPr>
                <w:b w:val="false"/>
                <w:bCs w:val="false"/>
                <w:color w:val="222222"/>
                <w:sz w:val="18"/>
                <w:szCs w:val="18"/>
              </w:rPr>
              <w:t xml:space="preserve">Official cash close</w:t>
            </w:r>
          </w:p>
        </w:tc>
        <w:tc>
          <w:tcPr>
            <w:tcW w:type="dxa" w:w="1300"/>
            <w:tcMar>
              <w:top w:type="dxa" w:w="40"/>
              <w:left w:type="dxa" w:w="70"/>
              <w:bottom w:type="dxa" w:w="40"/>
              <w:right w:type="dxa" w:w="70"/>
            </w:tcMar>
          </w:tcPr>
          <w:p>
            <w:pPr>
              <w:jc w:val="left"/>
            </w:pPr>
            <w:r>
              <w:rPr>
                <w:b w:val="false"/>
                <w:bCs w:val="false"/>
                <w:color w:val="222222"/>
                <w:sz w:val="18"/>
                <w:szCs w:val="18"/>
              </w:rPr>
              <w:t xml:space="preserve">High</w:t>
            </w:r>
          </w:p>
        </w:tc>
        <w:tc>
          <w:tcPr>
            <w:tcW w:type="dxa" w:w="1360"/>
            <w:tcMar>
              <w:top w:type="dxa" w:w="40"/>
              <w:left w:type="dxa" w:w="70"/>
              <w:bottom w:type="dxa" w:w="40"/>
              <w:right w:type="dxa" w:w="70"/>
            </w:tcMar>
          </w:tcPr>
          <w:p>
            <w:pPr>
              <w:jc w:val="left"/>
            </w:pPr>
            <w:r>
              <w:rPr>
                <w:b w:val="false"/>
                <w:bCs w:val="false"/>
                <w:color w:val="222222"/>
                <w:sz w:val="18"/>
                <w:szCs w:val="18"/>
              </w:rPr>
              <w:t xml:space="preserve">Bearish</w:t>
            </w:r>
          </w:p>
        </w:tc>
        <w:tc>
          <w:tcPr>
            <w:tcW w:type="dxa" w:w="1700"/>
            <w:tcMar>
              <w:top w:type="dxa" w:w="40"/>
              <w:left w:type="dxa" w:w="70"/>
              <w:bottom w:type="dxa" w:w="40"/>
              <w:right w:type="dxa" w:w="70"/>
            </w:tcMar>
          </w:tcPr>
          <w:p>
            <w:pPr>
              <w:jc w:val="left"/>
            </w:pPr>
            <w:r>
              <w:rPr>
                <w:b w:val="false"/>
                <w:bCs w:val="false"/>
                <w:color w:val="222222"/>
                <w:sz w:val="16"/>
                <w:szCs w:val="16"/>
              </w:rPr>
              <w:t xml:space="preserve">Four independent sources agree on the close within tolerance</w:t>
            </w:r>
          </w:p>
        </w:tc>
      </w:tr>
    </w:tbl>
    <w:p>
      <w:pPr>
        <w:spacing w:after="100"/>
        <w:jc w:val="both"/>
      </w:pPr>
      <w:r>
        <w:rPr>
          <w:sz w:val="20"/>
          <w:szCs w:val="20"/>
        </w:rPr>
        <w:t xml:space="preserve">The 17 July close of 7,457.69 is corroborated to the 0.01-point level across S&amp;P Dow Jones (via FRED), Investing.com, Yahoo Finance and CNBC, with the intraday range of 7,431.26–7,498.47 taken from the Investing.com session record. Confidence is High for the close; the day's range is single-source on the low/high and is treated as indicative for pivot inputs where noted in §19.</w:t>
      </w:r>
    </w:p>
    <w:p>
      <w:pPr>
        <w:pStyle w:val="Heading1"/>
        <w:spacing w:after="110" w:before="220"/>
      </w:pPr>
      <w:r>
        <w:rPr>
          <w:b/>
          <w:bCs/>
          <w:color w:val="1F3864"/>
        </w:rPr>
        <w:t xml:space="preserve">4 · Price Evidence Table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500"/>
        <w:gridCol w:w="1250"/>
        <w:gridCol w:w="1250"/>
        <w:gridCol w:w="1250"/>
        <w:gridCol w:w="1300"/>
        <w:gridCol w:w="1300"/>
        <w:gridCol w:w="1510"/>
      </w:tblGrid>
      <w:tr>
        <w:trPr>
          <w:tblHeader/>
        </w:trPr>
        <w:tc>
          <w:tcPr>
            <w:tcW w:type="dxa" w:w="1500"/>
            <w:shd w:fill="1F3864" w:color="auto" w:val="clear"/>
            <w:tcMar>
              <w:top w:type="dxa" w:w="40"/>
              <w:left w:type="dxa" w:w="70"/>
              <w:bottom w:type="dxa" w:w="40"/>
              <w:right w:type="dxa" w:w="70"/>
            </w:tcMar>
          </w:tcPr>
          <w:p>
            <w:pPr>
              <w:jc w:val="left"/>
            </w:pPr>
            <w:r>
              <w:rPr>
                <w:b/>
                <w:bCs/>
                <w:color w:val="FFFFFF"/>
                <w:sz w:val="18"/>
                <w:szCs w:val="18"/>
              </w:rPr>
              <w:t xml:space="preserve">Source</w:t>
            </w:r>
          </w:p>
        </w:tc>
        <w:tc>
          <w:tcPr>
            <w:tcW w:type="dxa" w:w="1250"/>
            <w:shd w:fill="1F3864" w:color="auto" w:val="clear"/>
            <w:tcMar>
              <w:top w:type="dxa" w:w="40"/>
              <w:left w:type="dxa" w:w="70"/>
              <w:bottom w:type="dxa" w:w="40"/>
              <w:right w:type="dxa" w:w="70"/>
            </w:tcMar>
          </w:tcPr>
          <w:p>
            <w:pPr>
              <w:jc w:val="left"/>
            </w:pPr>
            <w:r>
              <w:rPr>
                <w:b/>
                <w:bCs/>
                <w:color w:val="FFFFFF"/>
                <w:sz w:val="18"/>
                <w:szCs w:val="18"/>
              </w:rPr>
              <w:t xml:space="preserve">Date/Time</w:t>
            </w:r>
          </w:p>
        </w:tc>
        <w:tc>
          <w:tcPr>
            <w:tcW w:type="dxa" w:w="1250"/>
            <w:shd w:fill="1F3864" w:color="auto" w:val="clear"/>
            <w:tcMar>
              <w:top w:type="dxa" w:w="40"/>
              <w:left w:type="dxa" w:w="70"/>
              <w:bottom w:type="dxa" w:w="40"/>
              <w:right w:type="dxa" w:w="70"/>
            </w:tcMar>
          </w:tcPr>
          <w:p>
            <w:pPr>
              <w:jc w:val="left"/>
            </w:pPr>
            <w:r>
              <w:rPr>
                <w:b/>
                <w:bCs/>
                <w:color w:val="FFFFFF"/>
                <w:sz w:val="18"/>
                <w:szCs w:val="18"/>
              </w:rPr>
              <w:t xml:space="preserve">Raw quote</w:t>
            </w:r>
          </w:p>
        </w:tc>
        <w:tc>
          <w:tcPr>
            <w:tcW w:type="dxa" w:w="1250"/>
            <w:shd w:fill="1F3864" w:color="auto" w:val="clear"/>
            <w:tcMar>
              <w:top w:type="dxa" w:w="40"/>
              <w:left w:type="dxa" w:w="70"/>
              <w:bottom w:type="dxa" w:w="40"/>
              <w:right w:type="dxa" w:w="70"/>
            </w:tcMar>
          </w:tcPr>
          <w:p>
            <w:pPr>
              <w:jc w:val="left"/>
            </w:pPr>
            <w:r>
              <w:rPr>
                <w:b/>
                <w:bCs/>
                <w:color w:val="FFFFFF"/>
                <w:sz w:val="18"/>
                <w:szCs w:val="18"/>
              </w:rPr>
              <w:t xml:space="preserve">Normalized</w:t>
            </w:r>
          </w:p>
        </w:tc>
        <w:tc>
          <w:tcPr>
            <w:tcW w:type="dxa" w:w="1300"/>
            <w:shd w:fill="1F3864" w:color="auto" w:val="clear"/>
            <w:tcMar>
              <w:top w:type="dxa" w:w="40"/>
              <w:left w:type="dxa" w:w="70"/>
              <w:bottom w:type="dxa" w:w="40"/>
              <w:right w:type="dxa" w:w="70"/>
            </w:tcMar>
          </w:tcPr>
          <w:p>
            <w:pPr>
              <w:jc w:val="left"/>
            </w:pPr>
            <w:r>
              <w:rPr>
                <w:b/>
                <w:bCs/>
                <w:color w:val="FFFFFF"/>
                <w:sz w:val="18"/>
                <w:szCs w:val="18"/>
              </w:rPr>
              <w:t xml:space="preserve">Basis/Location</w:t>
            </w:r>
          </w:p>
        </w:tc>
        <w:tc>
          <w:tcPr>
            <w:tcW w:type="dxa" w:w="1300"/>
            <w:shd w:fill="1F3864" w:color="auto" w:val="clear"/>
            <w:tcMar>
              <w:top w:type="dxa" w:w="40"/>
              <w:left w:type="dxa" w:w="70"/>
              <w:bottom w:type="dxa" w:w="40"/>
              <w:right w:type="dxa" w:w="70"/>
            </w:tcMar>
          </w:tcPr>
          <w:p>
            <w:pPr>
              <w:jc w:val="left"/>
            </w:pPr>
            <w:r>
              <w:rPr>
                <w:b/>
                <w:bCs/>
                <w:color w:val="FFFFFF"/>
                <w:sz w:val="18"/>
                <w:szCs w:val="18"/>
              </w:rPr>
              <w:t xml:space="preserve">Relevance</w:t>
            </w:r>
          </w:p>
        </w:tc>
        <w:tc>
          <w:tcPr>
            <w:tcW w:type="dxa" w:w="1510"/>
            <w:shd w:fill="1F3864" w:color="auto" w:val="clear"/>
            <w:tcMar>
              <w:top w:type="dxa" w:w="40"/>
              <w:left w:type="dxa" w:w="70"/>
              <w:bottom w:type="dxa" w:w="40"/>
              <w:right w:type="dxa" w:w="70"/>
            </w:tcMar>
          </w:tcPr>
          <w:p>
            <w:pPr>
              <w:jc w:val="left"/>
            </w:pPr>
            <w:r>
              <w:rPr>
                <w:b/>
                <w:bCs/>
                <w:color w:val="FFFFFF"/>
                <w:sz w:val="18"/>
                <w:szCs w:val="18"/>
              </w:rPr>
              <w:t xml:space="preserve">Notes</w:t>
            </w:r>
          </w:p>
        </w:tc>
      </w:tr>
      <w:tr>
        <w:tc>
          <w:tcPr>
            <w:tcW w:type="dxa" w:w="1500"/>
            <w:tcMar>
              <w:top w:type="dxa" w:w="40"/>
              <w:left w:type="dxa" w:w="70"/>
              <w:bottom w:type="dxa" w:w="40"/>
              <w:right w:type="dxa" w:w="70"/>
            </w:tcMar>
          </w:tcPr>
          <w:p>
            <w:pPr>
              <w:jc w:val="left"/>
            </w:pPr>
            <w:r>
              <w:rPr>
                <w:b w:val="false"/>
                <w:bCs w:val="false"/>
                <w:color w:val="222222"/>
                <w:sz w:val="18"/>
                <w:szCs w:val="18"/>
              </w:rPr>
              <w:t xml:space="preserve">S&amp;P DJI (via FRED)</w:t>
            </w:r>
          </w:p>
        </w:tc>
        <w:tc>
          <w:tcPr>
            <w:tcW w:type="dxa" w:w="1250"/>
            <w:tcMar>
              <w:top w:type="dxa" w:w="40"/>
              <w:left w:type="dxa" w:w="70"/>
              <w:bottom w:type="dxa" w:w="40"/>
              <w:right w:type="dxa" w:w="70"/>
            </w:tcMar>
          </w:tcPr>
          <w:p>
            <w:pPr>
              <w:jc w:val="left"/>
            </w:pPr>
            <w:r>
              <w:rPr>
                <w:b w:val="false"/>
                <w:bCs w:val="false"/>
                <w:color w:val="222222"/>
                <w:sz w:val="18"/>
                <w:szCs w:val="18"/>
              </w:rPr>
              <w:t xml:space="preserve">17 Jul close</w:t>
            </w:r>
          </w:p>
        </w:tc>
        <w:tc>
          <w:tcPr>
            <w:tcW w:type="dxa" w:w="1250"/>
            <w:tcMar>
              <w:top w:type="dxa" w:w="40"/>
              <w:left w:type="dxa" w:w="70"/>
              <w:bottom w:type="dxa" w:w="40"/>
              <w:right w:type="dxa" w:w="70"/>
            </w:tcMar>
          </w:tcPr>
          <w:p>
            <w:pPr>
              <w:jc w:val="left"/>
            </w:pPr>
            <w:r>
              <w:rPr>
                <w:b w:val="false"/>
                <w:bCs w:val="false"/>
                <w:color w:val="222222"/>
                <w:sz w:val="18"/>
                <w:szCs w:val="18"/>
              </w:rPr>
              <w:t xml:space="preserve">7,457.69</w:t>
            </w:r>
          </w:p>
        </w:tc>
        <w:tc>
          <w:tcPr>
            <w:tcW w:type="dxa" w:w="1250"/>
            <w:tcMar>
              <w:top w:type="dxa" w:w="40"/>
              <w:left w:type="dxa" w:w="70"/>
              <w:bottom w:type="dxa" w:w="40"/>
              <w:right w:type="dxa" w:w="70"/>
            </w:tcMar>
          </w:tcPr>
          <w:p>
            <w:pPr>
              <w:jc w:val="left"/>
            </w:pPr>
            <w:r>
              <w:rPr>
                <w:b w:val="false"/>
                <w:bCs w:val="false"/>
                <w:color w:val="222222"/>
                <w:sz w:val="18"/>
                <w:szCs w:val="18"/>
              </w:rPr>
              <w:t xml:space="preserve">7,457.69</w:t>
            </w:r>
          </w:p>
        </w:tc>
        <w:tc>
          <w:tcPr>
            <w:tcW w:type="dxa" w:w="1300"/>
            <w:tcMar>
              <w:top w:type="dxa" w:w="40"/>
              <w:left w:type="dxa" w:w="70"/>
              <w:bottom w:type="dxa" w:w="40"/>
              <w:right w:type="dxa" w:w="70"/>
            </w:tcMar>
          </w:tcPr>
          <w:p>
            <w:pPr>
              <w:jc w:val="left"/>
            </w:pPr>
            <w:r>
              <w:rPr>
                <w:b w:val="false"/>
                <w:bCs w:val="false"/>
                <w:color w:val="222222"/>
                <w:sz w:val="18"/>
                <w:szCs w:val="18"/>
              </w:rPr>
              <w:t xml:space="preserve">Official index / NY</w:t>
            </w:r>
          </w:p>
        </w:tc>
        <w:tc>
          <w:tcPr>
            <w:tcW w:type="dxa" w:w="1300"/>
            <w:tcMar>
              <w:top w:type="dxa" w:w="40"/>
              <w:left w:type="dxa" w:w="70"/>
              <w:bottom w:type="dxa" w:w="40"/>
              <w:right w:type="dxa" w:w="70"/>
            </w:tcMar>
          </w:tcPr>
          <w:p>
            <w:pPr>
              <w:jc w:val="left"/>
            </w:pPr>
            <w:r>
              <w:rPr>
                <w:b w:val="false"/>
                <w:bCs w:val="false"/>
                <w:color w:val="222222"/>
                <w:sz w:val="18"/>
                <w:szCs w:val="18"/>
              </w:rPr>
              <w:t xml:space="preserve">Core</w:t>
            </w:r>
          </w:p>
        </w:tc>
        <w:tc>
          <w:tcPr>
            <w:tcW w:type="dxa" w:w="1510"/>
            <w:tcMar>
              <w:top w:type="dxa" w:w="40"/>
              <w:left w:type="dxa" w:w="70"/>
              <w:bottom w:type="dxa" w:w="40"/>
              <w:right w:type="dxa" w:w="70"/>
            </w:tcMar>
          </w:tcPr>
          <w:p>
            <w:pPr>
              <w:jc w:val="left"/>
            </w:pPr>
            <w:r>
              <w:rPr>
                <w:b w:val="false"/>
                <w:bCs w:val="false"/>
                <w:color w:val="222222"/>
                <w:sz w:val="16"/>
                <w:szCs w:val="16"/>
              </w:rPr>
              <w:t xml:space="preserve">Official benchmark close</w:t>
            </w:r>
          </w:p>
        </w:tc>
      </w:tr>
      <w:tr>
        <w:tc>
          <w:tcPr>
            <w:tcW w:type="dxa" w:w="1500"/>
            <w:tcMar>
              <w:top w:type="dxa" w:w="40"/>
              <w:left w:type="dxa" w:w="70"/>
              <w:bottom w:type="dxa" w:w="40"/>
              <w:right w:type="dxa" w:w="70"/>
            </w:tcMar>
          </w:tcPr>
          <w:p>
            <w:pPr>
              <w:jc w:val="left"/>
            </w:pPr>
            <w:r>
              <w:rPr>
                <w:b w:val="false"/>
                <w:bCs w:val="false"/>
                <w:color w:val="222222"/>
                <w:sz w:val="18"/>
                <w:szCs w:val="18"/>
              </w:rPr>
              <w:t xml:space="preserve">Investing.com</w:t>
            </w:r>
          </w:p>
        </w:tc>
        <w:tc>
          <w:tcPr>
            <w:tcW w:type="dxa" w:w="1250"/>
            <w:tcMar>
              <w:top w:type="dxa" w:w="40"/>
              <w:left w:type="dxa" w:w="70"/>
              <w:bottom w:type="dxa" w:w="40"/>
              <w:right w:type="dxa" w:w="70"/>
            </w:tcMar>
          </w:tcPr>
          <w:p>
            <w:pPr>
              <w:jc w:val="left"/>
            </w:pPr>
            <w:r>
              <w:rPr>
                <w:b w:val="false"/>
                <w:bCs w:val="false"/>
                <w:color w:val="222222"/>
                <w:sz w:val="18"/>
                <w:szCs w:val="18"/>
              </w:rPr>
              <w:t xml:space="preserve">17 Jul close</w:t>
            </w:r>
          </w:p>
        </w:tc>
        <w:tc>
          <w:tcPr>
            <w:tcW w:type="dxa" w:w="1250"/>
            <w:tcMar>
              <w:top w:type="dxa" w:w="40"/>
              <w:left w:type="dxa" w:w="70"/>
              <w:bottom w:type="dxa" w:w="40"/>
              <w:right w:type="dxa" w:w="70"/>
            </w:tcMar>
          </w:tcPr>
          <w:p>
            <w:pPr>
              <w:jc w:val="left"/>
            </w:pPr>
            <w:r>
              <w:rPr>
                <w:b w:val="false"/>
                <w:bCs w:val="false"/>
                <w:color w:val="222222"/>
                <w:sz w:val="18"/>
                <w:szCs w:val="18"/>
              </w:rPr>
              <w:t xml:space="preserve">7,457.69</w:t>
            </w:r>
          </w:p>
        </w:tc>
        <w:tc>
          <w:tcPr>
            <w:tcW w:type="dxa" w:w="1250"/>
            <w:tcMar>
              <w:top w:type="dxa" w:w="40"/>
              <w:left w:type="dxa" w:w="70"/>
              <w:bottom w:type="dxa" w:w="40"/>
              <w:right w:type="dxa" w:w="70"/>
            </w:tcMar>
          </w:tcPr>
          <w:p>
            <w:pPr>
              <w:jc w:val="left"/>
            </w:pPr>
            <w:r>
              <w:rPr>
                <w:b w:val="false"/>
                <w:bCs w:val="false"/>
                <w:color w:val="222222"/>
                <w:sz w:val="18"/>
                <w:szCs w:val="18"/>
              </w:rPr>
              <w:t xml:space="preserve">7,457.69</w:t>
            </w:r>
          </w:p>
        </w:tc>
        <w:tc>
          <w:tcPr>
            <w:tcW w:type="dxa" w:w="1300"/>
            <w:tcMar>
              <w:top w:type="dxa" w:w="40"/>
              <w:left w:type="dxa" w:w="70"/>
              <w:bottom w:type="dxa" w:w="40"/>
              <w:right w:type="dxa" w:w="70"/>
            </w:tcMar>
          </w:tcPr>
          <w:p>
            <w:pPr>
              <w:jc w:val="left"/>
            </w:pPr>
            <w:r>
              <w:rPr>
                <w:b w:val="false"/>
                <w:bCs w:val="false"/>
                <w:color w:val="222222"/>
                <w:sz w:val="18"/>
                <w:szCs w:val="18"/>
              </w:rPr>
              <w:t xml:space="preserve">Cash index / NY</w:t>
            </w:r>
          </w:p>
        </w:tc>
        <w:tc>
          <w:tcPr>
            <w:tcW w:type="dxa" w:w="1300"/>
            <w:tcMar>
              <w:top w:type="dxa" w:w="40"/>
              <w:left w:type="dxa" w:w="70"/>
              <w:bottom w:type="dxa" w:w="40"/>
              <w:right w:type="dxa" w:w="70"/>
            </w:tcMar>
          </w:tcPr>
          <w:p>
            <w:pPr>
              <w:jc w:val="left"/>
            </w:pPr>
            <w:r>
              <w:rPr>
                <w:b w:val="false"/>
                <w:bCs w:val="false"/>
                <w:color w:val="222222"/>
                <w:sz w:val="18"/>
                <w:szCs w:val="18"/>
              </w:rPr>
              <w:t xml:space="preserve">Core</w:t>
            </w:r>
          </w:p>
        </w:tc>
        <w:tc>
          <w:tcPr>
            <w:tcW w:type="dxa" w:w="1510"/>
            <w:tcMar>
              <w:top w:type="dxa" w:w="40"/>
              <w:left w:type="dxa" w:w="70"/>
              <w:bottom w:type="dxa" w:w="40"/>
              <w:right w:type="dxa" w:w="70"/>
            </w:tcMar>
          </w:tcPr>
          <w:p>
            <w:pPr>
              <w:jc w:val="left"/>
            </w:pPr>
            <w:r>
              <w:rPr>
                <w:b w:val="false"/>
                <w:bCs w:val="false"/>
                <w:color w:val="222222"/>
                <w:sz w:val="16"/>
                <w:szCs w:val="16"/>
              </w:rPr>
              <w:t xml:space="preserve">Day range 7,431.26–7,498.47</w:t>
            </w:r>
          </w:p>
        </w:tc>
      </w:tr>
      <w:tr>
        <w:tc>
          <w:tcPr>
            <w:tcW w:type="dxa" w:w="1500"/>
            <w:tcMar>
              <w:top w:type="dxa" w:w="40"/>
              <w:left w:type="dxa" w:w="70"/>
              <w:bottom w:type="dxa" w:w="40"/>
              <w:right w:type="dxa" w:w="70"/>
            </w:tcMar>
          </w:tcPr>
          <w:p>
            <w:pPr>
              <w:jc w:val="left"/>
            </w:pPr>
            <w:r>
              <w:rPr>
                <w:b w:val="false"/>
                <w:bCs w:val="false"/>
                <w:color w:val="222222"/>
                <w:sz w:val="18"/>
                <w:szCs w:val="18"/>
              </w:rPr>
              <w:t xml:space="preserve">Yahoo Finance</w:t>
            </w:r>
          </w:p>
        </w:tc>
        <w:tc>
          <w:tcPr>
            <w:tcW w:type="dxa" w:w="1250"/>
            <w:tcMar>
              <w:top w:type="dxa" w:w="40"/>
              <w:left w:type="dxa" w:w="70"/>
              <w:bottom w:type="dxa" w:w="40"/>
              <w:right w:type="dxa" w:w="70"/>
            </w:tcMar>
          </w:tcPr>
          <w:p>
            <w:pPr>
              <w:jc w:val="left"/>
            </w:pPr>
            <w:r>
              <w:rPr>
                <w:b w:val="false"/>
                <w:bCs w:val="false"/>
                <w:color w:val="222222"/>
                <w:sz w:val="18"/>
                <w:szCs w:val="18"/>
              </w:rPr>
              <w:t xml:space="preserve">17 Jul close</w:t>
            </w:r>
          </w:p>
        </w:tc>
        <w:tc>
          <w:tcPr>
            <w:tcW w:type="dxa" w:w="1250"/>
            <w:tcMar>
              <w:top w:type="dxa" w:w="40"/>
              <w:left w:type="dxa" w:w="70"/>
              <w:bottom w:type="dxa" w:w="40"/>
              <w:right w:type="dxa" w:w="70"/>
            </w:tcMar>
          </w:tcPr>
          <w:p>
            <w:pPr>
              <w:jc w:val="left"/>
            </w:pPr>
            <w:r>
              <w:rPr>
                <w:b w:val="false"/>
                <w:bCs w:val="false"/>
                <w:color w:val="222222"/>
                <w:sz w:val="18"/>
                <w:szCs w:val="18"/>
              </w:rPr>
              <w:t xml:space="preserve">7,457.69</w:t>
            </w:r>
          </w:p>
        </w:tc>
        <w:tc>
          <w:tcPr>
            <w:tcW w:type="dxa" w:w="1250"/>
            <w:tcMar>
              <w:top w:type="dxa" w:w="40"/>
              <w:left w:type="dxa" w:w="70"/>
              <w:bottom w:type="dxa" w:w="40"/>
              <w:right w:type="dxa" w:w="70"/>
            </w:tcMar>
          </w:tcPr>
          <w:p>
            <w:pPr>
              <w:jc w:val="left"/>
            </w:pPr>
            <w:r>
              <w:rPr>
                <w:b w:val="false"/>
                <w:bCs w:val="false"/>
                <w:color w:val="222222"/>
                <w:sz w:val="18"/>
                <w:szCs w:val="18"/>
              </w:rPr>
              <w:t xml:space="preserve">7,457.69</w:t>
            </w:r>
          </w:p>
        </w:tc>
        <w:tc>
          <w:tcPr>
            <w:tcW w:type="dxa" w:w="1300"/>
            <w:tcMar>
              <w:top w:type="dxa" w:w="40"/>
              <w:left w:type="dxa" w:w="70"/>
              <w:bottom w:type="dxa" w:w="40"/>
              <w:right w:type="dxa" w:w="70"/>
            </w:tcMar>
          </w:tcPr>
          <w:p>
            <w:pPr>
              <w:jc w:val="left"/>
            </w:pPr>
            <w:r>
              <w:rPr>
                <w:b w:val="false"/>
                <w:bCs w:val="false"/>
                <w:color w:val="222222"/>
                <w:sz w:val="18"/>
                <w:szCs w:val="18"/>
              </w:rPr>
              <w:t xml:space="preserve">Cash index / NY</w:t>
            </w:r>
          </w:p>
        </w:tc>
        <w:tc>
          <w:tcPr>
            <w:tcW w:type="dxa" w:w="1300"/>
            <w:tcMar>
              <w:top w:type="dxa" w:w="40"/>
              <w:left w:type="dxa" w:w="70"/>
              <w:bottom w:type="dxa" w:w="40"/>
              <w:right w:type="dxa" w:w="70"/>
            </w:tcMar>
          </w:tcPr>
          <w:p>
            <w:pPr>
              <w:jc w:val="left"/>
            </w:pPr>
            <w:r>
              <w:rPr>
                <w:b w:val="false"/>
                <w:bCs w:val="false"/>
                <w:color w:val="222222"/>
                <w:sz w:val="18"/>
                <w:szCs w:val="18"/>
              </w:rPr>
              <w:t xml:space="preserve">Core</w:t>
            </w:r>
          </w:p>
        </w:tc>
        <w:tc>
          <w:tcPr>
            <w:tcW w:type="dxa" w:w="1510"/>
            <w:tcMar>
              <w:top w:type="dxa" w:w="40"/>
              <w:left w:type="dxa" w:w="70"/>
              <w:bottom w:type="dxa" w:w="40"/>
              <w:right w:type="dxa" w:w="70"/>
            </w:tcMar>
          </w:tcPr>
          <w:p>
            <w:pPr>
              <w:jc w:val="left"/>
            </w:pPr>
            <w:r>
              <w:rPr>
                <w:b w:val="false"/>
                <w:bCs w:val="false"/>
                <w:color w:val="222222"/>
                <w:sz w:val="16"/>
                <w:szCs w:val="16"/>
              </w:rPr>
              <w:t xml:space="preserve">−1.01% on session</w:t>
            </w:r>
          </w:p>
        </w:tc>
      </w:tr>
      <w:tr>
        <w:tc>
          <w:tcPr>
            <w:tcW w:type="dxa" w:w="1500"/>
            <w:tcMar>
              <w:top w:type="dxa" w:w="40"/>
              <w:left w:type="dxa" w:w="70"/>
              <w:bottom w:type="dxa" w:w="40"/>
              <w:right w:type="dxa" w:w="70"/>
            </w:tcMar>
          </w:tcPr>
          <w:p>
            <w:pPr>
              <w:jc w:val="left"/>
            </w:pPr>
            <w:r>
              <w:rPr>
                <w:b w:val="false"/>
                <w:bCs w:val="false"/>
                <w:color w:val="222222"/>
                <w:sz w:val="18"/>
                <w:szCs w:val="18"/>
              </w:rPr>
              <w:t xml:space="preserve">CNBC</w:t>
            </w:r>
          </w:p>
        </w:tc>
        <w:tc>
          <w:tcPr>
            <w:tcW w:type="dxa" w:w="1250"/>
            <w:tcMar>
              <w:top w:type="dxa" w:w="40"/>
              <w:left w:type="dxa" w:w="70"/>
              <w:bottom w:type="dxa" w:w="40"/>
              <w:right w:type="dxa" w:w="70"/>
            </w:tcMar>
          </w:tcPr>
          <w:p>
            <w:pPr>
              <w:jc w:val="left"/>
            </w:pPr>
            <w:r>
              <w:rPr>
                <w:b w:val="false"/>
                <w:bCs w:val="false"/>
                <w:color w:val="222222"/>
                <w:sz w:val="18"/>
                <w:szCs w:val="18"/>
              </w:rPr>
              <w:t xml:space="preserve">17 Jul close</w:t>
            </w:r>
          </w:p>
        </w:tc>
        <w:tc>
          <w:tcPr>
            <w:tcW w:type="dxa" w:w="1250"/>
            <w:tcMar>
              <w:top w:type="dxa" w:w="40"/>
              <w:left w:type="dxa" w:w="70"/>
              <w:bottom w:type="dxa" w:w="40"/>
              <w:right w:type="dxa" w:w="70"/>
            </w:tcMar>
          </w:tcPr>
          <w:p>
            <w:pPr>
              <w:jc w:val="left"/>
            </w:pPr>
            <w:r>
              <w:rPr>
                <w:b w:val="false"/>
                <w:bCs w:val="false"/>
                <w:color w:val="222222"/>
                <w:sz w:val="18"/>
                <w:szCs w:val="18"/>
              </w:rPr>
              <w:t xml:space="preserve">7,457.69</w:t>
            </w:r>
          </w:p>
        </w:tc>
        <w:tc>
          <w:tcPr>
            <w:tcW w:type="dxa" w:w="1250"/>
            <w:tcMar>
              <w:top w:type="dxa" w:w="40"/>
              <w:left w:type="dxa" w:w="70"/>
              <w:bottom w:type="dxa" w:w="40"/>
              <w:right w:type="dxa" w:w="70"/>
            </w:tcMar>
          </w:tcPr>
          <w:p>
            <w:pPr>
              <w:jc w:val="left"/>
            </w:pPr>
            <w:r>
              <w:rPr>
                <w:b w:val="false"/>
                <w:bCs w:val="false"/>
                <w:color w:val="222222"/>
                <w:sz w:val="18"/>
                <w:szCs w:val="18"/>
              </w:rPr>
              <w:t xml:space="preserve">7,457.69</w:t>
            </w:r>
          </w:p>
        </w:tc>
        <w:tc>
          <w:tcPr>
            <w:tcW w:type="dxa" w:w="1300"/>
            <w:tcMar>
              <w:top w:type="dxa" w:w="40"/>
              <w:left w:type="dxa" w:w="70"/>
              <w:bottom w:type="dxa" w:w="40"/>
              <w:right w:type="dxa" w:w="70"/>
            </w:tcMar>
          </w:tcPr>
          <w:p>
            <w:pPr>
              <w:jc w:val="left"/>
            </w:pPr>
            <w:r>
              <w:rPr>
                <w:b w:val="false"/>
                <w:bCs w:val="false"/>
                <w:color w:val="222222"/>
                <w:sz w:val="18"/>
                <w:szCs w:val="18"/>
              </w:rPr>
              <w:t xml:space="preserve">Cash index / NY</w:t>
            </w:r>
          </w:p>
        </w:tc>
        <w:tc>
          <w:tcPr>
            <w:tcW w:type="dxa" w:w="1300"/>
            <w:tcMar>
              <w:top w:type="dxa" w:w="40"/>
              <w:left w:type="dxa" w:w="70"/>
              <w:bottom w:type="dxa" w:w="40"/>
              <w:right w:type="dxa" w:w="70"/>
            </w:tcMar>
          </w:tcPr>
          <w:p>
            <w:pPr>
              <w:jc w:val="left"/>
            </w:pPr>
            <w:r>
              <w:rPr>
                <w:b w:val="false"/>
                <w:bCs w:val="false"/>
                <w:color w:val="222222"/>
                <w:sz w:val="18"/>
                <w:szCs w:val="18"/>
              </w:rPr>
              <w:t xml:space="preserve">Core</w:t>
            </w:r>
          </w:p>
        </w:tc>
        <w:tc>
          <w:tcPr>
            <w:tcW w:type="dxa" w:w="1510"/>
            <w:tcMar>
              <w:top w:type="dxa" w:w="40"/>
              <w:left w:type="dxa" w:w="70"/>
              <w:bottom w:type="dxa" w:w="40"/>
              <w:right w:type="dxa" w:w="70"/>
            </w:tcMar>
          </w:tcPr>
          <w:p>
            <w:pPr>
              <w:jc w:val="left"/>
            </w:pPr>
            <w:r>
              <w:rPr>
                <w:b w:val="false"/>
                <w:bCs w:val="false"/>
                <w:color w:val="222222"/>
                <w:sz w:val="16"/>
                <w:szCs w:val="16"/>
              </w:rPr>
              <w:t xml:space="preserve">Session recap</w:t>
            </w:r>
          </w:p>
        </w:tc>
      </w:tr>
      <w:tr>
        <w:tc>
          <w:tcPr>
            <w:tcW w:type="dxa" w:w="1500"/>
            <w:tcMar>
              <w:top w:type="dxa" w:w="40"/>
              <w:left w:type="dxa" w:w="70"/>
              <w:bottom w:type="dxa" w:w="40"/>
              <w:right w:type="dxa" w:w="70"/>
            </w:tcMar>
          </w:tcPr>
          <w:p>
            <w:pPr>
              <w:jc w:val="left"/>
            </w:pPr>
            <w:r>
              <w:rPr>
                <w:b w:val="false"/>
                <w:bCs w:val="false"/>
                <w:color w:val="222222"/>
                <w:sz w:val="18"/>
                <w:szCs w:val="18"/>
              </w:rPr>
              <w:t xml:space="preserve">Investing.com</w:t>
            </w:r>
          </w:p>
        </w:tc>
        <w:tc>
          <w:tcPr>
            <w:tcW w:type="dxa" w:w="1250"/>
            <w:tcMar>
              <w:top w:type="dxa" w:w="40"/>
              <w:left w:type="dxa" w:w="70"/>
              <w:bottom w:type="dxa" w:w="40"/>
              <w:right w:type="dxa" w:w="70"/>
            </w:tcMar>
          </w:tcPr>
          <w:p>
            <w:pPr>
              <w:jc w:val="left"/>
            </w:pPr>
            <w:r>
              <w:rPr>
                <w:b w:val="false"/>
                <w:bCs w:val="false"/>
                <w:color w:val="222222"/>
                <w:sz w:val="18"/>
                <w:szCs w:val="18"/>
              </w:rPr>
              <w:t xml:space="preserve">15 Jul close</w:t>
            </w:r>
          </w:p>
        </w:tc>
        <w:tc>
          <w:tcPr>
            <w:tcW w:type="dxa" w:w="1250"/>
            <w:tcMar>
              <w:top w:type="dxa" w:w="40"/>
              <w:left w:type="dxa" w:w="70"/>
              <w:bottom w:type="dxa" w:w="40"/>
              <w:right w:type="dxa" w:w="70"/>
            </w:tcMar>
          </w:tcPr>
          <w:p>
            <w:pPr>
              <w:jc w:val="left"/>
            </w:pPr>
            <w:r>
              <w:rPr>
                <w:b w:val="false"/>
                <w:bCs w:val="false"/>
                <w:color w:val="222222"/>
                <w:sz w:val="18"/>
                <w:szCs w:val="18"/>
              </w:rPr>
              <w:t xml:space="preserve">7,572.40</w:t>
            </w:r>
          </w:p>
        </w:tc>
        <w:tc>
          <w:tcPr>
            <w:tcW w:type="dxa" w:w="1250"/>
            <w:tcMar>
              <w:top w:type="dxa" w:w="40"/>
              <w:left w:type="dxa" w:w="70"/>
              <w:bottom w:type="dxa" w:w="40"/>
              <w:right w:type="dxa" w:w="70"/>
            </w:tcMar>
          </w:tcPr>
          <w:p>
            <w:pPr>
              <w:jc w:val="left"/>
            </w:pPr>
            <w:r>
              <w:rPr>
                <w:b w:val="false"/>
                <w:bCs w:val="false"/>
                <w:color w:val="222222"/>
                <w:sz w:val="18"/>
                <w:szCs w:val="18"/>
              </w:rPr>
              <w:t xml:space="preserve">7,572.40</w:t>
            </w:r>
          </w:p>
        </w:tc>
        <w:tc>
          <w:tcPr>
            <w:tcW w:type="dxa" w:w="1300"/>
            <w:tcMar>
              <w:top w:type="dxa" w:w="40"/>
              <w:left w:type="dxa" w:w="70"/>
              <w:bottom w:type="dxa" w:w="40"/>
              <w:right w:type="dxa" w:w="70"/>
            </w:tcMar>
          </w:tcPr>
          <w:p>
            <w:pPr>
              <w:jc w:val="left"/>
            </w:pPr>
            <w:r>
              <w:rPr>
                <w:b w:val="false"/>
                <w:bCs w:val="false"/>
                <w:color w:val="222222"/>
                <w:sz w:val="18"/>
                <w:szCs w:val="18"/>
              </w:rPr>
              <w:t xml:space="preserve">Cash index / NY</w:t>
            </w:r>
          </w:p>
        </w:tc>
        <w:tc>
          <w:tcPr>
            <w:tcW w:type="dxa" w:w="1300"/>
            <w:tcMar>
              <w:top w:type="dxa" w:w="40"/>
              <w:left w:type="dxa" w:w="70"/>
              <w:bottom w:type="dxa" w:w="40"/>
              <w:right w:type="dxa" w:w="70"/>
            </w:tcMar>
          </w:tcPr>
          <w:p>
            <w:pPr>
              <w:jc w:val="left"/>
            </w:pPr>
            <w:r>
              <w:rPr>
                <w:b w:val="false"/>
                <w:bCs w:val="false"/>
                <w:color w:val="222222"/>
                <w:sz w:val="18"/>
                <w:szCs w:val="18"/>
              </w:rPr>
              <w:t xml:space="preserve">Core</w:t>
            </w:r>
          </w:p>
        </w:tc>
        <w:tc>
          <w:tcPr>
            <w:tcW w:type="dxa" w:w="1510"/>
            <w:tcMar>
              <w:top w:type="dxa" w:w="40"/>
              <w:left w:type="dxa" w:w="70"/>
              <w:bottom w:type="dxa" w:w="40"/>
              <w:right w:type="dxa" w:w="70"/>
            </w:tcMar>
          </w:tcPr>
          <w:p>
            <w:pPr>
              <w:jc w:val="left"/>
            </w:pPr>
            <w:r>
              <w:rPr>
                <w:b w:val="false"/>
                <w:bCs w:val="false"/>
                <w:color w:val="222222"/>
                <w:sz w:val="16"/>
                <w:szCs w:val="16"/>
              </w:rPr>
              <w:t xml:space="preserve">Corroborated vs CNBC</w:t>
            </w:r>
          </w:p>
        </w:tc>
      </w:tr>
      <w:tr>
        <w:tc>
          <w:tcPr>
            <w:tcW w:type="dxa" w:w="1500"/>
            <w:tcMar>
              <w:top w:type="dxa" w:w="40"/>
              <w:left w:type="dxa" w:w="70"/>
              <w:bottom w:type="dxa" w:w="40"/>
              <w:right w:type="dxa" w:w="70"/>
            </w:tcMar>
          </w:tcPr>
          <w:p>
            <w:pPr>
              <w:jc w:val="left"/>
            </w:pPr>
            <w:r>
              <w:rPr>
                <w:b w:val="false"/>
                <w:bCs w:val="false"/>
                <w:color w:val="222222"/>
                <w:sz w:val="18"/>
                <w:szCs w:val="18"/>
              </w:rPr>
              <w:t xml:space="preserve">Yahoo Finance</w:t>
            </w:r>
          </w:p>
        </w:tc>
        <w:tc>
          <w:tcPr>
            <w:tcW w:type="dxa" w:w="1250"/>
            <w:tcMar>
              <w:top w:type="dxa" w:w="40"/>
              <w:left w:type="dxa" w:w="70"/>
              <w:bottom w:type="dxa" w:w="40"/>
              <w:right w:type="dxa" w:w="70"/>
            </w:tcMar>
          </w:tcPr>
          <w:p>
            <w:pPr>
              <w:jc w:val="left"/>
            </w:pPr>
            <w:r>
              <w:rPr>
                <w:b w:val="false"/>
                <w:bCs w:val="false"/>
                <w:color w:val="222222"/>
                <w:sz w:val="18"/>
                <w:szCs w:val="18"/>
              </w:rPr>
              <w:t xml:space="preserve">16 Jul close</w:t>
            </w:r>
          </w:p>
        </w:tc>
        <w:tc>
          <w:tcPr>
            <w:tcW w:type="dxa" w:w="1250"/>
            <w:tcMar>
              <w:top w:type="dxa" w:w="40"/>
              <w:left w:type="dxa" w:w="70"/>
              <w:bottom w:type="dxa" w:w="40"/>
              <w:right w:type="dxa" w:w="70"/>
            </w:tcMar>
          </w:tcPr>
          <w:p>
            <w:pPr>
              <w:jc w:val="left"/>
            </w:pPr>
            <w:r>
              <w:rPr>
                <w:b w:val="false"/>
                <w:bCs w:val="false"/>
                <w:color w:val="222222"/>
                <w:sz w:val="18"/>
                <w:szCs w:val="18"/>
              </w:rPr>
              <w:t xml:space="preserve">7,533.77</w:t>
            </w:r>
          </w:p>
        </w:tc>
        <w:tc>
          <w:tcPr>
            <w:tcW w:type="dxa" w:w="1250"/>
            <w:tcMar>
              <w:top w:type="dxa" w:w="40"/>
              <w:left w:type="dxa" w:w="70"/>
              <w:bottom w:type="dxa" w:w="40"/>
              <w:right w:type="dxa" w:w="70"/>
            </w:tcMar>
          </w:tcPr>
          <w:p>
            <w:pPr>
              <w:jc w:val="left"/>
            </w:pPr>
            <w:r>
              <w:rPr>
                <w:b w:val="false"/>
                <w:bCs w:val="false"/>
                <w:color w:val="222222"/>
                <w:sz w:val="18"/>
                <w:szCs w:val="18"/>
              </w:rPr>
              <w:t xml:space="preserve">7,533.77</w:t>
            </w:r>
          </w:p>
        </w:tc>
        <w:tc>
          <w:tcPr>
            <w:tcW w:type="dxa" w:w="1300"/>
            <w:tcMar>
              <w:top w:type="dxa" w:w="40"/>
              <w:left w:type="dxa" w:w="70"/>
              <w:bottom w:type="dxa" w:w="40"/>
              <w:right w:type="dxa" w:w="70"/>
            </w:tcMar>
          </w:tcPr>
          <w:p>
            <w:pPr>
              <w:jc w:val="left"/>
            </w:pPr>
            <w:r>
              <w:rPr>
                <w:b w:val="false"/>
                <w:bCs w:val="false"/>
                <w:color w:val="222222"/>
                <w:sz w:val="18"/>
                <w:szCs w:val="18"/>
              </w:rPr>
              <w:t xml:space="preserve">Cash index / NY</w:t>
            </w:r>
          </w:p>
        </w:tc>
        <w:tc>
          <w:tcPr>
            <w:tcW w:type="dxa" w:w="1300"/>
            <w:tcMar>
              <w:top w:type="dxa" w:w="40"/>
              <w:left w:type="dxa" w:w="70"/>
              <w:bottom w:type="dxa" w:w="40"/>
              <w:right w:type="dxa" w:w="70"/>
            </w:tcMar>
          </w:tcPr>
          <w:p>
            <w:pPr>
              <w:jc w:val="left"/>
            </w:pPr>
            <w:r>
              <w:rPr>
                <w:b w:val="false"/>
                <w:bCs w:val="false"/>
                <w:color w:val="222222"/>
                <w:sz w:val="18"/>
                <w:szCs w:val="18"/>
              </w:rPr>
              <w:t xml:space="preserve">Core</w:t>
            </w:r>
          </w:p>
        </w:tc>
        <w:tc>
          <w:tcPr>
            <w:tcW w:type="dxa" w:w="1510"/>
            <w:tcMar>
              <w:top w:type="dxa" w:w="40"/>
              <w:left w:type="dxa" w:w="70"/>
              <w:bottom w:type="dxa" w:w="40"/>
              <w:right w:type="dxa" w:w="70"/>
            </w:tcMar>
          </w:tcPr>
          <w:p>
            <w:pPr>
              <w:jc w:val="left"/>
            </w:pPr>
            <w:r>
              <w:rPr>
                <w:b w:val="false"/>
                <w:bCs w:val="false"/>
                <w:color w:val="222222"/>
                <w:sz w:val="16"/>
                <w:szCs w:val="16"/>
              </w:rPr>
              <w:t xml:space="preserve">Corroborated vs CNBC</w:t>
            </w:r>
          </w:p>
        </w:tc>
      </w:tr>
    </w:tbl>
    <w:p>
      <w:pPr>
        <w:pStyle w:val="Heading1"/>
        <w:spacing w:after="110" w:before="220"/>
      </w:pPr>
      <w:r>
        <w:rPr>
          <w:b/>
          <w:bCs/>
          <w:color w:val="1F3864"/>
        </w:rPr>
        <w:t xml:space="preserve">5 · Consensus Build Explanation</w:t>
      </w:r>
    </w:p>
    <w:p>
      <w:pPr>
        <w:spacing w:after="100"/>
        <w:jc w:val="both"/>
      </w:pPr>
      <w:r>
        <w:rPr>
          <w:sz w:val="20"/>
          <w:szCs w:val="20"/>
        </w:rPr>
        <w:t xml:space="preserve">All observations are already denominated in index points and USD on the cash basis, so no FX, freight, or specification conversion is required. The weighted-median method was applied to the closing observations, with the official S&amp;P Dow Jones value (surfaced through FRED) receiving the highest weight, exchange-adjacent aggregators (Investing.com, Yahoo, CNBC) receiving standard weight, and any CFD-derived or after-hours indications excluded per the source restrictions. Because four independent sources returned the identical close of 7,457.69 within a delta of 0.00 points — well inside the ±0.10-point equity-index tolerance — the consensus is exact and no down-weighting for staleness was necessary. The intraday high and low are carried from a single session record and are therefore the least certain inputs; they are flagged accordingly and are not used as definitive pivot inputs beyond the daily timeframe.</w:t>
      </w:r>
    </w:p>
    <w:p>
      <w:pPr>
        <w:pStyle w:val="Heading1"/>
        <w:spacing w:after="110" w:before="220"/>
      </w:pPr>
      <w:r>
        <w:rPr>
          <w:b/>
          <w:bCs/>
          <w:color w:val="1a6d3a"/>
        </w:rPr>
        <w:t xml:space="preserve">6 · Validated OHLC + RSI2 Table (5-Day)</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050"/>
        <w:gridCol w:w="1050"/>
        <w:gridCol w:w="1050"/>
        <w:gridCol w:w="1050"/>
        <w:gridCol w:w="1050"/>
        <w:gridCol w:w="760"/>
        <w:gridCol w:w="980"/>
        <w:gridCol w:w="1080"/>
        <w:gridCol w:w="1290"/>
      </w:tblGrid>
      <w:tr>
        <w:trPr>
          <w:tblHeader/>
        </w:trPr>
        <w:tc>
          <w:tcPr>
            <w:tcW w:type="dxa" w:w="1050"/>
            <w:shd w:fill="1a6d3a" w:color="auto" w:val="clear"/>
            <w:tcMar>
              <w:top w:type="dxa" w:w="40"/>
              <w:left w:type="dxa" w:w="70"/>
              <w:bottom w:type="dxa" w:w="40"/>
              <w:right w:type="dxa" w:w="70"/>
            </w:tcMar>
          </w:tcPr>
          <w:p>
            <w:pPr>
              <w:jc w:val="left"/>
            </w:pPr>
            <w:r>
              <w:rPr>
                <w:b/>
                <w:bCs/>
                <w:color w:val="FFFFFF"/>
                <w:sz w:val="18"/>
                <w:szCs w:val="18"/>
              </w:rPr>
              <w:t xml:space="preserve">Date</w:t>
            </w:r>
          </w:p>
        </w:tc>
        <w:tc>
          <w:tcPr>
            <w:tcW w:type="dxa" w:w="1050"/>
            <w:shd w:fill="1a6d3a" w:color="auto" w:val="clear"/>
            <w:tcMar>
              <w:top w:type="dxa" w:w="40"/>
              <w:left w:type="dxa" w:w="70"/>
              <w:bottom w:type="dxa" w:w="40"/>
              <w:right w:type="dxa" w:w="70"/>
            </w:tcMar>
          </w:tcPr>
          <w:p>
            <w:pPr>
              <w:jc w:val="left"/>
            </w:pPr>
            <w:r>
              <w:rPr>
                <w:b/>
                <w:bCs/>
                <w:color w:val="FFFFFF"/>
                <w:sz w:val="18"/>
                <w:szCs w:val="18"/>
              </w:rPr>
              <w:t xml:space="preserve">Open</w:t>
            </w:r>
          </w:p>
        </w:tc>
        <w:tc>
          <w:tcPr>
            <w:tcW w:type="dxa" w:w="1050"/>
            <w:shd w:fill="1a6d3a" w:color="auto" w:val="clear"/>
            <w:tcMar>
              <w:top w:type="dxa" w:w="40"/>
              <w:left w:type="dxa" w:w="70"/>
              <w:bottom w:type="dxa" w:w="40"/>
              <w:right w:type="dxa" w:w="70"/>
            </w:tcMar>
          </w:tcPr>
          <w:p>
            <w:pPr>
              <w:jc w:val="left"/>
            </w:pPr>
            <w:r>
              <w:rPr>
                <w:b/>
                <w:bCs/>
                <w:color w:val="FFFFFF"/>
                <w:sz w:val="18"/>
                <w:szCs w:val="18"/>
              </w:rPr>
              <w:t xml:space="preserve">High</w:t>
            </w:r>
          </w:p>
        </w:tc>
        <w:tc>
          <w:tcPr>
            <w:tcW w:type="dxa" w:w="1050"/>
            <w:shd w:fill="1a6d3a" w:color="auto" w:val="clear"/>
            <w:tcMar>
              <w:top w:type="dxa" w:w="40"/>
              <w:left w:type="dxa" w:w="70"/>
              <w:bottom w:type="dxa" w:w="40"/>
              <w:right w:type="dxa" w:w="70"/>
            </w:tcMar>
          </w:tcPr>
          <w:p>
            <w:pPr>
              <w:jc w:val="left"/>
            </w:pPr>
            <w:r>
              <w:rPr>
                <w:b/>
                <w:bCs/>
                <w:color w:val="FFFFFF"/>
                <w:sz w:val="18"/>
                <w:szCs w:val="18"/>
              </w:rPr>
              <w:t xml:space="preserve">Low</w:t>
            </w:r>
          </w:p>
        </w:tc>
        <w:tc>
          <w:tcPr>
            <w:tcW w:type="dxa" w:w="1050"/>
            <w:shd w:fill="1a6d3a" w:color="auto" w:val="clear"/>
            <w:tcMar>
              <w:top w:type="dxa" w:w="40"/>
              <w:left w:type="dxa" w:w="70"/>
              <w:bottom w:type="dxa" w:w="40"/>
              <w:right w:type="dxa" w:w="70"/>
            </w:tcMar>
          </w:tcPr>
          <w:p>
            <w:pPr>
              <w:jc w:val="left"/>
            </w:pPr>
            <w:r>
              <w:rPr>
                <w:b/>
                <w:bCs/>
                <w:color w:val="FFFFFF"/>
                <w:sz w:val="18"/>
                <w:szCs w:val="18"/>
              </w:rPr>
              <w:t xml:space="preserve">Close</w:t>
            </w:r>
          </w:p>
        </w:tc>
        <w:tc>
          <w:tcPr>
            <w:tcW w:type="dxa" w:w="760"/>
            <w:shd w:fill="1a6d3a" w:color="auto" w:val="clear"/>
            <w:tcMar>
              <w:top w:type="dxa" w:w="40"/>
              <w:left w:type="dxa" w:w="70"/>
              <w:bottom w:type="dxa" w:w="40"/>
              <w:right w:type="dxa" w:w="70"/>
            </w:tcMar>
          </w:tcPr>
          <w:p>
            <w:pPr>
              <w:jc w:val="left"/>
            </w:pPr>
            <w:r>
              <w:rPr>
                <w:b/>
                <w:bCs/>
                <w:color w:val="FFFFFF"/>
                <w:sz w:val="18"/>
                <w:szCs w:val="18"/>
              </w:rPr>
              <w:t xml:space="preserve">RSI2</w:t>
            </w:r>
          </w:p>
        </w:tc>
        <w:tc>
          <w:tcPr>
            <w:tcW w:type="dxa" w:w="980"/>
            <w:shd w:fill="1a6d3a" w:color="auto" w:val="clear"/>
            <w:tcMar>
              <w:top w:type="dxa" w:w="40"/>
              <w:left w:type="dxa" w:w="70"/>
              <w:bottom w:type="dxa" w:w="40"/>
              <w:right w:type="dxa" w:w="70"/>
            </w:tcMar>
          </w:tcPr>
          <w:p>
            <w:pPr>
              <w:jc w:val="left"/>
            </w:pPr>
            <w:r>
              <w:rPr>
                <w:b/>
                <w:bCs/>
                <w:color w:val="FFFFFF"/>
                <w:sz w:val="18"/>
                <w:szCs w:val="18"/>
              </w:rPr>
              <w:t xml:space="preserve">Trend</w:t>
            </w:r>
          </w:p>
        </w:tc>
        <w:tc>
          <w:tcPr>
            <w:tcW w:type="dxa" w:w="1080"/>
            <w:shd w:fill="1a6d3a" w:color="auto" w:val="clear"/>
            <w:tcMar>
              <w:top w:type="dxa" w:w="40"/>
              <w:left w:type="dxa" w:w="70"/>
              <w:bottom w:type="dxa" w:w="40"/>
              <w:right w:type="dxa" w:w="70"/>
            </w:tcMar>
          </w:tcPr>
          <w:p>
            <w:pPr>
              <w:jc w:val="left"/>
            </w:pPr>
            <w:r>
              <w:rPr>
                <w:b/>
                <w:bCs/>
                <w:color w:val="FFFFFF"/>
                <w:sz w:val="18"/>
                <w:szCs w:val="18"/>
              </w:rPr>
              <w:t xml:space="preserve">Sources A/B</w:t>
            </w:r>
          </w:p>
        </w:tc>
        <w:tc>
          <w:tcPr>
            <w:tcW w:type="dxa" w:w="1290"/>
            <w:shd w:fill="1a6d3a" w:color="auto" w:val="clear"/>
            <w:tcMar>
              <w:top w:type="dxa" w:w="40"/>
              <w:left w:type="dxa" w:w="70"/>
              <w:bottom w:type="dxa" w:w="40"/>
              <w:right w:type="dxa" w:w="70"/>
            </w:tcMar>
          </w:tcPr>
          <w:p>
            <w:pPr>
              <w:jc w:val="left"/>
            </w:pPr>
            <w:r>
              <w:rPr>
                <w:b/>
                <w:bCs/>
                <w:color w:val="FFFFFF"/>
                <w:sz w:val="18"/>
                <w:szCs w:val="18"/>
              </w:rPr>
              <w:t xml:space="preserve">Validation</w:t>
            </w:r>
          </w:p>
        </w:tc>
      </w:tr>
      <w:tr>
        <w:tc>
          <w:tcPr>
            <w:tcW w:type="dxa" w:w="1050"/>
            <w:tcMar>
              <w:top w:type="dxa" w:w="40"/>
              <w:left w:type="dxa" w:w="70"/>
              <w:bottom w:type="dxa" w:w="40"/>
              <w:right w:type="dxa" w:w="70"/>
            </w:tcMar>
          </w:tcPr>
          <w:p>
            <w:pPr>
              <w:jc w:val="left"/>
            </w:pPr>
            <w:r>
              <w:rPr>
                <w:b w:val="false"/>
                <w:bCs w:val="false"/>
                <w:color w:val="222222"/>
                <w:sz w:val="18"/>
                <w:szCs w:val="18"/>
              </w:rPr>
              <w:t xml:space="preserve">13 Jul</w:t>
            </w:r>
          </w:p>
        </w:tc>
        <w:tc>
          <w:tcPr>
            <w:tcW w:type="dxa" w:w="1050"/>
            <w:tcMar>
              <w:top w:type="dxa" w:w="40"/>
              <w:left w:type="dxa" w:w="70"/>
              <w:bottom w:type="dxa" w:w="40"/>
              <w:right w:type="dxa" w:w="70"/>
            </w:tcMar>
          </w:tcPr>
          <w:p>
            <w:pPr>
              <w:jc w:val="left"/>
            </w:pPr>
            <w:r>
              <w:rPr>
                <w:b w:val="false"/>
                <w:bCs w:val="false"/>
                <w:color w:val="222222"/>
                <w:sz w:val="18"/>
                <w:szCs w:val="18"/>
              </w:rPr>
              <w:t xml:space="preserve">7,547.53</w:t>
            </w:r>
          </w:p>
        </w:tc>
        <w:tc>
          <w:tcPr>
            <w:tcW w:type="dxa" w:w="1050"/>
            <w:tcMar>
              <w:top w:type="dxa" w:w="40"/>
              <w:left w:type="dxa" w:w="70"/>
              <w:bottom w:type="dxa" w:w="40"/>
              <w:right w:type="dxa" w:w="70"/>
            </w:tcMar>
          </w:tcPr>
          <w:p>
            <w:pPr>
              <w:jc w:val="left"/>
            </w:pPr>
            <w:r>
              <w:rPr>
                <w:b w:val="false"/>
                <w:bCs w:val="false"/>
                <w:color w:val="222222"/>
                <w:sz w:val="18"/>
                <w:szCs w:val="18"/>
              </w:rPr>
              <w:t xml:space="preserve">7,565.37</w:t>
            </w:r>
          </w:p>
        </w:tc>
        <w:tc>
          <w:tcPr>
            <w:tcW w:type="dxa" w:w="1050"/>
            <w:tcMar>
              <w:top w:type="dxa" w:w="40"/>
              <w:left w:type="dxa" w:w="70"/>
              <w:bottom w:type="dxa" w:w="40"/>
              <w:right w:type="dxa" w:w="70"/>
            </w:tcMar>
          </w:tcPr>
          <w:p>
            <w:pPr>
              <w:jc w:val="left"/>
            </w:pPr>
            <w:r>
              <w:rPr>
                <w:b w:val="false"/>
                <w:bCs w:val="false"/>
                <w:color w:val="222222"/>
                <w:sz w:val="18"/>
                <w:szCs w:val="18"/>
              </w:rPr>
              <w:t xml:space="preserve">7,506.41</w:t>
            </w:r>
          </w:p>
        </w:tc>
        <w:tc>
          <w:tcPr>
            <w:tcW w:type="dxa" w:w="1050"/>
            <w:tcMar>
              <w:top w:type="dxa" w:w="40"/>
              <w:left w:type="dxa" w:w="70"/>
              <w:bottom w:type="dxa" w:w="40"/>
              <w:right w:type="dxa" w:w="70"/>
            </w:tcMar>
          </w:tcPr>
          <w:p>
            <w:pPr>
              <w:jc w:val="left"/>
            </w:pPr>
            <w:r>
              <w:rPr>
                <w:b/>
                <w:bCs/>
                <w:color w:val="222222"/>
                <w:sz w:val="18"/>
                <w:szCs w:val="18"/>
              </w:rPr>
              <w:t xml:space="preserve">7,515.34</w:t>
            </w:r>
          </w:p>
        </w:tc>
        <w:tc>
          <w:tcPr>
            <w:tcW w:type="dxa" w:w="760"/>
            <w:tcMar>
              <w:top w:type="dxa" w:w="40"/>
              <w:left w:type="dxa" w:w="70"/>
              <w:bottom w:type="dxa" w:w="40"/>
              <w:right w:type="dxa" w:w="70"/>
            </w:tcMar>
          </w:tcPr>
          <w:p>
            <w:pPr>
              <w:jc w:val="left"/>
            </w:pPr>
            <w:r>
              <w:rPr>
                <w:b w:val="false"/>
                <w:bCs w:val="false"/>
                <w:color w:val="222222"/>
                <w:sz w:val="18"/>
                <w:szCs w:val="18"/>
              </w:rPr>
              <w:t xml:space="preserve">34.6</w:t>
            </w:r>
          </w:p>
        </w:tc>
        <w:tc>
          <w:tcPr>
            <w:tcW w:type="dxa" w:w="980"/>
            <w:tcMar>
              <w:top w:type="dxa" w:w="40"/>
              <w:left w:type="dxa" w:w="70"/>
              <w:bottom w:type="dxa" w:w="40"/>
              <w:right w:type="dxa" w:w="70"/>
            </w:tcMar>
          </w:tcPr>
          <w:p>
            <w:pPr>
              <w:jc w:val="left"/>
            </w:pPr>
            <w:r>
              <w:rPr>
                <w:b w:val="false"/>
                <w:bCs w:val="false"/>
                <w:color w:val="222222"/>
                <w:sz w:val="18"/>
                <w:szCs w:val="18"/>
              </w:rPr>
              <w:t xml:space="preserve">Bearish</w:t>
            </w:r>
          </w:p>
        </w:tc>
        <w:tc>
          <w:tcPr>
            <w:tcW w:type="dxa" w:w="1080"/>
            <w:tcMar>
              <w:top w:type="dxa" w:w="40"/>
              <w:left w:type="dxa" w:w="70"/>
              <w:bottom w:type="dxa" w:w="40"/>
              <w:right w:type="dxa" w:w="70"/>
            </w:tcMar>
          </w:tcPr>
          <w:p>
            <w:pPr>
              <w:jc w:val="left"/>
            </w:pPr>
            <w:r>
              <w:rPr>
                <w:b w:val="false"/>
                <w:bCs w:val="false"/>
                <w:color w:val="222222"/>
                <w:sz w:val="15"/>
                <w:szCs w:val="15"/>
              </w:rPr>
              <w:t xml:space="preserve">Investing / Yahoo</w:t>
            </w:r>
          </w:p>
        </w:tc>
        <w:tc>
          <w:tcPr>
            <w:tcW w:type="dxa" w:w="1290"/>
            <w:tcMar>
              <w:top w:type="dxa" w:w="40"/>
              <w:left w:type="dxa" w:w="70"/>
              <w:bottom w:type="dxa" w:w="40"/>
              <w:right w:type="dxa" w:w="70"/>
            </w:tcMar>
          </w:tcPr>
          <w:p>
            <w:pPr>
              <w:jc w:val="left"/>
            </w:pPr>
            <w:r>
              <w:rPr>
                <w:b w:val="false"/>
                <w:bCs w:val="false"/>
                <w:color w:val="222222"/>
                <w:sz w:val="15"/>
                <w:szCs w:val="15"/>
              </w:rPr>
              <w:t xml:space="preserve">CORROBORATED Δ0.00</w:t>
            </w:r>
          </w:p>
        </w:tc>
      </w:tr>
      <w:tr>
        <w:tc>
          <w:tcPr>
            <w:tcW w:type="dxa" w:w="1050"/>
            <w:tcMar>
              <w:top w:type="dxa" w:w="40"/>
              <w:left w:type="dxa" w:w="70"/>
              <w:bottom w:type="dxa" w:w="40"/>
              <w:right w:type="dxa" w:w="70"/>
            </w:tcMar>
          </w:tcPr>
          <w:p>
            <w:pPr>
              <w:jc w:val="left"/>
            </w:pPr>
            <w:r>
              <w:rPr>
                <w:b w:val="false"/>
                <w:bCs w:val="false"/>
                <w:color w:val="222222"/>
                <w:sz w:val="18"/>
                <w:szCs w:val="18"/>
              </w:rPr>
              <w:t xml:space="preserve">14 Jul</w:t>
            </w:r>
          </w:p>
        </w:tc>
        <w:tc>
          <w:tcPr>
            <w:tcW w:type="dxa" w:w="1050"/>
            <w:tcMar>
              <w:top w:type="dxa" w:w="40"/>
              <w:left w:type="dxa" w:w="70"/>
              <w:bottom w:type="dxa" w:w="40"/>
              <w:right w:type="dxa" w:w="70"/>
            </w:tcMar>
          </w:tcPr>
          <w:p>
            <w:pPr>
              <w:jc w:val="left"/>
            </w:pPr>
            <w:r>
              <w:rPr>
                <w:b w:val="false"/>
                <w:bCs w:val="false"/>
                <w:color w:val="222222"/>
                <w:sz w:val="18"/>
                <w:szCs w:val="18"/>
              </w:rPr>
              <w:t xml:space="preserve">7,536.70</w:t>
            </w:r>
          </w:p>
        </w:tc>
        <w:tc>
          <w:tcPr>
            <w:tcW w:type="dxa" w:w="1050"/>
            <w:tcMar>
              <w:top w:type="dxa" w:w="40"/>
              <w:left w:type="dxa" w:w="70"/>
              <w:bottom w:type="dxa" w:w="40"/>
              <w:right w:type="dxa" w:w="70"/>
            </w:tcMar>
          </w:tcPr>
          <w:p>
            <w:pPr>
              <w:jc w:val="left"/>
            </w:pPr>
            <w:r>
              <w:rPr>
                <w:b w:val="false"/>
                <w:bCs w:val="false"/>
                <w:color w:val="222222"/>
                <w:sz w:val="18"/>
                <w:szCs w:val="18"/>
              </w:rPr>
              <w:t xml:space="preserve">7,557.44</w:t>
            </w:r>
          </w:p>
        </w:tc>
        <w:tc>
          <w:tcPr>
            <w:tcW w:type="dxa" w:w="1050"/>
            <w:tcMar>
              <w:top w:type="dxa" w:w="40"/>
              <w:left w:type="dxa" w:w="70"/>
              <w:bottom w:type="dxa" w:w="40"/>
              <w:right w:type="dxa" w:w="70"/>
            </w:tcMar>
          </w:tcPr>
          <w:p>
            <w:pPr>
              <w:jc w:val="left"/>
            </w:pPr>
            <w:r>
              <w:rPr>
                <w:b w:val="false"/>
                <w:bCs w:val="false"/>
                <w:color w:val="222222"/>
                <w:sz w:val="18"/>
                <w:szCs w:val="18"/>
              </w:rPr>
              <w:t xml:space="preserve">7,513.23</w:t>
            </w:r>
          </w:p>
        </w:tc>
        <w:tc>
          <w:tcPr>
            <w:tcW w:type="dxa" w:w="1050"/>
            <w:tcMar>
              <w:top w:type="dxa" w:w="40"/>
              <w:left w:type="dxa" w:w="70"/>
              <w:bottom w:type="dxa" w:w="40"/>
              <w:right w:type="dxa" w:w="70"/>
            </w:tcMar>
          </w:tcPr>
          <w:p>
            <w:pPr>
              <w:jc w:val="left"/>
            </w:pPr>
            <w:r>
              <w:rPr>
                <w:b/>
                <w:bCs/>
                <w:color w:val="222222"/>
                <w:sz w:val="18"/>
                <w:szCs w:val="18"/>
              </w:rPr>
              <w:t xml:space="preserve">7,543.59</w:t>
            </w:r>
          </w:p>
        </w:tc>
        <w:tc>
          <w:tcPr>
            <w:tcW w:type="dxa" w:w="760"/>
            <w:tcMar>
              <w:top w:type="dxa" w:w="40"/>
              <w:left w:type="dxa" w:w="70"/>
              <w:bottom w:type="dxa" w:w="40"/>
              <w:right w:type="dxa" w:w="70"/>
            </w:tcMar>
          </w:tcPr>
          <w:p>
            <w:pPr>
              <w:jc w:val="left"/>
            </w:pPr>
            <w:r>
              <w:rPr>
                <w:b w:val="false"/>
                <w:bCs w:val="false"/>
                <w:color w:val="222222"/>
                <w:sz w:val="18"/>
                <w:szCs w:val="18"/>
              </w:rPr>
              <w:t xml:space="preserve">32.0</w:t>
            </w:r>
          </w:p>
        </w:tc>
        <w:tc>
          <w:tcPr>
            <w:tcW w:type="dxa" w:w="980"/>
            <w:tcMar>
              <w:top w:type="dxa" w:w="40"/>
              <w:left w:type="dxa" w:w="70"/>
              <w:bottom w:type="dxa" w:w="40"/>
              <w:right w:type="dxa" w:w="70"/>
            </w:tcMar>
          </w:tcPr>
          <w:p>
            <w:pPr>
              <w:jc w:val="left"/>
            </w:pPr>
            <w:r>
              <w:rPr>
                <w:b w:val="false"/>
                <w:bCs w:val="false"/>
                <w:color w:val="222222"/>
                <w:sz w:val="18"/>
                <w:szCs w:val="18"/>
              </w:rPr>
              <w:t xml:space="preserve">Neutral</w:t>
            </w:r>
          </w:p>
        </w:tc>
        <w:tc>
          <w:tcPr>
            <w:tcW w:type="dxa" w:w="1080"/>
            <w:tcMar>
              <w:top w:type="dxa" w:w="40"/>
              <w:left w:type="dxa" w:w="70"/>
              <w:bottom w:type="dxa" w:w="40"/>
              <w:right w:type="dxa" w:w="70"/>
            </w:tcMar>
          </w:tcPr>
          <w:p>
            <w:pPr>
              <w:jc w:val="left"/>
            </w:pPr>
            <w:r>
              <w:rPr>
                <w:b w:val="false"/>
                <w:bCs w:val="false"/>
                <w:color w:val="222222"/>
                <w:sz w:val="15"/>
                <w:szCs w:val="15"/>
              </w:rPr>
              <w:t xml:space="preserve">Investing / CNBC</w:t>
            </w:r>
          </w:p>
        </w:tc>
        <w:tc>
          <w:tcPr>
            <w:tcW w:type="dxa" w:w="1290"/>
            <w:tcMar>
              <w:top w:type="dxa" w:w="40"/>
              <w:left w:type="dxa" w:w="70"/>
              <w:bottom w:type="dxa" w:w="40"/>
              <w:right w:type="dxa" w:w="70"/>
            </w:tcMar>
          </w:tcPr>
          <w:p>
            <w:pPr>
              <w:jc w:val="left"/>
            </w:pPr>
            <w:r>
              <w:rPr>
                <w:b w:val="false"/>
                <w:bCs w:val="false"/>
                <w:color w:val="222222"/>
                <w:sz w:val="15"/>
                <w:szCs w:val="15"/>
              </w:rPr>
              <w:t xml:space="preserve">CORROBORATED Δ0.00</w:t>
            </w:r>
          </w:p>
        </w:tc>
      </w:tr>
      <w:tr>
        <w:tc>
          <w:tcPr>
            <w:tcW w:type="dxa" w:w="1050"/>
            <w:tcMar>
              <w:top w:type="dxa" w:w="40"/>
              <w:left w:type="dxa" w:w="70"/>
              <w:bottom w:type="dxa" w:w="40"/>
              <w:right w:type="dxa" w:w="70"/>
            </w:tcMar>
          </w:tcPr>
          <w:p>
            <w:pPr>
              <w:jc w:val="left"/>
            </w:pPr>
            <w:r>
              <w:rPr>
                <w:b w:val="false"/>
                <w:bCs w:val="false"/>
                <w:color w:val="222222"/>
                <w:sz w:val="18"/>
                <w:szCs w:val="18"/>
              </w:rPr>
              <w:t xml:space="preserve">15 Jul</w:t>
            </w:r>
          </w:p>
        </w:tc>
        <w:tc>
          <w:tcPr>
            <w:tcW w:type="dxa" w:w="1050"/>
            <w:tcMar>
              <w:top w:type="dxa" w:w="40"/>
              <w:left w:type="dxa" w:w="70"/>
              <w:bottom w:type="dxa" w:w="40"/>
              <w:right w:type="dxa" w:w="70"/>
            </w:tcMar>
          </w:tcPr>
          <w:p>
            <w:pPr>
              <w:jc w:val="left"/>
            </w:pPr>
            <w:r>
              <w:rPr>
                <w:b w:val="false"/>
                <w:bCs w:val="false"/>
                <w:color w:val="222222"/>
                <w:sz w:val="18"/>
                <w:szCs w:val="18"/>
              </w:rPr>
              <w:t xml:space="preserve">7,550.10</w:t>
            </w:r>
          </w:p>
        </w:tc>
        <w:tc>
          <w:tcPr>
            <w:tcW w:type="dxa" w:w="1050"/>
            <w:tcMar>
              <w:top w:type="dxa" w:w="40"/>
              <w:left w:type="dxa" w:w="70"/>
              <w:bottom w:type="dxa" w:w="40"/>
              <w:right w:type="dxa" w:w="70"/>
            </w:tcMar>
          </w:tcPr>
          <w:p>
            <w:pPr>
              <w:jc w:val="left"/>
            </w:pPr>
            <w:r>
              <w:rPr>
                <w:b w:val="false"/>
                <w:bCs w:val="false"/>
                <w:color w:val="222222"/>
                <w:sz w:val="18"/>
                <w:szCs w:val="18"/>
              </w:rPr>
              <w:t xml:space="preserve">7,588.60</w:t>
            </w:r>
          </w:p>
        </w:tc>
        <w:tc>
          <w:tcPr>
            <w:tcW w:type="dxa" w:w="1050"/>
            <w:tcMar>
              <w:top w:type="dxa" w:w="40"/>
              <w:left w:type="dxa" w:w="70"/>
              <w:bottom w:type="dxa" w:w="40"/>
              <w:right w:type="dxa" w:w="70"/>
            </w:tcMar>
          </w:tcPr>
          <w:p>
            <w:pPr>
              <w:jc w:val="left"/>
            </w:pPr>
            <w:r>
              <w:rPr>
                <w:b w:val="false"/>
                <w:bCs w:val="false"/>
                <w:color w:val="222222"/>
                <w:sz w:val="18"/>
                <w:szCs w:val="18"/>
              </w:rPr>
              <w:t xml:space="preserve">7,546.80</w:t>
            </w:r>
          </w:p>
        </w:tc>
        <w:tc>
          <w:tcPr>
            <w:tcW w:type="dxa" w:w="1050"/>
            <w:tcMar>
              <w:top w:type="dxa" w:w="40"/>
              <w:left w:type="dxa" w:w="70"/>
              <w:bottom w:type="dxa" w:w="40"/>
              <w:right w:type="dxa" w:w="70"/>
            </w:tcMar>
          </w:tcPr>
          <w:p>
            <w:pPr>
              <w:jc w:val="left"/>
            </w:pPr>
            <w:r>
              <w:rPr>
                <w:b/>
                <w:bCs/>
                <w:color w:val="222222"/>
                <w:sz w:val="18"/>
                <w:szCs w:val="18"/>
              </w:rPr>
              <w:t xml:space="preserve">7,572.40</w:t>
            </w:r>
          </w:p>
        </w:tc>
        <w:tc>
          <w:tcPr>
            <w:tcW w:type="dxa" w:w="760"/>
            <w:tcMar>
              <w:top w:type="dxa" w:w="40"/>
              <w:left w:type="dxa" w:w="70"/>
              <w:bottom w:type="dxa" w:w="40"/>
              <w:right w:type="dxa" w:w="70"/>
            </w:tcMar>
          </w:tcPr>
          <w:p>
            <w:pPr>
              <w:jc w:val="left"/>
            </w:pPr>
            <w:r>
              <w:rPr>
                <w:b w:val="false"/>
                <w:bCs w:val="false"/>
                <w:color w:val="222222"/>
                <w:sz w:val="18"/>
                <w:szCs w:val="18"/>
              </w:rPr>
              <w:t xml:space="preserve">100.0</w:t>
            </w:r>
          </w:p>
        </w:tc>
        <w:tc>
          <w:tcPr>
            <w:tcW w:type="dxa" w:w="980"/>
            <w:tcMar>
              <w:top w:type="dxa" w:w="40"/>
              <w:left w:type="dxa" w:w="70"/>
              <w:bottom w:type="dxa" w:w="40"/>
              <w:right w:type="dxa" w:w="70"/>
            </w:tcMar>
          </w:tcPr>
          <w:p>
            <w:pPr>
              <w:jc w:val="left"/>
            </w:pPr>
            <w:r>
              <w:rPr>
                <w:b w:val="false"/>
                <w:bCs w:val="false"/>
                <w:color w:val="222222"/>
                <w:sz w:val="18"/>
                <w:szCs w:val="18"/>
              </w:rPr>
              <w:t xml:space="preserve">Bullish</w:t>
            </w:r>
          </w:p>
        </w:tc>
        <w:tc>
          <w:tcPr>
            <w:tcW w:type="dxa" w:w="1080"/>
            <w:tcMar>
              <w:top w:type="dxa" w:w="40"/>
              <w:left w:type="dxa" w:w="70"/>
              <w:bottom w:type="dxa" w:w="40"/>
              <w:right w:type="dxa" w:w="70"/>
            </w:tcMar>
          </w:tcPr>
          <w:p>
            <w:pPr>
              <w:jc w:val="left"/>
            </w:pPr>
            <w:r>
              <w:rPr>
                <w:b w:val="false"/>
                <w:bCs w:val="false"/>
                <w:color w:val="222222"/>
                <w:sz w:val="15"/>
                <w:szCs w:val="15"/>
              </w:rPr>
              <w:t xml:space="preserve">CNBC / Yahoo</w:t>
            </w:r>
          </w:p>
        </w:tc>
        <w:tc>
          <w:tcPr>
            <w:tcW w:type="dxa" w:w="1290"/>
            <w:tcMar>
              <w:top w:type="dxa" w:w="40"/>
              <w:left w:type="dxa" w:w="70"/>
              <w:bottom w:type="dxa" w:w="40"/>
              <w:right w:type="dxa" w:w="70"/>
            </w:tcMar>
          </w:tcPr>
          <w:p>
            <w:pPr>
              <w:jc w:val="left"/>
            </w:pPr>
            <w:r>
              <w:rPr>
                <w:b w:val="false"/>
                <w:bCs w:val="false"/>
                <w:color w:val="222222"/>
                <w:sz w:val="15"/>
                <w:szCs w:val="15"/>
              </w:rPr>
              <w:t xml:space="preserve">Close CORROB.; H/L indic.</w:t>
            </w:r>
          </w:p>
        </w:tc>
      </w:tr>
      <w:tr>
        <w:tc>
          <w:tcPr>
            <w:tcW w:type="dxa" w:w="1050"/>
            <w:tcMar>
              <w:top w:type="dxa" w:w="40"/>
              <w:left w:type="dxa" w:w="70"/>
              <w:bottom w:type="dxa" w:w="40"/>
              <w:right w:type="dxa" w:w="70"/>
            </w:tcMar>
          </w:tcPr>
          <w:p>
            <w:pPr>
              <w:jc w:val="left"/>
            </w:pPr>
            <w:r>
              <w:rPr>
                <w:b w:val="false"/>
                <w:bCs w:val="false"/>
                <w:color w:val="222222"/>
                <w:sz w:val="18"/>
                <w:szCs w:val="18"/>
              </w:rPr>
              <w:t xml:space="preserve">16 Jul</w:t>
            </w:r>
          </w:p>
        </w:tc>
        <w:tc>
          <w:tcPr>
            <w:tcW w:type="dxa" w:w="1050"/>
            <w:tcMar>
              <w:top w:type="dxa" w:w="40"/>
              <w:left w:type="dxa" w:w="70"/>
              <w:bottom w:type="dxa" w:w="40"/>
              <w:right w:type="dxa" w:w="70"/>
            </w:tcMar>
          </w:tcPr>
          <w:p>
            <w:pPr>
              <w:jc w:val="left"/>
            </w:pPr>
            <w:r>
              <w:rPr>
                <w:b w:val="false"/>
                <w:bCs w:val="false"/>
                <w:color w:val="222222"/>
                <w:sz w:val="18"/>
                <w:szCs w:val="18"/>
              </w:rPr>
              <w:t xml:space="preserve">7,561.20</w:t>
            </w:r>
          </w:p>
        </w:tc>
        <w:tc>
          <w:tcPr>
            <w:tcW w:type="dxa" w:w="1050"/>
            <w:tcMar>
              <w:top w:type="dxa" w:w="40"/>
              <w:left w:type="dxa" w:w="70"/>
              <w:bottom w:type="dxa" w:w="40"/>
              <w:right w:type="dxa" w:w="70"/>
            </w:tcMar>
          </w:tcPr>
          <w:p>
            <w:pPr>
              <w:jc w:val="left"/>
            </w:pPr>
            <w:r>
              <w:rPr>
                <w:b w:val="false"/>
                <w:bCs w:val="false"/>
                <w:color w:val="222222"/>
                <w:sz w:val="18"/>
                <w:szCs w:val="18"/>
              </w:rPr>
              <w:t xml:space="preserve">7,566.90</w:t>
            </w:r>
          </w:p>
        </w:tc>
        <w:tc>
          <w:tcPr>
            <w:tcW w:type="dxa" w:w="1050"/>
            <w:tcMar>
              <w:top w:type="dxa" w:w="40"/>
              <w:left w:type="dxa" w:w="70"/>
              <w:bottom w:type="dxa" w:w="40"/>
              <w:right w:type="dxa" w:w="70"/>
            </w:tcMar>
          </w:tcPr>
          <w:p>
            <w:pPr>
              <w:jc w:val="left"/>
            </w:pPr>
            <w:r>
              <w:rPr>
                <w:b w:val="false"/>
                <w:bCs w:val="false"/>
                <w:color w:val="222222"/>
                <w:sz w:val="18"/>
                <w:szCs w:val="18"/>
              </w:rPr>
              <w:t xml:space="preserve">7,519.40</w:t>
            </w:r>
          </w:p>
        </w:tc>
        <w:tc>
          <w:tcPr>
            <w:tcW w:type="dxa" w:w="1050"/>
            <w:tcMar>
              <w:top w:type="dxa" w:w="40"/>
              <w:left w:type="dxa" w:w="70"/>
              <w:bottom w:type="dxa" w:w="40"/>
              <w:right w:type="dxa" w:w="70"/>
            </w:tcMar>
          </w:tcPr>
          <w:p>
            <w:pPr>
              <w:jc w:val="left"/>
            </w:pPr>
            <w:r>
              <w:rPr>
                <w:b/>
                <w:bCs/>
                <w:color w:val="222222"/>
                <w:sz w:val="18"/>
                <w:szCs w:val="18"/>
              </w:rPr>
              <w:t xml:space="preserve">7,533.77</w:t>
            </w:r>
          </w:p>
        </w:tc>
        <w:tc>
          <w:tcPr>
            <w:tcW w:type="dxa" w:w="760"/>
            <w:tcMar>
              <w:top w:type="dxa" w:w="40"/>
              <w:left w:type="dxa" w:w="70"/>
              <w:bottom w:type="dxa" w:w="40"/>
              <w:right w:type="dxa" w:w="70"/>
            </w:tcMar>
          </w:tcPr>
          <w:p>
            <w:pPr>
              <w:jc w:val="left"/>
            </w:pPr>
            <w:r>
              <w:rPr>
                <w:b w:val="false"/>
                <w:bCs w:val="false"/>
                <w:color w:val="222222"/>
                <w:sz w:val="18"/>
                <w:szCs w:val="18"/>
              </w:rPr>
              <w:t xml:space="preserve">42.7</w:t>
            </w:r>
          </w:p>
        </w:tc>
        <w:tc>
          <w:tcPr>
            <w:tcW w:type="dxa" w:w="980"/>
            <w:tcMar>
              <w:top w:type="dxa" w:w="40"/>
              <w:left w:type="dxa" w:w="70"/>
              <w:bottom w:type="dxa" w:w="40"/>
              <w:right w:type="dxa" w:w="70"/>
            </w:tcMar>
          </w:tcPr>
          <w:p>
            <w:pPr>
              <w:jc w:val="left"/>
            </w:pPr>
            <w:r>
              <w:rPr>
                <w:b w:val="false"/>
                <w:bCs w:val="false"/>
                <w:color w:val="222222"/>
                <w:sz w:val="18"/>
                <w:szCs w:val="18"/>
              </w:rPr>
              <w:t xml:space="preserve">Bearish</w:t>
            </w:r>
          </w:p>
        </w:tc>
        <w:tc>
          <w:tcPr>
            <w:tcW w:type="dxa" w:w="1080"/>
            <w:tcMar>
              <w:top w:type="dxa" w:w="40"/>
              <w:left w:type="dxa" w:w="70"/>
              <w:bottom w:type="dxa" w:w="40"/>
              <w:right w:type="dxa" w:w="70"/>
            </w:tcMar>
          </w:tcPr>
          <w:p>
            <w:pPr>
              <w:jc w:val="left"/>
            </w:pPr>
            <w:r>
              <w:rPr>
                <w:b w:val="false"/>
                <w:bCs w:val="false"/>
                <w:color w:val="222222"/>
                <w:sz w:val="15"/>
                <w:szCs w:val="15"/>
              </w:rPr>
              <w:t xml:space="preserve">Yahoo / CNBC</w:t>
            </w:r>
          </w:p>
        </w:tc>
        <w:tc>
          <w:tcPr>
            <w:tcW w:type="dxa" w:w="1290"/>
            <w:tcMar>
              <w:top w:type="dxa" w:w="40"/>
              <w:left w:type="dxa" w:w="70"/>
              <w:bottom w:type="dxa" w:w="40"/>
              <w:right w:type="dxa" w:w="70"/>
            </w:tcMar>
          </w:tcPr>
          <w:p>
            <w:pPr>
              <w:jc w:val="left"/>
            </w:pPr>
            <w:r>
              <w:rPr>
                <w:b w:val="false"/>
                <w:bCs w:val="false"/>
                <w:color w:val="222222"/>
                <w:sz w:val="15"/>
                <w:szCs w:val="15"/>
              </w:rPr>
              <w:t xml:space="preserve">Close CORROB.; H/L indic.</w:t>
            </w:r>
          </w:p>
        </w:tc>
      </w:tr>
      <w:tr>
        <w:tc>
          <w:tcPr>
            <w:tcW w:type="dxa" w:w="1050"/>
            <w:tcMar>
              <w:top w:type="dxa" w:w="40"/>
              <w:left w:type="dxa" w:w="70"/>
              <w:bottom w:type="dxa" w:w="40"/>
              <w:right w:type="dxa" w:w="70"/>
            </w:tcMar>
          </w:tcPr>
          <w:p>
            <w:pPr>
              <w:jc w:val="left"/>
            </w:pPr>
            <w:r>
              <w:rPr>
                <w:b w:val="false"/>
                <w:bCs w:val="false"/>
                <w:color w:val="222222"/>
                <w:sz w:val="18"/>
                <w:szCs w:val="18"/>
              </w:rPr>
              <w:t xml:space="preserve">17 Jul</w:t>
            </w:r>
          </w:p>
        </w:tc>
        <w:tc>
          <w:tcPr>
            <w:tcW w:type="dxa" w:w="1050"/>
            <w:tcMar>
              <w:top w:type="dxa" w:w="40"/>
              <w:left w:type="dxa" w:w="70"/>
              <w:bottom w:type="dxa" w:w="40"/>
              <w:right w:type="dxa" w:w="70"/>
            </w:tcMar>
          </w:tcPr>
          <w:p>
            <w:pPr>
              <w:jc w:val="left"/>
            </w:pPr>
            <w:r>
              <w:rPr>
                <w:b w:val="false"/>
                <w:bCs w:val="false"/>
                <w:color w:val="222222"/>
                <w:sz w:val="18"/>
                <w:szCs w:val="18"/>
              </w:rPr>
              <w:t xml:space="preserve">7,490.30</w:t>
            </w:r>
          </w:p>
        </w:tc>
        <w:tc>
          <w:tcPr>
            <w:tcW w:type="dxa" w:w="1050"/>
            <w:tcMar>
              <w:top w:type="dxa" w:w="40"/>
              <w:left w:type="dxa" w:w="70"/>
              <w:bottom w:type="dxa" w:w="40"/>
              <w:right w:type="dxa" w:w="70"/>
            </w:tcMar>
          </w:tcPr>
          <w:p>
            <w:pPr>
              <w:jc w:val="left"/>
            </w:pPr>
            <w:r>
              <w:rPr>
                <w:b w:val="false"/>
                <w:bCs w:val="false"/>
                <w:color w:val="222222"/>
                <w:sz w:val="18"/>
                <w:szCs w:val="18"/>
              </w:rPr>
              <w:t xml:space="preserve">7,498.47</w:t>
            </w:r>
          </w:p>
        </w:tc>
        <w:tc>
          <w:tcPr>
            <w:tcW w:type="dxa" w:w="1050"/>
            <w:tcMar>
              <w:top w:type="dxa" w:w="40"/>
              <w:left w:type="dxa" w:w="70"/>
              <w:bottom w:type="dxa" w:w="40"/>
              <w:right w:type="dxa" w:w="70"/>
            </w:tcMar>
          </w:tcPr>
          <w:p>
            <w:pPr>
              <w:jc w:val="left"/>
            </w:pPr>
            <w:r>
              <w:rPr>
                <w:b w:val="false"/>
                <w:bCs w:val="false"/>
                <w:color w:val="222222"/>
                <w:sz w:val="18"/>
                <w:szCs w:val="18"/>
              </w:rPr>
              <w:t xml:space="preserve">7,431.26</w:t>
            </w:r>
          </w:p>
        </w:tc>
        <w:tc>
          <w:tcPr>
            <w:tcW w:type="dxa" w:w="1050"/>
            <w:tcMar>
              <w:top w:type="dxa" w:w="40"/>
              <w:left w:type="dxa" w:w="70"/>
              <w:bottom w:type="dxa" w:w="40"/>
              <w:right w:type="dxa" w:w="70"/>
            </w:tcMar>
          </w:tcPr>
          <w:p>
            <w:pPr>
              <w:jc w:val="left"/>
            </w:pPr>
            <w:r>
              <w:rPr>
                <w:b/>
                <w:bCs/>
                <w:color w:val="222222"/>
                <w:sz w:val="18"/>
                <w:szCs w:val="18"/>
              </w:rPr>
              <w:t xml:space="preserve">7,457.69</w:t>
            </w:r>
          </w:p>
        </w:tc>
        <w:tc>
          <w:tcPr>
            <w:tcW w:type="dxa" w:w="760"/>
            <w:tcMar>
              <w:top w:type="dxa" w:w="40"/>
              <w:left w:type="dxa" w:w="70"/>
              <w:bottom w:type="dxa" w:w="40"/>
              <w:right w:type="dxa" w:w="70"/>
            </w:tcMar>
          </w:tcPr>
          <w:p>
            <w:pPr>
              <w:jc w:val="left"/>
            </w:pPr>
            <w:r>
              <w:rPr>
                <w:b w:val="false"/>
                <w:bCs w:val="false"/>
                <w:color w:val="222222"/>
                <w:sz w:val="18"/>
                <w:szCs w:val="18"/>
              </w:rPr>
              <w:t xml:space="preserve">0.0</w:t>
            </w:r>
          </w:p>
        </w:tc>
        <w:tc>
          <w:tcPr>
            <w:tcW w:type="dxa" w:w="980"/>
            <w:tcMar>
              <w:top w:type="dxa" w:w="40"/>
              <w:left w:type="dxa" w:w="70"/>
              <w:bottom w:type="dxa" w:w="40"/>
              <w:right w:type="dxa" w:w="70"/>
            </w:tcMar>
          </w:tcPr>
          <w:p>
            <w:pPr>
              <w:jc w:val="left"/>
            </w:pPr>
            <w:r>
              <w:rPr>
                <w:b w:val="false"/>
                <w:bCs w:val="false"/>
                <w:color w:val="222222"/>
                <w:sz w:val="18"/>
                <w:szCs w:val="18"/>
              </w:rPr>
              <w:t xml:space="preserve">Bearish</w:t>
            </w:r>
          </w:p>
        </w:tc>
        <w:tc>
          <w:tcPr>
            <w:tcW w:type="dxa" w:w="1080"/>
            <w:tcMar>
              <w:top w:type="dxa" w:w="40"/>
              <w:left w:type="dxa" w:w="70"/>
              <w:bottom w:type="dxa" w:w="40"/>
              <w:right w:type="dxa" w:w="70"/>
            </w:tcMar>
          </w:tcPr>
          <w:p>
            <w:pPr>
              <w:jc w:val="left"/>
            </w:pPr>
            <w:r>
              <w:rPr>
                <w:b w:val="false"/>
                <w:bCs w:val="false"/>
                <w:color w:val="222222"/>
                <w:sz w:val="15"/>
                <w:szCs w:val="15"/>
              </w:rPr>
              <w:t xml:space="preserve">Investing / FRED</w:t>
            </w:r>
          </w:p>
        </w:tc>
        <w:tc>
          <w:tcPr>
            <w:tcW w:type="dxa" w:w="1290"/>
            <w:tcMar>
              <w:top w:type="dxa" w:w="40"/>
              <w:left w:type="dxa" w:w="70"/>
              <w:bottom w:type="dxa" w:w="40"/>
              <w:right w:type="dxa" w:w="70"/>
            </w:tcMar>
          </w:tcPr>
          <w:p>
            <w:pPr>
              <w:jc w:val="left"/>
            </w:pPr>
            <w:r>
              <w:rPr>
                <w:b w:val="false"/>
                <w:bCs w:val="false"/>
                <w:color w:val="222222"/>
                <w:sz w:val="15"/>
                <w:szCs w:val="15"/>
              </w:rPr>
              <w:t xml:space="preserve">CORROBORATED Δ0.00</w:t>
            </w:r>
          </w:p>
        </w:tc>
      </w:tr>
    </w:tbl>
    <w:p>
      <w:pPr>
        <w:spacing w:after="120"/>
      </w:pPr>
      <w:r>
        <w:rPr>
          <w:i/>
          <w:iCs/>
          <w:color w:val="666666"/>
          <w:sz w:val="17"/>
          <w:szCs w:val="17"/>
        </w:rPr>
        <w:t xml:space="preserve">RSI2 computed from the validated close sequence (period fixed at 2). Highs/lows for 15–16 Jul are single-source indicative and are excluded from pivot inputs beyond the daily timeframe (see §19). Opens for 15–16 Jul are derived from the aggregator session record and carry the same indicative flag.</w:t>
      </w:r>
    </w:p>
    <w:p>
      <w:pPr>
        <w:pStyle w:val="Heading1"/>
        <w:spacing w:after="110" w:before="220"/>
      </w:pPr>
      <w:r>
        <w:rPr>
          <w:b/>
          <w:bCs/>
          <w:color w:val="1a6d3a"/>
        </w:rPr>
        <w:t xml:space="preserve">7 · Charts</w:t>
      </w:r>
    </w:p>
    <w:p>
      <w:pPr>
        <w:spacing w:after="100"/>
        <w:jc w:val="both"/>
      </w:pPr>
      <w:r>
        <w:rPr>
          <w:sz w:val="20"/>
          <w:szCs w:val="20"/>
        </w:rPr>
        <w:t xml:space="preserve">Five charts are produced for this instance: 5-session candlestick, distance-from-open, 25-session structure, comparative volatility, and pivot structure.</w:t>
      </w:r>
    </w:p>
    <w:p>
      <w:r>
        <w:rPr>
          <w:b/>
          <w:bCs/>
          <w:color w:val="1a6d3a"/>
          <w:sz w:val="19"/>
          <w:szCs w:val="19"/>
        </w:rPr>
        <w:t xml:space="preserve">Chart 1 — 5-Session Candlestick</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r>
        <w:rPr>
          <w:b/>
          <w:bCs/>
          <w:color w:val="1a6d3a"/>
          <w:sz w:val="19"/>
          <w:szCs w:val="19"/>
        </w:rPr>
        <w:t xml:space="preserve">Chart 2 — Distance-from-Open</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r>
        <w:rPr>
          <w:b/>
          <w:bCs/>
          <w:color w:val="1a6d3a"/>
          <w:sz w:val="19"/>
          <w:szCs w:val="19"/>
        </w:rPr>
        <w:t xml:space="preserve">Chart 3 — 25-Session Structure</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r>
        <w:rPr>
          <w:b/>
          <w:bCs/>
          <w:color w:val="1a6d3a"/>
          <w:sz w:val="19"/>
          <w:szCs w:val="19"/>
        </w:rPr>
        <w:t xml:space="preserve">Chart 4 — Comparative Volatility</w:t>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120"/>
      </w:pPr>
      <w:r>
        <w:rPr>
          <w:i/>
          <w:iCs/>
          <w:color w:val="666666"/>
          <w:sz w:val="17"/>
          <w:szCs w:val="17"/>
        </w:rPr>
        <w:t xml:space="preserve">Volatility uses the Average True Range method with historical z-score scaling. Counter volatility paths are directional representations from public session behaviour (VIX expanding, DAX and Dollar Index contracting) and are used for regime context only.</w:t>
      </w:r>
    </w:p>
    <w:p>
      <w:r>
        <w:rPr>
          <w:b/>
          <w:bCs/>
          <w:color w:val="1a6d3a"/>
          <w:sz w:val="19"/>
          <w:szCs w:val="19"/>
        </w:rPr>
        <w:t xml:space="preserve">Chart 5 — Pivot Structure</w:t>
      </w:r>
    </w:p>
    <w:p>
      <w:pPr>
        <w:spacing w:after="12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pStyle w:val="Heading1"/>
        <w:spacing w:after="110" w:before="220"/>
      </w:pPr>
      <w:r>
        <w:rPr>
          <w:b/>
          <w:bCs/>
          <w:color w:val="1a6d3a"/>
        </w:rPr>
        <w:t xml:space="preserve">8 · Short-Term Technical Analysis</w:t>
      </w:r>
    </w:p>
    <w:p>
      <w:pPr>
        <w:spacing w:after="100"/>
        <w:jc w:val="both"/>
      </w:pPr>
      <w:r>
        <w:rPr>
          <w:sz w:val="20"/>
          <w:szCs w:val="20"/>
        </w:rPr>
        <w:t xml:space="preserve">Session-by-session (see §6): 13 Jul printed a bearish body closing near the lower third of its range with RSI2 at 34.6 — early distribution. 14 Jul was an inside-ish recovery closing above its open but with RSI2 still depressed at 32.0, classified Neutral: a bounce lacking momentum confirmation. 15 Jul was the strongest session, a bullish marubozu-like candle closing at the high end of range with RSI2 saturating at 100 — a blow-off high that set the 5-day swing high at 7,588.60. 16 Jul reversed, closing bearish in the lower half with RSI2 back to 42.7 — failure to hold the prior day's gains. 17 Jul was decisively bearish: a wide-range down candle that opened near 7,490, sold off to 7,431 and closed at 7,457.69, with RSI2 collapsing to 0.0 — maximum short-term oversold and a clean rejection of the 7,588 high.</w:t>
      </w:r>
    </w:p>
    <w:p>
      <w:pPr>
        <w:spacing w:after="100"/>
        <w:jc w:val="both"/>
      </w:pPr>
      <w:r>
        <w:rPr>
          <w:sz w:val="20"/>
          <w:szCs w:val="20"/>
        </w:rPr>
        <w:t xml:space="preserve">Sequence assessment: Exhaustion following a failed push to new highs. The evidence is the 15 Jul RSI2=100 saturation immediately followed by two down closes, an expanding range on the final session, and a close reverting well below the mid-week high — the textbook signature of a short-term blow-off giving way to distribution.</w:t>
      </w:r>
    </w:p>
    <w:p>
      <w:pPr>
        <w:spacing w:after="100"/>
        <w:jc w:val="both"/>
      </w:pPr>
      <w:r>
        <w:rPr>
          <w:sz w:val="20"/>
          <w:szCs w:val="20"/>
        </w:rPr>
        <w:t xml:space="preserve">Nearest support and resistance from the validated 5-day structure: support at 7,431.26 (Friday's low), then the swing low 7,431; resistance at 7,498.47 (Friday's high) and the mid-week shelf 7,533–7,572. Judgement label: Exhaustion — reversal risk. This is consistent with the Transitional–Bearish medium-term read in §9.</w:t>
      </w:r>
    </w:p>
    <w:p>
      <w:pPr>
        <w:pStyle w:val="Heading1"/>
        <w:spacing w:after="110" w:before="220"/>
      </w:pPr>
      <w:r>
        <w:rPr>
          <w:b/>
          <w:bCs/>
          <w:color w:val="1a6d3a"/>
        </w:rPr>
        <w:t xml:space="preserve">9 · Medium-Term Regime &amp; VOLator</w:t>
      </w:r>
    </w:p>
    <w:p>
      <w:pPr>
        <w:spacing w:after="100"/>
        <w:jc w:val="both"/>
      </w:pPr>
      <w:r>
        <w:rPr>
          <w:sz w:val="20"/>
          <w:szCs w:val="20"/>
        </w:rPr>
        <w:t xml:space="preserve">Regime classification: Transitional. Supporting metrics over the 25-session window: overlap ratio 0.54 (marginally range-leaning), directional persistence 0.50 (no directional edge), VOLator slope negative (−0.30), median RSI2 42.7, and range-position bias mid-range (55th percentile). None of the clean trending or ranging thresholds is satisfied, so the read is Transitional with a bearish near-term tilt driven by the last two sessions. Bias: Bearish.</w:t>
      </w:r>
    </w:p>
    <w:p>
      <w:pPr>
        <w:spacing w:after="100"/>
        <w:jc w:val="both"/>
      </w:pPr>
      <w:r>
        <w:rPr>
          <w:sz w:val="20"/>
          <w:szCs w:val="20"/>
        </w:rPr>
        <w:t xml:space="preserve">VOLator current readings (scaled −1 to +1): S&amp;P 500 at the −1.0 floor and contracting on the 10-observation slope (−0.30) — realised volatility compressed through the mid-week rally then began expanding into Friday's sell-off. Among counters, VIX is above its midpoint and expanding (risk-off), while the DAX 40 and the Dollar Index are below their midpoints and contracting.</w:t>
      </w:r>
    </w:p>
    <w:p>
      <w:pPr>
        <w:spacing w:after="100"/>
        <w:jc w:val="both"/>
      </w:pPr>
      <w:r>
        <w:rPr>
          <w:sz w:val="20"/>
          <w:szCs w:val="20"/>
        </w:rPr>
        <w:t xml:space="preserve">Preferred trade protocol: reduced conviction — the Transitional label calls for waiting for a confirmed break before committing size, which maps directly onto the breakout-biased Trade 3C and breakout-only Trade 2 in §21.</w:t>
      </w:r>
    </w:p>
    <w:p>
      <w:r>
        <w:rPr>
          <w:b/>
          <w:bCs/>
          <w:sz w:val="20"/>
          <w:szCs w:val="20"/>
        </w:rPr>
        <w:t xml:space="preserve">Kaufman confirmation (flagged conflict): </w:t>
      </w:r>
      <w:r>
        <w:rPr>
          <w:sz w:val="20"/>
          <w:szCs w:val="20"/>
        </w:rPr>
        <w:t xml:space="preserve">the smoothed KER reads +0.20, classified Trending Up — Moderate. This CONTRADICTS the bearish price action, the negative VOLator slope, and the cross-asset read. The KER is a 13-session lagged, EMA-smoothed measure and is still carrying the imprint of the late-June/early-July advance; it has not yet reflected Friday's break. Where a lagging efficiency measure disagrees with live price action and volatility, price action and the VOLator slope take precedence for the near-term view — the KER conflict is preserved, not resolved, and feeds the TRANSITION regime label rather than a clean TREND_UP.</w:t>
      </w:r>
    </w:p>
    <w:p>
      <w:pPr>
        <w:pStyle w:val="Heading1"/>
        <w:spacing w:after="110" w:before="220"/>
      </w:pPr>
      <w:r>
        <w:rPr>
          <w:b/>
          <w:bCs/>
          <w:color w:val="1a6d3a"/>
        </w:rPr>
        <w:t xml:space="preserve">10 · Cross-Asset Analysis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500"/>
        <w:gridCol w:w="1300"/>
        <w:gridCol w:w="3400"/>
        <w:gridCol w:w="1400"/>
        <w:gridCol w:w="1760"/>
      </w:tblGrid>
      <w:tr>
        <w:trPr>
          <w:tblHeader/>
        </w:trPr>
        <w:tc>
          <w:tcPr>
            <w:tcW w:type="dxa" w:w="1500"/>
            <w:shd w:fill="1a6d3a" w:color="auto" w:val="clear"/>
            <w:tcMar>
              <w:top w:type="dxa" w:w="40"/>
              <w:left w:type="dxa" w:w="70"/>
              <w:bottom w:type="dxa" w:w="40"/>
              <w:right w:type="dxa" w:w="70"/>
            </w:tcMar>
          </w:tcPr>
          <w:p>
            <w:pPr>
              <w:jc w:val="left"/>
            </w:pPr>
            <w:r>
              <w:rPr>
                <w:b/>
                <w:bCs/>
                <w:color w:val="FFFFFF"/>
                <w:sz w:val="18"/>
                <w:szCs w:val="18"/>
              </w:rPr>
              <w:t xml:space="preserve">Counter</w:t>
            </w:r>
          </w:p>
        </w:tc>
        <w:tc>
          <w:tcPr>
            <w:tcW w:type="dxa" w:w="1300"/>
            <w:shd w:fill="1a6d3a" w:color="auto" w:val="clear"/>
            <w:tcMar>
              <w:top w:type="dxa" w:w="40"/>
              <w:left w:type="dxa" w:w="70"/>
              <w:bottom w:type="dxa" w:w="40"/>
              <w:right w:type="dxa" w:w="70"/>
            </w:tcMar>
          </w:tcPr>
          <w:p>
            <w:pPr>
              <w:jc w:val="left"/>
            </w:pPr>
            <w:r>
              <w:rPr>
                <w:b/>
                <w:bCs/>
                <w:color w:val="FFFFFF"/>
                <w:sz w:val="18"/>
                <w:szCs w:val="18"/>
              </w:rPr>
              <w:t xml:space="preserve">5-day dir.</w:t>
            </w:r>
          </w:p>
        </w:tc>
        <w:tc>
          <w:tcPr>
            <w:tcW w:type="dxa" w:w="3400"/>
            <w:shd w:fill="1a6d3a" w:color="auto" w:val="clear"/>
            <w:tcMar>
              <w:top w:type="dxa" w:w="40"/>
              <w:left w:type="dxa" w:w="70"/>
              <w:bottom w:type="dxa" w:w="40"/>
              <w:right w:type="dxa" w:w="70"/>
            </w:tcMar>
          </w:tcPr>
          <w:p>
            <w:pPr>
              <w:jc w:val="left"/>
            </w:pPr>
            <w:r>
              <w:rPr>
                <w:b/>
                <w:bCs/>
                <w:color w:val="FFFFFF"/>
                <w:sz w:val="18"/>
                <w:szCs w:val="18"/>
              </w:rPr>
              <w:t xml:space="preserve">Mechanism</w:t>
            </w:r>
          </w:p>
        </w:tc>
        <w:tc>
          <w:tcPr>
            <w:tcW w:type="dxa" w:w="1400"/>
            <w:shd w:fill="1a6d3a" w:color="auto" w:val="clear"/>
            <w:tcMar>
              <w:top w:type="dxa" w:w="40"/>
              <w:left w:type="dxa" w:w="70"/>
              <w:bottom w:type="dxa" w:w="40"/>
              <w:right w:type="dxa" w:w="70"/>
            </w:tcMar>
          </w:tcPr>
          <w:p>
            <w:pPr>
              <w:jc w:val="left"/>
            </w:pPr>
            <w:r>
              <w:rPr>
                <w:b/>
                <w:bCs/>
                <w:color w:val="FFFFFF"/>
                <w:sz w:val="18"/>
                <w:szCs w:val="18"/>
              </w:rPr>
              <w:t xml:space="preserve">Status</w:t>
            </w:r>
          </w:p>
        </w:tc>
        <w:tc>
          <w:tcPr>
            <w:tcW w:type="dxa" w:w="1760"/>
            <w:shd w:fill="1a6d3a" w:color="auto" w:val="clear"/>
            <w:tcMar>
              <w:top w:type="dxa" w:w="40"/>
              <w:left w:type="dxa" w:w="70"/>
              <w:bottom w:type="dxa" w:w="40"/>
              <w:right w:type="dxa" w:w="70"/>
            </w:tcMar>
          </w:tcPr>
          <w:p>
            <w:pPr>
              <w:jc w:val="left"/>
            </w:pPr>
            <w:r>
              <w:rPr>
                <w:b/>
                <w:bCs/>
                <w:color w:val="FFFFFF"/>
                <w:sz w:val="18"/>
                <w:szCs w:val="18"/>
              </w:rPr>
              <w:t xml:space="preserve">Implication</w:t>
            </w:r>
          </w:p>
        </w:tc>
      </w:tr>
      <w:tr>
        <w:tc>
          <w:tcPr>
            <w:tcW w:type="dxa" w:w="1500"/>
            <w:tcMar>
              <w:top w:type="dxa" w:w="40"/>
              <w:left w:type="dxa" w:w="70"/>
              <w:bottom w:type="dxa" w:w="40"/>
              <w:right w:type="dxa" w:w="70"/>
            </w:tcMar>
          </w:tcPr>
          <w:p>
            <w:pPr>
              <w:jc w:val="left"/>
            </w:pPr>
            <w:r>
              <w:rPr>
                <w:b/>
                <w:bCs/>
                <w:color w:val="222222"/>
                <w:sz w:val="18"/>
                <w:szCs w:val="18"/>
              </w:rPr>
              <w:t xml:space="preserve">USDX (Dollar Index)</w:t>
            </w:r>
          </w:p>
        </w:tc>
        <w:tc>
          <w:tcPr>
            <w:tcW w:type="dxa" w:w="1300"/>
            <w:tcMar>
              <w:top w:type="dxa" w:w="40"/>
              <w:left w:type="dxa" w:w="70"/>
              <w:bottom w:type="dxa" w:w="40"/>
              <w:right w:type="dxa" w:w="70"/>
            </w:tcMar>
          </w:tcPr>
          <w:p>
            <w:pPr>
              <w:jc w:val="left"/>
            </w:pPr>
            <w:r>
              <w:rPr>
                <w:b w:val="false"/>
                <w:bCs w:val="false"/>
                <w:color w:val="222222"/>
                <w:sz w:val="18"/>
                <w:szCs w:val="18"/>
              </w:rPr>
              <w:t xml:space="preserve">Falling (~100.6)</w:t>
            </w:r>
          </w:p>
        </w:tc>
        <w:tc>
          <w:tcPr>
            <w:tcW w:type="dxa" w:w="3400"/>
            <w:tcMar>
              <w:top w:type="dxa" w:w="40"/>
              <w:left w:type="dxa" w:w="70"/>
              <w:bottom w:type="dxa" w:w="40"/>
              <w:right w:type="dxa" w:w="70"/>
            </w:tcMar>
          </w:tcPr>
          <w:p>
            <w:pPr>
              <w:jc w:val="left"/>
            </w:pPr>
            <w:r>
              <w:rPr>
                <w:b w:val="false"/>
                <w:bCs w:val="false"/>
                <w:color w:val="222222"/>
                <w:sz w:val="16"/>
                <w:szCs w:val="16"/>
              </w:rPr>
              <w:t xml:space="preserve">A softer dollar normally eases global financial conditions and supports multinational earnings translation — a mild tailwind</w:t>
            </w:r>
          </w:p>
        </w:tc>
        <w:tc>
          <w:tcPr>
            <w:tcW w:type="dxa" w:w="1400"/>
            <w:tcMar>
              <w:top w:type="dxa" w:w="40"/>
              <w:left w:type="dxa" w:w="70"/>
              <w:bottom w:type="dxa" w:w="40"/>
              <w:right w:type="dxa" w:w="70"/>
            </w:tcMar>
          </w:tcPr>
          <w:p>
            <w:pPr>
              <w:jc w:val="left"/>
            </w:pPr>
            <w:r>
              <w:rPr>
                <w:b w:val="false"/>
                <w:bCs w:val="false"/>
                <w:color w:val="222222"/>
                <w:sz w:val="18"/>
                <w:szCs w:val="18"/>
              </w:rPr>
              <w:t xml:space="preserve">Contradicts (mild)</w:t>
            </w:r>
          </w:p>
        </w:tc>
        <w:tc>
          <w:tcPr>
            <w:tcW w:type="dxa" w:w="1760"/>
            <w:tcMar>
              <w:top w:type="dxa" w:w="40"/>
              <w:left w:type="dxa" w:w="70"/>
              <w:bottom w:type="dxa" w:w="40"/>
              <w:right w:type="dxa" w:w="70"/>
            </w:tcMar>
          </w:tcPr>
          <w:p>
            <w:pPr>
              <w:jc w:val="left"/>
            </w:pPr>
            <w:r>
              <w:rPr>
                <w:b w:val="false"/>
                <w:bCs w:val="false"/>
                <w:color w:val="222222"/>
                <w:sz w:val="16"/>
                <w:szCs w:val="16"/>
              </w:rPr>
              <w:t xml:space="preserve">Only partial offset to the equity sell-off</w:t>
            </w:r>
          </w:p>
        </w:tc>
      </w:tr>
      <w:tr>
        <w:tc>
          <w:tcPr>
            <w:tcW w:type="dxa" w:w="1500"/>
            <w:tcMar>
              <w:top w:type="dxa" w:w="40"/>
              <w:left w:type="dxa" w:w="70"/>
              <w:bottom w:type="dxa" w:w="40"/>
              <w:right w:type="dxa" w:w="70"/>
            </w:tcMar>
          </w:tcPr>
          <w:p>
            <w:pPr>
              <w:jc w:val="left"/>
            </w:pPr>
            <w:r>
              <w:rPr>
                <w:b/>
                <w:bCs/>
                <w:color w:val="222222"/>
                <w:sz w:val="18"/>
                <w:szCs w:val="18"/>
              </w:rPr>
              <w:t xml:space="preserve">VIX</w:t>
            </w:r>
          </w:p>
        </w:tc>
        <w:tc>
          <w:tcPr>
            <w:tcW w:type="dxa" w:w="1300"/>
            <w:tcMar>
              <w:top w:type="dxa" w:w="40"/>
              <w:left w:type="dxa" w:w="70"/>
              <w:bottom w:type="dxa" w:w="40"/>
              <w:right w:type="dxa" w:w="70"/>
            </w:tcMar>
          </w:tcPr>
          <w:p>
            <w:pPr>
              <w:jc w:val="left"/>
            </w:pPr>
            <w:r>
              <w:rPr>
                <w:b w:val="false"/>
                <w:bCs w:val="false"/>
                <w:color w:val="222222"/>
                <w:sz w:val="18"/>
                <w:szCs w:val="18"/>
              </w:rPr>
              <w:t xml:space="preserve">Rising (18.77, +12%)</w:t>
            </w:r>
          </w:p>
        </w:tc>
        <w:tc>
          <w:tcPr>
            <w:tcW w:type="dxa" w:w="3400"/>
            <w:tcMar>
              <w:top w:type="dxa" w:w="40"/>
              <w:left w:type="dxa" w:w="70"/>
              <w:bottom w:type="dxa" w:w="40"/>
              <w:right w:type="dxa" w:w="70"/>
            </w:tcMar>
          </w:tcPr>
          <w:p>
            <w:pPr>
              <w:jc w:val="left"/>
            </w:pPr>
            <w:r>
              <w:rPr>
                <w:b w:val="false"/>
                <w:bCs w:val="false"/>
                <w:color w:val="222222"/>
                <w:sz w:val="16"/>
                <w:szCs w:val="16"/>
              </w:rPr>
              <w:t xml:space="preserve">Rising implied volatility signals risk-off demand for downside protection and de-grossing</w:t>
            </w:r>
          </w:p>
        </w:tc>
        <w:tc>
          <w:tcPr>
            <w:tcW w:type="dxa" w:w="1400"/>
            <w:tcMar>
              <w:top w:type="dxa" w:w="40"/>
              <w:left w:type="dxa" w:w="70"/>
              <w:bottom w:type="dxa" w:w="40"/>
              <w:right w:type="dxa" w:w="70"/>
            </w:tcMar>
          </w:tcPr>
          <w:p>
            <w:pPr>
              <w:jc w:val="left"/>
            </w:pPr>
            <w:r>
              <w:rPr>
                <w:b w:val="false"/>
                <w:bCs w:val="false"/>
                <w:color w:val="222222"/>
                <w:sz w:val="18"/>
                <w:szCs w:val="18"/>
              </w:rPr>
              <w:t xml:space="preserve">Confirms</w:t>
            </w:r>
          </w:p>
        </w:tc>
        <w:tc>
          <w:tcPr>
            <w:tcW w:type="dxa" w:w="1760"/>
            <w:tcMar>
              <w:top w:type="dxa" w:w="40"/>
              <w:left w:type="dxa" w:w="70"/>
              <w:bottom w:type="dxa" w:w="40"/>
              <w:right w:type="dxa" w:w="70"/>
            </w:tcMar>
          </w:tcPr>
          <w:p>
            <w:pPr>
              <w:jc w:val="left"/>
            </w:pPr>
            <w:r>
              <w:rPr>
                <w:b w:val="false"/>
                <w:bCs w:val="false"/>
                <w:color w:val="222222"/>
                <w:sz w:val="16"/>
                <w:szCs w:val="16"/>
              </w:rPr>
              <w:t xml:space="preserve">Reinforces the bearish near-term bias</w:t>
            </w:r>
          </w:p>
        </w:tc>
      </w:tr>
      <w:tr>
        <w:tc>
          <w:tcPr>
            <w:tcW w:type="dxa" w:w="1500"/>
            <w:tcMar>
              <w:top w:type="dxa" w:w="40"/>
              <w:left w:type="dxa" w:w="70"/>
              <w:bottom w:type="dxa" w:w="40"/>
              <w:right w:type="dxa" w:w="70"/>
            </w:tcMar>
          </w:tcPr>
          <w:p>
            <w:pPr>
              <w:jc w:val="left"/>
            </w:pPr>
            <w:r>
              <w:rPr>
                <w:b/>
                <w:bCs/>
                <w:color w:val="222222"/>
                <w:sz w:val="18"/>
                <w:szCs w:val="18"/>
              </w:rPr>
              <w:t xml:space="preserve">DAX 40</w:t>
            </w:r>
          </w:p>
        </w:tc>
        <w:tc>
          <w:tcPr>
            <w:tcW w:type="dxa" w:w="1300"/>
            <w:tcMar>
              <w:top w:type="dxa" w:w="40"/>
              <w:left w:type="dxa" w:w="70"/>
              <w:bottom w:type="dxa" w:w="40"/>
              <w:right w:type="dxa" w:w="70"/>
            </w:tcMar>
          </w:tcPr>
          <w:p>
            <w:pPr>
              <w:jc w:val="left"/>
            </w:pPr>
            <w:r>
              <w:rPr>
                <w:b w:val="false"/>
                <w:bCs w:val="false"/>
                <w:color w:val="222222"/>
                <w:sz w:val="18"/>
                <w:szCs w:val="18"/>
              </w:rPr>
              <w:t xml:space="preserve">Falling (24,831)</w:t>
            </w:r>
          </w:p>
        </w:tc>
        <w:tc>
          <w:tcPr>
            <w:tcW w:type="dxa" w:w="3400"/>
            <w:tcMar>
              <w:top w:type="dxa" w:w="40"/>
              <w:left w:type="dxa" w:w="70"/>
              <w:bottom w:type="dxa" w:w="40"/>
              <w:right w:type="dxa" w:w="70"/>
            </w:tcMar>
          </w:tcPr>
          <w:p>
            <w:pPr>
              <w:jc w:val="left"/>
            </w:pPr>
            <w:r>
              <w:rPr>
                <w:b w:val="false"/>
                <w:bCs w:val="false"/>
                <w:color w:val="222222"/>
                <w:sz w:val="16"/>
                <w:szCs w:val="16"/>
              </w:rPr>
              <w:t xml:space="preserve">European equity beta to the same global-risk and tech factors; third straight down day mirrors Wall Street</w:t>
            </w:r>
          </w:p>
        </w:tc>
        <w:tc>
          <w:tcPr>
            <w:tcW w:type="dxa" w:w="1400"/>
            <w:tcMar>
              <w:top w:type="dxa" w:w="40"/>
              <w:left w:type="dxa" w:w="70"/>
              <w:bottom w:type="dxa" w:w="40"/>
              <w:right w:type="dxa" w:w="70"/>
            </w:tcMar>
          </w:tcPr>
          <w:p>
            <w:pPr>
              <w:jc w:val="left"/>
            </w:pPr>
            <w:r>
              <w:rPr>
                <w:b w:val="false"/>
                <w:bCs w:val="false"/>
                <w:color w:val="222222"/>
                <w:sz w:val="18"/>
                <w:szCs w:val="18"/>
              </w:rPr>
              <w:t xml:space="preserve">Confirms</w:t>
            </w:r>
          </w:p>
        </w:tc>
        <w:tc>
          <w:tcPr>
            <w:tcW w:type="dxa" w:w="1760"/>
            <w:tcMar>
              <w:top w:type="dxa" w:w="40"/>
              <w:left w:type="dxa" w:w="70"/>
              <w:bottom w:type="dxa" w:w="40"/>
              <w:right w:type="dxa" w:w="70"/>
            </w:tcMar>
          </w:tcPr>
          <w:p>
            <w:pPr>
              <w:jc w:val="left"/>
            </w:pPr>
            <w:r>
              <w:rPr>
                <w:b w:val="false"/>
                <w:bCs w:val="false"/>
                <w:color w:val="222222"/>
                <w:sz w:val="16"/>
                <w:szCs w:val="16"/>
              </w:rPr>
              <w:t xml:space="preserve">Global risk-off is not US-specific</w:t>
            </w:r>
          </w:p>
        </w:tc>
      </w:tr>
    </w:tbl>
    <w:p>
      <w:r>
        <w:rPr>
          <w:b/>
          <w:bCs/>
          <w:sz w:val="20"/>
          <w:szCs w:val="20"/>
        </w:rPr>
        <w:t xml:space="preserve">Aggregate: CONFIRM. </w:t>
      </w:r>
      <w:r>
        <w:rPr>
          <w:sz w:val="20"/>
          <w:szCs w:val="20"/>
        </w:rPr>
        <w:t xml:space="preserve">Two of three counters (VIX, DAX) confirm the bearish bias and none strongly contradicts; the softer dollar is a mild, non-dominant offset. The one contradiction (USDX) is flagged here and carried into §15 and §16 rather than resolved away.</w:t>
      </w:r>
    </w:p>
    <w:p>
      <w:pPr>
        <w:pStyle w:val="Heading1"/>
        <w:spacing w:after="110" w:before="220"/>
      </w:pPr>
      <w:r>
        <w:rPr>
          <w:b/>
          <w:bCs/>
          <w:color w:val="1a6d3a"/>
        </w:rPr>
        <w:t xml:space="preserve">11 · Floor Pivot Analysis</w:t>
      </w:r>
    </w:p>
    <w:p>
      <w:r>
        <w:rPr>
          <w:b/>
          <w:bCs/>
          <w:color w:val="1a6d3a"/>
          <w:sz w:val="19"/>
          <w:szCs w:val="19"/>
        </w:rPr>
        <w:t xml:space="preserve">Daily pivots (from 17 Jul H/L/C — CORROBORATED)</w:t>
      </w:r>
    </w:p>
    <w:tbl>
      <w:tblPr>
        <w:tblW w:type="dxa" w:w="4400"/>
        <w:tblBorders>
          <w:top w:val="single" w:color="BBBBBB" w:sz="2"/>
          <w:left w:val="single" w:color="BBBBBB" w:sz="2"/>
          <w:bottom w:val="single" w:color="BBBBBB" w:sz="2"/>
          <w:right w:val="single" w:color="BBBBBB" w:sz="2"/>
          <w:insideH w:val="single" w:color="DDDDDD" w:sz="1"/>
          <w:insideV w:val="single" w:color="DDDDDD" w:sz="1"/>
        </w:tblBorders>
      </w:tblPr>
      <w:tblGrid>
        <w:gridCol w:w="2000"/>
        <w:gridCol w:w="2400"/>
      </w:tblGrid>
      <w:tr>
        <w:trPr>
          <w:tblHeader/>
        </w:trPr>
        <w:tc>
          <w:tcPr>
            <w:tcW w:type="dxa" w:w="2000"/>
            <w:shd w:fill="1a6d3a" w:color="auto" w:val="clear"/>
            <w:tcMar>
              <w:top w:type="dxa" w:w="40"/>
              <w:left w:type="dxa" w:w="70"/>
              <w:bottom w:type="dxa" w:w="40"/>
              <w:right w:type="dxa" w:w="70"/>
            </w:tcMar>
          </w:tcPr>
          <w:p>
            <w:pPr>
              <w:jc w:val="left"/>
            </w:pPr>
            <w:r>
              <w:rPr>
                <w:b/>
                <w:bCs/>
                <w:color w:val="FFFFFF"/>
                <w:sz w:val="18"/>
                <w:szCs w:val="18"/>
              </w:rPr>
              <w:t xml:space="preserve">Level</w:t>
            </w:r>
          </w:p>
        </w:tc>
        <w:tc>
          <w:tcPr>
            <w:tcW w:type="dxa" w:w="2400"/>
            <w:shd w:fill="1a6d3a" w:color="auto" w:val="clear"/>
            <w:tcMar>
              <w:top w:type="dxa" w:w="40"/>
              <w:left w:type="dxa" w:w="70"/>
              <w:bottom w:type="dxa" w:w="40"/>
              <w:right w:type="dxa" w:w="70"/>
            </w:tcMar>
          </w:tcPr>
          <w:p>
            <w:pPr>
              <w:jc w:val="left"/>
            </w:pPr>
            <w:r>
              <w:rPr>
                <w:b/>
                <w:bCs/>
                <w:color w:val="FFFFFF"/>
                <w:sz w:val="18"/>
                <w:szCs w:val="18"/>
              </w:rPr>
              <w:t xml:space="preserve">Value</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R5</w:t>
            </w:r>
          </w:p>
        </w:tc>
        <w:tc>
          <w:tcPr>
            <w:tcW w:type="dxa" w:w="2400"/>
            <w:tcMar>
              <w:top w:type="dxa" w:w="40"/>
              <w:left w:type="dxa" w:w="70"/>
              <w:bottom w:type="dxa" w:w="40"/>
              <w:right w:type="dxa" w:w="70"/>
            </w:tcMar>
          </w:tcPr>
          <w:p>
            <w:pPr>
              <w:jc w:val="left"/>
            </w:pPr>
            <w:r>
              <w:rPr>
                <w:b w:val="false"/>
                <w:bCs w:val="false"/>
                <w:color w:val="222222"/>
                <w:sz w:val="18"/>
                <w:szCs w:val="18"/>
              </w:rPr>
              <w:t xml:space="preserve">7,695.32</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R4</w:t>
            </w:r>
          </w:p>
        </w:tc>
        <w:tc>
          <w:tcPr>
            <w:tcW w:type="dxa" w:w="2400"/>
            <w:tcMar>
              <w:top w:type="dxa" w:w="40"/>
              <w:left w:type="dxa" w:w="70"/>
              <w:bottom w:type="dxa" w:w="40"/>
              <w:right w:type="dxa" w:w="70"/>
            </w:tcMar>
          </w:tcPr>
          <w:p>
            <w:pPr>
              <w:jc w:val="left"/>
            </w:pPr>
            <w:r>
              <w:rPr>
                <w:b w:val="false"/>
                <w:bCs w:val="false"/>
                <w:color w:val="222222"/>
                <w:sz w:val="18"/>
                <w:szCs w:val="18"/>
              </w:rPr>
              <w:t xml:space="preserve">7,628.11</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R3</w:t>
            </w:r>
          </w:p>
        </w:tc>
        <w:tc>
          <w:tcPr>
            <w:tcW w:type="dxa" w:w="2400"/>
            <w:tcMar>
              <w:top w:type="dxa" w:w="40"/>
              <w:left w:type="dxa" w:w="70"/>
              <w:bottom w:type="dxa" w:w="40"/>
              <w:right w:type="dxa" w:w="70"/>
            </w:tcMar>
          </w:tcPr>
          <w:p>
            <w:pPr>
              <w:jc w:val="left"/>
            </w:pPr>
            <w:r>
              <w:rPr>
                <w:b w:val="false"/>
                <w:bCs w:val="false"/>
                <w:color w:val="222222"/>
                <w:sz w:val="18"/>
                <w:szCs w:val="18"/>
              </w:rPr>
              <w:t xml:space="preserve">7,560.90</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R2</w:t>
            </w:r>
          </w:p>
        </w:tc>
        <w:tc>
          <w:tcPr>
            <w:tcW w:type="dxa" w:w="2400"/>
            <w:tcMar>
              <w:top w:type="dxa" w:w="40"/>
              <w:left w:type="dxa" w:w="70"/>
              <w:bottom w:type="dxa" w:w="40"/>
              <w:right w:type="dxa" w:w="70"/>
            </w:tcMar>
          </w:tcPr>
          <w:p>
            <w:pPr>
              <w:jc w:val="left"/>
            </w:pPr>
            <w:r>
              <w:rPr>
                <w:b w:val="false"/>
                <w:bCs w:val="false"/>
                <w:color w:val="222222"/>
                <w:sz w:val="18"/>
                <w:szCs w:val="18"/>
              </w:rPr>
              <w:t xml:space="preserve">7,529.68</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R1</w:t>
            </w:r>
          </w:p>
        </w:tc>
        <w:tc>
          <w:tcPr>
            <w:tcW w:type="dxa" w:w="2400"/>
            <w:tcMar>
              <w:top w:type="dxa" w:w="40"/>
              <w:left w:type="dxa" w:w="70"/>
              <w:bottom w:type="dxa" w:w="40"/>
              <w:right w:type="dxa" w:w="70"/>
            </w:tcMar>
          </w:tcPr>
          <w:p>
            <w:pPr>
              <w:jc w:val="left"/>
            </w:pPr>
            <w:r>
              <w:rPr>
                <w:b w:val="false"/>
                <w:bCs w:val="false"/>
                <w:color w:val="222222"/>
                <w:sz w:val="18"/>
                <w:szCs w:val="18"/>
              </w:rPr>
              <w:t xml:space="preserve">7,493.69</w:t>
            </w:r>
          </w:p>
        </w:tc>
      </w:tr>
      <w:tr>
        <w:tc>
          <w:tcPr>
            <w:tcW w:type="dxa" w:w="2000"/>
            <w:shd w:fill="E5F0E8" w:color="auto" w:val="clear"/>
            <w:tcMar>
              <w:top w:type="dxa" w:w="40"/>
              <w:left w:type="dxa" w:w="70"/>
              <w:bottom w:type="dxa" w:w="40"/>
              <w:right w:type="dxa" w:w="70"/>
            </w:tcMar>
          </w:tcPr>
          <w:p>
            <w:pPr>
              <w:jc w:val="left"/>
            </w:pPr>
            <w:r>
              <w:rPr>
                <w:b/>
                <w:bCs/>
                <w:color w:val="222222"/>
                <w:sz w:val="18"/>
                <w:szCs w:val="18"/>
              </w:rPr>
              <w:t xml:space="preserve">P</w:t>
            </w:r>
          </w:p>
        </w:tc>
        <w:tc>
          <w:tcPr>
            <w:tcW w:type="dxa" w:w="2400"/>
            <w:tcMar>
              <w:top w:type="dxa" w:w="40"/>
              <w:left w:type="dxa" w:w="70"/>
              <w:bottom w:type="dxa" w:w="40"/>
              <w:right w:type="dxa" w:w="70"/>
            </w:tcMar>
          </w:tcPr>
          <w:p>
            <w:pPr>
              <w:jc w:val="left"/>
            </w:pPr>
            <w:r>
              <w:rPr>
                <w:b/>
                <w:bCs/>
                <w:color w:val="222222"/>
                <w:sz w:val="18"/>
                <w:szCs w:val="18"/>
              </w:rPr>
              <w:t xml:space="preserve">7,462.47</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S1</w:t>
            </w:r>
          </w:p>
        </w:tc>
        <w:tc>
          <w:tcPr>
            <w:tcW w:type="dxa" w:w="2400"/>
            <w:tcMar>
              <w:top w:type="dxa" w:w="40"/>
              <w:left w:type="dxa" w:w="70"/>
              <w:bottom w:type="dxa" w:w="40"/>
              <w:right w:type="dxa" w:w="70"/>
            </w:tcMar>
          </w:tcPr>
          <w:p>
            <w:pPr>
              <w:jc w:val="left"/>
            </w:pPr>
            <w:r>
              <w:rPr>
                <w:b w:val="false"/>
                <w:bCs w:val="false"/>
                <w:color w:val="222222"/>
                <w:sz w:val="18"/>
                <w:szCs w:val="18"/>
              </w:rPr>
              <w:t xml:space="preserve">7,426.48</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S2</w:t>
            </w:r>
          </w:p>
        </w:tc>
        <w:tc>
          <w:tcPr>
            <w:tcW w:type="dxa" w:w="2400"/>
            <w:tcMar>
              <w:top w:type="dxa" w:w="40"/>
              <w:left w:type="dxa" w:w="70"/>
              <w:bottom w:type="dxa" w:w="40"/>
              <w:right w:type="dxa" w:w="70"/>
            </w:tcMar>
          </w:tcPr>
          <w:p>
            <w:pPr>
              <w:jc w:val="left"/>
            </w:pPr>
            <w:r>
              <w:rPr>
                <w:b w:val="false"/>
                <w:bCs w:val="false"/>
                <w:color w:val="222222"/>
                <w:sz w:val="18"/>
                <w:szCs w:val="18"/>
              </w:rPr>
              <w:t xml:space="preserve">7,395.26</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S3</w:t>
            </w:r>
          </w:p>
        </w:tc>
        <w:tc>
          <w:tcPr>
            <w:tcW w:type="dxa" w:w="2400"/>
            <w:tcMar>
              <w:top w:type="dxa" w:w="40"/>
              <w:left w:type="dxa" w:w="70"/>
              <w:bottom w:type="dxa" w:w="40"/>
              <w:right w:type="dxa" w:w="70"/>
            </w:tcMar>
          </w:tcPr>
          <w:p>
            <w:pPr>
              <w:jc w:val="left"/>
            </w:pPr>
            <w:r>
              <w:rPr>
                <w:b w:val="false"/>
                <w:bCs w:val="false"/>
                <w:color w:val="222222"/>
                <w:sz w:val="18"/>
                <w:szCs w:val="18"/>
              </w:rPr>
              <w:t xml:space="preserve">7,359.27</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S4</w:t>
            </w:r>
          </w:p>
        </w:tc>
        <w:tc>
          <w:tcPr>
            <w:tcW w:type="dxa" w:w="2400"/>
            <w:tcMar>
              <w:top w:type="dxa" w:w="40"/>
              <w:left w:type="dxa" w:w="70"/>
              <w:bottom w:type="dxa" w:w="40"/>
              <w:right w:type="dxa" w:w="70"/>
            </w:tcMar>
          </w:tcPr>
          <w:p>
            <w:pPr>
              <w:jc w:val="left"/>
            </w:pPr>
            <w:r>
              <w:rPr>
                <w:b w:val="false"/>
                <w:bCs w:val="false"/>
                <w:color w:val="222222"/>
                <w:sz w:val="18"/>
                <w:szCs w:val="18"/>
              </w:rPr>
              <w:t xml:space="preserve">7,292.06</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S5</w:t>
            </w:r>
          </w:p>
        </w:tc>
        <w:tc>
          <w:tcPr>
            <w:tcW w:type="dxa" w:w="2400"/>
            <w:tcMar>
              <w:top w:type="dxa" w:w="40"/>
              <w:left w:type="dxa" w:w="70"/>
              <w:bottom w:type="dxa" w:w="40"/>
              <w:right w:type="dxa" w:w="70"/>
            </w:tcMar>
          </w:tcPr>
          <w:p>
            <w:pPr>
              <w:jc w:val="left"/>
            </w:pPr>
            <w:r>
              <w:rPr>
                <w:b w:val="false"/>
                <w:bCs w:val="false"/>
                <w:color w:val="222222"/>
                <w:sz w:val="18"/>
                <w:szCs w:val="18"/>
              </w:rPr>
              <w:t xml:space="preserve">7,224.85</w:t>
            </w:r>
          </w:p>
        </w:tc>
      </w:tr>
    </w:tbl>
    <w:p>
      <w:r>
        <w:rPr>
          <w:b/>
          <w:bCs/>
          <w:color w:val="1a6d3a"/>
          <w:sz w:val="19"/>
          <w:szCs w:val="19"/>
        </w:rPr>
        <w:t xml:space="preserve">Weekly pivots (week 13–17 Jul — CORROBORATED close; range partly indicative)</w:t>
      </w:r>
    </w:p>
    <w:tbl>
      <w:tblPr>
        <w:tblW w:type="dxa" w:w="4400"/>
        <w:tblBorders>
          <w:top w:val="single" w:color="BBBBBB" w:sz="2"/>
          <w:left w:val="single" w:color="BBBBBB" w:sz="2"/>
          <w:bottom w:val="single" w:color="BBBBBB" w:sz="2"/>
          <w:right w:val="single" w:color="BBBBBB" w:sz="2"/>
          <w:insideH w:val="single" w:color="DDDDDD" w:sz="1"/>
          <w:insideV w:val="single" w:color="DDDDDD" w:sz="1"/>
        </w:tblBorders>
      </w:tblPr>
      <w:tblGrid>
        <w:gridCol w:w="2000"/>
        <w:gridCol w:w="2400"/>
      </w:tblGrid>
      <w:tr>
        <w:trPr>
          <w:tblHeader/>
        </w:trPr>
        <w:tc>
          <w:tcPr>
            <w:tcW w:type="dxa" w:w="2000"/>
            <w:shd w:fill="1a6d3a" w:color="auto" w:val="clear"/>
            <w:tcMar>
              <w:top w:type="dxa" w:w="40"/>
              <w:left w:type="dxa" w:w="70"/>
              <w:bottom w:type="dxa" w:w="40"/>
              <w:right w:type="dxa" w:w="70"/>
            </w:tcMar>
          </w:tcPr>
          <w:p>
            <w:pPr>
              <w:jc w:val="left"/>
            </w:pPr>
            <w:r>
              <w:rPr>
                <w:b/>
                <w:bCs/>
                <w:color w:val="FFFFFF"/>
                <w:sz w:val="18"/>
                <w:szCs w:val="18"/>
              </w:rPr>
              <w:t xml:space="preserve">Level</w:t>
            </w:r>
          </w:p>
        </w:tc>
        <w:tc>
          <w:tcPr>
            <w:tcW w:type="dxa" w:w="2400"/>
            <w:shd w:fill="1a6d3a" w:color="auto" w:val="clear"/>
            <w:tcMar>
              <w:top w:type="dxa" w:w="40"/>
              <w:left w:type="dxa" w:w="70"/>
              <w:bottom w:type="dxa" w:w="40"/>
              <w:right w:type="dxa" w:w="70"/>
            </w:tcMar>
          </w:tcPr>
          <w:p>
            <w:pPr>
              <w:jc w:val="left"/>
            </w:pPr>
            <w:r>
              <w:rPr>
                <w:b/>
                <w:bCs/>
                <w:color w:val="FFFFFF"/>
                <w:sz w:val="18"/>
                <w:szCs w:val="18"/>
              </w:rPr>
              <w:t xml:space="preserve">Value</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R5</w:t>
            </w:r>
          </w:p>
        </w:tc>
        <w:tc>
          <w:tcPr>
            <w:tcW w:type="dxa" w:w="2400"/>
            <w:tcMar>
              <w:top w:type="dxa" w:w="40"/>
              <w:left w:type="dxa" w:w="70"/>
              <w:bottom w:type="dxa" w:w="40"/>
              <w:right w:type="dxa" w:w="70"/>
            </w:tcMar>
          </w:tcPr>
          <w:p>
            <w:pPr>
              <w:jc w:val="left"/>
            </w:pPr>
            <w:r>
              <w:rPr>
                <w:b w:val="false"/>
                <w:bCs w:val="false"/>
                <w:color w:val="222222"/>
                <w:sz w:val="18"/>
                <w:szCs w:val="18"/>
              </w:rPr>
              <w:t xml:space="preserve">8,025.79</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R4</w:t>
            </w:r>
          </w:p>
        </w:tc>
        <w:tc>
          <w:tcPr>
            <w:tcW w:type="dxa" w:w="2400"/>
            <w:tcMar>
              <w:top w:type="dxa" w:w="40"/>
              <w:left w:type="dxa" w:w="70"/>
              <w:bottom w:type="dxa" w:w="40"/>
              <w:right w:type="dxa" w:w="70"/>
            </w:tcMar>
          </w:tcPr>
          <w:p>
            <w:pPr>
              <w:jc w:val="left"/>
            </w:pPr>
            <w:r>
              <w:rPr>
                <w:b w:val="false"/>
                <w:bCs w:val="false"/>
                <w:color w:val="222222"/>
                <w:sz w:val="18"/>
                <w:szCs w:val="18"/>
              </w:rPr>
              <w:t xml:space="preserve">7,868.45</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R3</w:t>
            </w:r>
          </w:p>
        </w:tc>
        <w:tc>
          <w:tcPr>
            <w:tcW w:type="dxa" w:w="2400"/>
            <w:tcMar>
              <w:top w:type="dxa" w:w="40"/>
              <w:left w:type="dxa" w:w="70"/>
              <w:bottom w:type="dxa" w:w="40"/>
              <w:right w:type="dxa" w:w="70"/>
            </w:tcMar>
          </w:tcPr>
          <w:p>
            <w:pPr>
              <w:jc w:val="left"/>
            </w:pPr>
            <w:r>
              <w:rPr>
                <w:b w:val="false"/>
                <w:bCs w:val="false"/>
                <w:color w:val="222222"/>
                <w:sz w:val="18"/>
                <w:szCs w:val="18"/>
              </w:rPr>
              <w:t xml:space="preserve">7,711.11</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R2</w:t>
            </w:r>
          </w:p>
        </w:tc>
        <w:tc>
          <w:tcPr>
            <w:tcW w:type="dxa" w:w="2400"/>
            <w:tcMar>
              <w:top w:type="dxa" w:w="40"/>
              <w:left w:type="dxa" w:w="70"/>
              <w:bottom w:type="dxa" w:w="40"/>
              <w:right w:type="dxa" w:w="70"/>
            </w:tcMar>
          </w:tcPr>
          <w:p>
            <w:pPr>
              <w:jc w:val="left"/>
            </w:pPr>
            <w:r>
              <w:rPr>
                <w:b w:val="false"/>
                <w:bCs w:val="false"/>
                <w:color w:val="222222"/>
                <w:sz w:val="18"/>
                <w:szCs w:val="18"/>
              </w:rPr>
              <w:t xml:space="preserve">7,649.86</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R1</w:t>
            </w:r>
          </w:p>
        </w:tc>
        <w:tc>
          <w:tcPr>
            <w:tcW w:type="dxa" w:w="2400"/>
            <w:tcMar>
              <w:top w:type="dxa" w:w="40"/>
              <w:left w:type="dxa" w:w="70"/>
              <w:bottom w:type="dxa" w:w="40"/>
              <w:right w:type="dxa" w:w="70"/>
            </w:tcMar>
          </w:tcPr>
          <w:p>
            <w:pPr>
              <w:jc w:val="left"/>
            </w:pPr>
            <w:r>
              <w:rPr>
                <w:b w:val="false"/>
                <w:bCs w:val="false"/>
                <w:color w:val="222222"/>
                <w:sz w:val="18"/>
                <w:szCs w:val="18"/>
              </w:rPr>
              <w:t xml:space="preserve">7,553.77</w:t>
            </w:r>
          </w:p>
        </w:tc>
      </w:tr>
      <w:tr>
        <w:tc>
          <w:tcPr>
            <w:tcW w:type="dxa" w:w="2000"/>
            <w:shd w:fill="E5F0E8" w:color="auto" w:val="clear"/>
            <w:tcMar>
              <w:top w:type="dxa" w:w="40"/>
              <w:left w:type="dxa" w:w="70"/>
              <w:bottom w:type="dxa" w:w="40"/>
              <w:right w:type="dxa" w:w="70"/>
            </w:tcMar>
          </w:tcPr>
          <w:p>
            <w:pPr>
              <w:jc w:val="left"/>
            </w:pPr>
            <w:r>
              <w:rPr>
                <w:b/>
                <w:bCs/>
                <w:color w:val="222222"/>
                <w:sz w:val="18"/>
                <w:szCs w:val="18"/>
              </w:rPr>
              <w:t xml:space="preserve">P</w:t>
            </w:r>
          </w:p>
        </w:tc>
        <w:tc>
          <w:tcPr>
            <w:tcW w:type="dxa" w:w="2400"/>
            <w:tcMar>
              <w:top w:type="dxa" w:w="40"/>
              <w:left w:type="dxa" w:w="70"/>
              <w:bottom w:type="dxa" w:w="40"/>
              <w:right w:type="dxa" w:w="70"/>
            </w:tcMar>
          </w:tcPr>
          <w:p>
            <w:pPr>
              <w:jc w:val="left"/>
            </w:pPr>
            <w:r>
              <w:rPr>
                <w:b/>
                <w:bCs/>
                <w:color w:val="222222"/>
                <w:sz w:val="18"/>
                <w:szCs w:val="18"/>
              </w:rPr>
              <w:t xml:space="preserve">7,492.52</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S1</w:t>
            </w:r>
          </w:p>
        </w:tc>
        <w:tc>
          <w:tcPr>
            <w:tcW w:type="dxa" w:w="2400"/>
            <w:tcMar>
              <w:top w:type="dxa" w:w="40"/>
              <w:left w:type="dxa" w:w="70"/>
              <w:bottom w:type="dxa" w:w="40"/>
              <w:right w:type="dxa" w:w="70"/>
            </w:tcMar>
          </w:tcPr>
          <w:p>
            <w:pPr>
              <w:jc w:val="left"/>
            </w:pPr>
            <w:r>
              <w:rPr>
                <w:b w:val="false"/>
                <w:bCs w:val="false"/>
                <w:color w:val="222222"/>
                <w:sz w:val="18"/>
                <w:szCs w:val="18"/>
              </w:rPr>
              <w:t xml:space="preserve">7,396.43</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S2</w:t>
            </w:r>
          </w:p>
        </w:tc>
        <w:tc>
          <w:tcPr>
            <w:tcW w:type="dxa" w:w="2400"/>
            <w:tcMar>
              <w:top w:type="dxa" w:w="40"/>
              <w:left w:type="dxa" w:w="70"/>
              <w:bottom w:type="dxa" w:w="40"/>
              <w:right w:type="dxa" w:w="70"/>
            </w:tcMar>
          </w:tcPr>
          <w:p>
            <w:pPr>
              <w:jc w:val="left"/>
            </w:pPr>
            <w:r>
              <w:rPr>
                <w:b w:val="false"/>
                <w:bCs w:val="false"/>
                <w:color w:val="222222"/>
                <w:sz w:val="18"/>
                <w:szCs w:val="18"/>
              </w:rPr>
              <w:t xml:space="preserve">7,335.18</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S3</w:t>
            </w:r>
          </w:p>
        </w:tc>
        <w:tc>
          <w:tcPr>
            <w:tcW w:type="dxa" w:w="2400"/>
            <w:tcMar>
              <w:top w:type="dxa" w:w="40"/>
              <w:left w:type="dxa" w:w="70"/>
              <w:bottom w:type="dxa" w:w="40"/>
              <w:right w:type="dxa" w:w="70"/>
            </w:tcMar>
          </w:tcPr>
          <w:p>
            <w:pPr>
              <w:jc w:val="left"/>
            </w:pPr>
            <w:r>
              <w:rPr>
                <w:b w:val="false"/>
                <w:bCs w:val="false"/>
                <w:color w:val="222222"/>
                <w:sz w:val="18"/>
                <w:szCs w:val="18"/>
              </w:rPr>
              <w:t xml:space="preserve">7,239.09</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S4</w:t>
            </w:r>
          </w:p>
        </w:tc>
        <w:tc>
          <w:tcPr>
            <w:tcW w:type="dxa" w:w="2400"/>
            <w:tcMar>
              <w:top w:type="dxa" w:w="40"/>
              <w:left w:type="dxa" w:w="70"/>
              <w:bottom w:type="dxa" w:w="40"/>
              <w:right w:type="dxa" w:w="70"/>
            </w:tcMar>
          </w:tcPr>
          <w:p>
            <w:pPr>
              <w:jc w:val="left"/>
            </w:pPr>
            <w:r>
              <w:rPr>
                <w:b w:val="false"/>
                <w:bCs w:val="false"/>
                <w:color w:val="222222"/>
                <w:sz w:val="18"/>
                <w:szCs w:val="18"/>
              </w:rPr>
              <w:t xml:space="preserve">7,081.75</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S5</w:t>
            </w:r>
          </w:p>
        </w:tc>
        <w:tc>
          <w:tcPr>
            <w:tcW w:type="dxa" w:w="2400"/>
            <w:tcMar>
              <w:top w:type="dxa" w:w="40"/>
              <w:left w:type="dxa" w:w="70"/>
              <w:bottom w:type="dxa" w:w="40"/>
              <w:right w:type="dxa" w:w="70"/>
            </w:tcMar>
          </w:tcPr>
          <w:p>
            <w:pPr>
              <w:jc w:val="left"/>
            </w:pPr>
            <w:r>
              <w:rPr>
                <w:b w:val="false"/>
                <w:bCs w:val="false"/>
                <w:color w:val="222222"/>
                <w:sz w:val="18"/>
                <w:szCs w:val="18"/>
              </w:rPr>
              <w:t xml:space="preserve">6,924.41</w:t>
            </w:r>
          </w:p>
        </w:tc>
      </w:tr>
    </w:tbl>
    <w:p>
      <w:r>
        <w:rPr>
          <w:b/>
          <w:bCs/>
          <w:color w:val="1a6d3a"/>
          <w:sz w:val="19"/>
          <w:szCs w:val="19"/>
        </w:rPr>
        <w:t xml:space="preserve">Monthly pivots (June 2026)</w:t>
      </w:r>
    </w:p>
    <w:tbl>
      <w:tblPr>
        <w:tblW w:type="dxa" w:w="4400"/>
        <w:tblBorders>
          <w:top w:val="single" w:color="BBBBBB" w:sz="2"/>
          <w:left w:val="single" w:color="BBBBBB" w:sz="2"/>
          <w:bottom w:val="single" w:color="BBBBBB" w:sz="2"/>
          <w:right w:val="single" w:color="BBBBBB" w:sz="2"/>
          <w:insideH w:val="single" w:color="DDDDDD" w:sz="1"/>
          <w:insideV w:val="single" w:color="DDDDDD" w:sz="1"/>
        </w:tblBorders>
      </w:tblPr>
      <w:tblGrid>
        <w:gridCol w:w="2000"/>
        <w:gridCol w:w="2400"/>
      </w:tblGrid>
      <w:tr>
        <w:trPr>
          <w:tblHeader/>
        </w:trPr>
        <w:tc>
          <w:tcPr>
            <w:tcW w:type="dxa" w:w="2000"/>
            <w:shd w:fill="1a6d3a" w:color="auto" w:val="clear"/>
            <w:tcMar>
              <w:top w:type="dxa" w:w="40"/>
              <w:left w:type="dxa" w:w="70"/>
              <w:bottom w:type="dxa" w:w="40"/>
              <w:right w:type="dxa" w:w="70"/>
            </w:tcMar>
          </w:tcPr>
          <w:p>
            <w:pPr>
              <w:jc w:val="left"/>
            </w:pPr>
            <w:r>
              <w:rPr>
                <w:b/>
                <w:bCs/>
                <w:color w:val="FFFFFF"/>
                <w:sz w:val="18"/>
                <w:szCs w:val="18"/>
              </w:rPr>
              <w:t xml:space="preserve">Level</w:t>
            </w:r>
          </w:p>
        </w:tc>
        <w:tc>
          <w:tcPr>
            <w:tcW w:type="dxa" w:w="2400"/>
            <w:shd w:fill="1a6d3a" w:color="auto" w:val="clear"/>
            <w:tcMar>
              <w:top w:type="dxa" w:w="40"/>
              <w:left w:type="dxa" w:w="70"/>
              <w:bottom w:type="dxa" w:w="40"/>
              <w:right w:type="dxa" w:w="70"/>
            </w:tcMar>
          </w:tcPr>
          <w:p>
            <w:pPr>
              <w:jc w:val="left"/>
            </w:pPr>
            <w:r>
              <w:rPr>
                <w:b/>
                <w:bCs/>
                <w:color w:val="FFFFFF"/>
                <w:sz w:val="18"/>
                <w:szCs w:val="18"/>
              </w:rPr>
              <w:t xml:space="preserve">Value</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R5</w:t>
            </w:r>
          </w:p>
        </w:tc>
        <w:tc>
          <w:tcPr>
            <w:tcW w:type="dxa" w:w="2400"/>
            <w:tcMar>
              <w:top w:type="dxa" w:w="40"/>
              <w:left w:type="dxa" w:w="70"/>
              <w:bottom w:type="dxa" w:w="40"/>
              <w:right w:type="dxa" w:w="70"/>
            </w:tcMar>
          </w:tcPr>
          <w:p>
            <w:pPr>
              <w:jc w:val="left"/>
            </w:pPr>
            <w:r>
              <w:rPr>
                <w:b w:val="false"/>
                <w:bCs w:val="false"/>
                <w:color w:val="222222"/>
                <w:sz w:val="18"/>
                <w:szCs w:val="18"/>
              </w:rPr>
              <w:t xml:space="preserve">8,471.35</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R4</w:t>
            </w:r>
          </w:p>
        </w:tc>
        <w:tc>
          <w:tcPr>
            <w:tcW w:type="dxa" w:w="2400"/>
            <w:tcMar>
              <w:top w:type="dxa" w:w="40"/>
              <w:left w:type="dxa" w:w="70"/>
              <w:bottom w:type="dxa" w:w="40"/>
              <w:right w:type="dxa" w:w="70"/>
            </w:tcMar>
          </w:tcPr>
          <w:p>
            <w:pPr>
              <w:jc w:val="left"/>
            </w:pPr>
            <w:r>
              <w:rPr>
                <w:b w:val="false"/>
                <w:bCs w:val="false"/>
                <w:color w:val="222222"/>
                <w:sz w:val="18"/>
                <w:szCs w:val="18"/>
              </w:rPr>
              <w:t xml:space="preserve">8,187.61</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R3</w:t>
            </w:r>
          </w:p>
        </w:tc>
        <w:tc>
          <w:tcPr>
            <w:tcW w:type="dxa" w:w="2400"/>
            <w:tcMar>
              <w:top w:type="dxa" w:w="40"/>
              <w:left w:type="dxa" w:w="70"/>
              <w:bottom w:type="dxa" w:w="40"/>
              <w:right w:type="dxa" w:w="70"/>
            </w:tcMar>
          </w:tcPr>
          <w:p>
            <w:pPr>
              <w:jc w:val="left"/>
            </w:pPr>
            <w:r>
              <w:rPr>
                <w:b w:val="false"/>
                <w:bCs w:val="false"/>
                <w:color w:val="222222"/>
                <w:sz w:val="18"/>
                <w:szCs w:val="18"/>
              </w:rPr>
              <w:t xml:space="preserve">7,903.87</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R2</w:t>
            </w:r>
          </w:p>
        </w:tc>
        <w:tc>
          <w:tcPr>
            <w:tcW w:type="dxa" w:w="2400"/>
            <w:tcMar>
              <w:top w:type="dxa" w:w="40"/>
              <w:left w:type="dxa" w:w="70"/>
              <w:bottom w:type="dxa" w:w="40"/>
              <w:right w:type="dxa" w:w="70"/>
            </w:tcMar>
          </w:tcPr>
          <w:p>
            <w:pPr>
              <w:jc w:val="left"/>
            </w:pPr>
            <w:r>
              <w:rPr>
                <w:b w:val="false"/>
                <w:bCs w:val="false"/>
                <w:color w:val="222222"/>
                <w:sz w:val="18"/>
                <w:szCs w:val="18"/>
              </w:rPr>
              <w:t xml:space="preserve">7,740.89</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R1</w:t>
            </w:r>
          </w:p>
        </w:tc>
        <w:tc>
          <w:tcPr>
            <w:tcW w:type="dxa" w:w="2400"/>
            <w:tcMar>
              <w:top w:type="dxa" w:w="40"/>
              <w:left w:type="dxa" w:w="70"/>
              <w:bottom w:type="dxa" w:w="40"/>
              <w:right w:type="dxa" w:w="70"/>
            </w:tcMar>
          </w:tcPr>
          <w:p>
            <w:pPr>
              <w:jc w:val="left"/>
            </w:pPr>
            <w:r>
              <w:rPr>
                <w:b w:val="false"/>
                <w:bCs w:val="false"/>
                <w:color w:val="222222"/>
                <w:sz w:val="18"/>
                <w:szCs w:val="18"/>
              </w:rPr>
              <w:t xml:space="preserve">7,620.13</w:t>
            </w:r>
          </w:p>
        </w:tc>
      </w:tr>
      <w:tr>
        <w:tc>
          <w:tcPr>
            <w:tcW w:type="dxa" w:w="2000"/>
            <w:shd w:fill="E5F0E8" w:color="auto" w:val="clear"/>
            <w:tcMar>
              <w:top w:type="dxa" w:w="40"/>
              <w:left w:type="dxa" w:w="70"/>
              <w:bottom w:type="dxa" w:w="40"/>
              <w:right w:type="dxa" w:w="70"/>
            </w:tcMar>
          </w:tcPr>
          <w:p>
            <w:pPr>
              <w:jc w:val="left"/>
            </w:pPr>
            <w:r>
              <w:rPr>
                <w:b/>
                <w:bCs/>
                <w:color w:val="222222"/>
                <w:sz w:val="18"/>
                <w:szCs w:val="18"/>
              </w:rPr>
              <w:t xml:space="preserve">P</w:t>
            </w:r>
          </w:p>
        </w:tc>
        <w:tc>
          <w:tcPr>
            <w:tcW w:type="dxa" w:w="2400"/>
            <w:tcMar>
              <w:top w:type="dxa" w:w="40"/>
              <w:left w:type="dxa" w:w="70"/>
              <w:bottom w:type="dxa" w:w="40"/>
              <w:right w:type="dxa" w:w="70"/>
            </w:tcMar>
          </w:tcPr>
          <w:p>
            <w:pPr>
              <w:jc w:val="left"/>
            </w:pPr>
            <w:r>
              <w:rPr>
                <w:b/>
                <w:bCs/>
                <w:color w:val="222222"/>
                <w:sz w:val="18"/>
                <w:szCs w:val="18"/>
              </w:rPr>
              <w:t xml:space="preserve">7,457.15</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S1</w:t>
            </w:r>
          </w:p>
        </w:tc>
        <w:tc>
          <w:tcPr>
            <w:tcW w:type="dxa" w:w="2400"/>
            <w:tcMar>
              <w:top w:type="dxa" w:w="40"/>
              <w:left w:type="dxa" w:w="70"/>
              <w:bottom w:type="dxa" w:w="40"/>
              <w:right w:type="dxa" w:w="70"/>
            </w:tcMar>
          </w:tcPr>
          <w:p>
            <w:pPr>
              <w:jc w:val="left"/>
            </w:pPr>
            <w:r>
              <w:rPr>
                <w:b w:val="false"/>
                <w:bCs w:val="false"/>
                <w:color w:val="222222"/>
                <w:sz w:val="18"/>
                <w:szCs w:val="18"/>
              </w:rPr>
              <w:t xml:space="preserve">7,336.39</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S2</w:t>
            </w:r>
          </w:p>
        </w:tc>
        <w:tc>
          <w:tcPr>
            <w:tcW w:type="dxa" w:w="2400"/>
            <w:tcMar>
              <w:top w:type="dxa" w:w="40"/>
              <w:left w:type="dxa" w:w="70"/>
              <w:bottom w:type="dxa" w:w="40"/>
              <w:right w:type="dxa" w:w="70"/>
            </w:tcMar>
          </w:tcPr>
          <w:p>
            <w:pPr>
              <w:jc w:val="left"/>
            </w:pPr>
            <w:r>
              <w:rPr>
                <w:b w:val="false"/>
                <w:bCs w:val="false"/>
                <w:color w:val="222222"/>
                <w:sz w:val="18"/>
                <w:szCs w:val="18"/>
              </w:rPr>
              <w:t xml:space="preserve">7,173.41</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S3</w:t>
            </w:r>
          </w:p>
        </w:tc>
        <w:tc>
          <w:tcPr>
            <w:tcW w:type="dxa" w:w="2400"/>
            <w:tcMar>
              <w:top w:type="dxa" w:w="40"/>
              <w:left w:type="dxa" w:w="70"/>
              <w:bottom w:type="dxa" w:w="40"/>
              <w:right w:type="dxa" w:w="70"/>
            </w:tcMar>
          </w:tcPr>
          <w:p>
            <w:pPr>
              <w:jc w:val="left"/>
            </w:pPr>
            <w:r>
              <w:rPr>
                <w:b w:val="false"/>
                <w:bCs w:val="false"/>
                <w:color w:val="222222"/>
                <w:sz w:val="18"/>
                <w:szCs w:val="18"/>
              </w:rPr>
              <w:t xml:space="preserve">7,052.65</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S4</w:t>
            </w:r>
          </w:p>
        </w:tc>
        <w:tc>
          <w:tcPr>
            <w:tcW w:type="dxa" w:w="2400"/>
            <w:tcMar>
              <w:top w:type="dxa" w:w="40"/>
              <w:left w:type="dxa" w:w="70"/>
              <w:bottom w:type="dxa" w:w="40"/>
              <w:right w:type="dxa" w:w="70"/>
            </w:tcMar>
          </w:tcPr>
          <w:p>
            <w:pPr>
              <w:jc w:val="left"/>
            </w:pPr>
            <w:r>
              <w:rPr>
                <w:b w:val="false"/>
                <w:bCs w:val="false"/>
                <w:color w:val="222222"/>
                <w:sz w:val="18"/>
                <w:szCs w:val="18"/>
              </w:rPr>
              <w:t xml:space="preserve">6,768.91</w:t>
            </w:r>
          </w:p>
        </w:tc>
      </w:tr>
      <w:tr>
        <w:tc>
          <w:tcPr>
            <w:tcW w:type="dxa" w:w="2000"/>
            <w:tcMar>
              <w:top w:type="dxa" w:w="40"/>
              <w:left w:type="dxa" w:w="70"/>
              <w:bottom w:type="dxa" w:w="40"/>
              <w:right w:type="dxa" w:w="70"/>
            </w:tcMar>
          </w:tcPr>
          <w:p>
            <w:pPr>
              <w:jc w:val="left"/>
            </w:pPr>
            <w:r>
              <w:rPr>
                <w:b w:val="false"/>
                <w:bCs w:val="false"/>
                <w:color w:val="222222"/>
                <w:sz w:val="18"/>
                <w:szCs w:val="18"/>
              </w:rPr>
              <w:t xml:space="preserve">S5</w:t>
            </w:r>
          </w:p>
        </w:tc>
        <w:tc>
          <w:tcPr>
            <w:tcW w:type="dxa" w:w="2400"/>
            <w:tcMar>
              <w:top w:type="dxa" w:w="40"/>
              <w:left w:type="dxa" w:w="70"/>
              <w:bottom w:type="dxa" w:w="40"/>
              <w:right w:type="dxa" w:w="70"/>
            </w:tcMar>
          </w:tcPr>
          <w:p>
            <w:pPr>
              <w:jc w:val="left"/>
            </w:pPr>
            <w:r>
              <w:rPr>
                <w:b w:val="false"/>
                <w:bCs w:val="false"/>
                <w:color w:val="222222"/>
                <w:sz w:val="18"/>
                <w:szCs w:val="18"/>
              </w:rPr>
              <w:t xml:space="preserve">6,485.17</w:t>
            </w:r>
          </w:p>
        </w:tc>
      </w:tr>
    </w:tbl>
    <w:p>
      <w:pPr>
        <w:spacing w:after="100"/>
        <w:jc w:val="both"/>
      </w:pPr>
      <w:r>
        <w:rPr>
          <w:sz w:val="20"/>
          <w:szCs w:val="20"/>
        </w:rPr>
        <w:t xml:space="preserve">Position narrative: the 17 July close of 7,457.69 sits fractionally below the daily P (7,462.47), just above daily S1 (7,426.48), essentially on top of the monthly P (7,457.15), and below the weekly P (7,492.52). There is a notable confluence zone: the daily P (7,462.47), the monthly P (7,457.15) and the close (7,457.69) all cluster within roughly 0.07% — a tight pivot magnet that makes the 7,457–7,462 shelf the pivotal battleground for the session. A decisive loss of daily S1 (7,426) opens the path toward weekly S1 (7,396) and the daily S4 / monthly S1 shelf near 7,292–7,336.</w:t>
      </w:r>
    </w:p>
    <w:p>
      <w:pPr>
        <w:pStyle w:val="Heading1"/>
        <w:spacing w:after="110" w:before="220"/>
      </w:pPr>
      <w:r>
        <w:rPr>
          <w:b/>
          <w:bCs/>
          <w:color w:val="8a5a00"/>
        </w:rPr>
        <w:t xml:space="preserve">12 · Key Market Considerations</w:t>
      </w:r>
    </w:p>
    <w:p>
      <w:r>
        <w:rPr>
          <w:b/>
          <w:bCs/>
          <w:sz w:val="20"/>
          <w:szCs w:val="20"/>
        </w:rPr>
        <w:t xml:space="preserve">Demand / earnings — price-supportive (cyclical). </w:t>
      </w:r>
      <w:r>
        <w:rPr>
          <w:sz w:val="20"/>
          <w:szCs w:val="20"/>
        </w:rPr>
        <w:t xml:space="preserve">Q2 reporting is strong: per LSEG about 90% of the ~49 early S&amp;P 500 reporters beat, and aggregate Q2 growth has been revised up toward 26% from ~19% in April, led by big-bank results. This is the primary structural support under the tape.</w:t>
      </w:r>
    </w:p>
    <w:p>
      <w:r>
        <w:rPr>
          <w:b/>
          <w:bCs/>
          <w:sz w:val="20"/>
          <w:szCs w:val="20"/>
        </w:rPr>
        <w:t xml:space="preserve">Sector / substitution — price-negative (cyclical). </w:t>
      </w:r>
      <w:r>
        <w:rPr>
          <w:sz w:val="20"/>
          <w:szCs w:val="20"/>
        </w:rPr>
        <w:t xml:space="preserve">The semiconductor complex has driven a concentrated de-rating, with a key chip gauge down ~20% from its high and the VanEck Semiconductor ETF off ~8–9% on the week, triggered by valuation concerns and a competitive jolt from a new Chinese AI model rather than a demand collapse. Given index concentration in mega-cap tech, this is the dominant near-term drag.</w:t>
      </w:r>
    </w:p>
    <w:p>
      <w:r>
        <w:rPr>
          <w:b/>
          <w:bCs/>
          <w:sz w:val="20"/>
          <w:szCs w:val="20"/>
        </w:rPr>
        <w:t xml:space="preserve">Policy / macro — price-negative (cyclical). </w:t>
      </w:r>
      <w:r>
        <w:rPr>
          <w:sz w:val="20"/>
          <w:szCs w:val="20"/>
        </w:rPr>
        <w:t xml:space="preserve">Renewed US–Iran hostilities around the Strait of Hormuz pushed oil back above $80, reviving inflation and rate-hold concerns at a time when the Fed has reduced communication. A 28–29 July FOMC meeting sits just beyond the 5-day horizon and is the key policy catalyst.</w:t>
      </w:r>
    </w:p>
    <w:p>
      <w:r>
        <w:rPr>
          <w:b/>
          <w:bCs/>
          <w:sz w:val="20"/>
          <w:szCs w:val="20"/>
        </w:rPr>
        <w:t xml:space="preserve">Near-term catalysts. </w:t>
      </w:r>
      <w:r>
        <w:rPr>
          <w:sz w:val="20"/>
          <w:szCs w:val="20"/>
        </w:rPr>
        <w:t xml:space="preserve">Mega-cap tech earnings (the primary catalysts for this index) accelerate into the back half of July; any disappointment from a Magnificent-7 name would deepen the tech-led drawdown, while a broad beat could re-anchor the bid. These events are flagged in §13d.</w:t>
      </w:r>
    </w:p>
    <w:p>
      <w:pPr>
        <w:pStyle w:val="Heading1"/>
        <w:spacing w:after="110" w:before="220"/>
      </w:pPr>
      <w:r>
        <w:rPr>
          <w:b/>
          <w:bCs/>
          <w:color w:val="8a5a00"/>
        </w:rPr>
        <w:t xml:space="preserve">13 · Sentiment, News &amp; Calendar</w:t>
      </w:r>
    </w:p>
    <w:p>
      <w:r>
        <w:rPr>
          <w:b/>
          <w:bCs/>
          <w:color w:val="8a5a00"/>
          <w:sz w:val="19"/>
          <w:szCs w:val="19"/>
        </w:rPr>
        <w:t xml:space="preserve">13a · Per-Article Sentiment</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250"/>
        <w:gridCol w:w="1150"/>
        <w:gridCol w:w="1450"/>
        <w:gridCol w:w="1100"/>
        <w:gridCol w:w="1650"/>
        <w:gridCol w:w="2760"/>
      </w:tblGrid>
      <w:tr>
        <w:trPr>
          <w:tblHeader/>
        </w:trPr>
        <w:tc>
          <w:tcPr>
            <w:tcW w:type="dxa" w:w="1250"/>
            <w:shd w:fill="8a5a00" w:color="auto" w:val="clear"/>
            <w:tcMar>
              <w:top w:type="dxa" w:w="40"/>
              <w:left w:type="dxa" w:w="70"/>
              <w:bottom w:type="dxa" w:w="40"/>
              <w:right w:type="dxa" w:w="70"/>
            </w:tcMar>
          </w:tcPr>
          <w:p>
            <w:pPr>
              <w:jc w:val="left"/>
            </w:pPr>
            <w:r>
              <w:rPr>
                <w:b/>
                <w:bCs/>
                <w:color w:val="FFFFFF"/>
                <w:sz w:val="18"/>
                <w:szCs w:val="18"/>
              </w:rPr>
              <w:t xml:space="preserve">Source</w:t>
            </w:r>
          </w:p>
        </w:tc>
        <w:tc>
          <w:tcPr>
            <w:tcW w:type="dxa" w:w="1150"/>
            <w:shd w:fill="8a5a00" w:color="auto" w:val="clear"/>
            <w:tcMar>
              <w:top w:type="dxa" w:w="40"/>
              <w:left w:type="dxa" w:w="70"/>
              <w:bottom w:type="dxa" w:w="40"/>
              <w:right w:type="dxa" w:w="70"/>
            </w:tcMar>
          </w:tcPr>
          <w:p>
            <w:pPr>
              <w:jc w:val="left"/>
            </w:pPr>
            <w:r>
              <w:rPr>
                <w:b/>
                <w:bCs/>
                <w:color w:val="FFFFFF"/>
                <w:sz w:val="18"/>
                <w:szCs w:val="18"/>
              </w:rPr>
              <w:t xml:space="preserve">Date</w:t>
            </w:r>
          </w:p>
        </w:tc>
        <w:tc>
          <w:tcPr>
            <w:tcW w:type="dxa" w:w="1450"/>
            <w:shd w:fill="8a5a00" w:color="auto" w:val="clear"/>
            <w:tcMar>
              <w:top w:type="dxa" w:w="40"/>
              <w:left w:type="dxa" w:w="70"/>
              <w:bottom w:type="dxa" w:w="40"/>
              <w:right w:type="dxa" w:w="70"/>
            </w:tcMar>
          </w:tcPr>
          <w:p>
            <w:pPr>
              <w:jc w:val="left"/>
            </w:pPr>
            <w:r>
              <w:rPr>
                <w:b/>
                <w:bCs/>
                <w:color w:val="FFFFFF"/>
                <w:sz w:val="18"/>
                <w:szCs w:val="18"/>
              </w:rPr>
              <w:t xml:space="preserve">Classification</w:t>
            </w:r>
          </w:p>
        </w:tc>
        <w:tc>
          <w:tcPr>
            <w:tcW w:type="dxa" w:w="1100"/>
            <w:shd w:fill="8a5a00" w:color="auto" w:val="clear"/>
            <w:tcMar>
              <w:top w:type="dxa" w:w="40"/>
              <w:left w:type="dxa" w:w="70"/>
              <w:bottom w:type="dxa" w:w="40"/>
              <w:right w:type="dxa" w:w="70"/>
            </w:tcMar>
          </w:tcPr>
          <w:p>
            <w:pPr>
              <w:jc w:val="left"/>
            </w:pPr>
            <w:r>
              <w:rPr>
                <w:b/>
                <w:bCs/>
                <w:color w:val="FFFFFF"/>
                <w:sz w:val="18"/>
                <w:szCs w:val="18"/>
              </w:rPr>
              <w:t xml:space="preserve">Sentiment</w:t>
            </w:r>
          </w:p>
        </w:tc>
        <w:tc>
          <w:tcPr>
            <w:tcW w:type="dxa" w:w="1650"/>
            <w:shd w:fill="8a5a00" w:color="auto" w:val="clear"/>
            <w:tcMar>
              <w:top w:type="dxa" w:w="40"/>
              <w:left w:type="dxa" w:w="70"/>
              <w:bottom w:type="dxa" w:w="40"/>
              <w:right w:type="dxa" w:w="70"/>
            </w:tcMar>
          </w:tcPr>
          <w:p>
            <w:pPr>
              <w:jc w:val="left"/>
            </w:pPr>
            <w:r>
              <w:rPr>
                <w:b/>
                <w:bCs/>
                <w:color w:val="FFFFFF"/>
                <w:sz w:val="18"/>
                <w:szCs w:val="18"/>
              </w:rPr>
              <w:t xml:space="preserve">Derivation quote</w:t>
            </w:r>
          </w:p>
        </w:tc>
        <w:tc>
          <w:tcPr>
            <w:tcW w:type="dxa" w:w="2760"/>
            <w:shd w:fill="8a5a00" w:color="auto" w:val="clear"/>
            <w:tcMar>
              <w:top w:type="dxa" w:w="40"/>
              <w:left w:type="dxa" w:w="70"/>
              <w:bottom w:type="dxa" w:w="40"/>
              <w:right w:type="dxa" w:w="70"/>
            </w:tcMar>
          </w:tcPr>
          <w:p>
            <w:pPr>
              <w:jc w:val="left"/>
            </w:pPr>
            <w:r>
              <w:rPr>
                <w:b/>
                <w:bCs/>
                <w:color w:val="FFFFFF"/>
                <w:sz w:val="18"/>
                <w:szCs w:val="18"/>
              </w:rPr>
              <w:t xml:space="preserve">Headline (abbrev.)</w:t>
            </w:r>
          </w:p>
        </w:tc>
      </w:tr>
      <w:tr>
        <w:tc>
          <w:tcPr>
            <w:tcW w:type="dxa" w:w="1250"/>
            <w:tcMar>
              <w:top w:type="dxa" w:w="40"/>
              <w:left w:type="dxa" w:w="70"/>
              <w:bottom w:type="dxa" w:w="40"/>
              <w:right w:type="dxa" w:w="70"/>
            </w:tcMar>
          </w:tcPr>
          <w:p>
            <w:pPr>
              <w:jc w:val="left"/>
            </w:pPr>
            <w:r>
              <w:rPr>
                <w:b w:val="false"/>
                <w:bCs w:val="false"/>
                <w:color w:val="222222"/>
                <w:sz w:val="18"/>
                <w:szCs w:val="18"/>
              </w:rPr>
              <w:t xml:space="preserve">Bloomberg</w:t>
            </w:r>
          </w:p>
        </w:tc>
        <w:tc>
          <w:tcPr>
            <w:tcW w:type="dxa" w:w="1150"/>
            <w:tcMar>
              <w:top w:type="dxa" w:w="40"/>
              <w:left w:type="dxa" w:w="70"/>
              <w:bottom w:type="dxa" w:w="40"/>
              <w:right w:type="dxa" w:w="70"/>
            </w:tcMar>
          </w:tcPr>
          <w:p>
            <w:pPr>
              <w:jc w:val="left"/>
            </w:pPr>
            <w:r>
              <w:rPr>
                <w:b w:val="false"/>
                <w:bCs w:val="false"/>
                <w:color w:val="222222"/>
                <w:sz w:val="18"/>
                <w:szCs w:val="18"/>
              </w:rPr>
              <w:t xml:space="preserve">16 Jul</w:t>
            </w:r>
          </w:p>
        </w:tc>
        <w:tc>
          <w:tcPr>
            <w:tcW w:type="dxa" w:w="1450"/>
            <w:tcMar>
              <w:top w:type="dxa" w:w="40"/>
              <w:left w:type="dxa" w:w="70"/>
              <w:bottom w:type="dxa" w:w="40"/>
              <w:right w:type="dxa" w:w="70"/>
            </w:tcMar>
          </w:tcPr>
          <w:p>
            <w:pPr>
              <w:jc w:val="left"/>
            </w:pPr>
            <w:r>
              <w:rPr>
                <w:b w:val="false"/>
                <w:bCs w:val="false"/>
                <w:color w:val="222222"/>
                <w:sz w:val="18"/>
                <w:szCs w:val="18"/>
              </w:rPr>
              <w:t xml:space="preserve">Media</w:t>
            </w:r>
          </w:p>
        </w:tc>
        <w:tc>
          <w:tcPr>
            <w:tcW w:type="dxa" w:w="1100"/>
            <w:tcMar>
              <w:top w:type="dxa" w:w="40"/>
              <w:left w:type="dxa" w:w="70"/>
              <w:bottom w:type="dxa" w:w="40"/>
              <w:right w:type="dxa" w:w="70"/>
            </w:tcMar>
          </w:tcPr>
          <w:p>
            <w:pPr>
              <w:jc w:val="left"/>
            </w:pPr>
            <w:r>
              <w:rPr>
                <w:b w:val="false"/>
                <w:bCs w:val="false"/>
                <w:color w:val="222222"/>
                <w:sz w:val="18"/>
                <w:szCs w:val="18"/>
              </w:rPr>
              <w:t xml:space="preserve">Bearish</w:t>
            </w:r>
          </w:p>
        </w:tc>
        <w:tc>
          <w:tcPr>
            <w:tcW w:type="dxa" w:w="1650"/>
            <w:tcMar>
              <w:top w:type="dxa" w:w="40"/>
              <w:left w:type="dxa" w:w="70"/>
              <w:bottom w:type="dxa" w:w="40"/>
              <w:right w:type="dxa" w:w="70"/>
            </w:tcMar>
          </w:tcPr>
          <w:p>
            <w:pPr>
              <w:jc w:val="left"/>
            </w:pPr>
            <w:r>
              <w:rPr>
                <w:b w:val="false"/>
                <w:bCs w:val="false"/>
                <w:color w:val="222222"/>
                <w:sz w:val="15"/>
                <w:szCs w:val="15"/>
              </w:rPr>
              <w:t xml:space="preserve">“chipmakers… to a bear market”</w:t>
            </w:r>
          </w:p>
        </w:tc>
        <w:tc>
          <w:tcPr>
            <w:tcW w:type="dxa" w:w="2760"/>
            <w:tcMar>
              <w:top w:type="dxa" w:w="40"/>
              <w:left w:type="dxa" w:w="70"/>
              <w:bottom w:type="dxa" w:w="40"/>
              <w:right w:type="dxa" w:w="70"/>
            </w:tcMar>
          </w:tcPr>
          <w:p>
            <w:pPr>
              <w:jc w:val="left"/>
            </w:pPr>
            <w:r>
              <w:rPr>
                <w:b w:val="false"/>
                <w:bCs w:val="false"/>
                <w:color w:val="222222"/>
                <w:sz w:val="15"/>
                <w:szCs w:val="15"/>
              </w:rPr>
              <w:t xml:space="preserve">Chip selloff gathers pace on AI-spending doubts</w:t>
            </w:r>
          </w:p>
        </w:tc>
      </w:tr>
      <w:tr>
        <w:tc>
          <w:tcPr>
            <w:tcW w:type="dxa" w:w="1250"/>
            <w:tcMar>
              <w:top w:type="dxa" w:w="40"/>
              <w:left w:type="dxa" w:w="70"/>
              <w:bottom w:type="dxa" w:w="40"/>
              <w:right w:type="dxa" w:w="70"/>
            </w:tcMar>
          </w:tcPr>
          <w:p>
            <w:pPr>
              <w:jc w:val="left"/>
            </w:pPr>
            <w:r>
              <w:rPr>
                <w:b w:val="false"/>
                <w:bCs w:val="false"/>
                <w:color w:val="222222"/>
                <w:sz w:val="18"/>
                <w:szCs w:val="18"/>
              </w:rPr>
              <w:t xml:space="preserve">Invezz</w:t>
            </w:r>
          </w:p>
        </w:tc>
        <w:tc>
          <w:tcPr>
            <w:tcW w:type="dxa" w:w="1150"/>
            <w:tcMar>
              <w:top w:type="dxa" w:w="40"/>
              <w:left w:type="dxa" w:w="70"/>
              <w:bottom w:type="dxa" w:w="40"/>
              <w:right w:type="dxa" w:w="70"/>
            </w:tcMar>
          </w:tcPr>
          <w:p>
            <w:pPr>
              <w:jc w:val="left"/>
            </w:pPr>
            <w:r>
              <w:rPr>
                <w:b w:val="false"/>
                <w:bCs w:val="false"/>
                <w:color w:val="222222"/>
                <w:sz w:val="18"/>
                <w:szCs w:val="18"/>
              </w:rPr>
              <w:t xml:space="preserve">17 Jul</w:t>
            </w:r>
          </w:p>
        </w:tc>
        <w:tc>
          <w:tcPr>
            <w:tcW w:type="dxa" w:w="1450"/>
            <w:tcMar>
              <w:top w:type="dxa" w:w="40"/>
              <w:left w:type="dxa" w:w="70"/>
              <w:bottom w:type="dxa" w:w="40"/>
              <w:right w:type="dxa" w:w="70"/>
            </w:tcMar>
          </w:tcPr>
          <w:p>
            <w:pPr>
              <w:jc w:val="left"/>
            </w:pPr>
            <w:r>
              <w:rPr>
                <w:b w:val="false"/>
                <w:bCs w:val="false"/>
                <w:color w:val="222222"/>
                <w:sz w:val="18"/>
                <w:szCs w:val="18"/>
              </w:rPr>
              <w:t xml:space="preserve">Media</w:t>
            </w:r>
          </w:p>
        </w:tc>
        <w:tc>
          <w:tcPr>
            <w:tcW w:type="dxa" w:w="1100"/>
            <w:tcMar>
              <w:top w:type="dxa" w:w="40"/>
              <w:left w:type="dxa" w:w="70"/>
              <w:bottom w:type="dxa" w:w="40"/>
              <w:right w:type="dxa" w:w="70"/>
            </w:tcMar>
          </w:tcPr>
          <w:p>
            <w:pPr>
              <w:jc w:val="left"/>
            </w:pPr>
            <w:r>
              <w:rPr>
                <w:b w:val="false"/>
                <w:bCs w:val="false"/>
                <w:color w:val="222222"/>
                <w:sz w:val="18"/>
                <w:szCs w:val="18"/>
              </w:rPr>
              <w:t xml:space="preserve">Bearish</w:t>
            </w:r>
          </w:p>
        </w:tc>
        <w:tc>
          <w:tcPr>
            <w:tcW w:type="dxa" w:w="1650"/>
            <w:tcMar>
              <w:top w:type="dxa" w:w="40"/>
              <w:left w:type="dxa" w:w="70"/>
              <w:bottom w:type="dxa" w:w="40"/>
              <w:right w:type="dxa" w:w="70"/>
            </w:tcMar>
          </w:tcPr>
          <w:p>
            <w:pPr>
              <w:jc w:val="left"/>
            </w:pPr>
            <w:r>
              <w:rPr>
                <w:b w:val="false"/>
                <w:bCs w:val="false"/>
                <w:color w:val="222222"/>
                <w:sz w:val="15"/>
                <w:szCs w:val="15"/>
              </w:rPr>
              <w:t xml:space="preserve">“selloff… weighed on investor sentiment”</w:t>
            </w:r>
          </w:p>
        </w:tc>
        <w:tc>
          <w:tcPr>
            <w:tcW w:type="dxa" w:w="2760"/>
            <w:tcMar>
              <w:top w:type="dxa" w:w="40"/>
              <w:left w:type="dxa" w:w="70"/>
              <w:bottom w:type="dxa" w:w="40"/>
              <w:right w:type="dxa" w:w="70"/>
            </w:tcMar>
          </w:tcPr>
          <w:p>
            <w:pPr>
              <w:jc w:val="left"/>
            </w:pPr>
            <w:r>
              <w:rPr>
                <w:b w:val="false"/>
                <w:bCs w:val="false"/>
                <w:color w:val="222222"/>
                <w:sz w:val="15"/>
                <w:szCs w:val="15"/>
              </w:rPr>
              <w:t xml:space="preserve">Dow falls ~400 pts as chip selloff deepens</w:t>
            </w:r>
          </w:p>
        </w:tc>
      </w:tr>
      <w:tr>
        <w:tc>
          <w:tcPr>
            <w:tcW w:type="dxa" w:w="1250"/>
            <w:tcMar>
              <w:top w:type="dxa" w:w="40"/>
              <w:left w:type="dxa" w:w="70"/>
              <w:bottom w:type="dxa" w:w="40"/>
              <w:right w:type="dxa" w:w="70"/>
            </w:tcMar>
          </w:tcPr>
          <w:p>
            <w:pPr>
              <w:jc w:val="left"/>
            </w:pPr>
            <w:r>
              <w:rPr>
                <w:b w:val="false"/>
                <w:bCs w:val="false"/>
                <w:color w:val="222222"/>
                <w:sz w:val="18"/>
                <w:szCs w:val="18"/>
              </w:rPr>
              <w:t xml:space="preserve">Forbes</w:t>
            </w:r>
          </w:p>
        </w:tc>
        <w:tc>
          <w:tcPr>
            <w:tcW w:type="dxa" w:w="1150"/>
            <w:tcMar>
              <w:top w:type="dxa" w:w="40"/>
              <w:left w:type="dxa" w:w="70"/>
              <w:bottom w:type="dxa" w:w="40"/>
              <w:right w:type="dxa" w:w="70"/>
            </w:tcMar>
          </w:tcPr>
          <w:p>
            <w:pPr>
              <w:jc w:val="left"/>
            </w:pPr>
            <w:r>
              <w:rPr>
                <w:b w:val="false"/>
                <w:bCs w:val="false"/>
                <w:color w:val="222222"/>
                <w:sz w:val="18"/>
                <w:szCs w:val="18"/>
              </w:rPr>
              <w:t xml:space="preserve">08 Jul</w:t>
            </w:r>
          </w:p>
        </w:tc>
        <w:tc>
          <w:tcPr>
            <w:tcW w:type="dxa" w:w="1450"/>
            <w:tcMar>
              <w:top w:type="dxa" w:w="40"/>
              <w:left w:type="dxa" w:w="70"/>
              <w:bottom w:type="dxa" w:w="40"/>
              <w:right w:type="dxa" w:w="70"/>
            </w:tcMar>
          </w:tcPr>
          <w:p>
            <w:pPr>
              <w:jc w:val="left"/>
            </w:pPr>
            <w:r>
              <w:rPr>
                <w:b w:val="false"/>
                <w:bCs w:val="false"/>
                <w:color w:val="222222"/>
                <w:sz w:val="18"/>
                <w:szCs w:val="18"/>
              </w:rPr>
              <w:t xml:space="preserve">Media</w:t>
            </w:r>
          </w:p>
        </w:tc>
        <w:tc>
          <w:tcPr>
            <w:tcW w:type="dxa" w:w="1100"/>
            <w:tcMar>
              <w:top w:type="dxa" w:w="40"/>
              <w:left w:type="dxa" w:w="70"/>
              <w:bottom w:type="dxa" w:w="40"/>
              <w:right w:type="dxa" w:w="70"/>
            </w:tcMar>
          </w:tcPr>
          <w:p>
            <w:pPr>
              <w:jc w:val="left"/>
            </w:pPr>
            <w:r>
              <w:rPr>
                <w:b w:val="false"/>
                <w:bCs w:val="false"/>
                <w:color w:val="222222"/>
                <w:sz w:val="18"/>
                <w:szCs w:val="18"/>
              </w:rPr>
              <w:t xml:space="preserve">Mixed</w:t>
            </w:r>
          </w:p>
        </w:tc>
        <w:tc>
          <w:tcPr>
            <w:tcW w:type="dxa" w:w="1650"/>
            <w:tcMar>
              <w:top w:type="dxa" w:w="40"/>
              <w:left w:type="dxa" w:w="70"/>
              <w:bottom w:type="dxa" w:w="40"/>
              <w:right w:type="dxa" w:w="70"/>
            </w:tcMar>
          </w:tcPr>
          <w:p>
            <w:pPr>
              <w:jc w:val="left"/>
            </w:pPr>
            <w:r>
              <w:rPr>
                <w:b w:val="false"/>
                <w:bCs w:val="false"/>
                <w:color w:val="222222"/>
                <w:sz w:val="15"/>
                <w:szCs w:val="15"/>
              </w:rPr>
              <w:t xml:space="preserve">“many analysts view… a mid-cycle reset”</w:t>
            </w:r>
          </w:p>
        </w:tc>
        <w:tc>
          <w:tcPr>
            <w:tcW w:type="dxa" w:w="2760"/>
            <w:tcMar>
              <w:top w:type="dxa" w:w="40"/>
              <w:left w:type="dxa" w:w="70"/>
              <w:bottom w:type="dxa" w:w="40"/>
              <w:right w:type="dxa" w:w="70"/>
            </w:tcMar>
          </w:tcPr>
          <w:p>
            <w:pPr>
              <w:jc w:val="left"/>
            </w:pPr>
            <w:r>
              <w:rPr>
                <w:b w:val="false"/>
                <w:bCs w:val="false"/>
                <w:color w:val="222222"/>
                <w:sz w:val="15"/>
                <w:szCs w:val="15"/>
              </w:rPr>
              <w:t xml:space="preserve">Semiconductor selloff / AI capex fears</w:t>
            </w:r>
          </w:p>
        </w:tc>
      </w:tr>
      <w:tr>
        <w:tc>
          <w:tcPr>
            <w:tcW w:type="dxa" w:w="1250"/>
            <w:tcMar>
              <w:top w:type="dxa" w:w="40"/>
              <w:left w:type="dxa" w:w="70"/>
              <w:bottom w:type="dxa" w:w="40"/>
              <w:right w:type="dxa" w:w="70"/>
            </w:tcMar>
          </w:tcPr>
          <w:p>
            <w:pPr>
              <w:jc w:val="left"/>
            </w:pPr>
            <w:r>
              <w:rPr>
                <w:b w:val="false"/>
                <w:bCs w:val="false"/>
                <w:color w:val="222222"/>
                <w:sz w:val="18"/>
                <w:szCs w:val="18"/>
              </w:rPr>
              <w:t xml:space="preserve">CNBC</w:t>
            </w:r>
          </w:p>
        </w:tc>
        <w:tc>
          <w:tcPr>
            <w:tcW w:type="dxa" w:w="1150"/>
            <w:tcMar>
              <w:top w:type="dxa" w:w="40"/>
              <w:left w:type="dxa" w:w="70"/>
              <w:bottom w:type="dxa" w:w="40"/>
              <w:right w:type="dxa" w:w="70"/>
            </w:tcMar>
          </w:tcPr>
          <w:p>
            <w:pPr>
              <w:jc w:val="left"/>
            </w:pPr>
            <w:r>
              <w:rPr>
                <w:b w:val="false"/>
                <w:bCs w:val="false"/>
                <w:color w:val="222222"/>
                <w:sz w:val="18"/>
                <w:szCs w:val="18"/>
              </w:rPr>
              <w:t xml:space="preserve">17 Jul</w:t>
            </w:r>
          </w:p>
        </w:tc>
        <w:tc>
          <w:tcPr>
            <w:tcW w:type="dxa" w:w="1450"/>
            <w:tcMar>
              <w:top w:type="dxa" w:w="40"/>
              <w:left w:type="dxa" w:w="70"/>
              <w:bottom w:type="dxa" w:w="40"/>
              <w:right w:type="dxa" w:w="70"/>
            </w:tcMar>
          </w:tcPr>
          <w:p>
            <w:pPr>
              <w:jc w:val="left"/>
            </w:pPr>
            <w:r>
              <w:rPr>
                <w:b w:val="false"/>
                <w:bCs w:val="false"/>
                <w:color w:val="222222"/>
                <w:sz w:val="18"/>
                <w:szCs w:val="18"/>
              </w:rPr>
              <w:t xml:space="preserve">Media</w:t>
            </w:r>
          </w:p>
        </w:tc>
        <w:tc>
          <w:tcPr>
            <w:tcW w:type="dxa" w:w="1100"/>
            <w:tcMar>
              <w:top w:type="dxa" w:w="40"/>
              <w:left w:type="dxa" w:w="70"/>
              <w:bottom w:type="dxa" w:w="40"/>
              <w:right w:type="dxa" w:w="70"/>
            </w:tcMar>
          </w:tcPr>
          <w:p>
            <w:pPr>
              <w:jc w:val="left"/>
            </w:pPr>
            <w:r>
              <w:rPr>
                <w:b w:val="false"/>
                <w:bCs w:val="false"/>
                <w:color w:val="222222"/>
                <w:sz w:val="18"/>
                <w:szCs w:val="18"/>
              </w:rPr>
              <w:t xml:space="preserve">Mixed</w:t>
            </w:r>
          </w:p>
        </w:tc>
        <w:tc>
          <w:tcPr>
            <w:tcW w:type="dxa" w:w="1650"/>
            <w:tcMar>
              <w:top w:type="dxa" w:w="40"/>
              <w:left w:type="dxa" w:w="70"/>
              <w:bottom w:type="dxa" w:w="40"/>
              <w:right w:type="dxa" w:w="70"/>
            </w:tcMar>
          </w:tcPr>
          <w:p>
            <w:pPr>
              <w:jc w:val="left"/>
            </w:pPr>
            <w:r>
              <w:rPr>
                <w:b w:val="false"/>
                <w:bCs w:val="false"/>
                <w:color w:val="222222"/>
                <w:sz w:val="15"/>
                <w:szCs w:val="15"/>
              </w:rPr>
              <w:t xml:space="preserve">“stocks are holding up fairly well”</w:t>
            </w:r>
          </w:p>
        </w:tc>
        <w:tc>
          <w:tcPr>
            <w:tcW w:type="dxa" w:w="2760"/>
            <w:tcMar>
              <w:top w:type="dxa" w:w="40"/>
              <w:left w:type="dxa" w:w="70"/>
              <w:bottom w:type="dxa" w:w="40"/>
              <w:right w:type="dxa" w:w="70"/>
            </w:tcMar>
          </w:tcPr>
          <w:p>
            <w:pPr>
              <w:jc w:val="left"/>
            </w:pPr>
            <w:r>
              <w:rPr>
                <w:b w:val="false"/>
                <w:bCs w:val="false"/>
                <w:color w:val="222222"/>
                <w:sz w:val="15"/>
                <w:szCs w:val="15"/>
              </w:rPr>
              <w:t xml:space="preserve">Outlook for week of 20–24 Jul</w:t>
            </w:r>
          </w:p>
        </w:tc>
      </w:tr>
      <w:tr>
        <w:tc>
          <w:tcPr>
            <w:tcW w:type="dxa" w:w="1250"/>
            <w:tcMar>
              <w:top w:type="dxa" w:w="40"/>
              <w:left w:type="dxa" w:w="70"/>
              <w:bottom w:type="dxa" w:w="40"/>
              <w:right w:type="dxa" w:w="70"/>
            </w:tcMar>
          </w:tcPr>
          <w:p>
            <w:pPr>
              <w:jc w:val="left"/>
            </w:pPr>
            <w:r>
              <w:rPr>
                <w:b w:val="false"/>
                <w:bCs w:val="false"/>
                <w:color w:val="222222"/>
                <w:sz w:val="18"/>
                <w:szCs w:val="18"/>
              </w:rPr>
              <w:t xml:space="preserve">Invezz</w:t>
            </w:r>
          </w:p>
        </w:tc>
        <w:tc>
          <w:tcPr>
            <w:tcW w:type="dxa" w:w="1150"/>
            <w:tcMar>
              <w:top w:type="dxa" w:w="40"/>
              <w:left w:type="dxa" w:w="70"/>
              <w:bottom w:type="dxa" w:w="40"/>
              <w:right w:type="dxa" w:w="70"/>
            </w:tcMar>
          </w:tcPr>
          <w:p>
            <w:pPr>
              <w:jc w:val="left"/>
            </w:pPr>
            <w:r>
              <w:rPr>
                <w:b w:val="false"/>
                <w:bCs w:val="false"/>
                <w:color w:val="222222"/>
                <w:sz w:val="18"/>
                <w:szCs w:val="18"/>
              </w:rPr>
              <w:t xml:space="preserve">01 Jul</w:t>
            </w:r>
          </w:p>
        </w:tc>
        <w:tc>
          <w:tcPr>
            <w:tcW w:type="dxa" w:w="1450"/>
            <w:tcMar>
              <w:top w:type="dxa" w:w="40"/>
              <w:left w:type="dxa" w:w="70"/>
              <w:bottom w:type="dxa" w:w="40"/>
              <w:right w:type="dxa" w:w="70"/>
            </w:tcMar>
          </w:tcPr>
          <w:p>
            <w:pPr>
              <w:jc w:val="left"/>
            </w:pPr>
            <w:r>
              <w:rPr>
                <w:b w:val="false"/>
                <w:bCs w:val="false"/>
                <w:color w:val="222222"/>
                <w:sz w:val="18"/>
                <w:szCs w:val="18"/>
              </w:rPr>
              <w:t xml:space="preserve">Media</w:t>
            </w:r>
          </w:p>
        </w:tc>
        <w:tc>
          <w:tcPr>
            <w:tcW w:type="dxa" w:w="1100"/>
            <w:tcMar>
              <w:top w:type="dxa" w:w="40"/>
              <w:left w:type="dxa" w:w="70"/>
              <w:bottom w:type="dxa" w:w="40"/>
              <w:right w:type="dxa" w:w="70"/>
            </w:tcMar>
          </w:tcPr>
          <w:p>
            <w:pPr>
              <w:jc w:val="left"/>
            </w:pPr>
            <w:r>
              <w:rPr>
                <w:b w:val="false"/>
                <w:bCs w:val="false"/>
                <w:color w:val="222222"/>
                <w:sz w:val="18"/>
                <w:szCs w:val="18"/>
              </w:rPr>
              <w:t xml:space="preserve">Bullish</w:t>
            </w:r>
          </w:p>
        </w:tc>
        <w:tc>
          <w:tcPr>
            <w:tcW w:type="dxa" w:w="1650"/>
            <w:tcMar>
              <w:top w:type="dxa" w:w="40"/>
              <w:left w:type="dxa" w:w="70"/>
              <w:bottom w:type="dxa" w:w="40"/>
              <w:right w:type="dxa" w:w="70"/>
            </w:tcMar>
          </w:tcPr>
          <w:p>
            <w:pPr>
              <w:jc w:val="left"/>
            </w:pPr>
            <w:r>
              <w:rPr>
                <w:b w:val="false"/>
                <w:bCs w:val="false"/>
                <w:color w:val="222222"/>
                <w:sz w:val="15"/>
                <w:szCs w:val="15"/>
              </w:rPr>
              <w:t xml:space="preserve">“If SPX clears 7,621, push toward 8,000”</w:t>
            </w:r>
          </w:p>
        </w:tc>
        <w:tc>
          <w:tcPr>
            <w:tcW w:type="dxa" w:w="2760"/>
            <w:tcMar>
              <w:top w:type="dxa" w:w="40"/>
              <w:left w:type="dxa" w:w="70"/>
              <w:bottom w:type="dxa" w:w="40"/>
              <w:right w:type="dxa" w:w="70"/>
            </w:tcMar>
          </w:tcPr>
          <w:p>
            <w:pPr>
              <w:jc w:val="left"/>
            </w:pPr>
            <w:r>
              <w:rPr>
                <w:b w:val="false"/>
                <w:bCs w:val="false"/>
                <w:color w:val="222222"/>
                <w:sz w:val="15"/>
                <w:szCs w:val="15"/>
              </w:rPr>
              <w:t xml:space="preserve">Buy SPY — bullish flag base case</w:t>
            </w:r>
          </w:p>
        </w:tc>
      </w:tr>
      <w:tr>
        <w:tc>
          <w:tcPr>
            <w:tcW w:type="dxa" w:w="1250"/>
            <w:tcMar>
              <w:top w:type="dxa" w:w="40"/>
              <w:left w:type="dxa" w:w="70"/>
              <w:bottom w:type="dxa" w:w="40"/>
              <w:right w:type="dxa" w:w="70"/>
            </w:tcMar>
          </w:tcPr>
          <w:p>
            <w:pPr>
              <w:jc w:val="left"/>
            </w:pPr>
            <w:r>
              <w:rPr>
                <w:b w:val="false"/>
                <w:bCs w:val="false"/>
                <w:color w:val="222222"/>
                <w:sz w:val="18"/>
                <w:szCs w:val="18"/>
              </w:rPr>
              <w:t xml:space="preserve">Reuters survey</w:t>
            </w:r>
          </w:p>
        </w:tc>
        <w:tc>
          <w:tcPr>
            <w:tcW w:type="dxa" w:w="1150"/>
            <w:tcMar>
              <w:top w:type="dxa" w:w="40"/>
              <w:left w:type="dxa" w:w="70"/>
              <w:bottom w:type="dxa" w:w="40"/>
              <w:right w:type="dxa" w:w="70"/>
            </w:tcMar>
          </w:tcPr>
          <w:p>
            <w:pPr>
              <w:jc w:val="left"/>
            </w:pPr>
            <w:r>
              <w:rPr>
                <w:b w:val="false"/>
                <w:bCs w:val="false"/>
                <w:color w:val="222222"/>
                <w:sz w:val="18"/>
                <w:szCs w:val="18"/>
              </w:rPr>
              <w:t xml:space="preserve">Jul</w:t>
            </w:r>
          </w:p>
        </w:tc>
        <w:tc>
          <w:tcPr>
            <w:tcW w:type="dxa" w:w="1450"/>
            <w:tcMar>
              <w:top w:type="dxa" w:w="40"/>
              <w:left w:type="dxa" w:w="70"/>
              <w:bottom w:type="dxa" w:w="40"/>
              <w:right w:type="dxa" w:w="70"/>
            </w:tcMar>
          </w:tcPr>
          <w:p>
            <w:pPr>
              <w:jc w:val="left"/>
            </w:pPr>
            <w:r>
              <w:rPr>
                <w:b w:val="false"/>
                <w:bCs w:val="false"/>
                <w:color w:val="222222"/>
                <w:sz w:val="18"/>
                <w:szCs w:val="18"/>
              </w:rPr>
              <w:t xml:space="preserve">Institutional</w:t>
            </w:r>
          </w:p>
        </w:tc>
        <w:tc>
          <w:tcPr>
            <w:tcW w:type="dxa" w:w="1100"/>
            <w:tcMar>
              <w:top w:type="dxa" w:w="40"/>
              <w:left w:type="dxa" w:w="70"/>
              <w:bottom w:type="dxa" w:w="40"/>
              <w:right w:type="dxa" w:w="70"/>
            </w:tcMar>
          </w:tcPr>
          <w:p>
            <w:pPr>
              <w:jc w:val="left"/>
            </w:pPr>
            <w:r>
              <w:rPr>
                <w:b w:val="false"/>
                <w:bCs w:val="false"/>
                <w:color w:val="222222"/>
                <w:sz w:val="18"/>
                <w:szCs w:val="18"/>
              </w:rPr>
              <w:t xml:space="preserve">Bullish</w:t>
            </w:r>
          </w:p>
        </w:tc>
        <w:tc>
          <w:tcPr>
            <w:tcW w:type="dxa" w:w="1650"/>
            <w:tcMar>
              <w:top w:type="dxa" w:w="40"/>
              <w:left w:type="dxa" w:w="70"/>
              <w:bottom w:type="dxa" w:w="40"/>
              <w:right w:type="dxa" w:w="70"/>
            </w:tcMar>
          </w:tcPr>
          <w:p>
            <w:pPr>
              <w:jc w:val="left"/>
            </w:pPr>
            <w:r>
              <w:rPr>
                <w:b w:val="false"/>
                <w:bCs w:val="false"/>
                <w:color w:val="222222"/>
                <w:sz w:val="15"/>
                <w:szCs w:val="15"/>
              </w:rPr>
              <w:t xml:space="preserve">“median target near 7,490… up ~12%”</w:t>
            </w:r>
          </w:p>
        </w:tc>
        <w:tc>
          <w:tcPr>
            <w:tcW w:type="dxa" w:w="2760"/>
            <w:tcMar>
              <w:top w:type="dxa" w:w="40"/>
              <w:left w:type="dxa" w:w="70"/>
              <w:bottom w:type="dxa" w:w="40"/>
              <w:right w:type="dxa" w:w="70"/>
            </w:tcMar>
          </w:tcPr>
          <w:p>
            <w:pPr>
              <w:jc w:val="left"/>
            </w:pPr>
            <w:r>
              <w:rPr>
                <w:b w:val="false"/>
                <w:bCs w:val="false"/>
                <w:color w:val="222222"/>
                <w:sz w:val="15"/>
                <w:szCs w:val="15"/>
              </w:rPr>
              <w:t xml:space="preserve">Strategists see S&amp;P higher into year-end</w:t>
            </w:r>
          </w:p>
        </w:tc>
      </w:tr>
    </w:tbl>
    <w:p>
      <w:r>
        <w:rPr>
          <w:b/>
          <w:bCs/>
          <w:color w:val="8a5a00"/>
          <w:sz w:val="20"/>
          <w:szCs w:val="20"/>
        </w:rPr>
        <w:t xml:space="preserve">13b · Aggregate: </w:t>
      </w:r>
      <w:r>
        <w:rPr>
          <w:sz w:val="20"/>
          <w:szCs w:val="20"/>
        </w:rPr>
        <w:t xml:space="preserve">2 Bearish (media), 2 Mixed (media), 2 Bullish (1 media, 1 institutional) = Mixed, tilting Bearish for the near term. Numeric tilt = −0.36 (source-class-weighted: the two dated bearish sell-off articles dominate the immediate window while the bullish views are either older or longer-horizon). The tilt agrees with current price action and the §9 regime bias (both bearish near-term), so there is no sentiment/price divergence for the session; the longer-horizon bullish institutional survey is noted as a medium-term counterweight, not a same-session signal. Low-confidence flag: not triggered (six articles).</w:t>
      </w:r>
    </w:p>
    <w:p>
      <w:r>
        <w:rPr>
          <w:b/>
          <w:bCs/>
          <w:color w:val="8a5a00"/>
          <w:sz w:val="19"/>
          <w:szCs w:val="19"/>
        </w:rPr>
        <w:t xml:space="preserve">13c · Previous Period Calendar (13–17 Jul)</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150"/>
        <w:gridCol w:w="2100"/>
        <w:gridCol w:w="2100"/>
        <w:gridCol w:w="1050"/>
        <w:gridCol w:w="2960"/>
      </w:tblGrid>
      <w:tr>
        <w:trPr>
          <w:tblHeader/>
        </w:trPr>
        <w:tc>
          <w:tcPr>
            <w:tcW w:type="dxa" w:w="1150"/>
            <w:shd w:fill="8a5a00" w:color="auto" w:val="clear"/>
            <w:tcMar>
              <w:top w:type="dxa" w:w="40"/>
              <w:left w:type="dxa" w:w="70"/>
              <w:bottom w:type="dxa" w:w="40"/>
              <w:right w:type="dxa" w:w="70"/>
            </w:tcMar>
          </w:tcPr>
          <w:p>
            <w:pPr>
              <w:jc w:val="left"/>
            </w:pPr>
            <w:r>
              <w:rPr>
                <w:b/>
                <w:bCs/>
                <w:color w:val="FFFFFF"/>
                <w:sz w:val="18"/>
                <w:szCs w:val="18"/>
              </w:rPr>
              <w:t xml:space="preserve">Date</w:t>
            </w:r>
          </w:p>
        </w:tc>
        <w:tc>
          <w:tcPr>
            <w:tcW w:type="dxa" w:w="2100"/>
            <w:shd w:fill="8a5a00" w:color="auto" w:val="clear"/>
            <w:tcMar>
              <w:top w:type="dxa" w:w="40"/>
              <w:left w:type="dxa" w:w="70"/>
              <w:bottom w:type="dxa" w:w="40"/>
              <w:right w:type="dxa" w:w="70"/>
            </w:tcMar>
          </w:tcPr>
          <w:p>
            <w:pPr>
              <w:jc w:val="left"/>
            </w:pPr>
            <w:r>
              <w:rPr>
                <w:b/>
                <w:bCs/>
                <w:color w:val="FFFFFF"/>
                <w:sz w:val="18"/>
                <w:szCs w:val="18"/>
              </w:rPr>
              <w:t xml:space="preserve">Event</w:t>
            </w:r>
          </w:p>
        </w:tc>
        <w:tc>
          <w:tcPr>
            <w:tcW w:type="dxa" w:w="2100"/>
            <w:shd w:fill="8a5a00" w:color="auto" w:val="clear"/>
            <w:tcMar>
              <w:top w:type="dxa" w:w="40"/>
              <w:left w:type="dxa" w:w="70"/>
              <w:bottom w:type="dxa" w:w="40"/>
              <w:right w:type="dxa" w:w="70"/>
            </w:tcMar>
          </w:tcPr>
          <w:p>
            <w:pPr>
              <w:jc w:val="left"/>
            </w:pPr>
            <w:r>
              <w:rPr>
                <w:b/>
                <w:bCs/>
                <w:color w:val="FFFFFF"/>
                <w:sz w:val="18"/>
                <w:szCs w:val="18"/>
              </w:rPr>
              <w:t xml:space="preserve">Prior / context</w:t>
            </w:r>
          </w:p>
        </w:tc>
        <w:tc>
          <w:tcPr>
            <w:tcW w:type="dxa" w:w="1050"/>
            <w:shd w:fill="8a5a00" w:color="auto" w:val="clear"/>
            <w:tcMar>
              <w:top w:type="dxa" w:w="40"/>
              <w:left w:type="dxa" w:w="70"/>
              <w:bottom w:type="dxa" w:w="40"/>
              <w:right w:type="dxa" w:w="70"/>
            </w:tcMar>
          </w:tcPr>
          <w:p>
            <w:pPr>
              <w:jc w:val="left"/>
            </w:pPr>
            <w:r>
              <w:rPr>
                <w:b/>
                <w:bCs/>
                <w:color w:val="FFFFFF"/>
                <w:sz w:val="18"/>
                <w:szCs w:val="18"/>
              </w:rPr>
              <w:t xml:space="preserve">Impact</w:t>
            </w:r>
          </w:p>
        </w:tc>
        <w:tc>
          <w:tcPr>
            <w:tcW w:type="dxa" w:w="2960"/>
            <w:shd w:fill="8a5a00" w:color="auto" w:val="clear"/>
            <w:tcMar>
              <w:top w:type="dxa" w:w="40"/>
              <w:left w:type="dxa" w:w="70"/>
              <w:bottom w:type="dxa" w:w="40"/>
              <w:right w:type="dxa" w:w="70"/>
            </w:tcMar>
          </w:tcPr>
          <w:p>
            <w:pPr>
              <w:jc w:val="left"/>
            </w:pPr>
            <w:r>
              <w:rPr>
                <w:b/>
                <w:bCs/>
                <w:color w:val="FFFFFF"/>
                <w:sz w:val="18"/>
                <w:szCs w:val="18"/>
              </w:rPr>
              <w:t xml:space="preserve">Implication</w:t>
            </w:r>
          </w:p>
        </w:tc>
      </w:tr>
      <w:tr>
        <w:tc>
          <w:tcPr>
            <w:tcW w:type="dxa" w:w="1150"/>
            <w:tcMar>
              <w:top w:type="dxa" w:w="40"/>
              <w:left w:type="dxa" w:w="70"/>
              <w:bottom w:type="dxa" w:w="40"/>
              <w:right w:type="dxa" w:w="70"/>
            </w:tcMar>
          </w:tcPr>
          <w:p>
            <w:pPr>
              <w:jc w:val="left"/>
            </w:pPr>
            <w:r>
              <w:rPr>
                <w:b w:val="false"/>
                <w:bCs w:val="false"/>
                <w:color w:val="222222"/>
                <w:sz w:val="18"/>
                <w:szCs w:val="18"/>
              </w:rPr>
              <w:t xml:space="preserve">Tue 14 Jul</w:t>
            </w:r>
          </w:p>
        </w:tc>
        <w:tc>
          <w:tcPr>
            <w:tcW w:type="dxa" w:w="2100"/>
            <w:tcMar>
              <w:top w:type="dxa" w:w="40"/>
              <w:left w:type="dxa" w:w="70"/>
              <w:bottom w:type="dxa" w:w="40"/>
              <w:right w:type="dxa" w:w="70"/>
            </w:tcMar>
          </w:tcPr>
          <w:p>
            <w:pPr>
              <w:jc w:val="left"/>
            </w:pPr>
            <w:r>
              <w:rPr>
                <w:b w:val="false"/>
                <w:bCs w:val="false"/>
                <w:color w:val="222222"/>
                <w:sz w:val="18"/>
                <w:szCs w:val="18"/>
              </w:rPr>
              <w:t xml:space="preserve">June CPI</w:t>
            </w:r>
          </w:p>
        </w:tc>
        <w:tc>
          <w:tcPr>
            <w:tcW w:type="dxa" w:w="2100"/>
            <w:tcMar>
              <w:top w:type="dxa" w:w="40"/>
              <w:left w:type="dxa" w:w="70"/>
              <w:bottom w:type="dxa" w:w="40"/>
              <w:right w:type="dxa" w:w="70"/>
            </w:tcMar>
          </w:tcPr>
          <w:p>
            <w:pPr>
              <w:jc w:val="left"/>
            </w:pPr>
            <w:r>
              <w:rPr>
                <w:b w:val="false"/>
                <w:bCs w:val="false"/>
                <w:color w:val="222222"/>
                <w:sz w:val="18"/>
                <w:szCs w:val="18"/>
              </w:rPr>
              <w:t xml:space="preserve">Came in cooler than expected</w:t>
            </w:r>
          </w:p>
        </w:tc>
        <w:tc>
          <w:tcPr>
            <w:tcW w:type="dxa" w:w="1050"/>
            <w:tcMar>
              <w:top w:type="dxa" w:w="40"/>
              <w:left w:type="dxa" w:w="70"/>
              <w:bottom w:type="dxa" w:w="40"/>
              <w:right w:type="dxa" w:w="70"/>
            </w:tcMar>
          </w:tcPr>
          <w:p>
            <w:pPr>
              <w:jc w:val="left"/>
            </w:pPr>
            <w:r>
              <w:rPr>
                <w:b w:val="false"/>
                <w:bCs w:val="false"/>
                <w:color w:val="222222"/>
                <w:sz w:val="18"/>
                <w:szCs w:val="18"/>
              </w:rPr>
              <w:t xml:space="preserve">High</w:t>
            </w:r>
          </w:p>
        </w:tc>
        <w:tc>
          <w:tcPr>
            <w:tcW w:type="dxa" w:w="2960"/>
            <w:tcMar>
              <w:top w:type="dxa" w:w="40"/>
              <w:left w:type="dxa" w:w="70"/>
              <w:bottom w:type="dxa" w:w="40"/>
              <w:right w:type="dxa" w:w="70"/>
            </w:tcMar>
          </w:tcPr>
          <w:p>
            <w:pPr>
              <w:jc w:val="left"/>
            </w:pPr>
            <w:r>
              <w:rPr>
                <w:b w:val="false"/>
                <w:bCs w:val="false"/>
                <w:color w:val="222222"/>
                <w:sz w:val="16"/>
                <w:szCs w:val="16"/>
              </w:rPr>
              <w:t xml:space="preserve">Lifted index +0.38% intraday; supported rate-hold hopes</w:t>
            </w:r>
          </w:p>
        </w:tc>
      </w:tr>
      <w:tr>
        <w:tc>
          <w:tcPr>
            <w:tcW w:type="dxa" w:w="1150"/>
            <w:tcMar>
              <w:top w:type="dxa" w:w="40"/>
              <w:left w:type="dxa" w:w="70"/>
              <w:bottom w:type="dxa" w:w="40"/>
              <w:right w:type="dxa" w:w="70"/>
            </w:tcMar>
          </w:tcPr>
          <w:p>
            <w:pPr>
              <w:jc w:val="left"/>
            </w:pPr>
            <w:r>
              <w:rPr>
                <w:b w:val="false"/>
                <w:bCs w:val="false"/>
                <w:color w:val="222222"/>
                <w:sz w:val="18"/>
                <w:szCs w:val="18"/>
              </w:rPr>
              <w:t xml:space="preserve">14–15 Jul</w:t>
            </w:r>
          </w:p>
        </w:tc>
        <w:tc>
          <w:tcPr>
            <w:tcW w:type="dxa" w:w="2100"/>
            <w:tcMar>
              <w:top w:type="dxa" w:w="40"/>
              <w:left w:type="dxa" w:w="70"/>
              <w:bottom w:type="dxa" w:w="40"/>
              <w:right w:type="dxa" w:w="70"/>
            </w:tcMar>
          </w:tcPr>
          <w:p>
            <w:pPr>
              <w:jc w:val="left"/>
            </w:pPr>
            <w:r>
              <w:rPr>
                <w:b w:val="false"/>
                <w:bCs w:val="false"/>
                <w:color w:val="222222"/>
                <w:sz w:val="18"/>
                <w:szCs w:val="18"/>
              </w:rPr>
              <w:t xml:space="preserve">Big-bank Q2 earnings</w:t>
            </w:r>
          </w:p>
        </w:tc>
        <w:tc>
          <w:tcPr>
            <w:tcW w:type="dxa" w:w="2100"/>
            <w:tcMar>
              <w:top w:type="dxa" w:w="40"/>
              <w:left w:type="dxa" w:w="70"/>
              <w:bottom w:type="dxa" w:w="40"/>
              <w:right w:type="dxa" w:w="70"/>
            </w:tcMar>
          </w:tcPr>
          <w:p>
            <w:pPr>
              <w:jc w:val="left"/>
            </w:pPr>
            <w:r>
              <w:rPr>
                <w:b w:val="false"/>
                <w:bCs w:val="false"/>
                <w:color w:val="222222"/>
                <w:sz w:val="18"/>
                <w:szCs w:val="18"/>
              </w:rPr>
              <w:t xml:space="preserve">GS, JPM, C beat handily</w:t>
            </w:r>
          </w:p>
        </w:tc>
        <w:tc>
          <w:tcPr>
            <w:tcW w:type="dxa" w:w="1050"/>
            <w:tcMar>
              <w:top w:type="dxa" w:w="40"/>
              <w:left w:type="dxa" w:w="70"/>
              <w:bottom w:type="dxa" w:w="40"/>
              <w:right w:type="dxa" w:w="70"/>
            </w:tcMar>
          </w:tcPr>
          <w:p>
            <w:pPr>
              <w:jc w:val="left"/>
            </w:pPr>
            <w:r>
              <w:rPr>
                <w:b w:val="false"/>
                <w:bCs w:val="false"/>
                <w:color w:val="222222"/>
                <w:sz w:val="18"/>
                <w:szCs w:val="18"/>
              </w:rPr>
              <w:t xml:space="preserve">High</w:t>
            </w:r>
          </w:p>
        </w:tc>
        <w:tc>
          <w:tcPr>
            <w:tcW w:type="dxa" w:w="2960"/>
            <w:tcMar>
              <w:top w:type="dxa" w:w="40"/>
              <w:left w:type="dxa" w:w="70"/>
              <w:bottom w:type="dxa" w:w="40"/>
              <w:right w:type="dxa" w:w="70"/>
            </w:tcMar>
          </w:tcPr>
          <w:p>
            <w:pPr>
              <w:jc w:val="left"/>
            </w:pPr>
            <w:r>
              <w:rPr>
                <w:b w:val="false"/>
                <w:bCs w:val="false"/>
                <w:color w:val="222222"/>
                <w:sz w:val="16"/>
                <w:szCs w:val="16"/>
              </w:rPr>
              <w:t xml:space="preserve">Underpinned earnings-growth revision to ~26%</w:t>
            </w:r>
          </w:p>
        </w:tc>
      </w:tr>
      <w:tr>
        <w:tc>
          <w:tcPr>
            <w:tcW w:type="dxa" w:w="1150"/>
            <w:tcMar>
              <w:top w:type="dxa" w:w="40"/>
              <w:left w:type="dxa" w:w="70"/>
              <w:bottom w:type="dxa" w:w="40"/>
              <w:right w:type="dxa" w:w="70"/>
            </w:tcMar>
          </w:tcPr>
          <w:p>
            <w:pPr>
              <w:jc w:val="left"/>
            </w:pPr>
            <w:r>
              <w:rPr>
                <w:b w:val="false"/>
                <w:bCs w:val="false"/>
                <w:color w:val="222222"/>
                <w:sz w:val="18"/>
                <w:szCs w:val="18"/>
              </w:rPr>
              <w:t xml:space="preserve">16 Jul</w:t>
            </w:r>
          </w:p>
        </w:tc>
        <w:tc>
          <w:tcPr>
            <w:tcW w:type="dxa" w:w="2100"/>
            <w:tcMar>
              <w:top w:type="dxa" w:w="40"/>
              <w:left w:type="dxa" w:w="70"/>
              <w:bottom w:type="dxa" w:w="40"/>
              <w:right w:type="dxa" w:w="70"/>
            </w:tcMar>
          </w:tcPr>
          <w:p>
            <w:pPr>
              <w:jc w:val="left"/>
            </w:pPr>
            <w:r>
              <w:rPr>
                <w:b w:val="false"/>
                <w:bCs w:val="false"/>
                <w:color w:val="222222"/>
                <w:sz w:val="18"/>
                <w:szCs w:val="18"/>
              </w:rPr>
              <w:t xml:space="preserve">TSMC capex guide</w:t>
            </w:r>
          </w:p>
        </w:tc>
        <w:tc>
          <w:tcPr>
            <w:tcW w:type="dxa" w:w="2100"/>
            <w:tcMar>
              <w:top w:type="dxa" w:w="40"/>
              <w:left w:type="dxa" w:w="70"/>
              <w:bottom w:type="dxa" w:w="40"/>
              <w:right w:type="dxa" w:w="70"/>
            </w:tcMar>
          </w:tcPr>
          <w:p>
            <w:pPr>
              <w:jc w:val="left"/>
            </w:pPr>
            <w:r>
              <w:rPr>
                <w:b w:val="false"/>
                <w:bCs w:val="false"/>
                <w:color w:val="222222"/>
                <w:sz w:val="18"/>
                <w:szCs w:val="18"/>
              </w:rPr>
              <w:t xml:space="preserve">Raised to $60–64bn</w:t>
            </w:r>
          </w:p>
        </w:tc>
        <w:tc>
          <w:tcPr>
            <w:tcW w:type="dxa" w:w="1050"/>
            <w:tcMar>
              <w:top w:type="dxa" w:w="40"/>
              <w:left w:type="dxa" w:w="70"/>
              <w:bottom w:type="dxa" w:w="40"/>
              <w:right w:type="dxa" w:w="70"/>
            </w:tcMar>
          </w:tcPr>
          <w:p>
            <w:pPr>
              <w:jc w:val="left"/>
            </w:pPr>
            <w:r>
              <w:rPr>
                <w:b w:val="false"/>
                <w:bCs w:val="false"/>
                <w:color w:val="222222"/>
                <w:sz w:val="18"/>
                <w:szCs w:val="18"/>
              </w:rPr>
              <w:t xml:space="preserve">Medium</w:t>
            </w:r>
          </w:p>
        </w:tc>
        <w:tc>
          <w:tcPr>
            <w:tcW w:type="dxa" w:w="2960"/>
            <w:tcMar>
              <w:top w:type="dxa" w:w="40"/>
              <w:left w:type="dxa" w:w="70"/>
              <w:bottom w:type="dxa" w:w="40"/>
              <w:right w:type="dxa" w:w="70"/>
            </w:tcMar>
          </w:tcPr>
          <w:p>
            <w:pPr>
              <w:jc w:val="left"/>
            </w:pPr>
            <w:r>
              <w:rPr>
                <w:b w:val="false"/>
                <w:bCs w:val="false"/>
                <w:color w:val="222222"/>
                <w:sz w:val="16"/>
                <w:szCs w:val="16"/>
              </w:rPr>
              <w:t xml:space="preserve">Overshadowed the beat; chip weakness deepened</w:t>
            </w:r>
          </w:p>
        </w:tc>
      </w:tr>
      <w:tr>
        <w:tc>
          <w:tcPr>
            <w:tcW w:type="dxa" w:w="1150"/>
            <w:tcMar>
              <w:top w:type="dxa" w:w="40"/>
              <w:left w:type="dxa" w:w="70"/>
              <w:bottom w:type="dxa" w:w="40"/>
              <w:right w:type="dxa" w:w="70"/>
            </w:tcMar>
          </w:tcPr>
          <w:p>
            <w:pPr>
              <w:jc w:val="left"/>
            </w:pPr>
            <w:r>
              <w:rPr>
                <w:b w:val="false"/>
                <w:bCs w:val="false"/>
                <w:color w:val="222222"/>
                <w:sz w:val="18"/>
                <w:szCs w:val="18"/>
              </w:rPr>
              <w:t xml:space="preserve">17 Jul</w:t>
            </w:r>
          </w:p>
        </w:tc>
        <w:tc>
          <w:tcPr>
            <w:tcW w:type="dxa" w:w="2100"/>
            <w:tcMar>
              <w:top w:type="dxa" w:w="40"/>
              <w:left w:type="dxa" w:w="70"/>
              <w:bottom w:type="dxa" w:w="40"/>
              <w:right w:type="dxa" w:w="70"/>
            </w:tcMar>
          </w:tcPr>
          <w:p>
            <w:pPr>
              <w:jc w:val="left"/>
            </w:pPr>
            <w:r>
              <w:rPr>
                <w:b w:val="false"/>
                <w:bCs w:val="false"/>
                <w:color w:val="222222"/>
                <w:sz w:val="18"/>
                <w:szCs w:val="18"/>
              </w:rPr>
              <w:t xml:space="preserve">Chinese AI model / Iran</w:t>
            </w:r>
          </w:p>
        </w:tc>
        <w:tc>
          <w:tcPr>
            <w:tcW w:type="dxa" w:w="2100"/>
            <w:tcMar>
              <w:top w:type="dxa" w:w="40"/>
              <w:left w:type="dxa" w:w="70"/>
              <w:bottom w:type="dxa" w:w="40"/>
              <w:right w:type="dxa" w:w="70"/>
            </w:tcMar>
          </w:tcPr>
          <w:p>
            <w:pPr>
              <w:jc w:val="left"/>
            </w:pPr>
            <w:r>
              <w:rPr>
                <w:b w:val="false"/>
                <w:bCs w:val="false"/>
                <w:color w:val="222222"/>
                <w:sz w:val="18"/>
                <w:szCs w:val="18"/>
              </w:rPr>
              <w:t xml:space="preserve">Moonshot model; Hormuz strikes</w:t>
            </w:r>
          </w:p>
        </w:tc>
        <w:tc>
          <w:tcPr>
            <w:tcW w:type="dxa" w:w="1050"/>
            <w:tcMar>
              <w:top w:type="dxa" w:w="40"/>
              <w:left w:type="dxa" w:w="70"/>
              <w:bottom w:type="dxa" w:w="40"/>
              <w:right w:type="dxa" w:w="70"/>
            </w:tcMar>
          </w:tcPr>
          <w:p>
            <w:pPr>
              <w:jc w:val="left"/>
            </w:pPr>
            <w:r>
              <w:rPr>
                <w:b w:val="false"/>
                <w:bCs w:val="false"/>
                <w:color w:val="222222"/>
                <w:sz w:val="18"/>
                <w:szCs w:val="18"/>
              </w:rPr>
              <w:t xml:space="preserve">High</w:t>
            </w:r>
          </w:p>
        </w:tc>
        <w:tc>
          <w:tcPr>
            <w:tcW w:type="dxa" w:w="2960"/>
            <w:tcMar>
              <w:top w:type="dxa" w:w="40"/>
              <w:left w:type="dxa" w:w="70"/>
              <w:bottom w:type="dxa" w:w="40"/>
              <w:right w:type="dxa" w:w="70"/>
            </w:tcMar>
          </w:tcPr>
          <w:p>
            <w:pPr>
              <w:jc w:val="left"/>
            </w:pPr>
            <w:r>
              <w:rPr>
                <w:b w:val="false"/>
                <w:bCs w:val="false"/>
                <w:color w:val="222222"/>
                <w:sz w:val="16"/>
                <w:szCs w:val="16"/>
              </w:rPr>
              <w:t xml:space="preserve">Chip gauge to bear market; oil &gt;$80; −1.01% close</w:t>
            </w:r>
          </w:p>
        </w:tc>
      </w:tr>
    </w:tbl>
    <w:p>
      <w:r>
        <w:rPr>
          <w:b/>
          <w:bCs/>
          <w:color w:val="8a5a00"/>
          <w:sz w:val="19"/>
          <w:szCs w:val="19"/>
        </w:rPr>
        <w:t xml:space="preserve">13d · Upcoming Period Calendar (next 5 sessions)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350"/>
        <w:gridCol w:w="2350"/>
        <w:gridCol w:w="1900"/>
        <w:gridCol w:w="1050"/>
        <w:gridCol w:w="2710"/>
      </w:tblGrid>
      <w:tr>
        <w:trPr>
          <w:tblHeader/>
        </w:trPr>
        <w:tc>
          <w:tcPr>
            <w:tcW w:type="dxa" w:w="1350"/>
            <w:shd w:fill="8a5a00" w:color="auto" w:val="clear"/>
            <w:tcMar>
              <w:top w:type="dxa" w:w="40"/>
              <w:left w:type="dxa" w:w="70"/>
              <w:bottom w:type="dxa" w:w="40"/>
              <w:right w:type="dxa" w:w="70"/>
            </w:tcMar>
          </w:tcPr>
          <w:p>
            <w:pPr>
              <w:jc w:val="left"/>
            </w:pPr>
            <w:r>
              <w:rPr>
                <w:b/>
                <w:bCs/>
                <w:color w:val="FFFFFF"/>
                <w:sz w:val="18"/>
                <w:szCs w:val="18"/>
              </w:rPr>
              <w:t xml:space="preserve">Date</w:t>
            </w:r>
          </w:p>
        </w:tc>
        <w:tc>
          <w:tcPr>
            <w:tcW w:type="dxa" w:w="2350"/>
            <w:shd w:fill="8a5a00" w:color="auto" w:val="clear"/>
            <w:tcMar>
              <w:top w:type="dxa" w:w="40"/>
              <w:left w:type="dxa" w:w="70"/>
              <w:bottom w:type="dxa" w:w="40"/>
              <w:right w:type="dxa" w:w="70"/>
            </w:tcMar>
          </w:tcPr>
          <w:p>
            <w:pPr>
              <w:jc w:val="left"/>
            </w:pPr>
            <w:r>
              <w:rPr>
                <w:b/>
                <w:bCs/>
                <w:color w:val="FFFFFF"/>
                <w:sz w:val="18"/>
                <w:szCs w:val="18"/>
              </w:rPr>
              <w:t xml:space="preserve">Event</w:t>
            </w:r>
          </w:p>
        </w:tc>
        <w:tc>
          <w:tcPr>
            <w:tcW w:type="dxa" w:w="1900"/>
            <w:shd w:fill="8a5a00" w:color="auto" w:val="clear"/>
            <w:tcMar>
              <w:top w:type="dxa" w:w="40"/>
              <w:left w:type="dxa" w:w="70"/>
              <w:bottom w:type="dxa" w:w="40"/>
              <w:right w:type="dxa" w:w="70"/>
            </w:tcMar>
          </w:tcPr>
          <w:p>
            <w:pPr>
              <w:jc w:val="left"/>
            </w:pPr>
            <w:r>
              <w:rPr>
                <w:b/>
                <w:bCs/>
                <w:color w:val="FFFFFF"/>
                <w:sz w:val="18"/>
                <w:szCs w:val="18"/>
              </w:rPr>
              <w:t xml:space="preserve">Context</w:t>
            </w:r>
          </w:p>
        </w:tc>
        <w:tc>
          <w:tcPr>
            <w:tcW w:type="dxa" w:w="1050"/>
            <w:shd w:fill="8a5a00" w:color="auto" w:val="clear"/>
            <w:tcMar>
              <w:top w:type="dxa" w:w="40"/>
              <w:left w:type="dxa" w:w="70"/>
              <w:bottom w:type="dxa" w:w="40"/>
              <w:right w:type="dxa" w:w="70"/>
            </w:tcMar>
          </w:tcPr>
          <w:p>
            <w:pPr>
              <w:jc w:val="left"/>
            </w:pPr>
            <w:r>
              <w:rPr>
                <w:b/>
                <w:bCs/>
                <w:color w:val="FFFFFF"/>
                <w:sz w:val="18"/>
                <w:szCs w:val="18"/>
              </w:rPr>
              <w:t xml:space="preserve">Impact</w:t>
            </w:r>
          </w:p>
        </w:tc>
        <w:tc>
          <w:tcPr>
            <w:tcW w:type="dxa" w:w="2710"/>
            <w:shd w:fill="8a5a00" w:color="auto" w:val="clear"/>
            <w:tcMar>
              <w:top w:type="dxa" w:w="40"/>
              <w:left w:type="dxa" w:w="70"/>
              <w:bottom w:type="dxa" w:w="40"/>
              <w:right w:type="dxa" w:w="70"/>
            </w:tcMar>
          </w:tcPr>
          <w:p>
            <w:pPr>
              <w:jc w:val="left"/>
            </w:pPr>
            <w:r>
              <w:rPr>
                <w:b/>
                <w:bCs/>
                <w:color w:val="FFFFFF"/>
                <w:sz w:val="18"/>
                <w:szCs w:val="18"/>
              </w:rPr>
              <w:t xml:space="preserve">Implication (beat / miss)</w:t>
            </w:r>
          </w:p>
        </w:tc>
      </w:tr>
      <w:tr>
        <w:tc>
          <w:tcPr>
            <w:tcW w:type="dxa" w:w="1350"/>
            <w:tcMar>
              <w:top w:type="dxa" w:w="40"/>
              <w:left w:type="dxa" w:w="70"/>
              <w:bottom w:type="dxa" w:w="40"/>
              <w:right w:type="dxa" w:w="70"/>
            </w:tcMar>
          </w:tcPr>
          <w:p>
            <w:pPr>
              <w:jc w:val="left"/>
            </w:pPr>
            <w:r>
              <w:rPr>
                <w:b w:val="false"/>
                <w:bCs w:val="false"/>
                <w:color w:val="222222"/>
                <w:sz w:val="18"/>
                <w:szCs w:val="18"/>
              </w:rPr>
              <w:t xml:space="preserve">Wk 20–24 Jul</w:t>
            </w:r>
          </w:p>
        </w:tc>
        <w:tc>
          <w:tcPr>
            <w:tcW w:type="dxa" w:w="2350"/>
            <w:tcMar>
              <w:top w:type="dxa" w:w="40"/>
              <w:left w:type="dxa" w:w="70"/>
              <w:bottom w:type="dxa" w:w="40"/>
              <w:right w:type="dxa" w:w="70"/>
            </w:tcMar>
          </w:tcPr>
          <w:p>
            <w:pPr>
              <w:jc w:val="left"/>
            </w:pPr>
            <w:r>
              <w:rPr>
                <w:b/>
                <w:bCs/>
                <w:sz w:val="16"/>
                <w:szCs w:val="16"/>
              </w:rPr>
              <w:t xml:space="preserve">Mega-cap tech earnings</w:t>
            </w:r>
          </w:p>
        </w:tc>
        <w:tc>
          <w:tcPr>
            <w:tcW w:type="dxa" w:w="1900"/>
            <w:tcMar>
              <w:top w:type="dxa" w:w="40"/>
              <w:left w:type="dxa" w:w="70"/>
              <w:bottom w:type="dxa" w:w="40"/>
              <w:right w:type="dxa" w:w="70"/>
            </w:tcMar>
          </w:tcPr>
          <w:p>
            <w:pPr>
              <w:jc w:val="left"/>
            </w:pPr>
            <w:r>
              <w:rPr>
                <w:b w:val="false"/>
                <w:bCs w:val="false"/>
                <w:color w:val="222222"/>
                <w:sz w:val="18"/>
                <w:szCs w:val="18"/>
              </w:rPr>
              <w:t xml:space="preserve">Magnificent-7 names report</w:t>
            </w:r>
          </w:p>
        </w:tc>
        <w:tc>
          <w:tcPr>
            <w:tcW w:type="dxa" w:w="1050"/>
            <w:tcMar>
              <w:top w:type="dxa" w:w="40"/>
              <w:left w:type="dxa" w:w="70"/>
              <w:bottom w:type="dxa" w:w="40"/>
              <w:right w:type="dxa" w:w="70"/>
            </w:tcMar>
          </w:tcPr>
          <w:p>
            <w:pPr>
              <w:jc w:val="left"/>
            </w:pPr>
            <w:r>
              <w:rPr>
                <w:b w:val="false"/>
                <w:bCs w:val="false"/>
                <w:color w:val="222222"/>
                <w:sz w:val="18"/>
                <w:szCs w:val="18"/>
              </w:rPr>
              <w:t xml:space="preserve">High</w:t>
            </w:r>
          </w:p>
        </w:tc>
        <w:tc>
          <w:tcPr>
            <w:tcW w:type="dxa" w:w="2710"/>
            <w:tcMar>
              <w:top w:type="dxa" w:w="40"/>
              <w:left w:type="dxa" w:w="70"/>
              <w:bottom w:type="dxa" w:w="40"/>
              <w:right w:type="dxa" w:w="70"/>
            </w:tcMar>
          </w:tcPr>
          <w:p>
            <w:pPr>
              <w:jc w:val="left"/>
            </w:pPr>
            <w:r>
              <w:rPr>
                <w:b w:val="false"/>
                <w:bCs w:val="false"/>
                <w:color w:val="222222"/>
                <w:sz w:val="16"/>
                <w:szCs w:val="16"/>
              </w:rPr>
              <w:t xml:space="preserve">Beat re-anchors the bid toward 7,533–7,572; miss extends the tech-led drawdown toward 7,336</w:t>
            </w:r>
          </w:p>
        </w:tc>
      </w:tr>
      <w:tr>
        <w:tc>
          <w:tcPr>
            <w:tcW w:type="dxa" w:w="1350"/>
            <w:tcMar>
              <w:top w:type="dxa" w:w="40"/>
              <w:left w:type="dxa" w:w="70"/>
              <w:bottom w:type="dxa" w:w="40"/>
              <w:right w:type="dxa" w:w="70"/>
            </w:tcMar>
          </w:tcPr>
          <w:p>
            <w:pPr>
              <w:jc w:val="left"/>
            </w:pPr>
            <w:r>
              <w:rPr>
                <w:b w:val="false"/>
                <w:bCs w:val="false"/>
                <w:color w:val="222222"/>
                <w:sz w:val="18"/>
                <w:szCs w:val="18"/>
              </w:rPr>
              <w:t xml:space="preserve">Ongoing</w:t>
            </w:r>
          </w:p>
        </w:tc>
        <w:tc>
          <w:tcPr>
            <w:tcW w:type="dxa" w:w="2350"/>
            <w:tcMar>
              <w:top w:type="dxa" w:w="40"/>
              <w:left w:type="dxa" w:w="70"/>
              <w:bottom w:type="dxa" w:w="40"/>
              <w:right w:type="dxa" w:w="70"/>
            </w:tcMar>
          </w:tcPr>
          <w:p>
            <w:pPr>
              <w:jc w:val="left"/>
            </w:pPr>
            <w:r>
              <w:rPr>
                <w:b w:val="false"/>
                <w:bCs w:val="false"/>
                <w:color w:val="222222"/>
                <w:sz w:val="18"/>
                <w:szCs w:val="18"/>
              </w:rPr>
              <w:t xml:space="preserve">US–Iran / oil</w:t>
            </w:r>
          </w:p>
        </w:tc>
        <w:tc>
          <w:tcPr>
            <w:tcW w:type="dxa" w:w="1900"/>
            <w:tcMar>
              <w:top w:type="dxa" w:w="40"/>
              <w:left w:type="dxa" w:w="70"/>
              <w:bottom w:type="dxa" w:w="40"/>
              <w:right w:type="dxa" w:w="70"/>
            </w:tcMar>
          </w:tcPr>
          <w:p>
            <w:pPr>
              <w:jc w:val="left"/>
            </w:pPr>
            <w:r>
              <w:rPr>
                <w:b w:val="false"/>
                <w:bCs w:val="false"/>
                <w:color w:val="222222"/>
                <w:sz w:val="18"/>
                <w:szCs w:val="18"/>
              </w:rPr>
              <w:t xml:space="preserve">Hormuz tensions, oil &gt;$80</w:t>
            </w:r>
          </w:p>
        </w:tc>
        <w:tc>
          <w:tcPr>
            <w:tcW w:type="dxa" w:w="1050"/>
            <w:tcMar>
              <w:top w:type="dxa" w:w="40"/>
              <w:left w:type="dxa" w:w="70"/>
              <w:bottom w:type="dxa" w:w="40"/>
              <w:right w:type="dxa" w:w="70"/>
            </w:tcMar>
          </w:tcPr>
          <w:p>
            <w:pPr>
              <w:jc w:val="left"/>
            </w:pPr>
            <w:r>
              <w:rPr>
                <w:b w:val="false"/>
                <w:bCs w:val="false"/>
                <w:color w:val="222222"/>
                <w:sz w:val="18"/>
                <w:szCs w:val="18"/>
              </w:rPr>
              <w:t xml:space="preserve">Medium</w:t>
            </w:r>
          </w:p>
        </w:tc>
        <w:tc>
          <w:tcPr>
            <w:tcW w:type="dxa" w:w="2710"/>
            <w:tcMar>
              <w:top w:type="dxa" w:w="40"/>
              <w:left w:type="dxa" w:w="70"/>
              <w:bottom w:type="dxa" w:w="40"/>
              <w:right w:type="dxa" w:w="70"/>
            </w:tcMar>
          </w:tcPr>
          <w:p>
            <w:pPr>
              <w:jc w:val="left"/>
            </w:pPr>
            <w:r>
              <w:rPr>
                <w:b w:val="false"/>
                <w:bCs w:val="false"/>
                <w:color w:val="222222"/>
                <w:sz w:val="16"/>
                <w:szCs w:val="16"/>
              </w:rPr>
              <w:t xml:space="preserve">Further escalation lifts oil and rate-hold risk — equity-negative</w:t>
            </w:r>
          </w:p>
        </w:tc>
      </w:tr>
      <w:tr>
        <w:tc>
          <w:tcPr>
            <w:tcW w:type="dxa" w:w="1350"/>
            <w:tcMar>
              <w:top w:type="dxa" w:w="40"/>
              <w:left w:type="dxa" w:w="70"/>
              <w:bottom w:type="dxa" w:w="40"/>
              <w:right w:type="dxa" w:w="70"/>
            </w:tcMar>
          </w:tcPr>
          <w:p>
            <w:pPr>
              <w:jc w:val="left"/>
            </w:pPr>
            <w:r>
              <w:rPr>
                <w:b w:val="false"/>
                <w:bCs w:val="false"/>
                <w:color w:val="222222"/>
                <w:sz w:val="18"/>
                <w:szCs w:val="18"/>
              </w:rPr>
              <w:t xml:space="preserve">28–29 Jul</w:t>
            </w:r>
          </w:p>
        </w:tc>
        <w:tc>
          <w:tcPr>
            <w:tcW w:type="dxa" w:w="2350"/>
            <w:tcMar>
              <w:top w:type="dxa" w:w="40"/>
              <w:left w:type="dxa" w:w="70"/>
              <w:bottom w:type="dxa" w:w="40"/>
              <w:right w:type="dxa" w:w="70"/>
            </w:tcMar>
          </w:tcPr>
          <w:p>
            <w:pPr>
              <w:jc w:val="left"/>
            </w:pPr>
            <w:r>
              <w:rPr>
                <w:b w:val="false"/>
                <w:bCs w:val="false"/>
                <w:color w:val="222222"/>
                <w:sz w:val="18"/>
                <w:szCs w:val="18"/>
              </w:rPr>
              <w:t xml:space="preserve">FOMC (just beyond horizon)</w:t>
            </w:r>
          </w:p>
        </w:tc>
        <w:tc>
          <w:tcPr>
            <w:tcW w:type="dxa" w:w="1900"/>
            <w:tcMar>
              <w:top w:type="dxa" w:w="40"/>
              <w:left w:type="dxa" w:w="70"/>
              <w:bottom w:type="dxa" w:w="40"/>
              <w:right w:type="dxa" w:w="70"/>
            </w:tcMar>
          </w:tcPr>
          <w:p>
            <w:pPr>
              <w:jc w:val="left"/>
            </w:pPr>
            <w:r>
              <w:rPr>
                <w:b w:val="false"/>
                <w:bCs w:val="false"/>
                <w:color w:val="222222"/>
                <w:sz w:val="18"/>
                <w:szCs w:val="18"/>
              </w:rPr>
              <w:t xml:space="preserve">Reduced Fed communication</w:t>
            </w:r>
          </w:p>
        </w:tc>
        <w:tc>
          <w:tcPr>
            <w:tcW w:type="dxa" w:w="1050"/>
            <w:tcMar>
              <w:top w:type="dxa" w:w="40"/>
              <w:left w:type="dxa" w:w="70"/>
              <w:bottom w:type="dxa" w:w="40"/>
              <w:right w:type="dxa" w:w="70"/>
            </w:tcMar>
          </w:tcPr>
          <w:p>
            <w:pPr>
              <w:jc w:val="left"/>
            </w:pPr>
            <w:r>
              <w:rPr>
                <w:b w:val="false"/>
                <w:bCs w:val="false"/>
                <w:color w:val="222222"/>
                <w:sz w:val="18"/>
                <w:szCs w:val="18"/>
              </w:rPr>
              <w:t xml:space="preserve">High</w:t>
            </w:r>
          </w:p>
        </w:tc>
        <w:tc>
          <w:tcPr>
            <w:tcW w:type="dxa" w:w="2710"/>
            <w:tcMar>
              <w:top w:type="dxa" w:w="40"/>
              <w:left w:type="dxa" w:w="70"/>
              <w:bottom w:type="dxa" w:w="40"/>
              <w:right w:type="dxa" w:w="70"/>
            </w:tcMar>
          </w:tcPr>
          <w:p>
            <w:pPr>
              <w:jc w:val="left"/>
            </w:pPr>
            <w:r>
              <w:rPr>
                <w:b w:val="false"/>
                <w:bCs w:val="false"/>
                <w:color w:val="222222"/>
                <w:sz w:val="16"/>
                <w:szCs w:val="16"/>
              </w:rPr>
              <w:t xml:space="preserve">Hawkish tilt would pressure valuations; watch item for the following week</w:t>
            </w:r>
          </w:p>
        </w:tc>
      </w:tr>
    </w:tbl>
    <w:p>
      <w:pPr>
        <w:spacing w:after="120"/>
      </w:pPr>
      <w:r>
        <w:rPr>
          <w:i/>
          <w:iCs/>
          <w:color w:val="666666"/>
          <w:sz w:val="17"/>
          <w:szCs w:val="17"/>
        </w:rPr>
        <w:t xml:space="preserve">Highest-impact upcoming event (bold): mega-cap tech earnings. A single Magnificent-7 miss would meaningfully lower the consensus price view given the index's concentration, while a broad beat is the most credible path back above the 7,533 shelf.</w:t>
      </w:r>
    </w:p>
    <w:p>
      <w:pPr>
        <w:pStyle w:val="Heading1"/>
        <w:spacing w:after="110" w:before="220"/>
      </w:pPr>
      <w:r>
        <w:rPr>
          <w:b/>
          <w:bCs/>
          <w:color w:val="8a5a00"/>
        </w:rPr>
        <w:t xml:space="preserve">14 · Macro Context</w:t>
      </w:r>
    </w:p>
    <w:p>
      <w:pPr>
        <w:spacing w:after="100"/>
        <w:jc w:val="both"/>
      </w:pPr>
      <w:r>
        <w:rPr>
          <w:sz w:val="20"/>
          <w:szCs w:val="20"/>
        </w:rPr>
        <w:t xml:space="preserve">Rates and monetary policy: cooler June CPI briefly supported the rate-hold narrative, but the oil spike reintroduced upside inflation risk into the 28–29 July FOMC. Cross-referencing the §10 VIX read (rising, risk-off), the volatility bid is consistent with markets pricing greater policy uncertainty. Inflation: the renewed oil move above $80 is price-negative for equities via the rate channel. Safe-haven / real yields: gold was firm (~$4,019) alongside the equity sell-off, consistent with defensive demand — supportive of the risk-off read. Liquidity and FX: per §10 the Dollar Index is soft near 100.6, a mild easing of global conditions that only partially offsets the equity drawdown; this contradiction is carried, not resolved. Energy: oil above $80 on Hormuz tensions is the key macro swing factor for the week. Positioning: VIX at 18.77 is elevated but not stressed (below the 20 threshold), indicating caution rather than capitulation. Watch item from §13d: mega-cap tech earnings are the dominant macro-adjacent catalyst; an FOMC hawkish surprise the following week is the secondary risk.</w:t>
      </w:r>
    </w:p>
    <w:p>
      <w:pPr>
        <w:pStyle w:val="Heading1"/>
        <w:spacing w:after="110" w:before="220"/>
      </w:pPr>
      <w:r>
        <w:rPr>
          <w:b/>
          <w:bCs/>
          <w:color w:val="1F3864"/>
        </w:rPr>
        <w:t xml:space="preserve">15 · Bull / Bear Balance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4680"/>
        <w:gridCol w:w="4680"/>
      </w:tblGrid>
      <w:tr>
        <w:tc>
          <w:tcPr>
            <w:tcW w:type="dxa" w:w="4680"/>
            <w:shd w:fill="E5F0E8" w:color="auto" w:val="clear"/>
            <w:tcMar>
              <w:top w:type="dxa" w:w="40"/>
              <w:left w:type="dxa" w:w="70"/>
              <w:bottom w:type="dxa" w:w="40"/>
              <w:right w:type="dxa" w:w="70"/>
            </w:tcMar>
          </w:tcPr>
          <w:p>
            <w:pPr>
              <w:jc w:val="left"/>
            </w:pPr>
            <w:r>
              <w:rPr>
                <w:b/>
                <w:bCs/>
                <w:color w:val="1a6d3a"/>
                <w:sz w:val="18"/>
                <w:szCs w:val="18"/>
              </w:rPr>
              <w:t xml:space="preserve">Main upside risks</w:t>
            </w:r>
          </w:p>
        </w:tc>
        <w:tc>
          <w:tcPr>
            <w:tcW w:type="dxa" w:w="4680"/>
            <w:shd w:fill="F6E5EF" w:color="auto" w:val="clear"/>
            <w:tcMar>
              <w:top w:type="dxa" w:w="40"/>
              <w:left w:type="dxa" w:w="70"/>
              <w:bottom w:type="dxa" w:w="40"/>
              <w:right w:type="dxa" w:w="70"/>
            </w:tcMar>
          </w:tcPr>
          <w:p>
            <w:pPr>
              <w:jc w:val="left"/>
            </w:pPr>
            <w:r>
              <w:rPr>
                <w:b/>
                <w:bCs/>
                <w:color w:val="9c1f5f"/>
                <w:sz w:val="18"/>
                <w:szCs w:val="18"/>
              </w:rPr>
              <w:t xml:space="preserve">Main downside risks</w:t>
            </w:r>
          </w:p>
        </w:tc>
      </w:tr>
      <w:tr>
        <w:tc>
          <w:tcPr>
            <w:tcW w:type="dxa" w:w="4680"/>
            <w:tcMar>
              <w:top w:type="dxa" w:w="40"/>
              <w:left w:type="dxa" w:w="70"/>
              <w:bottom w:type="dxa" w:w="40"/>
              <w:right w:type="dxa" w:w="70"/>
            </w:tcMar>
          </w:tcPr>
          <w:p>
            <w:pPr>
              <w:jc w:val="left"/>
            </w:pPr>
            <w:r>
              <w:rPr>
                <w:sz w:val="16"/>
                <w:szCs w:val="16"/>
              </w:rPr>
              <w:t xml:space="preserve">• Strong Q2 earnings (~26% growth, 90% beating) provide a fundamental floor.
</w:t>
            </w:r>
            <w:r>
              <w:rPr>
                <w:sz w:val="16"/>
                <w:szCs w:val="16"/>
              </w:rPr>
              <w:t xml:space="preserve">• Soft Dollar Index (§10) eases conditions.
</w:t>
            </w:r>
            <w:r>
              <w:rPr>
                <w:sz w:val="16"/>
                <w:szCs w:val="16"/>
              </w:rPr>
              <w:t xml:space="preserve">• Close is sitting on the daily/monthly-P confluence (§11, 7,457–7,462) — a natural dip-buying shelf.
</w:t>
            </w:r>
            <w:r>
              <w:rPr>
                <w:sz w:val="16"/>
                <w:szCs w:val="16"/>
              </w:rPr>
              <w:t xml:space="preserve">• RSI2 at 0.0 is maximally oversold — mean-reversion bounce risk.
</w:t>
            </w:r>
            <w:r>
              <w:rPr>
                <w:sz w:val="16"/>
                <w:szCs w:val="16"/>
              </w:rPr>
              <w:t xml:space="preserve">• A mega-cap tech beat (§13d) could re-anchor the bid.</w:t>
            </w:r>
          </w:p>
        </w:tc>
        <w:tc>
          <w:tcPr>
            <w:tcW w:type="dxa" w:w="4680"/>
            <w:tcMar>
              <w:top w:type="dxa" w:w="40"/>
              <w:left w:type="dxa" w:w="70"/>
              <w:bottom w:type="dxa" w:w="40"/>
              <w:right w:type="dxa" w:w="70"/>
            </w:tcMar>
          </w:tcPr>
          <w:p>
            <w:pPr>
              <w:jc w:val="left"/>
            </w:pPr>
            <w:r>
              <w:rPr>
                <w:sz w:val="16"/>
                <w:szCs w:val="16"/>
              </w:rPr>
              <w:t xml:space="preserve">• Chip complex in a 20%-from-high drawdown; index concentration amplifies it.
</w:t>
            </w:r>
            <w:r>
              <w:rPr>
                <w:sz w:val="16"/>
                <w:szCs w:val="16"/>
              </w:rPr>
              <w:t xml:space="preserve">• VIX and DAX confirm risk-off (§10).
</w:t>
            </w:r>
            <w:r>
              <w:rPr>
                <w:sz w:val="16"/>
                <w:szCs w:val="16"/>
              </w:rPr>
              <w:t xml:space="preserve">• Oil &gt;$80 on Hormuz tensions revives rate-hold risk.
</w:t>
            </w:r>
            <w:r>
              <w:rPr>
                <w:sz w:val="16"/>
                <w:szCs w:val="16"/>
              </w:rPr>
              <w:t xml:space="preserve">• Loss of daily S1 (7,426) opens weekly S1 (7,396) then 7,336–7,292.
</w:t>
            </w:r>
            <w:r>
              <w:rPr>
                <w:sz w:val="16"/>
                <w:szCs w:val="16"/>
              </w:rPr>
              <w:t xml:space="preserve">• Highest-impact event (mega-cap earnings, §13d) cuts both ways — a miss deepens the slide.</w:t>
            </w:r>
          </w:p>
        </w:tc>
      </w:tr>
    </w:tbl>
    <w:p>
      <w:pPr>
        <w:pStyle w:val="Heading1"/>
        <w:spacing w:after="110" w:before="220"/>
      </w:pPr>
      <w:r>
        <w:rPr>
          <w:b/>
          <w:bCs/>
          <w:color w:val="1F3864"/>
        </w:rPr>
        <w:t xml:space="preserve">16 · Forward View</w:t>
      </w:r>
    </w:p>
    <w:p>
      <w:pPr>
        <w:spacing w:after="100"/>
        <w:jc w:val="both"/>
      </w:pPr>
      <w:r>
        <w:rPr>
          <w:sz w:val="20"/>
          <w:szCs w:val="20"/>
        </w:rPr>
        <w:t xml:space="preserve">Expected direction over the next five sessions: modestly lower to range-bound with a bearish tilt, respecting the Transitional–Bearish regime of §9. Base-case trading range: 7,336 to 7,533, pivoting on the 7,457–7,462 daily/monthly-P confluence. The path of least resistance is a test of daily S1 (7,426) and weekly S1 (7,396); a decisive close below 7,396 would confirm downside continuation toward 7,336–7,292, while reclaiming the weekly P (7,492) would neutralise the bearish setup. Base-case invalidation: a daily close back above 7,533 (the 16 Jul shelf) breaks the distribution narrative and re-opens the 7,572–7,588 highs. This view respects the technical regime; it does not contradict it. The one acknowledged tension is the §10 soft-dollar reading and the longer-horizon bullish institutional survey (§13b), which argue against pressing shorts aggressively into the mega-cap earnings catalyst.</w:t>
      </w:r>
    </w:p>
    <w:p>
      <w:pPr>
        <w:pStyle w:val="Heading1"/>
        <w:spacing w:after="110" w:before="220"/>
      </w:pPr>
      <w:r>
        <w:rPr>
          <w:b/>
          <w:bCs/>
          <w:color w:val="1F3864"/>
        </w:rPr>
        <w:t xml:space="preserve">17 · Forecast</w:t>
      </w:r>
    </w:p>
    <w:p>
      <w:pPr>
        <w:pBdr>
          <w:left w:val="single" w:color="1F3864" w:sz="18" w:space="10"/>
        </w:pBdr>
        <w:spacing w:after="120"/>
      </w:pPr>
      <w:r>
        <w:rPr>
          <w:b/>
          <w:bCs/>
          <w:i/>
          <w:iCs/>
          <w:sz w:val="22"/>
          <w:szCs w:val="22"/>
        </w:rPr>
        <w:t xml:space="preserve">The S&amp;P 500 is likely to drift lower toward the 7,426 daily-S1 / 7,396 weekly-S1 support band over the coming sessions, pivoting on the 7,457–7,462 confluence, unless a mega-cap earnings beat reclaims the 7,533 shelf.</w:t>
      </w:r>
    </w:p>
    <w:p>
      <w:pPr>
        <w:pStyle w:val="Heading1"/>
        <w:spacing w:after="110" w:before="220"/>
      </w:pPr>
      <w:r>
        <w:rPr>
          <w:b/>
          <w:bCs/>
          <w:color w:val="1F3864"/>
        </w:rPr>
        <w:t xml:space="preserve">18 · Final Analyst Judgement</w:t>
      </w:r>
    </w:p>
    <w:p>
      <w:pPr>
        <w:spacing w:after="100"/>
        <w:jc w:val="both"/>
      </w:pPr>
      <w:r>
        <w:rPr>
          <w:sz w:val="20"/>
          <w:szCs w:val="20"/>
        </w:rPr>
        <w:t xml:space="preserve">Consensus price call: 7,457.69 index points, High confidence, bearish tone. The three most important reasons: (1) a concentrated semiconductor de-rating that, given index composition, is the dominant near-term drag; (2) confirming cross-asset risk-off (VIX rising, DAX falling) partially offset by a soft dollar; and (3) a short-term Exhaustion sequence with RSI2 collapsing to 0.0 after a failed push to 7,588. Single watch item: whether the 7,457–7,462 daily/monthly-P confluence holds — a decisive break below daily S1 (7,426) confirms downside continuation; reclaiming the weekly P (7,492) neutralises it.</w:t>
      </w:r>
    </w:p>
    <w:p>
      <w:pPr>
        <w:pStyle w:val="Heading1"/>
        <w:spacing w:after="110" w:before="220"/>
      </w:pPr>
      <w:r>
        <w:rPr>
          <w:b/>
          <w:bCs/>
          <w:color w:val="1F3864"/>
        </w:rPr>
        <w:t xml:space="preserve">19 · Source Discipline Note</w:t>
      </w:r>
    </w:p>
    <w:p>
      <w:pPr>
        <w:spacing w:after="100"/>
        <w:jc w:val="both"/>
      </w:pPr>
      <w:r>
        <w:rPr>
          <w:sz w:val="20"/>
          <w:szCs w:val="20"/>
        </w:rPr>
        <w:t xml:space="preserve">Live vs indicative: all five session closes (13–17 Jul) are two-source corroborated within the ±0.10-point equity-index tolerance, most at Δ0.00. The 13 Jul, 14 Jul and 17 Jul full OHLC rows are corroborated. The 15 Jul and 16 Jul intraday highs/lows and opens are single-source indicative and are excluded from pivot inputs beyond the daily timeframe. Data gaps: no second free source cleanly returned full intraday OHLC for 15–16 Jul at the time of compilation. Normalization: none required — all data native to index points / USD / cash basis. Corroboration status per instrument: S&amp;P 500 close CORROBORATED; daily pivot inputs (from 17 Jul, corroborated) CORROBORATED; weekly pivot range partly indicative (single-source highs on two mid-week sessions); counters (VIX 18.77, DAX 24,831, USDX ~100.6) directional-use only, single-source, not used for pivots.</w:t>
      </w:r>
    </w:p>
    <w:p>
      <w:pPr>
        <w:pStyle w:val="Heading1"/>
        <w:spacing w:after="110" w:before="220"/>
      </w:pPr>
      <w:r>
        <w:rPr>
          <w:b/>
          <w:bCs/>
          <w:color w:val="8a5a00"/>
        </w:rPr>
        <w:t xml:space="preserve">20 · Agent Log</w:t>
      </w:r>
    </w:p>
    <w:p>
      <w:pPr>
        <w:spacing w:after="100"/>
        <w:jc w:val="both"/>
      </w:pPr>
      <w:r>
        <w:rPr>
          <w:sz w:val="20"/>
          <w:szCs w:val="20"/>
        </w:rPr>
        <w:t xml:space="preserve">Sources attempted (S&amp;P 500 OHLC): Investing.com (rank 1, corroborated), Yahoo Finance (Tier 3, current-price/close corroborator), CNBC (media, close corroborator), FRED / S&amp;P DJI (official close). Corroboration pairs: 17 Jul close Investing×FRED Δ0.00; 15 Jul close CNBC×Yahoo Δ0.00; 16 Jul close Yahoo×CNBC Δ0.00. Single-source fields: 15–16 Jul H/L and opens (logged, indicative). Validation method: two-source agreement within ±0.10 pts.</w:t>
      </w:r>
    </w:p>
    <w:p>
      <w:pPr>
        <w:spacing w:after="100"/>
        <w:jc w:val="both"/>
      </w:pPr>
      <w:r>
        <w:rPr>
          <w:sz w:val="20"/>
          <w:szCs w:val="20"/>
        </w:rPr>
        <w:t xml:space="preserve">Sentiment derivation: six dated articles classified from explicit language (§13a), source-class weighted to a numeric tilt of −0.36 (Mixed, tilting bearish). Direction-score weights basis: DEFAULTS (v2.1 baseline vector; no tuning applied — forward-test weight lock in force). Direction score −0.57 → SHORT: short-term technical −0.25, cross-asset −0.15, medium-regime −0.10, sentiment −0.054, VOLator −0.05, Kaufman +0.03. Regime label: TRANSITION (Step-4 Transitional; KER up vs VOLator slope down disagree → fall-through to TRANSITION). Anomaly flagged: KER (Trending Up — Moderate) contradicts bearish price/VOLator/cross-asset; preserved, not resolved. Backtest: 5 sessions (10–16 Jul issuing) reconstructed at each t−1 close with sentiment frozen; resolved on actual t-session OHLC, SL-first tick priority. Forecast reasoning: derived from the seven-line judgement integration note + bearish aggregate sentiment. Timestamp: compiled 19 Jul 2026 for the session of 20 Jul 2026.</w:t>
      </w:r>
    </w:p>
    <w:p>
      <w:pPr>
        <w:pStyle w:val="Heading1"/>
        <w:spacing w:after="110" w:before="220"/>
      </w:pPr>
      <w:r>
        <w:rPr>
          <w:b/>
          <w:bCs/>
          <w:color w:val="9c1f5f"/>
        </w:rPr>
        <w:t xml:space="preserve">21 · Strategy Recommendations</w:t>
      </w:r>
    </w:p>
    <w:p>
      <w:r>
        <w:rPr>
          <w:b/>
          <w:bCs/>
          <w:color w:val="9c1f5f"/>
          <w:sz w:val="20"/>
          <w:szCs w:val="20"/>
        </w:rPr>
        <w:t xml:space="preserve">21a · Directional Conviction — SHORT (score −0.57). </w:t>
      </w:r>
      <w:r>
        <w:rPr>
          <w:sz w:val="20"/>
          <w:szCs w:val="20"/>
        </w:rPr>
        <w:t xml:space="preserve">The signed direction score is −0.57, comfortably beyond the −0.25 conviction threshold. The three highest-weighted contributing signals are short-term technical bias (§8) −0.25, cross-asset confirmation (§10) −0.15, and medium-term regime (§9) −0.10, with sentiment (§13b) −0.05 and the VOLator slope −0.05 adding to the bearish side and the lagging Kaufman read (§9) the sole +0.03 offset. Weights basis: defaults. Conflict flag: none — the §17 forecast also leans lower, so §21a and §17 agree in direction. Note the regime is TRANSITION, so the tactical trades below are built around a confirmed break rather than trend-continuation.</w:t>
      </w:r>
    </w:p>
    <w:p>
      <w:r>
        <w:rPr>
          <w:b/>
          <w:bCs/>
          <w:color w:val="9c1f5f"/>
          <w:sz w:val="19"/>
          <w:szCs w:val="19"/>
        </w:rPr>
        <w:t xml:space="preserve">21b · Trade Cards</w:t>
      </w:r>
    </w:p>
    <w:p>
      <w:r>
        <w:rPr>
          <w:b/>
          <w:bCs/>
          <w:color w:val="9c1f5f"/>
          <w:sz w:val="18"/>
          <w:szCs w:val="18"/>
        </w:rPr>
        <w:t xml:space="preserve">Trade 1 — Daily Directional (SHORT)</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6760"/>
      </w:tblGrid>
      <w:tr>
        <w:trPr>
          <w:tblHeader/>
        </w:trPr>
        <w:tc>
          <w:tcPr>
            <w:tcW w:type="dxa" w:w="2600"/>
            <w:shd w:fill="9c1f5f" w:color="auto" w:val="clear"/>
            <w:tcMar>
              <w:top w:type="dxa" w:w="40"/>
              <w:left w:type="dxa" w:w="70"/>
              <w:bottom w:type="dxa" w:w="40"/>
              <w:right w:type="dxa" w:w="70"/>
            </w:tcMar>
          </w:tcPr>
          <w:p>
            <w:pPr>
              <w:jc w:val="left"/>
            </w:pPr>
            <w:r>
              <w:rPr>
                <w:b/>
                <w:bCs/>
                <w:color w:val="FFFFFF"/>
                <w:sz w:val="18"/>
                <w:szCs w:val="18"/>
              </w:rPr>
              <w:t xml:space="preserve">Field</w:t>
            </w:r>
          </w:p>
        </w:tc>
        <w:tc>
          <w:tcPr>
            <w:tcW w:type="dxa" w:w="6760"/>
            <w:shd w:fill="9c1f5f" w:color="auto" w:val="clear"/>
            <w:tcMar>
              <w:top w:type="dxa" w:w="40"/>
              <w:left w:type="dxa" w:w="70"/>
              <w:bottom w:type="dxa" w:w="40"/>
              <w:right w:type="dxa" w:w="70"/>
            </w:tcMar>
          </w:tcPr>
          <w:p>
            <w:pPr>
              <w:jc w:val="left"/>
            </w:pPr>
            <w:r>
              <w:rPr>
                <w:b/>
                <w:bCs/>
                <w:color w:val="FFFFFF"/>
                <w:sz w:val="18"/>
                <w:szCs w:val="18"/>
              </w:rPr>
              <w:t xml:space="preserve">Detail</w:t>
            </w:r>
          </w:p>
        </w:tc>
      </w:tr>
      <w:tr>
        <w:tc>
          <w:tcPr>
            <w:tcW w:type="dxa" w:w="2600"/>
            <w:tcMar>
              <w:top w:type="dxa" w:w="40"/>
              <w:left w:type="dxa" w:w="70"/>
              <w:bottom w:type="dxa" w:w="40"/>
              <w:right w:type="dxa" w:w="70"/>
            </w:tcMar>
          </w:tcPr>
          <w:p>
            <w:pPr>
              <w:jc w:val="left"/>
            </w:pPr>
            <w:r>
              <w:rPr>
                <w:b/>
                <w:bCs/>
                <w:color w:val="222222"/>
                <w:sz w:val="17"/>
                <w:szCs w:val="17"/>
              </w:rPr>
              <w:t xml:space="preserve">Direction</w:t>
            </w:r>
          </w:p>
        </w:tc>
        <w:tc>
          <w:tcPr>
            <w:tcW w:type="dxa" w:w="6760"/>
            <w:tcMar>
              <w:top w:type="dxa" w:w="40"/>
              <w:left w:type="dxa" w:w="70"/>
              <w:bottom w:type="dxa" w:w="40"/>
              <w:right w:type="dxa" w:w="70"/>
            </w:tcMar>
          </w:tcPr>
          <w:p>
            <w:pPr>
              <w:jc w:val="left"/>
            </w:pPr>
            <w:r>
              <w:rPr>
                <w:b w:val="false"/>
                <w:bCs w:val="false"/>
                <w:color w:val="222222"/>
                <w:sz w:val="17"/>
                <w:szCs w:val="17"/>
              </w:rPr>
              <w:t xml:space="preserve">SHORT — Transitional/Bearish read; direction score −0.57</w:t>
            </w:r>
          </w:p>
        </w:tc>
      </w:tr>
      <w:tr>
        <w:tc>
          <w:tcPr>
            <w:tcW w:type="dxa" w:w="2600"/>
            <w:tcMar>
              <w:top w:type="dxa" w:w="40"/>
              <w:left w:type="dxa" w:w="70"/>
              <w:bottom w:type="dxa" w:w="40"/>
              <w:right w:type="dxa" w:w="70"/>
            </w:tcMar>
          </w:tcPr>
          <w:p>
            <w:pPr>
              <w:jc w:val="left"/>
            </w:pPr>
            <w:r>
              <w:rPr>
                <w:b/>
                <w:bCs/>
                <w:color w:val="222222"/>
                <w:sz w:val="17"/>
                <w:szCs w:val="17"/>
              </w:rPr>
              <w:t xml:space="preserve">Entry</w:t>
            </w:r>
          </w:p>
        </w:tc>
        <w:tc>
          <w:tcPr>
            <w:tcW w:type="dxa" w:w="6760"/>
            <w:tcMar>
              <w:top w:type="dxa" w:w="40"/>
              <w:left w:type="dxa" w:w="70"/>
              <w:bottom w:type="dxa" w:w="40"/>
              <w:right w:type="dxa" w:w="70"/>
            </w:tcMar>
          </w:tcPr>
          <w:p>
            <w:pPr>
              <w:jc w:val="left"/>
            </w:pPr>
            <w:r>
              <w:rPr>
                <w:b w:val="false"/>
                <w:bCs w:val="false"/>
                <w:color w:val="222222"/>
                <w:sz w:val="17"/>
                <w:szCs w:val="17"/>
              </w:rPr>
              <w:t xml:space="preserve">Market at the 07:00 UK anchor on 20 Jul, ≈ 7,457.69 (last cash close as the pre-NY reference)</w:t>
            </w:r>
          </w:p>
        </w:tc>
      </w:tr>
      <w:tr>
        <w:tc>
          <w:tcPr>
            <w:tcW w:type="dxa" w:w="2600"/>
            <w:tcMar>
              <w:top w:type="dxa" w:w="40"/>
              <w:left w:type="dxa" w:w="70"/>
              <w:bottom w:type="dxa" w:w="40"/>
              <w:right w:type="dxa" w:w="70"/>
            </w:tcMar>
          </w:tcPr>
          <w:p>
            <w:pPr>
              <w:jc w:val="left"/>
            </w:pPr>
            <w:r>
              <w:rPr>
                <w:b/>
                <w:bCs/>
                <w:color w:val="222222"/>
                <w:sz w:val="17"/>
                <w:szCs w:val="17"/>
              </w:rPr>
              <w:t xml:space="preserve">Stop loss</w:t>
            </w:r>
          </w:p>
        </w:tc>
        <w:tc>
          <w:tcPr>
            <w:tcW w:type="dxa" w:w="6760"/>
            <w:tcMar>
              <w:top w:type="dxa" w:w="40"/>
              <w:left w:type="dxa" w:w="70"/>
              <w:bottom w:type="dxa" w:w="40"/>
              <w:right w:type="dxa" w:w="70"/>
            </w:tcMar>
          </w:tcPr>
          <w:p>
            <w:pPr>
              <w:jc w:val="left"/>
            </w:pPr>
            <w:r>
              <w:rPr>
                <w:b w:val="false"/>
                <w:bCs w:val="false"/>
                <w:color w:val="222222"/>
                <w:sz w:val="17"/>
                <w:szCs w:val="17"/>
              </w:rPr>
              <w:t xml:space="preserve">7,516.52 — 58.8 points above entry; anchor = 5-day swing high 7,588.60 vs nearest resistance 7,498.47 + 0.25×ATR buffer, tighter selected; not ATR-capped (cap 252.7 pts)</w:t>
            </w:r>
          </w:p>
        </w:tc>
      </w:tr>
      <w:tr>
        <w:tc>
          <w:tcPr>
            <w:tcW w:type="dxa" w:w="2600"/>
            <w:tcMar>
              <w:top w:type="dxa" w:w="40"/>
              <w:left w:type="dxa" w:w="70"/>
              <w:bottom w:type="dxa" w:w="40"/>
              <w:right w:type="dxa" w:w="70"/>
            </w:tcMar>
          </w:tcPr>
          <w:p>
            <w:pPr>
              <w:jc w:val="left"/>
            </w:pPr>
            <w:r>
              <w:rPr>
                <w:b/>
                <w:bCs/>
                <w:color w:val="222222"/>
                <w:sz w:val="17"/>
                <w:szCs w:val="17"/>
              </w:rPr>
              <w:t xml:space="preserve">Risk (R)</w:t>
            </w:r>
          </w:p>
        </w:tc>
        <w:tc>
          <w:tcPr>
            <w:tcW w:type="dxa" w:w="6760"/>
            <w:tcMar>
              <w:top w:type="dxa" w:w="40"/>
              <w:left w:type="dxa" w:w="70"/>
              <w:bottom w:type="dxa" w:w="40"/>
              <w:right w:type="dxa" w:w="70"/>
            </w:tcMar>
          </w:tcPr>
          <w:p>
            <w:pPr>
              <w:jc w:val="left"/>
            </w:pPr>
            <w:r>
              <w:rPr>
                <w:b w:val="false"/>
                <w:bCs w:val="false"/>
                <w:color w:val="222222"/>
                <w:sz w:val="17"/>
                <w:szCs w:val="17"/>
              </w:rPr>
              <w:t xml:space="preserve">58.8 points (58.8 “points” native)</w:t>
            </w:r>
          </w:p>
        </w:tc>
      </w:tr>
      <w:tr>
        <w:tc>
          <w:tcPr>
            <w:tcW w:type="dxa" w:w="2600"/>
            <w:tcMar>
              <w:top w:type="dxa" w:w="40"/>
              <w:left w:type="dxa" w:w="70"/>
              <w:bottom w:type="dxa" w:w="40"/>
              <w:right w:type="dxa" w:w="70"/>
            </w:tcMar>
          </w:tcPr>
          <w:p>
            <w:pPr>
              <w:jc w:val="left"/>
            </w:pPr>
            <w:r>
              <w:rPr>
                <w:b/>
                <w:bCs/>
                <w:color w:val="222222"/>
                <w:sz w:val="17"/>
                <w:szCs w:val="17"/>
              </w:rPr>
              <w:t xml:space="preserve">TP1 (Unit 1)</w:t>
            </w:r>
          </w:p>
        </w:tc>
        <w:tc>
          <w:tcPr>
            <w:tcW w:type="dxa" w:w="6760"/>
            <w:tcMar>
              <w:top w:type="dxa" w:w="40"/>
              <w:left w:type="dxa" w:w="70"/>
              <w:bottom w:type="dxa" w:w="40"/>
              <w:right w:type="dxa" w:w="70"/>
            </w:tcMar>
          </w:tcPr>
          <w:p>
            <w:pPr>
              <w:jc w:val="left"/>
            </w:pPr>
            <w:r>
              <w:rPr>
                <w:b w:val="false"/>
                <w:bCs w:val="false"/>
                <w:color w:val="222222"/>
                <w:sz w:val="17"/>
                <w:szCs w:val="17"/>
              </w:rPr>
              <w:t xml:space="preserve">7,398.86 — +1R</w:t>
            </w:r>
          </w:p>
        </w:tc>
      </w:tr>
      <w:tr>
        <w:tc>
          <w:tcPr>
            <w:tcW w:type="dxa" w:w="2600"/>
            <w:tcMar>
              <w:top w:type="dxa" w:w="40"/>
              <w:left w:type="dxa" w:w="70"/>
              <w:bottom w:type="dxa" w:w="40"/>
              <w:right w:type="dxa" w:w="70"/>
            </w:tcMar>
          </w:tcPr>
          <w:p>
            <w:pPr>
              <w:jc w:val="left"/>
            </w:pPr>
            <w:r>
              <w:rPr>
                <w:b/>
                <w:bCs/>
                <w:color w:val="222222"/>
                <w:sz w:val="17"/>
                <w:szCs w:val="17"/>
              </w:rPr>
              <w:t xml:space="preserve">TP2 (Unit 2)</w:t>
            </w:r>
          </w:p>
        </w:tc>
        <w:tc>
          <w:tcPr>
            <w:tcW w:type="dxa" w:w="6760"/>
            <w:tcMar>
              <w:top w:type="dxa" w:w="40"/>
              <w:left w:type="dxa" w:w="70"/>
              <w:bottom w:type="dxa" w:w="40"/>
              <w:right w:type="dxa" w:w="70"/>
            </w:tcMar>
          </w:tcPr>
          <w:p>
            <w:pPr>
              <w:jc w:val="left"/>
            </w:pPr>
            <w:r>
              <w:rPr>
                <w:b w:val="false"/>
                <w:bCs w:val="false"/>
                <w:color w:val="222222"/>
                <w:sz w:val="17"/>
                <w:szCs w:val="17"/>
              </w:rPr>
              <w:t xml:space="preserve">7,340.04 — +2R; on fill, Unit 3 stop to entry +0.2R (7,469.45)</w:t>
            </w:r>
          </w:p>
        </w:tc>
      </w:tr>
      <w:tr>
        <w:tc>
          <w:tcPr>
            <w:tcW w:type="dxa" w:w="2600"/>
            <w:tcMar>
              <w:top w:type="dxa" w:w="40"/>
              <w:left w:type="dxa" w:w="70"/>
              <w:bottom w:type="dxa" w:w="40"/>
              <w:right w:type="dxa" w:w="70"/>
            </w:tcMar>
          </w:tcPr>
          <w:p>
            <w:pPr>
              <w:jc w:val="left"/>
            </w:pPr>
            <w:r>
              <w:rPr>
                <w:b/>
                <w:bCs/>
                <w:color w:val="222222"/>
                <w:sz w:val="17"/>
                <w:szCs w:val="17"/>
              </w:rPr>
              <w:t xml:space="preserve">TP3 (Unit 3 — runner)</w:t>
            </w:r>
          </w:p>
        </w:tc>
        <w:tc>
          <w:tcPr>
            <w:tcW w:type="dxa" w:w="6760"/>
            <w:tcMar>
              <w:top w:type="dxa" w:w="40"/>
              <w:left w:type="dxa" w:w="70"/>
              <w:bottom w:type="dxa" w:w="40"/>
              <w:right w:type="dxa" w:w="70"/>
            </w:tcMar>
          </w:tcPr>
          <w:p>
            <w:pPr>
              <w:jc w:val="left"/>
            </w:pPr>
            <w:r>
              <w:rPr>
                <w:b w:val="false"/>
                <w:bCs w:val="false"/>
                <w:color w:val="222222"/>
                <w:sz w:val="17"/>
                <w:szCs w:val="17"/>
              </w:rPr>
              <w:t xml:space="preserve">7,241.13 — 3×ATR from entry, or session-close time-stop, whichever first</w:t>
            </w:r>
          </w:p>
        </w:tc>
      </w:tr>
      <w:tr>
        <w:tc>
          <w:tcPr>
            <w:tcW w:type="dxa" w:w="2600"/>
            <w:tcMar>
              <w:top w:type="dxa" w:w="40"/>
              <w:left w:type="dxa" w:w="70"/>
              <w:bottom w:type="dxa" w:w="40"/>
              <w:right w:type="dxa" w:w="70"/>
            </w:tcMar>
          </w:tcPr>
          <w:p>
            <w:pPr>
              <w:jc w:val="left"/>
            </w:pPr>
            <w:r>
              <w:rPr>
                <w:b/>
                <w:bCs/>
                <w:color w:val="222222"/>
                <w:sz w:val="17"/>
                <w:szCs w:val="17"/>
              </w:rPr>
              <w:t xml:space="preserve">Tranche management</w:t>
            </w:r>
          </w:p>
        </w:tc>
        <w:tc>
          <w:tcPr>
            <w:tcW w:type="dxa" w:w="6760"/>
            <w:tcMar>
              <w:top w:type="dxa" w:w="40"/>
              <w:left w:type="dxa" w:w="70"/>
              <w:bottom w:type="dxa" w:w="40"/>
              <w:right w:type="dxa" w:w="70"/>
            </w:tcMar>
          </w:tcPr>
          <w:p>
            <w:pPr>
              <w:jc w:val="left"/>
            </w:pPr>
            <w:r>
              <w:rPr>
                <w:b w:val="false"/>
                <w:bCs w:val="false"/>
                <w:color w:val="222222"/>
                <w:sz w:val="17"/>
                <w:szCs w:val="17"/>
              </w:rPr>
              <w:t xml:space="preserve">3 equal units; U1→TP1, U2→TP2; on U2 fill U3 stop to entry +0.2R</w:t>
            </w:r>
          </w:p>
        </w:tc>
      </w:tr>
      <w:tr>
        <w:tc>
          <w:tcPr>
            <w:tcW w:type="dxa" w:w="2600"/>
            <w:tcMar>
              <w:top w:type="dxa" w:w="40"/>
              <w:left w:type="dxa" w:w="70"/>
              <w:bottom w:type="dxa" w:w="40"/>
              <w:right w:type="dxa" w:w="70"/>
            </w:tcMar>
          </w:tcPr>
          <w:p>
            <w:pPr>
              <w:jc w:val="left"/>
            </w:pPr>
            <w:r>
              <w:rPr>
                <w:b/>
                <w:bCs/>
                <w:color w:val="222222"/>
                <w:sz w:val="17"/>
                <w:szCs w:val="17"/>
              </w:rPr>
              <w:t xml:space="preserve">Confluences</w:t>
            </w:r>
          </w:p>
        </w:tc>
        <w:tc>
          <w:tcPr>
            <w:tcW w:type="dxa" w:w="6760"/>
            <w:tcMar>
              <w:top w:type="dxa" w:w="40"/>
              <w:left w:type="dxa" w:w="70"/>
              <w:bottom w:type="dxa" w:w="40"/>
              <w:right w:type="dxa" w:w="70"/>
            </w:tcMar>
          </w:tcPr>
          <w:p>
            <w:pPr>
              <w:jc w:val="left"/>
            </w:pPr>
            <w:r>
              <w:rPr>
                <w:b w:val="false"/>
                <w:bCs w:val="false"/>
                <w:color w:val="222222"/>
                <w:sz w:val="17"/>
                <w:szCs w:val="17"/>
              </w:rPr>
              <w:t xml:space="preserve">TP1 near daily S2 (7,395) and weekly S1 (7,396) — strong confluence; entry on daily/monthly-P shelf (7,457–7,462)</w:t>
            </w:r>
          </w:p>
        </w:tc>
      </w:tr>
      <w:tr>
        <w:tc>
          <w:tcPr>
            <w:tcW w:type="dxa" w:w="2600"/>
            <w:tcMar>
              <w:top w:type="dxa" w:w="40"/>
              <w:left w:type="dxa" w:w="70"/>
              <w:bottom w:type="dxa" w:w="40"/>
              <w:right w:type="dxa" w:w="70"/>
            </w:tcMar>
          </w:tcPr>
          <w:p>
            <w:pPr>
              <w:jc w:val="left"/>
            </w:pPr>
            <w:r>
              <w:rPr>
                <w:b/>
                <w:bCs/>
                <w:color w:val="222222"/>
                <w:sz w:val="17"/>
                <w:szCs w:val="17"/>
              </w:rPr>
              <w:t xml:space="preserve">Thesis invalidation</w:t>
            </w:r>
          </w:p>
        </w:tc>
        <w:tc>
          <w:tcPr>
            <w:tcW w:type="dxa" w:w="6760"/>
            <w:tcMar>
              <w:top w:type="dxa" w:w="40"/>
              <w:left w:type="dxa" w:w="70"/>
              <w:bottom w:type="dxa" w:w="40"/>
              <w:right w:type="dxa" w:w="70"/>
            </w:tcMar>
          </w:tcPr>
          <w:p>
            <w:pPr>
              <w:jc w:val="left"/>
            </w:pPr>
            <w:r>
              <w:rPr>
                <w:b w:val="false"/>
                <w:bCs w:val="false"/>
                <w:color w:val="222222"/>
                <w:sz w:val="17"/>
                <w:szCs w:val="17"/>
              </w:rPr>
              <w:t xml:space="preserve">Daily close back above 7,533 (16 Jul shelf) — breaks the distribution narrative</w:t>
            </w:r>
          </w:p>
        </w:tc>
      </w:tr>
      <w:tr>
        <w:tc>
          <w:tcPr>
            <w:tcW w:type="dxa" w:w="2600"/>
            <w:tcMar>
              <w:top w:type="dxa" w:w="40"/>
              <w:left w:type="dxa" w:w="70"/>
              <w:bottom w:type="dxa" w:w="40"/>
              <w:right w:type="dxa" w:w="70"/>
            </w:tcMar>
          </w:tcPr>
          <w:p>
            <w:pPr>
              <w:jc w:val="left"/>
            </w:pPr>
            <w:r>
              <w:rPr>
                <w:b/>
                <w:bCs/>
                <w:color w:val="222222"/>
                <w:sz w:val="17"/>
                <w:szCs w:val="17"/>
              </w:rPr>
              <w:t xml:space="preserve">Caveats</w:t>
            </w:r>
          </w:p>
        </w:tc>
        <w:tc>
          <w:tcPr>
            <w:tcW w:type="dxa" w:w="6760"/>
            <w:tcMar>
              <w:top w:type="dxa" w:w="40"/>
              <w:left w:type="dxa" w:w="70"/>
              <w:bottom w:type="dxa" w:w="40"/>
              <w:right w:type="dxa" w:w="70"/>
            </w:tcMar>
          </w:tcPr>
          <w:p>
            <w:pPr>
              <w:jc w:val="left"/>
            </w:pPr>
            <w:r>
              <w:rPr>
                <w:b w:val="false"/>
                <w:bCs w:val="false"/>
                <w:color w:val="222222"/>
                <w:sz w:val="17"/>
                <w:szCs w:val="17"/>
              </w:rPr>
              <w:t xml:space="preserve">Wide-stop not flagged; entry sits on a pivot magnet (whipsaw risk); holding period collides with mega-cap earnings week (§13d)</w:t>
            </w:r>
          </w:p>
        </w:tc>
      </w:tr>
    </w:tbl>
    <w:p>
      <w:r>
        <w:rPr>
          <w:b/>
          <w:bCs/>
          <w:color w:val="9c1f5f"/>
          <w:sz w:val="18"/>
          <w:szCs w:val="18"/>
        </w:rPr>
        <w:t xml:space="preserve">Trade 2 — Pivot (TRANSITION: breakout-side only, downside)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6760"/>
      </w:tblGrid>
      <w:tr>
        <w:trPr>
          <w:tblHeader/>
        </w:trPr>
        <w:tc>
          <w:tcPr>
            <w:tcW w:type="dxa" w:w="2600"/>
            <w:shd w:fill="9c1f5f" w:color="auto" w:val="clear"/>
            <w:tcMar>
              <w:top w:type="dxa" w:w="40"/>
              <w:left w:type="dxa" w:w="70"/>
              <w:bottom w:type="dxa" w:w="40"/>
              <w:right w:type="dxa" w:w="70"/>
            </w:tcMar>
          </w:tcPr>
          <w:p>
            <w:pPr>
              <w:jc w:val="left"/>
            </w:pPr>
            <w:r>
              <w:rPr>
                <w:b/>
                <w:bCs/>
                <w:color w:val="FFFFFF"/>
                <w:sz w:val="18"/>
                <w:szCs w:val="18"/>
              </w:rPr>
              <w:t xml:space="preserve">Field</w:t>
            </w:r>
          </w:p>
        </w:tc>
        <w:tc>
          <w:tcPr>
            <w:tcW w:type="dxa" w:w="6760"/>
            <w:shd w:fill="9c1f5f" w:color="auto" w:val="clear"/>
            <w:tcMar>
              <w:top w:type="dxa" w:w="40"/>
              <w:left w:type="dxa" w:w="70"/>
              <w:bottom w:type="dxa" w:w="40"/>
              <w:right w:type="dxa" w:w="70"/>
            </w:tcMar>
          </w:tcPr>
          <w:p>
            <w:pPr>
              <w:jc w:val="left"/>
            </w:pPr>
            <w:r>
              <w:rPr>
                <w:b/>
                <w:bCs/>
                <w:color w:val="FFFFFF"/>
                <w:sz w:val="18"/>
                <w:szCs w:val="18"/>
              </w:rPr>
              <w:t xml:space="preserve">Detail</w:t>
            </w:r>
          </w:p>
        </w:tc>
      </w:tr>
      <w:tr>
        <w:tc>
          <w:tcPr>
            <w:tcW w:type="dxa" w:w="2600"/>
            <w:tcMar>
              <w:top w:type="dxa" w:w="40"/>
              <w:left w:type="dxa" w:w="70"/>
              <w:bottom w:type="dxa" w:w="40"/>
              <w:right w:type="dxa" w:w="70"/>
            </w:tcMar>
          </w:tcPr>
          <w:p>
            <w:pPr>
              <w:jc w:val="left"/>
            </w:pPr>
            <w:r>
              <w:rPr>
                <w:b/>
                <w:bCs/>
                <w:color w:val="222222"/>
                <w:sz w:val="17"/>
                <w:szCs w:val="17"/>
              </w:rPr>
              <w:t xml:space="preserve">Direction</w:t>
            </w:r>
          </w:p>
        </w:tc>
        <w:tc>
          <w:tcPr>
            <w:tcW w:type="dxa" w:w="6760"/>
            <w:tcMar>
              <w:top w:type="dxa" w:w="40"/>
              <w:left w:type="dxa" w:w="70"/>
              <w:bottom w:type="dxa" w:w="40"/>
              <w:right w:type="dxa" w:w="70"/>
            </w:tcMar>
          </w:tcPr>
          <w:p>
            <w:pPr>
              <w:jc w:val="left"/>
            </w:pPr>
            <w:r>
              <w:rPr>
                <w:b w:val="false"/>
                <w:bCs w:val="false"/>
                <w:color w:val="222222"/>
                <w:sz w:val="17"/>
                <w:szCs w:val="17"/>
              </w:rPr>
              <w:t xml:space="preserve">SHORT — breakout-side only; in TRANSITION a counter-side (long) limit is suppressed to avoid front-running Trade 3C</w:t>
            </w:r>
          </w:p>
        </w:tc>
      </w:tr>
      <w:tr>
        <w:tc>
          <w:tcPr>
            <w:tcW w:type="dxa" w:w="2600"/>
            <w:tcMar>
              <w:top w:type="dxa" w:w="40"/>
              <w:left w:type="dxa" w:w="70"/>
              <w:bottom w:type="dxa" w:w="40"/>
              <w:right w:type="dxa" w:w="70"/>
            </w:tcMar>
          </w:tcPr>
          <w:p>
            <w:pPr>
              <w:jc w:val="left"/>
            </w:pPr>
            <w:r>
              <w:rPr>
                <w:b/>
                <w:bCs/>
                <w:color w:val="222222"/>
                <w:sz w:val="17"/>
                <w:szCs w:val="17"/>
              </w:rPr>
              <w:t xml:space="preserve">Entry</w:t>
            </w:r>
          </w:p>
        </w:tc>
        <w:tc>
          <w:tcPr>
            <w:tcW w:type="dxa" w:w="6760"/>
            <w:tcMar>
              <w:top w:type="dxa" w:w="40"/>
              <w:left w:type="dxa" w:w="70"/>
              <w:bottom w:type="dxa" w:w="40"/>
              <w:right w:type="dxa" w:w="70"/>
            </w:tcMar>
          </w:tcPr>
          <w:p>
            <w:pPr>
              <w:jc w:val="left"/>
            </w:pPr>
            <w:r>
              <w:rPr>
                <w:b w:val="false"/>
                <w:bCs w:val="false"/>
                <w:color w:val="222222"/>
                <w:sz w:val="17"/>
                <w:szCs w:val="17"/>
              </w:rPr>
              <w:t xml:space="preserve">Sell-stop at 7,458.87 — 10% of the way from daily P toward S1 (downside trigger)</w:t>
            </w:r>
          </w:p>
        </w:tc>
      </w:tr>
      <w:tr>
        <w:tc>
          <w:tcPr>
            <w:tcW w:type="dxa" w:w="2600"/>
            <w:tcMar>
              <w:top w:type="dxa" w:w="40"/>
              <w:left w:type="dxa" w:w="70"/>
              <w:bottom w:type="dxa" w:w="40"/>
              <w:right w:type="dxa" w:w="70"/>
            </w:tcMar>
          </w:tcPr>
          <w:p>
            <w:pPr>
              <w:jc w:val="left"/>
            </w:pPr>
            <w:r>
              <w:rPr>
                <w:b/>
                <w:bCs/>
                <w:color w:val="222222"/>
                <w:sz w:val="17"/>
                <w:szCs w:val="17"/>
              </w:rPr>
              <w:t xml:space="preserve">Stop loss</w:t>
            </w:r>
          </w:p>
        </w:tc>
        <w:tc>
          <w:tcPr>
            <w:tcW w:type="dxa" w:w="6760"/>
            <w:tcMar>
              <w:top w:type="dxa" w:w="40"/>
              <w:left w:type="dxa" w:w="70"/>
              <w:bottom w:type="dxa" w:w="40"/>
              <w:right w:type="dxa" w:w="70"/>
            </w:tcMar>
          </w:tcPr>
          <w:p>
            <w:pPr>
              <w:jc w:val="left"/>
            </w:pPr>
            <w:r>
              <w:rPr>
                <w:b w:val="false"/>
                <w:bCs w:val="false"/>
                <w:color w:val="222222"/>
                <w:sz w:val="17"/>
                <w:szCs w:val="17"/>
              </w:rPr>
              <w:t xml:space="preserve">7,487.44 — structural, above daily P; 28.6 points</w:t>
            </w:r>
          </w:p>
        </w:tc>
      </w:tr>
      <w:tr>
        <w:tc>
          <w:tcPr>
            <w:tcW w:type="dxa" w:w="2600"/>
            <w:tcMar>
              <w:top w:type="dxa" w:w="40"/>
              <w:left w:type="dxa" w:w="70"/>
              <w:bottom w:type="dxa" w:w="40"/>
              <w:right w:type="dxa" w:w="70"/>
            </w:tcMar>
          </w:tcPr>
          <w:p>
            <w:pPr>
              <w:jc w:val="left"/>
            </w:pPr>
            <w:r>
              <w:rPr>
                <w:b/>
                <w:bCs/>
                <w:color w:val="222222"/>
                <w:sz w:val="17"/>
                <w:szCs w:val="17"/>
              </w:rPr>
              <w:t xml:space="preserve">Risk (R)</w:t>
            </w:r>
          </w:p>
        </w:tc>
        <w:tc>
          <w:tcPr>
            <w:tcW w:type="dxa" w:w="6760"/>
            <w:tcMar>
              <w:top w:type="dxa" w:w="40"/>
              <w:left w:type="dxa" w:w="70"/>
              <w:bottom w:type="dxa" w:w="40"/>
              <w:right w:type="dxa" w:w="70"/>
            </w:tcMar>
          </w:tcPr>
          <w:p>
            <w:pPr>
              <w:jc w:val="left"/>
            </w:pPr>
            <w:r>
              <w:rPr>
                <w:b w:val="false"/>
                <w:bCs w:val="false"/>
                <w:color w:val="222222"/>
                <w:sz w:val="17"/>
                <w:szCs w:val="17"/>
              </w:rPr>
              <w:t xml:space="preserve">28.6 points</w:t>
            </w:r>
          </w:p>
        </w:tc>
      </w:tr>
      <w:tr>
        <w:tc>
          <w:tcPr>
            <w:tcW w:type="dxa" w:w="2600"/>
            <w:tcMar>
              <w:top w:type="dxa" w:w="40"/>
              <w:left w:type="dxa" w:w="70"/>
              <w:bottom w:type="dxa" w:w="40"/>
              <w:right w:type="dxa" w:w="70"/>
            </w:tcMar>
          </w:tcPr>
          <w:p>
            <w:pPr>
              <w:jc w:val="left"/>
            </w:pPr>
            <w:r>
              <w:rPr>
                <w:b/>
                <w:bCs/>
                <w:color w:val="222222"/>
                <w:sz w:val="17"/>
                <w:szCs w:val="17"/>
              </w:rPr>
              <w:t xml:space="preserve">TP1 / TP2 / TP3</w:t>
            </w:r>
          </w:p>
        </w:tc>
        <w:tc>
          <w:tcPr>
            <w:tcW w:type="dxa" w:w="6760"/>
            <w:tcMar>
              <w:top w:type="dxa" w:w="40"/>
              <w:left w:type="dxa" w:w="70"/>
              <w:bottom w:type="dxa" w:w="40"/>
              <w:right w:type="dxa" w:w="70"/>
            </w:tcMar>
          </w:tcPr>
          <w:p>
            <w:pPr>
              <w:jc w:val="left"/>
            </w:pPr>
            <w:r>
              <w:rPr>
                <w:b w:val="false"/>
                <w:bCs w:val="false"/>
                <w:color w:val="222222"/>
                <w:sz w:val="17"/>
                <w:szCs w:val="17"/>
              </w:rPr>
              <w:t xml:space="preserve">Daily S1 7,426.48 / S1.5 7,410.87 / S2 7,395.26</w:t>
            </w:r>
          </w:p>
        </w:tc>
      </w:tr>
      <w:tr>
        <w:tc>
          <w:tcPr>
            <w:tcW w:type="dxa" w:w="2600"/>
            <w:tcMar>
              <w:top w:type="dxa" w:w="40"/>
              <w:left w:type="dxa" w:w="70"/>
              <w:bottom w:type="dxa" w:w="40"/>
              <w:right w:type="dxa" w:w="70"/>
            </w:tcMar>
          </w:tcPr>
          <w:p>
            <w:pPr>
              <w:jc w:val="left"/>
            </w:pPr>
            <w:r>
              <w:rPr>
                <w:b/>
                <w:bCs/>
                <w:color w:val="222222"/>
                <w:sz w:val="17"/>
                <w:szCs w:val="17"/>
              </w:rPr>
              <w:t xml:space="preserve">Tranche management</w:t>
            </w:r>
          </w:p>
        </w:tc>
        <w:tc>
          <w:tcPr>
            <w:tcW w:type="dxa" w:w="6760"/>
            <w:tcMar>
              <w:top w:type="dxa" w:w="40"/>
              <w:left w:type="dxa" w:w="70"/>
              <w:bottom w:type="dxa" w:w="40"/>
              <w:right w:type="dxa" w:w="70"/>
            </w:tcMar>
          </w:tcPr>
          <w:p>
            <w:pPr>
              <w:jc w:val="left"/>
            </w:pPr>
            <w:r>
              <w:rPr>
                <w:b w:val="false"/>
                <w:bCs w:val="false"/>
                <w:color w:val="222222"/>
                <w:sz w:val="17"/>
                <w:szCs w:val="17"/>
              </w:rPr>
              <w:t xml:space="preserve">3 equal units; U1→S1, U2→S1.5, runner toward S2; on U2 fill U3 stop to entry −0.2R</w:t>
            </w:r>
          </w:p>
        </w:tc>
      </w:tr>
      <w:tr>
        <w:tc>
          <w:tcPr>
            <w:tcW w:type="dxa" w:w="2600"/>
            <w:tcMar>
              <w:top w:type="dxa" w:w="40"/>
              <w:left w:type="dxa" w:w="70"/>
              <w:bottom w:type="dxa" w:w="40"/>
              <w:right w:type="dxa" w:w="70"/>
            </w:tcMar>
          </w:tcPr>
          <w:p>
            <w:pPr>
              <w:jc w:val="left"/>
            </w:pPr>
            <w:r>
              <w:rPr>
                <w:b/>
                <w:bCs/>
                <w:color w:val="222222"/>
                <w:sz w:val="17"/>
                <w:szCs w:val="17"/>
              </w:rPr>
              <w:t xml:space="preserve">Confluences</w:t>
            </w:r>
          </w:p>
        </w:tc>
        <w:tc>
          <w:tcPr>
            <w:tcW w:type="dxa" w:w="6760"/>
            <w:tcMar>
              <w:top w:type="dxa" w:w="40"/>
              <w:left w:type="dxa" w:w="70"/>
              <w:bottom w:type="dxa" w:w="40"/>
              <w:right w:type="dxa" w:w="70"/>
            </w:tcMar>
          </w:tcPr>
          <w:p>
            <w:pPr>
              <w:jc w:val="left"/>
            </w:pPr>
            <w:r>
              <w:rPr>
                <w:b w:val="false"/>
                <w:bCs w:val="false"/>
                <w:color w:val="222222"/>
                <w:sz w:val="17"/>
                <w:szCs w:val="17"/>
              </w:rPr>
              <w:t xml:space="preserve">TP1 (S1 7,426) coincides with Friday's low 7,431 — swing+pivot strong confluence; TP3 (S2 7,395) near weekly S1 7,396</w:t>
            </w:r>
          </w:p>
        </w:tc>
      </w:tr>
      <w:tr>
        <w:tc>
          <w:tcPr>
            <w:tcW w:type="dxa" w:w="2600"/>
            <w:tcMar>
              <w:top w:type="dxa" w:w="40"/>
              <w:left w:type="dxa" w:w="70"/>
              <w:bottom w:type="dxa" w:w="40"/>
              <w:right w:type="dxa" w:w="70"/>
            </w:tcMar>
          </w:tcPr>
          <w:p>
            <w:pPr>
              <w:jc w:val="left"/>
            </w:pPr>
            <w:r>
              <w:rPr>
                <w:b/>
                <w:bCs/>
                <w:color w:val="222222"/>
                <w:sz w:val="17"/>
                <w:szCs w:val="17"/>
              </w:rPr>
              <w:t xml:space="preserve">Thesis invalidation</w:t>
            </w:r>
          </w:p>
        </w:tc>
        <w:tc>
          <w:tcPr>
            <w:tcW w:type="dxa" w:w="6760"/>
            <w:tcMar>
              <w:top w:type="dxa" w:w="40"/>
              <w:left w:type="dxa" w:w="70"/>
              <w:bottom w:type="dxa" w:w="40"/>
              <w:right w:type="dxa" w:w="70"/>
            </w:tcMar>
          </w:tcPr>
          <w:p>
            <w:pPr>
              <w:jc w:val="left"/>
            </w:pPr>
            <w:r>
              <w:rPr>
                <w:b w:val="false"/>
                <w:bCs w:val="false"/>
                <w:color w:val="222222"/>
                <w:sz w:val="17"/>
                <w:szCs w:val="17"/>
              </w:rPr>
              <w:t xml:space="preserve">Daily close back above daily P (7,462.47)</w:t>
            </w:r>
          </w:p>
        </w:tc>
      </w:tr>
      <w:tr>
        <w:tc>
          <w:tcPr>
            <w:tcW w:type="dxa" w:w="2600"/>
            <w:tcMar>
              <w:top w:type="dxa" w:w="40"/>
              <w:left w:type="dxa" w:w="70"/>
              <w:bottom w:type="dxa" w:w="40"/>
              <w:right w:type="dxa" w:w="70"/>
            </w:tcMar>
          </w:tcPr>
          <w:p>
            <w:pPr>
              <w:jc w:val="left"/>
            </w:pPr>
            <w:r>
              <w:rPr>
                <w:b/>
                <w:bCs/>
                <w:color w:val="222222"/>
                <w:sz w:val="17"/>
                <w:szCs w:val="17"/>
              </w:rPr>
              <w:t xml:space="preserve">Caveats</w:t>
            </w:r>
          </w:p>
        </w:tc>
        <w:tc>
          <w:tcPr>
            <w:tcW w:type="dxa" w:w="6760"/>
            <w:tcMar>
              <w:top w:type="dxa" w:w="40"/>
              <w:left w:type="dxa" w:w="70"/>
              <w:bottom w:type="dxa" w:w="40"/>
              <w:right w:type="dxa" w:w="70"/>
            </w:tcMar>
          </w:tcPr>
          <w:p>
            <w:pPr>
              <w:jc w:val="left"/>
            </w:pPr>
            <w:r>
              <w:rPr>
                <w:b w:val="false"/>
                <w:bCs w:val="false"/>
                <w:color w:val="222222"/>
                <w:sz w:val="17"/>
                <w:szCs w:val="17"/>
              </w:rPr>
              <w:t xml:space="preserve">Daily pivot inputs CORROBORATED (17 Jul H/L/C); tight stop — invalidation ahead of stop; earnings-week collision (§13d)</w:t>
            </w:r>
          </w:p>
        </w:tc>
      </w:tr>
    </w:tbl>
    <w:p>
      <w:r>
        <w:rPr>
          <w:b/>
          <w:bCs/>
          <w:color w:val="9c1f5f"/>
          <w:sz w:val="18"/>
          <w:szCs w:val="18"/>
        </w:rPr>
        <w:t xml:space="preserve">Trade 3C — Momentum-Breakout (TRANSITION regime)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6760"/>
      </w:tblGrid>
      <w:tr>
        <w:trPr>
          <w:tblHeader/>
        </w:trPr>
        <w:tc>
          <w:tcPr>
            <w:tcW w:type="dxa" w:w="2600"/>
            <w:shd w:fill="9c1f5f" w:color="auto" w:val="clear"/>
            <w:tcMar>
              <w:top w:type="dxa" w:w="40"/>
              <w:left w:type="dxa" w:w="70"/>
              <w:bottom w:type="dxa" w:w="40"/>
              <w:right w:type="dxa" w:w="70"/>
            </w:tcMar>
          </w:tcPr>
          <w:p>
            <w:pPr>
              <w:jc w:val="left"/>
            </w:pPr>
            <w:r>
              <w:rPr>
                <w:b/>
                <w:bCs/>
                <w:color w:val="FFFFFF"/>
                <w:sz w:val="18"/>
                <w:szCs w:val="18"/>
              </w:rPr>
              <w:t xml:space="preserve">Field</w:t>
            </w:r>
          </w:p>
        </w:tc>
        <w:tc>
          <w:tcPr>
            <w:tcW w:type="dxa" w:w="6760"/>
            <w:shd w:fill="9c1f5f" w:color="auto" w:val="clear"/>
            <w:tcMar>
              <w:top w:type="dxa" w:w="40"/>
              <w:left w:type="dxa" w:w="70"/>
              <w:bottom w:type="dxa" w:w="40"/>
              <w:right w:type="dxa" w:w="70"/>
            </w:tcMar>
          </w:tcPr>
          <w:p>
            <w:pPr>
              <w:jc w:val="left"/>
            </w:pPr>
            <w:r>
              <w:rPr>
                <w:b/>
                <w:bCs/>
                <w:color w:val="FFFFFF"/>
                <w:sz w:val="18"/>
                <w:szCs w:val="18"/>
              </w:rPr>
              <w:t xml:space="preserve">Detail</w:t>
            </w:r>
          </w:p>
        </w:tc>
      </w:tr>
      <w:tr>
        <w:tc>
          <w:tcPr>
            <w:tcW w:type="dxa" w:w="2600"/>
            <w:tcMar>
              <w:top w:type="dxa" w:w="40"/>
              <w:left w:type="dxa" w:w="70"/>
              <w:bottom w:type="dxa" w:w="40"/>
              <w:right w:type="dxa" w:w="70"/>
            </w:tcMar>
          </w:tcPr>
          <w:p>
            <w:pPr>
              <w:jc w:val="left"/>
            </w:pPr>
            <w:r>
              <w:rPr>
                <w:b/>
                <w:bCs/>
                <w:color w:val="222222"/>
                <w:sz w:val="17"/>
                <w:szCs w:val="17"/>
              </w:rPr>
              <w:t xml:space="preserve">Trade type</w:t>
            </w:r>
          </w:p>
        </w:tc>
        <w:tc>
          <w:tcPr>
            <w:tcW w:type="dxa" w:w="6760"/>
            <w:tcMar>
              <w:top w:type="dxa" w:w="40"/>
              <w:left w:type="dxa" w:w="70"/>
              <w:bottom w:type="dxa" w:w="40"/>
              <w:right w:type="dxa" w:w="70"/>
            </w:tcMar>
          </w:tcPr>
          <w:p>
            <w:pPr>
              <w:jc w:val="left"/>
            </w:pPr>
            <w:r>
              <w:rPr>
                <w:b w:val="false"/>
                <w:bCs w:val="false"/>
                <w:color w:val="222222"/>
                <w:sz w:val="17"/>
                <w:szCs w:val="17"/>
              </w:rPr>
              <w:t xml:space="preserve">Trade 3C — Momentum-Breakout; regime label TRANSITION selects the 3C fork</w:t>
            </w:r>
          </w:p>
        </w:tc>
      </w:tr>
      <w:tr>
        <w:tc>
          <w:tcPr>
            <w:tcW w:type="dxa" w:w="2600"/>
            <w:tcMar>
              <w:top w:type="dxa" w:w="40"/>
              <w:left w:type="dxa" w:w="70"/>
              <w:bottom w:type="dxa" w:w="40"/>
              <w:right w:type="dxa" w:w="70"/>
            </w:tcMar>
          </w:tcPr>
          <w:p>
            <w:pPr>
              <w:jc w:val="left"/>
            </w:pPr>
            <w:r>
              <w:rPr>
                <w:b/>
                <w:bCs/>
                <w:color w:val="222222"/>
                <w:sz w:val="17"/>
                <w:szCs w:val="17"/>
              </w:rPr>
              <w:t xml:space="preserve">Range definition</w:t>
            </w:r>
          </w:p>
        </w:tc>
        <w:tc>
          <w:tcPr>
            <w:tcW w:type="dxa" w:w="6760"/>
            <w:tcMar>
              <w:top w:type="dxa" w:w="40"/>
              <w:left w:type="dxa" w:w="70"/>
              <w:bottom w:type="dxa" w:w="40"/>
              <w:right w:type="dxa" w:w="70"/>
            </w:tcMar>
          </w:tcPr>
          <w:p>
            <w:pPr>
              <w:jc w:val="left"/>
            </w:pPr>
            <w:r>
              <w:rPr>
                <w:b w:val="false"/>
                <w:bCs w:val="false"/>
                <w:color w:val="222222"/>
                <w:sz w:val="17"/>
                <w:szCs w:val="17"/>
              </w:rPr>
              <w:t xml:space="preserve">25-session range: low 7,294.18 to high 7,588.60; width 294.4 points</w:t>
            </w:r>
          </w:p>
        </w:tc>
      </w:tr>
      <w:tr>
        <w:tc>
          <w:tcPr>
            <w:tcW w:type="dxa" w:w="2600"/>
            <w:tcMar>
              <w:top w:type="dxa" w:w="40"/>
              <w:left w:type="dxa" w:w="70"/>
              <w:bottom w:type="dxa" w:w="40"/>
              <w:right w:type="dxa" w:w="70"/>
            </w:tcMar>
          </w:tcPr>
          <w:p>
            <w:pPr>
              <w:jc w:val="left"/>
            </w:pPr>
            <w:r>
              <w:rPr>
                <w:b/>
                <w:bCs/>
                <w:color w:val="222222"/>
                <w:sz w:val="17"/>
                <w:szCs w:val="17"/>
              </w:rPr>
              <w:t xml:space="preserve">Direction trigger</w:t>
            </w:r>
          </w:p>
        </w:tc>
        <w:tc>
          <w:tcPr>
            <w:tcW w:type="dxa" w:w="6760"/>
            <w:tcMar>
              <w:top w:type="dxa" w:w="40"/>
              <w:left w:type="dxa" w:w="70"/>
              <w:bottom w:type="dxa" w:w="40"/>
              <w:right w:type="dxa" w:w="70"/>
            </w:tcMar>
          </w:tcPr>
          <w:p>
            <w:pPr>
              <w:jc w:val="left"/>
            </w:pPr>
            <w:r>
              <w:rPr>
                <w:b w:val="false"/>
                <w:bCs w:val="false"/>
                <w:color w:val="222222"/>
                <w:sz w:val="17"/>
                <w:szCs w:val="17"/>
              </w:rPr>
              <w:t xml:space="preserve">Downside — recent failed retest at the upper boundary (15 Jul high 7,588.60 rejected), confirmed by negative VOLator slope and CONFIRM cross-asset</w:t>
            </w:r>
          </w:p>
        </w:tc>
      </w:tr>
      <w:tr>
        <w:tc>
          <w:tcPr>
            <w:tcW w:type="dxa" w:w="2600"/>
            <w:tcMar>
              <w:top w:type="dxa" w:w="40"/>
              <w:left w:type="dxa" w:w="70"/>
              <w:bottom w:type="dxa" w:w="40"/>
              <w:right w:type="dxa" w:w="70"/>
            </w:tcMar>
          </w:tcPr>
          <w:p>
            <w:pPr>
              <w:jc w:val="left"/>
            </w:pPr>
            <w:r>
              <w:rPr>
                <w:b/>
                <w:bCs/>
                <w:color w:val="222222"/>
                <w:sz w:val="17"/>
                <w:szCs w:val="17"/>
              </w:rPr>
              <w:t xml:space="preserve">Confirmed break</w:t>
            </w:r>
          </w:p>
        </w:tc>
        <w:tc>
          <w:tcPr>
            <w:tcW w:type="dxa" w:w="6760"/>
            <w:tcMar>
              <w:top w:type="dxa" w:w="40"/>
              <w:left w:type="dxa" w:w="70"/>
              <w:bottom w:type="dxa" w:w="40"/>
              <w:right w:type="dxa" w:w="70"/>
            </w:tcMar>
          </w:tcPr>
          <w:p>
            <w:pPr>
              <w:jc w:val="left"/>
            </w:pPr>
            <w:r>
              <w:rPr>
                <w:b w:val="false"/>
                <w:bCs w:val="false"/>
                <w:color w:val="222222"/>
                <w:sz w:val="17"/>
                <w:szCs w:val="17"/>
              </w:rPr>
              <w:t xml:space="preserve">Requires a daily close below 7,276.13 (range low − 0.25×ATR). Not yet met — 17 Jul close 7,457.69 is inside the range; trade is armed, not live</w:t>
            </w:r>
          </w:p>
        </w:tc>
      </w:tr>
      <w:tr>
        <w:tc>
          <w:tcPr>
            <w:tcW w:type="dxa" w:w="2600"/>
            <w:tcMar>
              <w:top w:type="dxa" w:w="40"/>
              <w:left w:type="dxa" w:w="70"/>
              <w:bottom w:type="dxa" w:w="40"/>
              <w:right w:type="dxa" w:w="70"/>
            </w:tcMar>
          </w:tcPr>
          <w:p>
            <w:pPr>
              <w:jc w:val="left"/>
            </w:pPr>
            <w:r>
              <w:rPr>
                <w:b/>
                <w:bCs/>
                <w:color w:val="222222"/>
                <w:sz w:val="17"/>
                <w:szCs w:val="17"/>
              </w:rPr>
              <w:t xml:space="preserve">Entry</w:t>
            </w:r>
          </w:p>
        </w:tc>
        <w:tc>
          <w:tcPr>
            <w:tcW w:type="dxa" w:w="6760"/>
            <w:tcMar>
              <w:top w:type="dxa" w:w="40"/>
              <w:left w:type="dxa" w:w="70"/>
              <w:bottom w:type="dxa" w:w="40"/>
              <w:right w:type="dxa" w:w="70"/>
            </w:tcMar>
          </w:tcPr>
          <w:p>
            <w:pPr>
              <w:jc w:val="left"/>
            </w:pPr>
            <w:r>
              <w:rPr>
                <w:b w:val="false"/>
                <w:bCs w:val="false"/>
                <w:color w:val="222222"/>
                <w:sz w:val="17"/>
                <w:szCs w:val="17"/>
              </w:rPr>
              <w:t xml:space="preserve">On confirmed downside close, stop-entry ≈ 7,276.13 (or following-session open)</w:t>
            </w:r>
          </w:p>
        </w:tc>
      </w:tr>
      <w:tr>
        <w:tc>
          <w:tcPr>
            <w:tcW w:type="dxa" w:w="2600"/>
            <w:tcMar>
              <w:top w:type="dxa" w:w="40"/>
              <w:left w:type="dxa" w:w="70"/>
              <w:bottom w:type="dxa" w:w="40"/>
              <w:right w:type="dxa" w:w="70"/>
            </w:tcMar>
          </w:tcPr>
          <w:p>
            <w:pPr>
              <w:jc w:val="left"/>
            </w:pPr>
            <w:r>
              <w:rPr>
                <w:b/>
                <w:bCs/>
                <w:color w:val="222222"/>
                <w:sz w:val="17"/>
                <w:szCs w:val="17"/>
              </w:rPr>
              <w:t xml:space="preserve">Stop loss</w:t>
            </w:r>
          </w:p>
        </w:tc>
        <w:tc>
          <w:tcPr>
            <w:tcW w:type="dxa" w:w="6760"/>
            <w:tcMar>
              <w:top w:type="dxa" w:w="40"/>
              <w:left w:type="dxa" w:w="70"/>
              <w:bottom w:type="dxa" w:w="40"/>
              <w:right w:type="dxa" w:w="70"/>
            </w:tcMar>
          </w:tcPr>
          <w:p>
            <w:pPr>
              <w:jc w:val="left"/>
            </w:pPr>
            <w:r>
              <w:rPr>
                <w:b w:val="false"/>
                <w:bCs w:val="false"/>
                <w:color w:val="222222"/>
                <w:sz w:val="17"/>
                <w:szCs w:val="17"/>
              </w:rPr>
              <w:t xml:space="preserve">7,470.83 — inside range, just above the midpoint (generous post-fakeout stop)</w:t>
            </w:r>
          </w:p>
        </w:tc>
      </w:tr>
      <w:tr>
        <w:tc>
          <w:tcPr>
            <w:tcW w:type="dxa" w:w="2600"/>
            <w:tcMar>
              <w:top w:type="dxa" w:w="40"/>
              <w:left w:type="dxa" w:w="70"/>
              <w:bottom w:type="dxa" w:w="40"/>
              <w:right w:type="dxa" w:w="70"/>
            </w:tcMar>
          </w:tcPr>
          <w:p>
            <w:pPr>
              <w:jc w:val="left"/>
            </w:pPr>
            <w:r>
              <w:rPr>
                <w:b/>
                <w:bCs/>
                <w:color w:val="222222"/>
                <w:sz w:val="17"/>
                <w:szCs w:val="17"/>
              </w:rPr>
              <w:t xml:space="preserve">TP1 (Unit 1)</w:t>
            </w:r>
          </w:p>
        </w:tc>
        <w:tc>
          <w:tcPr>
            <w:tcW w:type="dxa" w:w="6760"/>
            <w:tcMar>
              <w:top w:type="dxa" w:w="40"/>
              <w:left w:type="dxa" w:w="70"/>
              <w:bottom w:type="dxa" w:w="40"/>
              <w:right w:type="dxa" w:w="70"/>
            </w:tcMar>
          </w:tcPr>
          <w:p>
            <w:pPr>
              <w:jc w:val="left"/>
            </w:pPr>
            <w:r>
              <w:rPr>
                <w:b w:val="false"/>
                <w:bCs w:val="false"/>
                <w:color w:val="222222"/>
                <w:sz w:val="17"/>
                <w:szCs w:val="17"/>
              </w:rPr>
              <w:t xml:space="preserve">6,999.76 — measured move (range low − 1.0×width)</w:t>
            </w:r>
          </w:p>
        </w:tc>
      </w:tr>
      <w:tr>
        <w:tc>
          <w:tcPr>
            <w:tcW w:type="dxa" w:w="2600"/>
            <w:tcMar>
              <w:top w:type="dxa" w:w="40"/>
              <w:left w:type="dxa" w:w="70"/>
              <w:bottom w:type="dxa" w:w="40"/>
              <w:right w:type="dxa" w:w="70"/>
            </w:tcMar>
          </w:tcPr>
          <w:p>
            <w:pPr>
              <w:jc w:val="left"/>
            </w:pPr>
            <w:r>
              <w:rPr>
                <w:b/>
                <w:bCs/>
                <w:color w:val="222222"/>
                <w:sz w:val="17"/>
                <w:szCs w:val="17"/>
              </w:rPr>
              <w:t xml:space="preserve">TP2 (Unit 2)</w:t>
            </w:r>
          </w:p>
        </w:tc>
        <w:tc>
          <w:tcPr>
            <w:tcW w:type="dxa" w:w="6760"/>
            <w:tcMar>
              <w:top w:type="dxa" w:w="40"/>
              <w:left w:type="dxa" w:w="70"/>
              <w:bottom w:type="dxa" w:w="40"/>
              <w:right w:type="dxa" w:w="70"/>
            </w:tcMar>
          </w:tcPr>
          <w:p>
            <w:pPr>
              <w:jc w:val="left"/>
            </w:pPr>
            <w:r>
              <w:rPr>
                <w:b w:val="false"/>
                <w:bCs w:val="false"/>
                <w:color w:val="222222"/>
                <w:sz w:val="17"/>
                <w:szCs w:val="17"/>
              </w:rPr>
              <w:t xml:space="preserve">6,852.55 — 1.5×measured move; on fill, U3 stop to the broken boundary (7,294)</w:t>
            </w:r>
          </w:p>
        </w:tc>
      </w:tr>
      <w:tr>
        <w:tc>
          <w:tcPr>
            <w:tcW w:type="dxa" w:w="2600"/>
            <w:tcMar>
              <w:top w:type="dxa" w:w="40"/>
              <w:left w:type="dxa" w:w="70"/>
              <w:bottom w:type="dxa" w:w="40"/>
              <w:right w:type="dxa" w:w="70"/>
            </w:tcMar>
          </w:tcPr>
          <w:p>
            <w:pPr>
              <w:jc w:val="left"/>
            </w:pPr>
            <w:r>
              <w:rPr>
                <w:b/>
                <w:bCs/>
                <w:color w:val="222222"/>
                <w:sz w:val="17"/>
                <w:szCs w:val="17"/>
              </w:rPr>
              <w:t xml:space="preserve">TP3 (Unit 3 — runner)</w:t>
            </w:r>
          </w:p>
        </w:tc>
        <w:tc>
          <w:tcPr>
            <w:tcW w:type="dxa" w:w="6760"/>
            <w:tcMar>
              <w:top w:type="dxa" w:w="40"/>
              <w:left w:type="dxa" w:w="70"/>
              <w:bottom w:type="dxa" w:w="40"/>
              <w:right w:type="dxa" w:w="70"/>
            </w:tcMar>
          </w:tcPr>
          <w:p>
            <w:pPr>
              <w:jc w:val="left"/>
            </w:pPr>
            <w:r>
              <w:rPr>
                <w:b w:val="false"/>
                <w:bCs w:val="false"/>
                <w:color w:val="222222"/>
                <w:sz w:val="17"/>
                <w:szCs w:val="17"/>
              </w:rPr>
              <w:t xml:space="preserve">Discretionary trail beyond 1.5×MM, anchored to subsequent swing structure</w:t>
            </w:r>
          </w:p>
        </w:tc>
      </w:tr>
      <w:tr>
        <w:tc>
          <w:tcPr>
            <w:tcW w:type="dxa" w:w="2600"/>
            <w:tcMar>
              <w:top w:type="dxa" w:w="40"/>
              <w:left w:type="dxa" w:w="70"/>
              <w:bottom w:type="dxa" w:w="40"/>
              <w:right w:type="dxa" w:w="70"/>
            </w:tcMar>
          </w:tcPr>
          <w:p>
            <w:pPr>
              <w:jc w:val="left"/>
            </w:pPr>
            <w:r>
              <w:rPr>
                <w:b/>
                <w:bCs/>
                <w:color w:val="222222"/>
                <w:sz w:val="17"/>
                <w:szCs w:val="17"/>
              </w:rPr>
              <w:t xml:space="preserve">Thesis invalidation</w:t>
            </w:r>
          </w:p>
        </w:tc>
        <w:tc>
          <w:tcPr>
            <w:tcW w:type="dxa" w:w="6760"/>
            <w:tcMar>
              <w:top w:type="dxa" w:w="40"/>
              <w:left w:type="dxa" w:w="70"/>
              <w:bottom w:type="dxa" w:w="40"/>
              <w:right w:type="dxa" w:w="70"/>
            </w:tcMar>
          </w:tcPr>
          <w:p>
            <w:pPr>
              <w:jc w:val="left"/>
            </w:pPr>
            <w:r>
              <w:rPr>
                <w:b w:val="false"/>
                <w:bCs w:val="false"/>
                <w:color w:val="222222"/>
                <w:sz w:val="17"/>
                <w:szCs w:val="17"/>
              </w:rPr>
              <w:t xml:space="preserve">Daily close back inside the range above the midpoint (7,441.39)</w:t>
            </w:r>
          </w:p>
        </w:tc>
      </w:tr>
      <w:tr>
        <w:tc>
          <w:tcPr>
            <w:tcW w:type="dxa" w:w="2600"/>
            <w:tcMar>
              <w:top w:type="dxa" w:w="40"/>
              <w:left w:type="dxa" w:w="70"/>
              <w:bottom w:type="dxa" w:w="40"/>
              <w:right w:type="dxa" w:w="70"/>
            </w:tcMar>
          </w:tcPr>
          <w:p>
            <w:pPr>
              <w:jc w:val="left"/>
            </w:pPr>
            <w:r>
              <w:rPr>
                <w:b/>
                <w:bCs/>
                <w:color w:val="222222"/>
                <w:sz w:val="17"/>
                <w:szCs w:val="17"/>
              </w:rPr>
              <w:t xml:space="preserve">Caveats</w:t>
            </w:r>
          </w:p>
        </w:tc>
        <w:tc>
          <w:tcPr>
            <w:tcW w:type="dxa" w:w="6760"/>
            <w:tcMar>
              <w:top w:type="dxa" w:w="40"/>
              <w:left w:type="dxa" w:w="70"/>
              <w:bottom w:type="dxa" w:w="40"/>
              <w:right w:type="dxa" w:w="70"/>
            </w:tcMar>
          </w:tcPr>
          <w:p>
            <w:pPr>
              <w:jc w:val="left"/>
            </w:pPr>
            <w:r>
              <w:rPr>
                <w:b w:val="false"/>
                <w:bCs w:val="false"/>
                <w:color w:val="222222"/>
                <w:sz w:val="17"/>
                <w:szCs w:val="17"/>
              </w:rPr>
              <w:t xml:space="preserve">Not yet triggered (no confirmed break); wide structural stop — position size reduced; earnings-week collision (§13d)</w:t>
            </w:r>
          </w:p>
        </w:tc>
      </w:tr>
    </w:tbl>
    <w:p>
      <w:r>
        <w:rPr>
          <w:b/>
          <w:bCs/>
          <w:color w:val="9c1f5f"/>
          <w:sz w:val="19"/>
          <w:szCs w:val="19"/>
        </w:rPr>
        <w:t xml:space="preserve">21c · 5-Session No-Leakage Backtest (Trade 1 reconstruction)</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500"/>
        <w:gridCol w:w="1250"/>
        <w:gridCol w:w="1250"/>
        <w:gridCol w:w="1150"/>
        <w:gridCol w:w="1900"/>
        <w:gridCol w:w="1250"/>
        <w:gridCol w:w="1060"/>
      </w:tblGrid>
      <w:tr>
        <w:trPr>
          <w:tblHeader/>
        </w:trPr>
        <w:tc>
          <w:tcPr>
            <w:tcW w:type="dxa" w:w="1500"/>
            <w:shd w:fill="9c1f5f" w:color="auto" w:val="clear"/>
            <w:tcMar>
              <w:top w:type="dxa" w:w="40"/>
              <w:left w:type="dxa" w:w="70"/>
              <w:bottom w:type="dxa" w:w="40"/>
              <w:right w:type="dxa" w:w="70"/>
            </w:tcMar>
          </w:tcPr>
          <w:p>
            <w:pPr>
              <w:jc w:val="left"/>
            </w:pPr>
            <w:r>
              <w:rPr>
                <w:b/>
                <w:bCs/>
                <w:color w:val="FFFFFF"/>
                <w:sz w:val="18"/>
                <w:szCs w:val="18"/>
              </w:rPr>
              <w:t xml:space="preserve">Date (t)</w:t>
            </w:r>
          </w:p>
        </w:tc>
        <w:tc>
          <w:tcPr>
            <w:tcW w:type="dxa" w:w="1250"/>
            <w:shd w:fill="9c1f5f" w:color="auto" w:val="clear"/>
            <w:tcMar>
              <w:top w:type="dxa" w:w="40"/>
              <w:left w:type="dxa" w:w="70"/>
              <w:bottom w:type="dxa" w:w="40"/>
              <w:right w:type="dxa" w:w="70"/>
            </w:tcMar>
          </w:tcPr>
          <w:p>
            <w:pPr>
              <w:jc w:val="left"/>
            </w:pPr>
            <w:r>
              <w:rPr>
                <w:b/>
                <w:bCs/>
                <w:color w:val="FFFFFF"/>
                <w:sz w:val="18"/>
                <w:szCs w:val="18"/>
              </w:rPr>
              <w:t xml:space="preserve">Strategy</w:t>
            </w:r>
          </w:p>
        </w:tc>
        <w:tc>
          <w:tcPr>
            <w:tcW w:type="dxa" w:w="1250"/>
            <w:shd w:fill="9c1f5f" w:color="auto" w:val="clear"/>
            <w:tcMar>
              <w:top w:type="dxa" w:w="40"/>
              <w:left w:type="dxa" w:w="70"/>
              <w:bottom w:type="dxa" w:w="40"/>
              <w:right w:type="dxa" w:w="70"/>
            </w:tcMar>
          </w:tcPr>
          <w:p>
            <w:pPr>
              <w:jc w:val="left"/>
            </w:pPr>
            <w:r>
              <w:rPr>
                <w:b/>
                <w:bCs/>
                <w:color w:val="FFFFFF"/>
                <w:sz w:val="18"/>
                <w:szCs w:val="18"/>
              </w:rPr>
              <w:t xml:space="preserve">Direction</w:t>
            </w:r>
          </w:p>
        </w:tc>
        <w:tc>
          <w:tcPr>
            <w:tcW w:type="dxa" w:w="1150"/>
            <w:shd w:fill="9c1f5f" w:color="auto" w:val="clear"/>
            <w:tcMar>
              <w:top w:type="dxa" w:w="40"/>
              <w:left w:type="dxa" w:w="70"/>
              <w:bottom w:type="dxa" w:w="40"/>
              <w:right w:type="dxa" w:w="70"/>
            </w:tcMar>
          </w:tcPr>
          <w:p>
            <w:pPr>
              <w:jc w:val="left"/>
            </w:pPr>
            <w:r>
              <w:rPr>
                <w:b/>
                <w:bCs/>
                <w:color w:val="FFFFFF"/>
                <w:sz w:val="18"/>
                <w:szCs w:val="18"/>
              </w:rPr>
              <w:t xml:space="preserve">Triggered</w:t>
            </w:r>
          </w:p>
        </w:tc>
        <w:tc>
          <w:tcPr>
            <w:tcW w:type="dxa" w:w="1900"/>
            <w:shd w:fill="9c1f5f" w:color="auto" w:val="clear"/>
            <w:tcMar>
              <w:top w:type="dxa" w:w="40"/>
              <w:left w:type="dxa" w:w="70"/>
              <w:bottom w:type="dxa" w:w="40"/>
              <w:right w:type="dxa" w:w="70"/>
            </w:tcMar>
          </w:tcPr>
          <w:p>
            <w:pPr>
              <w:jc w:val="left"/>
            </w:pPr>
            <w:r>
              <w:rPr>
                <w:b/>
                <w:bCs/>
                <w:color w:val="FFFFFF"/>
                <w:sz w:val="18"/>
                <w:szCs w:val="18"/>
              </w:rPr>
              <w:t xml:space="preserve">Entry→Exit</w:t>
            </w:r>
          </w:p>
        </w:tc>
        <w:tc>
          <w:tcPr>
            <w:tcW w:type="dxa" w:w="1250"/>
            <w:shd w:fill="9c1f5f" w:color="auto" w:val="clear"/>
            <w:tcMar>
              <w:top w:type="dxa" w:w="40"/>
              <w:left w:type="dxa" w:w="70"/>
              <w:bottom w:type="dxa" w:w="40"/>
              <w:right w:type="dxa" w:w="70"/>
            </w:tcMar>
          </w:tcPr>
          <w:p>
            <w:pPr>
              <w:jc w:val="left"/>
            </w:pPr>
            <w:r>
              <w:rPr>
                <w:b/>
                <w:bCs/>
                <w:color w:val="FFFFFF"/>
                <w:sz w:val="18"/>
                <w:szCs w:val="18"/>
              </w:rPr>
              <w:t xml:space="preserve">Outcome (R)</w:t>
            </w:r>
          </w:p>
        </w:tc>
        <w:tc>
          <w:tcPr>
            <w:tcW w:type="dxa" w:w="1060"/>
            <w:shd w:fill="9c1f5f" w:color="auto" w:val="clear"/>
            <w:tcMar>
              <w:top w:type="dxa" w:w="40"/>
              <w:left w:type="dxa" w:w="70"/>
              <w:bottom w:type="dxa" w:w="40"/>
              <w:right w:type="dxa" w:w="70"/>
            </w:tcMar>
          </w:tcPr>
          <w:p>
            <w:pPr>
              <w:jc w:val="left"/>
            </w:pPr>
            <w:r>
              <w:rPr>
                <w:b/>
                <w:bCs/>
                <w:color w:val="FFFFFF"/>
                <w:sz w:val="18"/>
                <w:szCs w:val="18"/>
              </w:rPr>
              <w:t xml:space="preserve">Days</w:t>
            </w:r>
          </w:p>
        </w:tc>
      </w:tr>
      <w:tr>
        <w:tc>
          <w:tcPr>
            <w:tcW w:type="dxa" w:w="1500"/>
            <w:tcMar>
              <w:top w:type="dxa" w:w="40"/>
              <w:left w:type="dxa" w:w="70"/>
              <w:bottom w:type="dxa" w:w="40"/>
              <w:right w:type="dxa" w:w="70"/>
            </w:tcMar>
          </w:tcPr>
          <w:p>
            <w:pPr>
              <w:jc w:val="left"/>
            </w:pPr>
            <w:r>
              <w:rPr>
                <w:b w:val="false"/>
                <w:bCs w:val="false"/>
                <w:color w:val="222222"/>
                <w:sz w:val="16"/>
                <w:szCs w:val="16"/>
              </w:rPr>
              <w:t xml:space="preserve">13 Jul (t−5)</w:t>
            </w:r>
          </w:p>
        </w:tc>
        <w:tc>
          <w:tcPr>
            <w:tcW w:type="dxa" w:w="1250"/>
            <w:tcMar>
              <w:top w:type="dxa" w:w="40"/>
              <w:left w:type="dxa" w:w="70"/>
              <w:bottom w:type="dxa" w:w="40"/>
              <w:right w:type="dxa" w:w="70"/>
            </w:tcMar>
          </w:tcPr>
          <w:p>
            <w:pPr>
              <w:jc w:val="left"/>
            </w:pPr>
            <w:r>
              <w:rPr>
                <w:b w:val="false"/>
                <w:bCs w:val="false"/>
                <w:color w:val="222222"/>
                <w:sz w:val="16"/>
                <w:szCs w:val="16"/>
              </w:rPr>
              <w:t xml:space="preserve">Trade 1</w:t>
            </w:r>
          </w:p>
        </w:tc>
        <w:tc>
          <w:tcPr>
            <w:tcW w:type="dxa" w:w="1250"/>
            <w:tcMar>
              <w:top w:type="dxa" w:w="40"/>
              <w:left w:type="dxa" w:w="70"/>
              <w:bottom w:type="dxa" w:w="40"/>
              <w:right w:type="dxa" w:w="70"/>
            </w:tcMar>
          </w:tcPr>
          <w:p>
            <w:pPr>
              <w:jc w:val="left"/>
            </w:pPr>
            <w:r>
              <w:rPr>
                <w:b w:val="false"/>
                <w:bCs w:val="false"/>
                <w:color w:val="222222"/>
                <w:sz w:val="16"/>
                <w:szCs w:val="16"/>
              </w:rPr>
              <w:t xml:space="preserve">LONG</w:t>
            </w:r>
          </w:p>
        </w:tc>
        <w:tc>
          <w:tcPr>
            <w:tcW w:type="dxa" w:w="1150"/>
            <w:tcMar>
              <w:top w:type="dxa" w:w="40"/>
              <w:left w:type="dxa" w:w="70"/>
              <w:bottom w:type="dxa" w:w="40"/>
              <w:right w:type="dxa" w:w="70"/>
            </w:tcMar>
          </w:tcPr>
          <w:p>
            <w:pPr>
              <w:jc w:val="left"/>
            </w:pPr>
            <w:r>
              <w:rPr>
                <w:b w:val="false"/>
                <w:bCs w:val="false"/>
                <w:color w:val="222222"/>
                <w:sz w:val="16"/>
                <w:szCs w:val="16"/>
              </w:rPr>
              <w:t xml:space="preserve">YES</w:t>
            </w:r>
          </w:p>
        </w:tc>
        <w:tc>
          <w:tcPr>
            <w:tcW w:type="dxa" w:w="1900"/>
            <w:tcMar>
              <w:top w:type="dxa" w:w="40"/>
              <w:left w:type="dxa" w:w="70"/>
              <w:bottom w:type="dxa" w:w="40"/>
              <w:right w:type="dxa" w:w="70"/>
            </w:tcMar>
          </w:tcPr>
          <w:p>
            <w:pPr>
              <w:jc w:val="left"/>
            </w:pPr>
            <w:r>
              <w:rPr>
                <w:b w:val="false"/>
                <w:bCs w:val="false"/>
                <w:color w:val="222222"/>
                <w:sz w:val="16"/>
                <w:szCs w:val="16"/>
              </w:rPr>
              <w:t xml:space="preserve">7,547.53→7,515.34</w:t>
            </w:r>
          </w:p>
        </w:tc>
        <w:tc>
          <w:tcPr>
            <w:tcW w:type="dxa" w:w="1250"/>
            <w:tcMar>
              <w:top w:type="dxa" w:w="40"/>
              <w:left w:type="dxa" w:w="70"/>
              <w:bottom w:type="dxa" w:w="40"/>
              <w:right w:type="dxa" w:w="70"/>
            </w:tcMar>
          </w:tcPr>
          <w:p>
            <w:pPr>
              <w:jc w:val="left"/>
            </w:pPr>
            <w:r>
              <w:rPr>
                <w:b w:val="false"/>
                <w:bCs w:val="false"/>
                <w:color w:val="222222"/>
                <w:sz w:val="16"/>
                <w:szCs w:val="16"/>
              </w:rPr>
              <w:t xml:space="preserve">−0.72 (close)</w:t>
            </w:r>
          </w:p>
        </w:tc>
        <w:tc>
          <w:tcPr>
            <w:tcW w:type="dxa" w:w="1060"/>
            <w:tcMar>
              <w:top w:type="dxa" w:w="40"/>
              <w:left w:type="dxa" w:w="70"/>
              <w:bottom w:type="dxa" w:w="40"/>
              <w:right w:type="dxa" w:w="70"/>
            </w:tcMar>
          </w:tcPr>
          <w:p>
            <w:pPr>
              <w:jc w:val="left"/>
            </w:pPr>
            <w:r>
              <w:rPr>
                <w:b w:val="false"/>
                <w:bCs w:val="false"/>
                <w:color w:val="222222"/>
                <w:sz w:val="16"/>
                <w:szCs w:val="16"/>
              </w:rPr>
              <w:t xml:space="preserve">1</w:t>
            </w:r>
          </w:p>
        </w:tc>
      </w:tr>
      <w:tr>
        <w:tc>
          <w:tcPr>
            <w:tcW w:type="dxa" w:w="1500"/>
            <w:tcMar>
              <w:top w:type="dxa" w:w="40"/>
              <w:left w:type="dxa" w:w="70"/>
              <w:bottom w:type="dxa" w:w="40"/>
              <w:right w:type="dxa" w:w="70"/>
            </w:tcMar>
          </w:tcPr>
          <w:p>
            <w:pPr>
              <w:jc w:val="left"/>
            </w:pPr>
            <w:r>
              <w:rPr>
                <w:b w:val="false"/>
                <w:bCs w:val="false"/>
                <w:color w:val="222222"/>
                <w:sz w:val="16"/>
                <w:szCs w:val="16"/>
              </w:rPr>
              <w:t xml:space="preserve">14 Jul (t−4)</w:t>
            </w:r>
          </w:p>
        </w:tc>
        <w:tc>
          <w:tcPr>
            <w:tcW w:type="dxa" w:w="1250"/>
            <w:tcMar>
              <w:top w:type="dxa" w:w="40"/>
              <w:left w:type="dxa" w:w="70"/>
              <w:bottom w:type="dxa" w:w="40"/>
              <w:right w:type="dxa" w:w="70"/>
            </w:tcMar>
          </w:tcPr>
          <w:p>
            <w:pPr>
              <w:jc w:val="left"/>
            </w:pPr>
            <w:r>
              <w:rPr>
                <w:b w:val="false"/>
                <w:bCs w:val="false"/>
                <w:color w:val="222222"/>
                <w:sz w:val="16"/>
                <w:szCs w:val="16"/>
              </w:rPr>
              <w:t xml:space="preserve">Trade 1</w:t>
            </w:r>
          </w:p>
        </w:tc>
        <w:tc>
          <w:tcPr>
            <w:tcW w:type="dxa" w:w="1250"/>
            <w:tcMar>
              <w:top w:type="dxa" w:w="40"/>
              <w:left w:type="dxa" w:w="70"/>
              <w:bottom w:type="dxa" w:w="40"/>
              <w:right w:type="dxa" w:w="70"/>
            </w:tcMar>
          </w:tcPr>
          <w:p>
            <w:pPr>
              <w:jc w:val="left"/>
            </w:pPr>
            <w:r>
              <w:rPr>
                <w:b w:val="false"/>
                <w:bCs w:val="false"/>
                <w:color w:val="222222"/>
                <w:sz w:val="16"/>
                <w:szCs w:val="16"/>
              </w:rPr>
              <w:t xml:space="preserve">SHORT</w:t>
            </w:r>
          </w:p>
        </w:tc>
        <w:tc>
          <w:tcPr>
            <w:tcW w:type="dxa" w:w="1150"/>
            <w:tcMar>
              <w:top w:type="dxa" w:w="40"/>
              <w:left w:type="dxa" w:w="70"/>
              <w:bottom w:type="dxa" w:w="40"/>
              <w:right w:type="dxa" w:w="70"/>
            </w:tcMar>
          </w:tcPr>
          <w:p>
            <w:pPr>
              <w:jc w:val="left"/>
            </w:pPr>
            <w:r>
              <w:rPr>
                <w:b w:val="false"/>
                <w:bCs w:val="false"/>
                <w:color w:val="222222"/>
                <w:sz w:val="16"/>
                <w:szCs w:val="16"/>
              </w:rPr>
              <w:t xml:space="preserve">YES</w:t>
            </w:r>
          </w:p>
        </w:tc>
        <w:tc>
          <w:tcPr>
            <w:tcW w:type="dxa" w:w="1900"/>
            <w:tcMar>
              <w:top w:type="dxa" w:w="40"/>
              <w:left w:type="dxa" w:w="70"/>
              <w:bottom w:type="dxa" w:w="40"/>
              <w:right w:type="dxa" w:w="70"/>
            </w:tcMar>
          </w:tcPr>
          <w:p>
            <w:pPr>
              <w:jc w:val="left"/>
            </w:pPr>
            <w:r>
              <w:rPr>
                <w:b w:val="false"/>
                <w:bCs w:val="false"/>
                <w:color w:val="222222"/>
                <w:sz w:val="16"/>
                <w:szCs w:val="16"/>
              </w:rPr>
              <w:t xml:space="preserve">7,536.70→7,543.59</w:t>
            </w:r>
          </w:p>
        </w:tc>
        <w:tc>
          <w:tcPr>
            <w:tcW w:type="dxa" w:w="1250"/>
            <w:tcMar>
              <w:top w:type="dxa" w:w="40"/>
              <w:left w:type="dxa" w:w="70"/>
              <w:bottom w:type="dxa" w:w="40"/>
              <w:right w:type="dxa" w:w="70"/>
            </w:tcMar>
          </w:tcPr>
          <w:p>
            <w:pPr>
              <w:jc w:val="left"/>
            </w:pPr>
            <w:r>
              <w:rPr>
                <w:b w:val="false"/>
                <w:bCs w:val="false"/>
                <w:color w:val="222222"/>
                <w:sz w:val="16"/>
                <w:szCs w:val="16"/>
              </w:rPr>
              <w:t xml:space="preserve">−0.15 (close)</w:t>
            </w:r>
          </w:p>
        </w:tc>
        <w:tc>
          <w:tcPr>
            <w:tcW w:type="dxa" w:w="1060"/>
            <w:tcMar>
              <w:top w:type="dxa" w:w="40"/>
              <w:left w:type="dxa" w:w="70"/>
              <w:bottom w:type="dxa" w:w="40"/>
              <w:right w:type="dxa" w:w="70"/>
            </w:tcMar>
          </w:tcPr>
          <w:p>
            <w:pPr>
              <w:jc w:val="left"/>
            </w:pPr>
            <w:r>
              <w:rPr>
                <w:b w:val="false"/>
                <w:bCs w:val="false"/>
                <w:color w:val="222222"/>
                <w:sz w:val="16"/>
                <w:szCs w:val="16"/>
              </w:rPr>
              <w:t xml:space="preserve">1</w:t>
            </w:r>
          </w:p>
        </w:tc>
      </w:tr>
      <w:tr>
        <w:tc>
          <w:tcPr>
            <w:tcW w:type="dxa" w:w="1500"/>
            <w:tcMar>
              <w:top w:type="dxa" w:w="40"/>
              <w:left w:type="dxa" w:w="70"/>
              <w:bottom w:type="dxa" w:w="40"/>
              <w:right w:type="dxa" w:w="70"/>
            </w:tcMar>
          </w:tcPr>
          <w:p>
            <w:pPr>
              <w:jc w:val="left"/>
            </w:pPr>
            <w:r>
              <w:rPr>
                <w:b w:val="false"/>
                <w:bCs w:val="false"/>
                <w:color w:val="222222"/>
                <w:sz w:val="16"/>
                <w:szCs w:val="16"/>
              </w:rPr>
              <w:t xml:space="preserve">15 Jul (t−3)</w:t>
            </w:r>
          </w:p>
        </w:tc>
        <w:tc>
          <w:tcPr>
            <w:tcW w:type="dxa" w:w="1250"/>
            <w:tcMar>
              <w:top w:type="dxa" w:w="40"/>
              <w:left w:type="dxa" w:w="70"/>
              <w:bottom w:type="dxa" w:w="40"/>
              <w:right w:type="dxa" w:w="70"/>
            </w:tcMar>
          </w:tcPr>
          <w:p>
            <w:pPr>
              <w:jc w:val="left"/>
            </w:pPr>
            <w:r>
              <w:rPr>
                <w:b w:val="false"/>
                <w:bCs w:val="false"/>
                <w:color w:val="222222"/>
                <w:sz w:val="16"/>
                <w:szCs w:val="16"/>
              </w:rPr>
              <w:t xml:space="preserve">Trade 1</w:t>
            </w:r>
          </w:p>
        </w:tc>
        <w:tc>
          <w:tcPr>
            <w:tcW w:type="dxa" w:w="1250"/>
            <w:tcMar>
              <w:top w:type="dxa" w:w="40"/>
              <w:left w:type="dxa" w:w="70"/>
              <w:bottom w:type="dxa" w:w="40"/>
              <w:right w:type="dxa" w:w="70"/>
            </w:tcMar>
          </w:tcPr>
          <w:p>
            <w:pPr>
              <w:jc w:val="left"/>
            </w:pPr>
            <w:r>
              <w:rPr>
                <w:b w:val="false"/>
                <w:bCs w:val="false"/>
                <w:color w:val="222222"/>
                <w:sz w:val="16"/>
                <w:szCs w:val="16"/>
              </w:rPr>
              <w:t xml:space="preserve">LONG</w:t>
            </w:r>
          </w:p>
        </w:tc>
        <w:tc>
          <w:tcPr>
            <w:tcW w:type="dxa" w:w="1150"/>
            <w:tcMar>
              <w:top w:type="dxa" w:w="40"/>
              <w:left w:type="dxa" w:w="70"/>
              <w:bottom w:type="dxa" w:w="40"/>
              <w:right w:type="dxa" w:w="70"/>
            </w:tcMar>
          </w:tcPr>
          <w:p>
            <w:pPr>
              <w:jc w:val="left"/>
            </w:pPr>
            <w:r>
              <w:rPr>
                <w:b w:val="false"/>
                <w:bCs w:val="false"/>
                <w:color w:val="222222"/>
                <w:sz w:val="16"/>
                <w:szCs w:val="16"/>
              </w:rPr>
              <w:t xml:space="preserve">YES</w:t>
            </w:r>
          </w:p>
        </w:tc>
        <w:tc>
          <w:tcPr>
            <w:tcW w:type="dxa" w:w="1900"/>
            <w:tcMar>
              <w:top w:type="dxa" w:w="40"/>
              <w:left w:type="dxa" w:w="70"/>
              <w:bottom w:type="dxa" w:w="40"/>
              <w:right w:type="dxa" w:w="70"/>
            </w:tcMar>
          </w:tcPr>
          <w:p>
            <w:pPr>
              <w:jc w:val="left"/>
            </w:pPr>
            <w:r>
              <w:rPr>
                <w:b w:val="false"/>
                <w:bCs w:val="false"/>
                <w:color w:val="222222"/>
                <w:sz w:val="16"/>
                <w:szCs w:val="16"/>
              </w:rPr>
              <w:t xml:space="preserve">7,550.10→7,572.40</w:t>
            </w:r>
          </w:p>
        </w:tc>
        <w:tc>
          <w:tcPr>
            <w:tcW w:type="dxa" w:w="1250"/>
            <w:tcMar>
              <w:top w:type="dxa" w:w="40"/>
              <w:left w:type="dxa" w:w="70"/>
              <w:bottom w:type="dxa" w:w="40"/>
              <w:right w:type="dxa" w:w="70"/>
            </w:tcMar>
          </w:tcPr>
          <w:p>
            <w:pPr>
              <w:jc w:val="left"/>
            </w:pPr>
            <w:r>
              <w:rPr>
                <w:b w:val="false"/>
                <w:bCs w:val="false"/>
                <w:color w:val="222222"/>
                <w:sz w:val="16"/>
                <w:szCs w:val="16"/>
              </w:rPr>
              <w:t xml:space="preserve">+0.50 (close)</w:t>
            </w:r>
          </w:p>
        </w:tc>
        <w:tc>
          <w:tcPr>
            <w:tcW w:type="dxa" w:w="1060"/>
            <w:tcMar>
              <w:top w:type="dxa" w:w="40"/>
              <w:left w:type="dxa" w:w="70"/>
              <w:bottom w:type="dxa" w:w="40"/>
              <w:right w:type="dxa" w:w="70"/>
            </w:tcMar>
          </w:tcPr>
          <w:p>
            <w:pPr>
              <w:jc w:val="left"/>
            </w:pPr>
            <w:r>
              <w:rPr>
                <w:b w:val="false"/>
                <w:bCs w:val="false"/>
                <w:color w:val="222222"/>
                <w:sz w:val="16"/>
                <w:szCs w:val="16"/>
              </w:rPr>
              <w:t xml:space="preserve">1</w:t>
            </w:r>
          </w:p>
        </w:tc>
      </w:tr>
      <w:tr>
        <w:tc>
          <w:tcPr>
            <w:tcW w:type="dxa" w:w="1500"/>
            <w:tcMar>
              <w:top w:type="dxa" w:w="40"/>
              <w:left w:type="dxa" w:w="70"/>
              <w:bottom w:type="dxa" w:w="40"/>
              <w:right w:type="dxa" w:w="70"/>
            </w:tcMar>
          </w:tcPr>
          <w:p>
            <w:pPr>
              <w:jc w:val="left"/>
            </w:pPr>
            <w:r>
              <w:rPr>
                <w:b w:val="false"/>
                <w:bCs w:val="false"/>
                <w:color w:val="222222"/>
                <w:sz w:val="16"/>
                <w:szCs w:val="16"/>
              </w:rPr>
              <w:t xml:space="preserve">16 Jul (t−2)</w:t>
            </w:r>
          </w:p>
        </w:tc>
        <w:tc>
          <w:tcPr>
            <w:tcW w:type="dxa" w:w="1250"/>
            <w:tcMar>
              <w:top w:type="dxa" w:w="40"/>
              <w:left w:type="dxa" w:w="70"/>
              <w:bottom w:type="dxa" w:w="40"/>
              <w:right w:type="dxa" w:w="70"/>
            </w:tcMar>
          </w:tcPr>
          <w:p>
            <w:pPr>
              <w:jc w:val="left"/>
            </w:pPr>
            <w:r>
              <w:rPr>
                <w:b w:val="false"/>
                <w:bCs w:val="false"/>
                <w:color w:val="222222"/>
                <w:sz w:val="16"/>
                <w:szCs w:val="16"/>
              </w:rPr>
              <w:t xml:space="preserve">Trade 1</w:t>
            </w:r>
          </w:p>
        </w:tc>
        <w:tc>
          <w:tcPr>
            <w:tcW w:type="dxa" w:w="1250"/>
            <w:tcMar>
              <w:top w:type="dxa" w:w="40"/>
              <w:left w:type="dxa" w:w="70"/>
              <w:bottom w:type="dxa" w:w="40"/>
              <w:right w:type="dxa" w:w="70"/>
            </w:tcMar>
          </w:tcPr>
          <w:p>
            <w:pPr>
              <w:jc w:val="left"/>
            </w:pPr>
            <w:r>
              <w:rPr>
                <w:b w:val="false"/>
                <w:bCs w:val="false"/>
                <w:color w:val="222222"/>
                <w:sz w:val="16"/>
                <w:szCs w:val="16"/>
              </w:rPr>
              <w:t xml:space="preserve">LONG</w:t>
            </w:r>
          </w:p>
        </w:tc>
        <w:tc>
          <w:tcPr>
            <w:tcW w:type="dxa" w:w="1150"/>
            <w:tcMar>
              <w:top w:type="dxa" w:w="40"/>
              <w:left w:type="dxa" w:w="70"/>
              <w:bottom w:type="dxa" w:w="40"/>
              <w:right w:type="dxa" w:w="70"/>
            </w:tcMar>
          </w:tcPr>
          <w:p>
            <w:pPr>
              <w:jc w:val="left"/>
            </w:pPr>
            <w:r>
              <w:rPr>
                <w:b w:val="false"/>
                <w:bCs w:val="false"/>
                <w:color w:val="222222"/>
                <w:sz w:val="16"/>
                <w:szCs w:val="16"/>
              </w:rPr>
              <w:t xml:space="preserve">YES</w:t>
            </w:r>
          </w:p>
        </w:tc>
        <w:tc>
          <w:tcPr>
            <w:tcW w:type="dxa" w:w="1900"/>
            <w:tcMar>
              <w:top w:type="dxa" w:w="40"/>
              <w:left w:type="dxa" w:w="70"/>
              <w:bottom w:type="dxa" w:w="40"/>
              <w:right w:type="dxa" w:w="70"/>
            </w:tcMar>
          </w:tcPr>
          <w:p>
            <w:pPr>
              <w:jc w:val="left"/>
            </w:pPr>
            <w:r>
              <w:rPr>
                <w:b w:val="false"/>
                <w:bCs w:val="false"/>
                <w:color w:val="222222"/>
                <w:sz w:val="16"/>
                <w:szCs w:val="16"/>
              </w:rPr>
              <w:t xml:space="preserve">7,561.20→7,533.77</w:t>
            </w:r>
          </w:p>
        </w:tc>
        <w:tc>
          <w:tcPr>
            <w:tcW w:type="dxa" w:w="1250"/>
            <w:tcMar>
              <w:top w:type="dxa" w:w="40"/>
              <w:left w:type="dxa" w:w="70"/>
              <w:bottom w:type="dxa" w:w="40"/>
              <w:right w:type="dxa" w:w="70"/>
            </w:tcMar>
          </w:tcPr>
          <w:p>
            <w:pPr>
              <w:jc w:val="left"/>
            </w:pPr>
            <w:r>
              <w:rPr>
                <w:b w:val="false"/>
                <w:bCs w:val="false"/>
                <w:color w:val="222222"/>
                <w:sz w:val="16"/>
                <w:szCs w:val="16"/>
              </w:rPr>
              <w:t xml:space="preserve">−0.61 (close)</w:t>
            </w:r>
          </w:p>
        </w:tc>
        <w:tc>
          <w:tcPr>
            <w:tcW w:type="dxa" w:w="1060"/>
            <w:tcMar>
              <w:top w:type="dxa" w:w="40"/>
              <w:left w:type="dxa" w:w="70"/>
              <w:bottom w:type="dxa" w:w="40"/>
              <w:right w:type="dxa" w:w="70"/>
            </w:tcMar>
          </w:tcPr>
          <w:p>
            <w:pPr>
              <w:jc w:val="left"/>
            </w:pPr>
            <w:r>
              <w:rPr>
                <w:b w:val="false"/>
                <w:bCs w:val="false"/>
                <w:color w:val="222222"/>
                <w:sz w:val="16"/>
                <w:szCs w:val="16"/>
              </w:rPr>
              <w:t xml:space="preserve">1</w:t>
            </w:r>
          </w:p>
        </w:tc>
      </w:tr>
      <w:tr>
        <w:tc>
          <w:tcPr>
            <w:tcW w:type="dxa" w:w="1500"/>
            <w:tcMar>
              <w:top w:type="dxa" w:w="40"/>
              <w:left w:type="dxa" w:w="70"/>
              <w:bottom w:type="dxa" w:w="40"/>
              <w:right w:type="dxa" w:w="70"/>
            </w:tcMar>
          </w:tcPr>
          <w:p>
            <w:pPr>
              <w:jc w:val="left"/>
            </w:pPr>
            <w:r>
              <w:rPr>
                <w:b w:val="false"/>
                <w:bCs w:val="false"/>
                <w:color w:val="222222"/>
                <w:sz w:val="16"/>
                <w:szCs w:val="16"/>
              </w:rPr>
              <w:t xml:space="preserve">17 Jul (t−1)</w:t>
            </w:r>
          </w:p>
        </w:tc>
        <w:tc>
          <w:tcPr>
            <w:tcW w:type="dxa" w:w="1250"/>
            <w:tcMar>
              <w:top w:type="dxa" w:w="40"/>
              <w:left w:type="dxa" w:w="70"/>
              <w:bottom w:type="dxa" w:w="40"/>
              <w:right w:type="dxa" w:w="70"/>
            </w:tcMar>
          </w:tcPr>
          <w:p>
            <w:pPr>
              <w:jc w:val="left"/>
            </w:pPr>
            <w:r>
              <w:rPr>
                <w:b w:val="false"/>
                <w:bCs w:val="false"/>
                <w:color w:val="222222"/>
                <w:sz w:val="16"/>
                <w:szCs w:val="16"/>
              </w:rPr>
              <w:t xml:space="preserve">Trade 1</w:t>
            </w:r>
          </w:p>
        </w:tc>
        <w:tc>
          <w:tcPr>
            <w:tcW w:type="dxa" w:w="1250"/>
            <w:tcMar>
              <w:top w:type="dxa" w:w="40"/>
              <w:left w:type="dxa" w:w="70"/>
              <w:bottom w:type="dxa" w:w="40"/>
              <w:right w:type="dxa" w:w="70"/>
            </w:tcMar>
          </w:tcPr>
          <w:p>
            <w:pPr>
              <w:jc w:val="left"/>
            </w:pPr>
            <w:r>
              <w:rPr>
                <w:b w:val="false"/>
                <w:bCs w:val="false"/>
                <w:color w:val="222222"/>
                <w:sz w:val="16"/>
                <w:szCs w:val="16"/>
              </w:rPr>
              <w:t xml:space="preserve">SHORT</w:t>
            </w:r>
          </w:p>
        </w:tc>
        <w:tc>
          <w:tcPr>
            <w:tcW w:type="dxa" w:w="1150"/>
            <w:tcMar>
              <w:top w:type="dxa" w:w="40"/>
              <w:left w:type="dxa" w:w="70"/>
              <w:bottom w:type="dxa" w:w="40"/>
              <w:right w:type="dxa" w:w="70"/>
            </w:tcMar>
          </w:tcPr>
          <w:p>
            <w:pPr>
              <w:jc w:val="left"/>
            </w:pPr>
            <w:r>
              <w:rPr>
                <w:b w:val="false"/>
                <w:bCs w:val="false"/>
                <w:color w:val="222222"/>
                <w:sz w:val="16"/>
                <w:szCs w:val="16"/>
              </w:rPr>
              <w:t xml:space="preserve">YES</w:t>
            </w:r>
          </w:p>
        </w:tc>
        <w:tc>
          <w:tcPr>
            <w:tcW w:type="dxa" w:w="1900"/>
            <w:tcMar>
              <w:top w:type="dxa" w:w="40"/>
              <w:left w:type="dxa" w:w="70"/>
              <w:bottom w:type="dxa" w:w="40"/>
              <w:right w:type="dxa" w:w="70"/>
            </w:tcMar>
          </w:tcPr>
          <w:p>
            <w:pPr>
              <w:jc w:val="left"/>
            </w:pPr>
            <w:r>
              <w:rPr>
                <w:b w:val="false"/>
                <w:bCs w:val="false"/>
                <w:color w:val="222222"/>
                <w:sz w:val="16"/>
                <w:szCs w:val="16"/>
              </w:rPr>
              <w:t xml:space="preserve">7,490.30→TP1</w:t>
            </w:r>
          </w:p>
        </w:tc>
        <w:tc>
          <w:tcPr>
            <w:tcW w:type="dxa" w:w="1250"/>
            <w:tcMar>
              <w:top w:type="dxa" w:w="40"/>
              <w:left w:type="dxa" w:w="70"/>
              <w:bottom w:type="dxa" w:w="40"/>
              <w:right w:type="dxa" w:w="70"/>
            </w:tcMar>
          </w:tcPr>
          <w:p>
            <w:pPr>
              <w:jc w:val="left"/>
            </w:pPr>
            <w:r>
              <w:rPr>
                <w:b w:val="false"/>
                <w:bCs w:val="false"/>
                <w:color w:val="222222"/>
                <w:sz w:val="16"/>
                <w:szCs w:val="16"/>
              </w:rPr>
              <w:t xml:space="preserve">+1.00 (TP1)</w:t>
            </w:r>
          </w:p>
        </w:tc>
        <w:tc>
          <w:tcPr>
            <w:tcW w:type="dxa" w:w="1060"/>
            <w:tcMar>
              <w:top w:type="dxa" w:w="40"/>
              <w:left w:type="dxa" w:w="70"/>
              <w:bottom w:type="dxa" w:w="40"/>
              <w:right w:type="dxa" w:w="70"/>
            </w:tcMar>
          </w:tcPr>
          <w:p>
            <w:pPr>
              <w:jc w:val="left"/>
            </w:pPr>
            <w:r>
              <w:rPr>
                <w:b w:val="false"/>
                <w:bCs w:val="false"/>
                <w:color w:val="222222"/>
                <w:sz w:val="16"/>
                <w:szCs w:val="16"/>
              </w:rPr>
              <w:t xml:space="preserve">1</w:t>
            </w:r>
          </w:p>
        </w:tc>
      </w:tr>
    </w:tbl>
    <w:p>
      <w:pPr>
        <w:spacing w:after="120"/>
      </w:pPr>
      <w:r>
        <w:rPr>
          <w:i/>
          <w:iCs/>
          <w:color w:val="666666"/>
          <w:sz w:val="17"/>
          <w:szCs w:val="17"/>
        </w:rPr>
        <w:t xml:space="preserve">Reconstruction uses a simplified daily-directional replay (direction from prior-session momentum, fixed ±45-point R) with sentiment frozen at each t−1 and SL-first tick priority. Trades 2 and 3C were armed but did not trigger within the window (no confirmed pivot-break entry filled), so they contribute no closed rows.</w:t>
      </w:r>
    </w:p>
    <w:p>
      <w:r>
        <w:rPr>
          <w:b/>
          <w:bCs/>
          <w:color w:val="9c1f5f"/>
          <w:sz w:val="20"/>
          <w:szCs w:val="20"/>
        </w:rPr>
        <w:t xml:space="preserve">21d · What Is Working. </w:t>
      </w:r>
      <w:r>
        <w:rPr>
          <w:sz w:val="20"/>
          <w:szCs w:val="20"/>
        </w:rPr>
        <w:t xml:space="preserve">Trade 1 over the last 5 sessions: triggered 5/5 times, mean R = +0.00 (sum −0.72 −0.15 +0.50 −0.61 +1.00 = +0.02 → mean ≈ 0.00), with the only clean TP1 hit on the final bearish session — TP1/TP2/TP3 hit rates 20% / 0% / 0%. Trades 2 and 3C: insufficient triggers to rank (armed, no fills). Strongest performer: Trade 1 (the only strategy with closed positions). Weakest performer: insufficient triggers to rank Trades 2 and 3C. The pattern that “works” is directional shorts aligned with the down-days; the whipsaw mid-week (three losing long reconstructions) is the cost of a Transitional regime.</w:t>
      </w:r>
    </w:p>
    <w:p>
      <w:pPr>
        <w:spacing w:after="120"/>
      </w:pPr>
      <w:r>
        <w:rPr>
          <w:i/>
          <w:iCs/>
          <w:color w:val="666666"/>
          <w:sz w:val="17"/>
          <w:szCs w:val="17"/>
        </w:rPr>
        <w:t xml:space="preserve">Five-session windows are too small to support statistical claims. The backtest cannot model intraday tick-level fills, slippage, or commission. Treat as a directional sanity-check, not a strategy-validation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S&amp;P 500 Daily Report │ 17 July 2026 │ Senior US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b7563cbe044ac653e6581846a74438538322d9.png"/><Relationship Id="rId9" Type="http://schemas.openxmlformats.org/officeDocument/2006/relationships/image" Target="media/e50a5bfc9893bf0733468f3ebe884a7e57a74183.png"/><Relationship Id="rId10" Type="http://schemas.openxmlformats.org/officeDocument/2006/relationships/image" Target="media/2f3d8f8e26a2b295db51bb7626271616e91f3341.png"/><Relationship Id="rId11" Type="http://schemas.openxmlformats.org/officeDocument/2006/relationships/image" Target="media/63068f4f02d09abeb9a26fced749ec2f75542c9b.png"/><Relationship Id="rId12" Type="http://schemas.openxmlformats.org/officeDocument/2006/relationships/image" Target="media/0068cbb278437364867f5ed4fbaae58de378d0f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2026-07-19T21:36:55.055Z</dcterms:created>
  <dcterms:modified xsi:type="dcterms:W3CDTF">2026-07-19T21:36:55.092Z</dcterms:modified>
</cp:coreProperties>
</file>

<file path=docProps/custom.xml><?xml version="1.0" encoding="utf-8"?>
<Properties xmlns="http://schemas.openxmlformats.org/officeDocument/2006/custom-properties" xmlns:vt="http://schemas.openxmlformats.org/officeDocument/2006/docPropsVTypes"/>
</file>