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A66"/>
          <w:sz w:val="40"/>
          <w:szCs w:val="40"/>
        </w:rPr>
        <w:t xml:space="preserve">S&amp;P 500 Report — Daily: 21 May 2026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With reference to: VIX · DAX 40 · USDX</w:t>
      </w:r>
    </w:p>
    <w:p>
      <w:pPr>
        <w:spacing w:after="240"/>
        <w:jc w:val="center"/>
      </w:pPr>
      <w:r>
        <w:rPr>
          <w:color w:val="777777"/>
          <w:sz w:val="19"/>
          <w:szCs w:val="19"/>
        </w:rPr>
        <w:t xml:space="preserve">Senior US Equity Strategist  ·  Trading &amp; Risk Review (Forward-Test)</w:t>
      </w:r>
    </w:p>
    <w:p>
      <w:pPr>
        <w:pBdr>
          <w:bottom w:val="single" w:color="1F3A66" w:sz="8" w:space="2"/>
        </w:pBd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§1  </w:t>
      </w:r>
      <w:r>
        <w:rPr>
          <w:b/>
          <w:bCs/>
          <w:color w:val="1F3A66"/>
          <w:sz w:val="26"/>
          <w:szCs w:val="26"/>
        </w:rPr>
        <w:t xml:space="preserve">Executive Snapshot</w:t>
      </w:r>
    </w:p>
    <w:p>
      <w:pPr>
        <w:spacing w:after="120" w:before="0"/>
      </w:pPr>
      <w:r>
        <w:t xml:space="preserve">The S&amp;P 500 cash index is assessed at a consensus level of </w:t>
      </w:r>
      <w:r>
        <w:rPr>
          <w:b/>
          <w:bCs/>
        </w:rPr>
        <w:t xml:space="preserve">7,432.97 index points</w:t>
      </w:r>
      <w:r>
        <w:t xml:space="preserve"> (close, Wed 20 May 2026), the most recent completed regular cash session ahead of the 21 May as-of date. Market tone is </w:t>
      </w:r>
      <w:r>
        <w:rPr>
          <w:b/>
          <w:bCs/>
        </w:rPr>
        <w:t xml:space="preserve">balanced with a constructive medium-term tilt</w:t>
      </w:r>
      <w:r>
        <w:t xml:space="preserve">. Three drivers dominate the current level: (1) a sharp two-day pullback from the 14 May record-area high on a Treasury-yield shock, with the 30-year yield briefly topping 5.19%; (2) a forceful +1.08% relief rebound on 20 May as Middle-East de-escalation hopes cooled oil and yields; and (3) pre-positioning ahead of Nvidia's first-quarter earnings, the single most important watch item for the next five sessions.</w:t>
      </w:r>
    </w:p>
    <w:p>
      <w:pPr>
        <w:spacing w:after="120" w:before="0"/>
      </w:pPr>
      <w:r>
        <w:t xml:space="preserve">Short-term technical state is </w:t>
      </w:r>
      <w:r>
        <w:rPr>
          <w:b/>
          <w:bCs/>
        </w:rPr>
        <w:t xml:space="preserve">Transitional — Mixed</w:t>
      </w:r>
      <w:r>
        <w:t xml:space="preserve">: the five-session sequence alternated direction violently (RSI2 swung from 82 to 6 to 68), consistent with an indecision/whipsaw read rather than a clean trend. Medium-term, the 25-session structure remains </w:t>
      </w:r>
      <w:r>
        <w:rPr>
          <w:b/>
          <w:bCs/>
        </w:rPr>
        <w:t xml:space="preserve">Trending — Bullish</w:t>
      </w:r>
      <w:r>
        <w:t xml:space="preserve"> with the close sitting at the 85th percentile of the five-week range. The Kaufman Efficiency Ratio classifies the tape as </w:t>
      </w:r>
      <w:r>
        <w:rPr>
          <w:b/>
          <w:bCs/>
        </w:rPr>
        <w:t xml:space="preserve">Trending Up — Moderate</w:t>
      </w:r>
      <w:r>
        <w:t xml:space="preserve"> (smoothed KER +0.27). The consolidated regime label is TRANSITION — the short-term whipsaw prevents the medium-term uptrend from being confirmed as a clean continuation.</w:t>
      </w:r>
    </w:p>
    <w:p>
      <w:pPr>
        <w:spacing w:after="120" w:before="0"/>
      </w:pPr>
      <w:r>
        <w:t xml:space="preserve">Strategy module is active. Directional conviction is </w:t>
      </w:r>
      <w:r>
        <w:rPr>
          <w:b/>
          <w:bCs/>
        </w:rPr>
        <w:t xml:space="preserve">LONG, score +0.30</w:t>
      </w:r>
      <w:r>
        <w:t xml:space="preserve">, carried chiefly by the medium-term bullish regime; this is reported in full at §21. </w:t>
      </w:r>
      <w:r>
        <w:rPr>
          <w:i/>
          <w:iCs/>
        </w:rPr>
        <w:t xml:space="preserve">Single most important watch item: Nvidia Q1 earnings (after the close, 20–21 May window) — the result sets the tone for the entire AI-weighted index.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§2  </w:t>
      </w:r>
      <w:r>
        <w:rPr>
          <w:b/>
          <w:bCs/>
          <w:color w:val="1F3A66"/>
          <w:sz w:val="26"/>
          <w:szCs w:val="26"/>
        </w:rPr>
        <w:t xml:space="preserve">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cash index (^GSPC) — large-cap US equity benchmark, 503 constituents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Cash index level (continuous), calculated by S&amp;P Dow Jones during NYSE/NASDAQ hours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NYSE/NASDAQ regular trading session 09:30–16:00 ET (cash session only)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Index points · USD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Market scope / Region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Global investor base / North America (United States)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As-of date / Timezone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21 May 2026 · America/New_York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5 trading days (execution block); 25 sessions (regime block)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Decision use case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Trading and risk review (forward-test); regime-aware strategy cards produced at §21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666666"/>
          <w:sz w:val="17"/>
          <w:szCs w:val="17"/>
        </w:rPr>
        <w:t xml:space="preserve">Note — </w:t>
      </w:r>
      <w:r>
        <w:rPr>
          <w:i/>
          <w:iCs/>
          <w:color w:val="666666"/>
          <w:sz w:val="17"/>
          <w:szCs w:val="17"/>
        </w:rPr>
        <w:t xml:space="preserve">Tick size 0.01; native execution unit reported as the point. The cash index trades 14:30–21:00 UK.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§3  </w:t>
      </w:r>
      <w:r>
        <w:rPr>
          <w:b/>
          <w:bCs/>
          <w:color w:val="1F3A66"/>
          <w:sz w:val="26"/>
          <w:szCs w:val="26"/>
        </w:rPr>
        <w:t xml:space="preserve">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2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2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2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7,432.97 pts</w:t>
            </w:r>
          </w:p>
        </w:tc>
        <w:tc>
          <w:tcPr>
            <w:tcW w:type="dxa" w:w="2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7,353 – 7,501 pts (5-session)</w:t>
            </w:r>
          </w:p>
        </w:tc>
        <w:tc>
          <w:tcPr>
            <w:tcW w:type="dxa" w:w="22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2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Balanced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Rationale: </w:t>
      </w:r>
      <w:r>
        <w:t xml:space="preserve">The 20 May regular-session close is corroborated across the index-provider close anchor and multiple aggregators within the ±0.10 pt equity-index tolerance. Confidence is Medium rather than High because the five-session window straddles a violent two-way move — a record-area print on 14 May followed by a three-day decline and a one-day rebound — so the point estimate is reliable but the near-term distribution around it is unusually wide.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§4  </w:t>
      </w:r>
      <w:r>
        <w:rPr>
          <w:b/>
          <w:bCs/>
          <w:color w:val="1F3A66"/>
          <w:sz w:val="26"/>
          <w:szCs w:val="26"/>
        </w:rPr>
        <w:t xml:space="preserve">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50"/>
        <w:gridCol w:w="1500"/>
        <w:gridCol w:w="1680"/>
        <w:gridCol w:w="1980"/>
      </w:tblGrid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Source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Raw quote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Dow Jones (close anchor)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20 May 2026 close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7,432.97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7,432.97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Official cash close / NY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FRED (S&amp;P 500 series)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19 May 2026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7,353.61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7,353.61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Official close mirror / NY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 market report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20 May 2026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7,432.97 (+1.08%)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7,432.97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Cash session / NY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TheStreet market report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19 May 2026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7,353.61 (-0.67%)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7,353.61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Cash session / NY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Trading Economics (US500)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19 May 2026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7,352 (CFD)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≈7,353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CFD proxy / global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Directional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Investing.com (SPX historical)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intra-month</w:t>
            </w:r>
          </w:p>
        </w:tc>
        <w:tc>
          <w:tcPr>
            <w:tcW w:type="dxa" w:w="1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OHLC table</w:t>
            </w:r>
          </w:p>
        </w:tc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per session</w:t>
            </w:r>
          </w:p>
        </w:tc>
        <w:tc>
          <w:tcPr>
            <w:tcW w:type="dxa" w:w="16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Aggregator / NY</w:t>
            </w:r>
          </w:p>
        </w:tc>
        <w:tc>
          <w:tcPr>
            <w:tcW w:type="dxa" w:w="1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Directional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666666"/>
          <w:sz w:val="17"/>
          <w:szCs w:val="17"/>
        </w:rPr>
        <w:t xml:space="preserve">Note — </w:t>
      </w:r>
      <w:r>
        <w:rPr>
          <w:i/>
          <w:iCs/>
          <w:color w:val="666666"/>
          <w:sz w:val="17"/>
          <w:szCs w:val="17"/>
        </w:rPr>
        <w:t xml:space="preserve">Six sources meet the minimum source count. CFD-derived quotes (Trading Economics) are retained as directional corroboration only, per the cash-basis restriction; they are not blended into the OHLC accepted values.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§5  </w:t>
      </w:r>
      <w:r>
        <w:rPr>
          <w:b/>
          <w:bCs/>
          <w:color w:val="1F3A66"/>
          <w:sz w:val="26"/>
          <w:szCs w:val="26"/>
        </w:rPr>
        <w:t xml:space="preserve">Consensus Build Explanation</w:t>
      </w:r>
    </w:p>
    <w:p>
      <w:pPr>
        <w:spacing w:after="120" w:before="0"/>
      </w:pPr>
      <w:r>
        <w:t xml:space="preserve">All observations are already expressed in index points, USD, on the regular cash-session basis, so no FX or unit conversion is required. The consensus method is a weighted median across the six sources, down-weighting aggregator and CFD feeds relative to the index-provider close anchor. The 20 May regular-session close of 7,432.97 is adopted as the consensus level: it is the most recent completed cash session, it is corroborated by the official close mirror and two independent market reports within tolerance, and it carries the highest source-credibility weight. </w:t>
      </w:r>
      <w:r>
        <w:rPr>
          <w:b/>
          <w:bCs/>
        </w:rPr>
        <w:t xml:space="preserve">Exclusions: </w:t>
      </w:r>
      <w:r>
        <w:t xml:space="preserve">after-hours and pre-market indications are excluded from the cash OHLC basis; retail CFD spread quotes are excluded from the accepted values and retained only as directional context. The number is most defensible because every higher-tier source agrees within the ±0.10 pt equity-index tolerance.</w:t>
      </w:r>
    </w:p>
    <w:p>
      <w:pPr>
        <w:pStyle w:val="Heading1"/>
        <w:spacing w:after="150" w:before="300"/>
      </w:pPr>
      <w:r>
        <w:rPr>
          <w:b/>
          <w:bCs/>
          <w:color w:val="1E6B3A"/>
          <w:sz w:val="26"/>
          <w:szCs w:val="26"/>
        </w:rPr>
        <w:t xml:space="preserve">§6  </w:t>
      </w:r>
      <w:r>
        <w:rPr>
          <w:b/>
          <w:bCs/>
          <w:color w:val="1F3A66"/>
          <w:sz w:val="26"/>
          <w:szCs w:val="26"/>
        </w:rPr>
        <w:t xml:space="preserve">Validated OHLC + RSI2 Table (5-Day)</w:t>
      </w:r>
      <w:r>
        <w:rPr>
          <w:i/>
          <w:iCs/>
          <w:color w:val="1E6B3A"/>
          <w:sz w:val="18"/>
          <w:szCs w:val="18"/>
        </w:rPr>
        <w:t xml:space="preserve">   [Technical]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40"/>
        <w:gridCol w:w="940"/>
        <w:gridCol w:w="940"/>
        <w:gridCol w:w="980"/>
        <w:gridCol w:w="720"/>
        <w:gridCol w:w="920"/>
        <w:gridCol w:w="820"/>
        <w:gridCol w:w="820"/>
        <w:gridCol w:w="1200"/>
        <w:gridCol w:w="1000"/>
      </w:tblGrid>
      <w:tr>
        <w:tc>
          <w:tcPr>
            <w:tcW w:type="dxa" w:w="10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Date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High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Low</w:t>
            </w:r>
          </w:p>
        </w:tc>
        <w:tc>
          <w:tcPr>
            <w:tcW w:type="dxa" w:w="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RSI2</w:t>
            </w:r>
          </w:p>
        </w:tc>
        <w:tc>
          <w:tcPr>
            <w:tcW w:type="dxa" w:w="9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Trend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Source A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Source B</w:t>
            </w:r>
          </w:p>
        </w:tc>
        <w:tc>
          <w:tcPr>
            <w:tcW w:type="dxa" w:w="12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Final Value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Thu 14 May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7449.10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7515.62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7447.80</w:t>
            </w:r>
          </w:p>
        </w:tc>
        <w:tc>
          <w:tcPr>
            <w:tcW w:type="dxa" w:w="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7500.85</w:t>
            </w:r>
          </w:p>
        </w:tc>
        <w:tc>
          <w:tcPr>
            <w:tcW w:type="dxa" w:w="7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82.3</w:t>
            </w:r>
          </w:p>
        </w:tc>
        <w:tc>
          <w:tcPr>
            <w:tcW w:type="dxa" w:w="9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Stooq</w:t>
            </w:r>
          </w:p>
        </w:tc>
        <w:tc>
          <w:tcPr>
            <w:tcW w:type="dxa" w:w="12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7500.85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CORROBORATED (Δ 0.04)</w:t>
            </w:r>
          </w:p>
        </w:tc>
      </w:tr>
      <w:tr>
        <w:tc>
          <w:tcPr>
            <w:tcW w:type="dxa" w:w="10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Fri 15 May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7486.30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7491.05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7388.40</w:t>
            </w:r>
          </w:p>
        </w:tc>
        <w:tc>
          <w:tcPr>
            <w:tcW w:type="dxa" w:w="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7408.50</w:t>
            </w:r>
          </w:p>
        </w:tc>
        <w:tc>
          <w:tcPr>
            <w:tcW w:type="dxa" w:w="7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17.9</w:t>
            </w:r>
          </w:p>
        </w:tc>
        <w:tc>
          <w:tcPr>
            <w:tcW w:type="dxa" w:w="9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DJI</w:t>
            </w:r>
          </w:p>
        </w:tc>
        <w:tc>
          <w:tcPr>
            <w:tcW w:type="dxa" w:w="12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7408.50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CORROBORATED (Δ 0.00)</w:t>
            </w:r>
          </w:p>
        </w:tc>
      </w:tr>
      <w:tr>
        <w:tc>
          <w:tcPr>
            <w:tcW w:type="dxa" w:w="10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Mon 18 May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7414.20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7441.90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7378.55</w:t>
            </w:r>
          </w:p>
        </w:tc>
        <w:tc>
          <w:tcPr>
            <w:tcW w:type="dxa" w:w="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7403.31</w:t>
            </w:r>
          </w:p>
        </w:tc>
        <w:tc>
          <w:tcPr>
            <w:tcW w:type="dxa" w:w="7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16.4</w:t>
            </w:r>
          </w:p>
        </w:tc>
        <w:tc>
          <w:tcPr>
            <w:tcW w:type="dxa" w:w="9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TheStreet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7403.31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CORROBORATED (Δ 0.07)</w:t>
            </w:r>
          </w:p>
        </w:tc>
      </w:tr>
      <w:tr>
        <w:tc>
          <w:tcPr>
            <w:tcW w:type="dxa" w:w="10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Tue 19 May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7398.05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7405.60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7341.20</w:t>
            </w:r>
          </w:p>
        </w:tc>
        <w:tc>
          <w:tcPr>
            <w:tcW w:type="dxa" w:w="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7353.61</w:t>
            </w:r>
          </w:p>
        </w:tc>
        <w:tc>
          <w:tcPr>
            <w:tcW w:type="dxa" w:w="7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9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FRED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12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7353.61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CORROBORATED (Δ 0.00)</w:t>
            </w:r>
          </w:p>
        </w:tc>
      </w:tr>
      <w:tr>
        <w:tc>
          <w:tcPr>
            <w:tcW w:type="dxa" w:w="10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Wed 20 May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7369.19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7440.85</w:t>
            </w:r>
          </w:p>
        </w:tc>
        <w:tc>
          <w:tcPr>
            <w:tcW w:type="dxa" w:w="94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7360.10</w:t>
            </w:r>
          </w:p>
        </w:tc>
        <w:tc>
          <w:tcPr>
            <w:tcW w:type="dxa" w:w="98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7432.97</w:t>
            </w:r>
          </w:p>
        </w:tc>
        <w:tc>
          <w:tcPr>
            <w:tcW w:type="dxa" w:w="7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68.2</w:t>
            </w:r>
          </w:p>
        </w:tc>
        <w:tc>
          <w:tcPr>
            <w:tcW w:type="dxa" w:w="9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8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DJI</w:t>
            </w:r>
          </w:p>
        </w:tc>
        <w:tc>
          <w:tcPr>
            <w:tcW w:type="dxa" w:w="12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7432.97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CORROBORATED (Δ 0.05)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666666"/>
          <w:sz w:val="17"/>
          <w:szCs w:val="17"/>
        </w:rPr>
        <w:t xml:space="preserve">Note — </w:t>
      </w:r>
      <w:r>
        <w:rPr>
          <w:i/>
          <w:iCs/>
          <w:color w:val="666666"/>
          <w:sz w:val="17"/>
          <w:szCs w:val="17"/>
        </w:rPr>
        <w:t xml:space="preserve">RSI2 fixed at period 2, computed from the validated close sequence. Closes are corroborated by two independent sources within the ±0.10 pt equity-index tolerance. Intraday High/Low values are accepted at aggregator level; where only one aggregator carried a given extreme it is treated as indicative for narrative use and is not relied upon for definitive settlement — see §19.</w:t>
      </w:r>
    </w:p>
    <w:p>
      <w:pPr>
        <w:pStyle w:val="Heading1"/>
        <w:spacing w:after="150" w:before="300"/>
      </w:pPr>
      <w:r>
        <w:rPr>
          <w:b/>
          <w:bCs/>
          <w:color w:val="1E6B3A"/>
          <w:sz w:val="26"/>
          <w:szCs w:val="26"/>
        </w:rPr>
        <w:t xml:space="preserve">§7  </w:t>
      </w:r>
      <w:r>
        <w:rPr>
          <w:b/>
          <w:bCs/>
          <w:color w:val="1F3A66"/>
          <w:sz w:val="26"/>
          <w:szCs w:val="26"/>
        </w:rPr>
        <w:t xml:space="preserve">Charts</w:t>
      </w:r>
      <w:r>
        <w:rPr>
          <w:i/>
          <w:iCs/>
          <w:color w:val="1E6B3A"/>
          <w:sz w:val="18"/>
          <w:szCs w:val="18"/>
        </w:rPr>
        <w:t xml:space="preserve">   [Technical]</w:t>
      </w:r>
    </w:p>
    <w:p>
      <w:pPr>
        <w:pStyle w:val="Heading2"/>
        <w:spacing w:after="120" w:before="200"/>
      </w:pPr>
      <w:r>
        <w:rPr>
          <w:color w:val="1E6B3A"/>
        </w:rPr>
        <w:t xml:space="preserve">Chart 1 — 5-Session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chart" descr="Technical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color w:val="1E6B3A"/>
        </w:rPr>
        <w:t xml:space="preserve">Chart 2 — Distance from Open (Open = 0)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chart" descr="Technical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color w:val="1E6B3A"/>
        </w:rPr>
        <w:t xml:space="preserve">Chart 3 —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2924175"/>
            <wp:effectExtent t="0" r="0" b="0" l="0"/>
            <wp:docPr id="1" name="chart" descr="Technical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color w:val="1E6B3A"/>
        </w:rPr>
        <w:t xml:space="preserve">Chart 4 —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048000"/>
            <wp:effectExtent t="0" r="0" b="0" l="0"/>
            <wp:docPr id="1" name="chart" descr="Technical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color w:val="1E6B3A"/>
        </w:rPr>
        <w:t xml:space="preserve">Chart 5 —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143500" cy="3714750"/>
            <wp:effectExtent t="0" r="0" b="0" l="0"/>
            <wp:docPr id="1" name="chart" descr="Technical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b/>
          <w:bCs/>
          <w:i/>
          <w:iCs/>
          <w:color w:val="666666"/>
          <w:sz w:val="17"/>
          <w:szCs w:val="17"/>
        </w:rPr>
        <w:t xml:space="preserve">Note — </w:t>
      </w:r>
      <w:r>
        <w:rPr>
          <w:i/>
          <w:iCs/>
          <w:color w:val="666666"/>
          <w:sz w:val="17"/>
          <w:szCs w:val="17"/>
        </w:rPr>
        <w:t xml:space="preserve">All five chart toggles are enabled. VOLator series are scaled volatility readings (−1 to +1); the cross-asset traces are illustrative of the scaled regime and should be read for shape and slope, not absolute precision.</w:t>
      </w:r>
    </w:p>
    <w:p>
      <w:pPr>
        <w:pStyle w:val="Heading1"/>
        <w:spacing w:after="150" w:before="300"/>
      </w:pPr>
      <w:r>
        <w:rPr>
          <w:b/>
          <w:bCs/>
          <w:color w:val="1E6B3A"/>
          <w:sz w:val="26"/>
          <w:szCs w:val="26"/>
        </w:rPr>
        <w:t xml:space="preserve">§8  </w:t>
      </w:r>
      <w:r>
        <w:rPr>
          <w:b/>
          <w:bCs/>
          <w:color w:val="1F3A66"/>
          <w:sz w:val="26"/>
          <w:szCs w:val="26"/>
        </w:rPr>
        <w:t xml:space="preserve">Short-Term Technical Analysis</w:t>
      </w:r>
      <w:r>
        <w:rPr>
          <w:i/>
          <w:iCs/>
          <w:color w:val="1E6B3A"/>
          <w:sz w:val="18"/>
          <w:szCs w:val="18"/>
        </w:rPr>
        <w:t xml:space="preserve">   [Technical]</w:t>
      </w:r>
    </w:p>
    <w:p>
      <w:pPr>
        <w:spacing w:after="120" w:before="0"/>
      </w:pPr>
      <w:r>
        <w:rPr>
          <w:b/>
          <w:bCs/>
        </w:rPr>
        <w:t xml:space="preserve">Thu 14 May — </w:t>
      </w:r>
      <w:r>
        <w:t xml:space="preserve">Strong bullish body closing near the session high (close ~78% of range); RSI2 at 82 confirms an extended, record-area push. The day printed the 5-day swing high at 7,515.62 (see §6).</w:t>
      </w:r>
    </w:p>
    <w:p>
      <w:pPr>
        <w:spacing w:after="120" w:before="0"/>
      </w:pPr>
      <w:r>
        <w:rPr>
          <w:b/>
          <w:bCs/>
        </w:rPr>
        <w:t xml:space="preserve">Fri 15 May — </w:t>
      </w:r>
      <w:r>
        <w:t xml:space="preserve">Decisive bearish reversal: a wide-range red body with the close near the low (~20% of range) erasing the prior day's gain. RSI2 collapsed to 18, confirming the down-shift on a Treasury-yield and tech-profit-taking session.</w:t>
      </w:r>
    </w:p>
    <w:p>
      <w:pPr>
        <w:spacing w:after="120" w:before="0"/>
      </w:pPr>
      <w:r>
        <w:rPr>
          <w:b/>
          <w:bCs/>
        </w:rPr>
        <w:t xml:space="preserve">Mon 18 May — </w:t>
      </w:r>
      <w:r>
        <w:t xml:space="preserve">Continuation lower but compressed — a narrower bearish body, close mid-low range, RSI2 pinned at 16. Selling persisted yet momentum was no longer accelerating.</w:t>
      </w:r>
    </w:p>
    <w:p>
      <w:pPr>
        <w:spacing w:after="120" w:before="0"/>
      </w:pPr>
      <w:r>
        <w:rPr>
          <w:b/>
          <w:bCs/>
        </w:rPr>
        <w:t xml:space="preserve">Tue 19 May — </w:t>
      </w:r>
      <w:r>
        <w:t xml:space="preserve">Third consecutive decline; the session printed the 5-day swing low at 7,341.20 with RSI2 at an extreme 6 — a deeply oversold reading that historically precedes a mean-reversion bounce.</w:t>
      </w:r>
    </w:p>
    <w:p>
      <w:pPr>
        <w:spacing w:after="120" w:before="0"/>
      </w:pPr>
      <w:r>
        <w:rPr>
          <w:b/>
          <w:bCs/>
        </w:rPr>
        <w:t xml:space="preserve">Wed 20 May — </w:t>
      </w:r>
      <w:r>
        <w:t xml:space="preserve">Sharp bullish rebound: open near the low, close near the high (~91% of range), RSI2 snapping back to 68. The candle reclaimed roughly two-thirds of the three-day decline on de-escalation optimism.</w:t>
      </w:r>
    </w:p>
    <w:p>
      <w:pPr>
        <w:spacing w:after="120" w:before="0"/>
      </w:pPr>
      <w:r>
        <w:rPr>
          <w:b/>
          <w:bCs/>
        </w:rPr>
        <w:t xml:space="preserve">Sequence assessment: </w:t>
      </w:r>
      <w:r>
        <w:t xml:space="preserve">Indecision / two-way whipsaw. Evidence: direction alternated across the block, prominent wicks on both sides, and RSI2 oscillated through its full range (82 → 6 → 68) rather than persisting. This is not a clean continuation or a clean compression — it is a volatile, range-respecting rotation.</w:t>
      </w:r>
    </w:p>
    <w:p>
      <w:pPr>
        <w:spacing w:after="120" w:before="0"/>
      </w:pPr>
      <w:r>
        <w:rPr>
          <w:b/>
          <w:bCs/>
        </w:rPr>
        <w:t xml:space="preserve">Nearest support and resistance (from the 5-day structure): </w:t>
      </w:r>
      <w:r>
        <w:t xml:space="preserve">support at 7,341.20 (19 May low) with secondary support at 7,360–7,378; resistance at 7,491–7,515.62 (14–15 May highs).</w:t>
      </w:r>
    </w:p>
    <w:p>
      <w:pPr>
        <w:spacing w:after="120" w:before="0"/>
      </w:pPr>
      <w:r>
        <w:rPr>
          <w:b/>
          <w:bCs/>
        </w:rPr>
        <w:t xml:space="preserve">Judgement label: </w:t>
      </w:r>
      <w:r>
        <w:rPr>
          <w:b/>
          <w:bCs/>
          <w:color w:val="1E6B3A"/>
        </w:rPr>
        <w:t xml:space="preserve">Indecision</w:t>
      </w:r>
      <w:r>
        <w:t xml:space="preserve">. This is consistent with the Transitional regime classification in §9 — no conflict.</w:t>
      </w:r>
    </w:p>
    <w:p>
      <w:pPr>
        <w:pStyle w:val="Heading1"/>
        <w:spacing w:after="150" w:before="300"/>
      </w:pPr>
      <w:r>
        <w:rPr>
          <w:b/>
          <w:bCs/>
          <w:color w:val="1E6B3A"/>
          <w:sz w:val="26"/>
          <w:szCs w:val="26"/>
        </w:rPr>
        <w:t xml:space="preserve">§9  </w:t>
      </w:r>
      <w:r>
        <w:rPr>
          <w:b/>
          <w:bCs/>
          <w:color w:val="1F3A66"/>
          <w:sz w:val="26"/>
          <w:szCs w:val="26"/>
        </w:rPr>
        <w:t xml:space="preserve">Medium-Term Regime &amp; VOLator</w:t>
      </w:r>
      <w:r>
        <w:rPr>
          <w:i/>
          <w:iCs/>
          <w:color w:val="1E6B3A"/>
          <w:sz w:val="18"/>
          <w:szCs w:val="18"/>
        </w:rPr>
        <w:t xml:space="preserve">   [Technical]</w:t>
      </w:r>
    </w:p>
    <w:p>
      <w:pPr>
        <w:spacing w:after="120" w:before="0"/>
      </w:pPr>
      <w:r>
        <w:rPr>
          <w:b/>
          <w:bCs/>
        </w:rPr>
        <w:t xml:space="preserve">Regime classification: </w:t>
      </w:r>
      <w:r>
        <w:t xml:space="preserve">Transitional (short-term) over a Trending — Bullish medium-term structure. Supporting metrics — 25-session overlap ratio ≈ 0.49 (mid-zone, neither clean trend nor clean range); directional persistence ≈ 0.52; VOLator slope negative (volatility contracting after the mid-May spike); median RSI2 over the window ≈ 48; range-position bias at the 85th percentile = Range Top Bias.</w:t>
      </w:r>
    </w:p>
    <w:p>
      <w:pPr>
        <w:spacing w:after="120" w:before="0"/>
      </w:pPr>
      <w:r>
        <w:rPr>
          <w:b/>
          <w:bCs/>
        </w:rPr>
        <w:t xml:space="preserve">Bias: </w:t>
      </w:r>
      <w:r>
        <w:rPr>
          <w:b/>
          <w:bCs/>
        </w:rPr>
        <w:t xml:space="preserve">Bullish</w:t>
      </w:r>
      <w:r>
        <w:t xml:space="preserve"> — the medium-term directional component remains up; the net 25-session change is roughly +5.6%.</w:t>
      </w:r>
    </w:p>
    <w:p>
      <w:pPr>
        <w:spacing w:after="120" w:before="0"/>
      </w:pPr>
      <w:r>
        <w:rPr>
          <w:b/>
          <w:bCs/>
        </w:rPr>
        <w:t xml:space="preserve">VOLator current readings: </w:t>
      </w:r>
      <w:r>
        <w:t xml:space="preserve">S&amp;P 500 scaled volatility is mildly positive but rolling over (slope negative) — an expansion that has begun to fade. USDX sits below its midpoint and is easing. VIX scaled volatility spiked mid-month and is now contracting back toward its midpoint. DAX 40 scaled volatility is modestly above midpoint and steady.</w:t>
      </w:r>
    </w:p>
    <w:p>
      <w:pPr>
        <w:spacing w:after="120" w:before="0"/>
      </w:pPr>
      <w:r>
        <w:rPr>
          <w:b/>
          <w:bCs/>
        </w:rPr>
        <w:t xml:space="preserve">Preferred trade protocol: </w:t>
      </w:r>
      <w:r>
        <w:t xml:space="preserve">Combining a Transitional short-term read with a Trending-Bullish medium-term read places the book in the ‘reduced-conviction, wait-for-confirmation’ cell — favour trend-resumption setups over fades, but size conservatively until a confirmed break resolves the whipsaw.</w:t>
      </w:r>
    </w:p>
    <w:p>
      <w:pPr>
        <w:spacing w:after="120" w:before="0"/>
      </w:pPr>
      <w:r>
        <w:rPr>
          <w:b/>
          <w:bCs/>
        </w:rPr>
        <w:t xml:space="preserve">Kaufman confirmation: </w:t>
      </w:r>
      <w:r>
        <w:t xml:space="preserve">Smoothed KER is +0.27, above the +0.13 trending threshold — classification Trending Up — Moderate. KER agrees with the medium-term bullish regime but is moderate (not strong) and the smoothed series is flattening, which is itself consistent with the Transitional label. No hard contradiction; the moderate, flattening KER is the reason the consolidated label is TRANSITION rather than TREND_UP.</w:t>
      </w:r>
    </w:p>
    <w:p>
      <w:pPr>
        <w:pStyle w:val="Heading1"/>
        <w:spacing w:after="150" w:before="300"/>
      </w:pPr>
      <w:r>
        <w:rPr>
          <w:b/>
          <w:bCs/>
          <w:color w:val="1E6B3A"/>
          <w:sz w:val="26"/>
          <w:szCs w:val="26"/>
        </w:rPr>
        <w:t xml:space="preserve">§10  </w:t>
      </w:r>
      <w:r>
        <w:rPr>
          <w:b/>
          <w:bCs/>
          <w:color w:val="1F3A66"/>
          <w:sz w:val="26"/>
          <w:szCs w:val="26"/>
        </w:rPr>
        <w:t xml:space="preserve">Cross-Asset Analysis</w:t>
      </w:r>
      <w:r>
        <w:rPr>
          <w:i/>
          <w:iCs/>
          <w:color w:val="1E6B3A"/>
          <w:sz w:val="18"/>
          <w:szCs w:val="18"/>
        </w:rPr>
        <w:t xml:space="preserve">   [Technical]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560"/>
        <w:gridCol w:w="1450"/>
        <w:gridCol w:w="1450"/>
      </w:tblGrid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Counter</w:t>
            </w:r>
          </w:p>
        </w:tc>
        <w:tc>
          <w:tcPr>
            <w:tcW w:type="dxa" w:w="1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5-day direction</w:t>
            </w:r>
          </w:p>
        </w:tc>
        <w:tc>
          <w:tcPr>
            <w:tcW w:type="dxa" w:w="35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Mechanism to S&amp;P 500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Falling / soft</w:t>
            </w:r>
          </w:p>
        </w:tc>
        <w:tc>
          <w:tcPr>
            <w:tcW w:type="dxa" w:w="35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A softer dollar eases global financial conditions and lifts the translated value of multinational earnings — supportive for the index.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Confirms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VIX</w:t>
            </w:r>
          </w:p>
        </w:tc>
        <w:tc>
          <w:tcPr>
            <w:tcW w:type="dxa" w:w="1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Falling</w:t>
            </w:r>
          </w:p>
        </w:tc>
        <w:tc>
          <w:tcPr>
            <w:tcW w:type="dxa" w:w="35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Implied volatility contracting from the mid-month spike signals a risk-on shift and option-hedging unwind — supportive.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Confirms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DAX 40</w:t>
            </w:r>
          </w:p>
        </w:tc>
        <w:tc>
          <w:tcPr>
            <w:tcW w:type="dxa" w:w="14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Rising</w:t>
            </w:r>
          </w:p>
        </w:tc>
        <w:tc>
          <w:tcPr>
            <w:tcW w:type="dxa" w:w="35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European equity beta rising alongside US equity reflects a common global risk-appetite factor — supportive.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Confirms</w:t>
            </w:r>
          </w:p>
        </w:tc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Contradiction flag: </w:t>
      </w:r>
      <w:r>
        <w:t xml:space="preserve">No counter contradicts the medium-term bullish bias outright. However, the broader rates backdrop — the 30-year Treasury yield touching ~5.19%, a near-19-year high — is a standing headwind that the three named counters do not capture. Because that rate pressure pulls against the risk-on counter signal, the aggregate cross-asset read is classified </w:t>
      </w:r>
      <w:r>
        <w:rPr>
          <w:b/>
          <w:bCs/>
        </w:rPr>
        <w:t xml:space="preserve">MIXED</w:t>
      </w:r>
      <w:r>
        <w:t xml:space="preserve"> rather than a clean CONFIRM. This is carried forward to §14 and §15 and is not resolved away.</w:t>
      </w:r>
    </w:p>
    <w:p>
      <w:pPr>
        <w:pStyle w:val="Heading1"/>
        <w:spacing w:after="150" w:before="300"/>
      </w:pPr>
      <w:r>
        <w:rPr>
          <w:b/>
          <w:bCs/>
          <w:color w:val="1E6B3A"/>
          <w:sz w:val="26"/>
          <w:szCs w:val="26"/>
        </w:rPr>
        <w:t xml:space="preserve">§11  </w:t>
      </w:r>
      <w:r>
        <w:rPr>
          <w:b/>
          <w:bCs/>
          <w:color w:val="1F3A66"/>
          <w:sz w:val="26"/>
          <w:szCs w:val="26"/>
        </w:rPr>
        <w:t xml:space="preserve">Floor Pivot Analysis</w:t>
      </w:r>
      <w:r>
        <w:rPr>
          <w:i/>
          <w:iCs/>
          <w:color w:val="1E6B3A"/>
          <w:sz w:val="18"/>
          <w:szCs w:val="18"/>
        </w:rPr>
        <w:t xml:space="preserve">   [Technical]</w:t>
      </w:r>
    </w:p>
    <w:p>
      <w:pPr>
        <w:pStyle w:val="Heading2"/>
        <w:spacing w:after="120" w:before="200"/>
      </w:pPr>
      <w:r>
        <w:rPr>
          <w:color w:val="1E6B3A"/>
        </w:rPr>
        <w:t xml:space="preserve">Daily pivots (from Tue 19 May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Level / Value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7585.61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S1  —  7328.01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7521.21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S2  —  7302.40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7456.81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S3  —  7263.61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7431.20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S4  —  7199.21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7392.41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S5  —  7134.81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7366.80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00"/>
      </w:pPr>
      <w:r>
        <w:rPr>
          <w:color w:val="1E6B3A"/>
        </w:rPr>
        <w:t xml:space="preserve">Weekly pivots (from W/E 15 May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Level / Value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7868.27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S1  —  7359.39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7741.05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S2  —  7310.29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7613.83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S3  —  7232.17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7564.73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S4  —  7104.95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7486.61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S5  —  6977.73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7437.51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00"/>
      </w:pPr>
      <w:r>
        <w:rPr>
          <w:color w:val="1E6B3A"/>
        </w:rPr>
        <w:t xml:space="preserve">Monthly pivots (from April 2026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Level / Value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8279.49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S1  —  6718.17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7767.55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S2  —  6206.23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7498.83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S3  —  5937.51</w:t>
            </w:r>
          </w:p>
        </w:tc>
      </w:tr>
      <w:tr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6986.89</w:t>
            </w:r>
          </w:p>
        </w:tc>
        <w:tc>
          <w:tcPr>
            <w:tcW w:type="dxa" w:w="312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Source status: </w:t>
      </w:r>
      <w:r>
        <w:t xml:space="preserve">Prior-period High/Low/Close inputs for the daily and weekly pivots are corroborated within the equity-index tolerance from the validated OHLC table (§6). The monthly pivot inputs rest on a wider reconstruction of the April range and are flagged single-source-indicative — see §19 — which propagates into the §21 trade-card caveats.</w:t>
      </w:r>
    </w:p>
    <w:p>
      <w:pPr>
        <w:spacing w:after="120" w:before="0"/>
      </w:pPr>
      <w:r>
        <w:rPr>
          <w:b/>
          <w:bCs/>
        </w:rPr>
        <w:t xml:space="preserve">Position narrative: </w:t>
      </w:r>
      <w:r>
        <w:t xml:space="preserve">The 20 May close of 7,432.97 sits just below daily R2 (7,431.20 — effectively at it) and below weekly P (7,437.51). It is above daily R1 (7,392.41) and the daily pivot P. A confluence zone exists between daily R2 (7,431.20) and weekly P (7,437.51) — the two are within ~0.09% of each other — making 7,431–7,438 the immediate pivot battleground. Daily-derived midpoint R1.5 sits at 7,411.81; weekly S1 at 7,359.39 backstops the downside.</w:t>
      </w:r>
    </w:p>
    <w:p>
      <w:pPr>
        <w:pStyle w:val="Heading1"/>
        <w:spacing w:after="150" w:before="300"/>
      </w:pPr>
      <w:r>
        <w:rPr>
          <w:b/>
          <w:bCs/>
          <w:color w:val="9A6A1A"/>
          <w:sz w:val="26"/>
          <w:szCs w:val="26"/>
        </w:rPr>
        <w:t xml:space="preserve">§12  </w:t>
      </w:r>
      <w:r>
        <w:rPr>
          <w:b/>
          <w:bCs/>
          <w:color w:val="1F3A66"/>
          <w:sz w:val="26"/>
          <w:szCs w:val="26"/>
        </w:rPr>
        <w:t xml:space="preserve">Key Market Considerations</w:t>
      </w:r>
      <w:r>
        <w:rPr>
          <w:i/>
          <w:iCs/>
          <w:color w:val="9A6A1A"/>
          <w:sz w:val="18"/>
          <w:szCs w:val="18"/>
        </w:rPr>
        <w:t xml:space="preserve">   [Updated]</w:t>
      </w:r>
    </w:p>
    <w:p>
      <w:pPr>
        <w:spacing w:after="120" w:before="0"/>
      </w:pPr>
      <w:r>
        <w:rPr>
          <w:b/>
          <w:bCs/>
        </w:rPr>
        <w:t xml:space="preserve">Earnings / micro (price-supportive, cyclical). </w:t>
      </w:r>
      <w:r>
        <w:t xml:space="preserve">Nvidia's Q1 report — due in the 20–21 May window — is the dominant near-term catalyst; options markets are pricing a market-cap swing of several hundred billion dollars. Strong AI-capex commentary would re-anchor the index's largest weighting; a miss or soft guide would do the reverse.</w:t>
      </w:r>
    </w:p>
    <w:p>
      <w:pPr>
        <w:spacing w:after="120" w:before="0"/>
      </w:pPr>
      <w:r>
        <w:rPr>
          <w:b/>
          <w:bCs/>
        </w:rPr>
        <w:t xml:space="preserve">Rates / macro (price-negative, cyclical turning structural). </w:t>
      </w:r>
      <w:r>
        <w:t xml:space="preserve">The 30-year Treasury yield touched roughly 5.19%, its highest in nearly 19 years, and the 10-year backed up sharply. Rising long-end yields compress equity valuation multiples and were the proximate cause of the 15–19 May decline.</w:t>
      </w:r>
    </w:p>
    <w:p>
      <w:pPr>
        <w:spacing w:after="120" w:before="0"/>
      </w:pPr>
      <w:r>
        <w:rPr>
          <w:b/>
          <w:bCs/>
        </w:rPr>
        <w:t xml:space="preserve">Geopolitics / energy (price-supportive on de-escalation, cyclical). </w:t>
      </w:r>
      <w:r>
        <w:t xml:space="preserve">Reported US–Iran de-escalation — including the cancellation of a planned strike and ‘final-stage’ negotiation language — cooled crude and yields into 20 May and drove the relief rally. The path is reversible and headline-sensitive.</w:t>
      </w:r>
    </w:p>
    <w:p>
      <w:pPr>
        <w:spacing w:after="120" w:before="0"/>
      </w:pPr>
      <w:r>
        <w:rPr>
          <w:b/>
          <w:bCs/>
        </w:rPr>
        <w:t xml:space="preserve">Policy / monetary (neutral). </w:t>
      </w:r>
      <w:r>
        <w:t xml:space="preserve">No FOMC decision falls inside the five-session horizon; Fed communication is in a quieter window, leaving yields to trade on supply and geopolitics rather than policy guidance.</w:t>
      </w:r>
    </w:p>
    <w:p>
      <w:pPr>
        <w:spacing w:after="120" w:before="0"/>
      </w:pPr>
      <w:r>
        <w:rPr>
          <w:b/>
          <w:bCs/>
        </w:rPr>
        <w:t xml:space="preserve">Substitution / breadth (neutral to mildly negative). </w:t>
      </w:r>
      <w:r>
        <w:t xml:space="preserve">The Russell 2000 printed a four-week low while the S&amp;P 500 rebounded — small-cap underperformance signals narrow, mega-cap-led leadership, a structural fragility if the AI complex stumbles.</w:t>
      </w:r>
    </w:p>
    <w:p>
      <w:pPr>
        <w:spacing w:after="120" w:before="0"/>
      </w:pPr>
      <w:r>
        <w:rPr>
          <w:b/>
          <w:bCs/>
        </w:rPr>
        <w:t xml:space="preserve">Near-term catalysts: </w:t>
      </w:r>
      <w:r>
        <w:t xml:space="preserve">Nvidia Q1 earnings (flagged §13d as the highest-impact event), Walmart earnings, the 30-year Treasury auction backdrop, and any further US–Iran headlines all fall inside the horizon.</w:t>
      </w:r>
    </w:p>
    <w:p>
      <w:pPr>
        <w:pStyle w:val="Heading1"/>
        <w:spacing w:after="150" w:before="300"/>
      </w:pPr>
      <w:r>
        <w:rPr>
          <w:b/>
          <w:bCs/>
          <w:color w:val="9A6A1A"/>
          <w:sz w:val="26"/>
          <w:szCs w:val="26"/>
        </w:rPr>
        <w:t xml:space="preserve">§13  </w:t>
      </w:r>
      <w:r>
        <w:rPr>
          <w:b/>
          <w:bCs/>
          <w:color w:val="1F3A66"/>
          <w:sz w:val="26"/>
          <w:szCs w:val="26"/>
        </w:rPr>
        <w:t xml:space="preserve">Sentiment, News &amp; Calendar</w:t>
      </w:r>
      <w:r>
        <w:rPr>
          <w:i/>
          <w:iCs/>
          <w:color w:val="9A6A1A"/>
          <w:sz w:val="18"/>
          <w:szCs w:val="18"/>
        </w:rPr>
        <w:t xml:space="preserve">   [Updated]</w:t>
      </w:r>
    </w:p>
    <w:p>
      <w:pPr>
        <w:pStyle w:val="Heading2"/>
        <w:spacing w:after="120" w:before="200"/>
      </w:pPr>
      <w:r>
        <w:rPr>
          <w:color w:val="9A6A1A"/>
        </w:rPr>
        <w:t xml:space="preserve">§13a  Per-Article Sentiment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550"/>
        <w:gridCol w:w="1100"/>
        <w:gridCol w:w="2150"/>
        <w:gridCol w:w="1300"/>
        <w:gridCol w:w="900"/>
        <w:gridCol w:w="910"/>
      </w:tblGrid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Source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URL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Date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Class.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Sentiment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Deriv. quote</w:t>
            </w:r>
          </w:p>
        </w:tc>
      </w:tr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cnbc.com/2026/05/19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20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Stocks jump as oil prices and yields slide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“growing optimism… conflict could soon be resolved”</w:t>
            </w:r>
          </w:p>
        </w:tc>
      </w:tr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TheStreet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thestreet.com/…may-19-2026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19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falls for third consecutive day as Treasurys take off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“S&amp;P 500 falls… as Treasurys take off”</w:t>
            </w:r>
          </w:p>
        </w:tc>
      </w:tr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Reuters (strategist survey)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via coinotag/Reuters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mid-May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seen near 7,490 by end-2026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Bullish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“median target near 7,490 points”</w:t>
            </w:r>
          </w:p>
        </w:tc>
      </w:tr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TipRanks / Goldman note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cnbc.com quotes/.SPX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19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Why the market is down and what Goldman expects ahead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“inflation and rate-cut uncertainty… key risks”</w:t>
            </w:r>
          </w:p>
        </w:tc>
      </w:tr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cnbc.com/2026/05/18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18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Rising yields threaten the bull market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Bearish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“a jump in bond yields threatened the bull market”</w:t>
            </w:r>
          </w:p>
        </w:tc>
      </w:tr>
      <w:tr>
        <w:tc>
          <w:tcPr>
            <w:tcW w:type="dxa" w:w="14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TheStreet</w:t>
            </w:r>
          </w:p>
        </w:tc>
        <w:tc>
          <w:tcPr>
            <w:tcW w:type="dxa" w:w="15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thestreet.com/…may-20-2026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20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Stocks edge higher as investors await Nvidia earnings</w:t>
            </w:r>
          </w:p>
        </w:tc>
        <w:tc>
          <w:tcPr>
            <w:tcW w:type="dxa" w:w="13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Neutral</w:t>
            </w:r>
          </w:p>
        </w:tc>
        <w:tc>
          <w:tcPr>
            <w:tcW w:type="dxa" w:w="9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“investors awaited Nvidia… first-quarter earnings report”</w:t>
            </w:r>
          </w:p>
        </w:tc>
      </w:tr>
    </w:tbl>
    <w:p>
      <w:pPr>
        <w:pStyle w:val="Heading2"/>
        <w:spacing w:after="120" w:before="200"/>
      </w:pPr>
      <w:r>
        <w:rPr>
          <w:color w:val="9A6A1A"/>
        </w:rPr>
        <w:t xml:space="preserve">§13b  Aggregate Sentiment Summary</w:t>
      </w:r>
    </w:p>
    <w:p>
      <w:pPr>
        <w:spacing w:after="120" w:before="0"/>
      </w:pPr>
      <w:r>
        <w:t xml:space="preserve">Counts: 2 Bullish (1 institutional, 1 media), 2 Bearish (both media), 2 Neutral (1 institutional, 1 media). Categorical label: </w:t>
      </w:r>
      <w:r>
        <w:rPr>
          <w:b/>
          <w:bCs/>
        </w:rPr>
        <w:t xml:space="preserve">Mixed / Balanced</w:t>
      </w:r>
      <w:r>
        <w:t xml:space="preserve">. Numeric tilt: source-class-weighted mean of article scores = (0.5·+1 + 0.5·−1 + 1.0·+1 + 1.0·0 + 0.5·−1 + 0.5·0) ÷ (0.5+0.5+1.0+1.0+0.5+0.5) = +0.5 ÷ 4.0 = </w:t>
      </w:r>
      <w:r>
        <w:rPr>
          <w:b/>
          <w:bCs/>
        </w:rPr>
        <w:t xml:space="preserve">+0.12</w:t>
      </w:r>
      <w:r>
        <w:t xml:space="preserve">.  Reported as: </w:t>
      </w:r>
      <w:r>
        <w:rPr>
          <w:b/>
          <w:bCs/>
        </w:rPr>
        <w:t xml:space="preserve">Mixed / Balanced (tilt = +0.12)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Divergence flag: </w:t>
      </w:r>
      <w:r>
        <w:t xml:space="preserve">Sentiment is roughly balanced while price action on 20 May was strongly positive — a mild sentiment/price divergence. Given the Transitional regime and the MIXED cross-asset read, price action is treated as the more reliable near-term signal; the balanced tilt argues against over-extrapolating the single-day rebound. The categorical label and the numeric tilt agree in direction (both near neutral, faintly positive), so no label/tilt conflict arises.</w:t>
      </w:r>
    </w:p>
    <w:p>
      <w:pPr>
        <w:pStyle w:val="Heading2"/>
        <w:spacing w:after="120" w:before="200"/>
      </w:pPr>
      <w:r>
        <w:rPr>
          <w:color w:val="9A6A1A"/>
        </w:rPr>
        <w:t xml:space="preserve">§13c 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50"/>
        <w:gridCol w:w="2350"/>
        <w:gridCol w:w="1000"/>
        <w:gridCol w:w="2710"/>
      </w:tblGrid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Date</w:t>
            </w:r>
          </w:p>
        </w:tc>
        <w:tc>
          <w:tcPr>
            <w:tcW w:type="dxa" w:w="20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Event</w:t>
            </w:r>
          </w:p>
        </w:tc>
        <w:tc>
          <w:tcPr>
            <w:tcW w:type="dxa" w:w="2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Impact</w:t>
            </w:r>
          </w:p>
        </w:tc>
        <w:tc>
          <w:tcPr>
            <w:tcW w:type="dxa" w:w="27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Market implication for S&amp;P 500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Thu 14 May</w:t>
            </w:r>
          </w:p>
        </w:tc>
        <w:tc>
          <w:tcPr>
            <w:tcW w:type="dxa" w:w="20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Record-area equity high</w:t>
            </w:r>
          </w:p>
        </w:tc>
        <w:tc>
          <w:tcPr>
            <w:tcW w:type="dxa" w:w="2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Index pushed to a record-area print near 7,500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Marked the top of the window; set up the subsequent reversal.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Fri 15 May</w:t>
            </w:r>
          </w:p>
        </w:tc>
        <w:tc>
          <w:tcPr>
            <w:tcW w:type="dxa" w:w="20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Rising Treasury yields / tech profit-taking</w:t>
            </w:r>
          </w:p>
        </w:tc>
        <w:tc>
          <w:tcPr>
            <w:tcW w:type="dxa" w:w="2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10Y backing up; semis extended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500 −1.24%; broad de-risking, semis led lower.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Mon 18 May</w:t>
            </w:r>
          </w:p>
        </w:tc>
        <w:tc>
          <w:tcPr>
            <w:tcW w:type="dxa" w:w="20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10Y yield hits ~1-year high</w:t>
            </w:r>
          </w:p>
        </w:tc>
        <w:tc>
          <w:tcPr>
            <w:tcW w:type="dxa" w:w="2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Iran-war worries; oil firm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7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roughly flat (−0.07%); tech weak, Dow positive.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Tue 19 May</w:t>
            </w:r>
          </w:p>
        </w:tc>
        <w:tc>
          <w:tcPr>
            <w:tcW w:type="dxa" w:w="20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30Y yield tops ~5.19% (≈19-yr high)</w:t>
            </w:r>
          </w:p>
        </w:tc>
        <w:tc>
          <w:tcPr>
            <w:tcW w:type="dxa" w:w="2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Bond-market volatility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500 −0.67%, third straight loss; yield shock dominant.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Wed 20 May</w:t>
            </w:r>
          </w:p>
        </w:tc>
        <w:tc>
          <w:tcPr>
            <w:tcW w:type="dxa" w:w="20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US–Iran de-escalation headlines; oil −5.7%</w:t>
            </w:r>
          </w:p>
        </w:tc>
        <w:tc>
          <w:tcPr>
            <w:tcW w:type="dxa" w:w="23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‘Final-stage’ negotiation language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7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S&amp;P 500 +1.08% relief rally; yields and crude cooled.</w:t>
            </w:r>
          </w:p>
        </w:tc>
      </w:tr>
    </w:tbl>
    <w:p>
      <w:pPr>
        <w:pStyle w:val="Heading2"/>
        <w:spacing w:after="120" w:before="200"/>
      </w:pPr>
      <w:r>
        <w:rPr>
          <w:color w:val="9A6A1A"/>
        </w:rPr>
        <w:t xml:space="preserve">§13d 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50"/>
        <w:gridCol w:w="2150"/>
        <w:gridCol w:w="1000"/>
        <w:gridCol w:w="2810"/>
      </w:tblGrid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Date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Event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Context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Impact</w:t>
            </w:r>
          </w:p>
        </w:tc>
        <w:tc>
          <w:tcPr>
            <w:tcW w:type="dxa" w:w="28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Market implication for S&amp;P 500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20–21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Nvidia Q1 earnings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World's most valuable company; AI barometer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8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beat with strong AI-capex guidance lifts the index's largest weight and likely resolves the whipsaw upward; a miss or soft guide pressures the entire AI complex and the index.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~21–22 May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Walmart earnings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Consumer-demand read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8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A strong print supports the consumer-and-cyclicals leg; a weak one revives stagflation worry.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US–Iran negotiation headlines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Energy / risk channel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8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Further de-escalation cools oil and yields (supportive); a breakdown reverses the 20 May rally.</w:t>
            </w:r>
          </w:p>
        </w:tc>
      </w:tr>
      <w:tr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Long-end Treasury supply / yields</w:t>
            </w:r>
          </w:p>
        </w:tc>
        <w:tc>
          <w:tcPr>
            <w:tcW w:type="dxa" w:w="2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30Y near ~19-yr highs</w:t>
            </w:r>
          </w:p>
        </w:tc>
        <w:tc>
          <w:tcPr>
            <w:tcW w:type="dxa" w:w="10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Medium-High</w:t>
            </w:r>
          </w:p>
        </w:tc>
        <w:tc>
          <w:tcPr>
            <w:tcW w:type="dxa" w:w="281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A renewed yield spike re-pressures multiples; a yield retreat extends the rebound.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Highest-impact upcoming event: </w:t>
      </w:r>
      <w:r>
        <w:t xml:space="preserve">Nvidia Q1 earnings — because Nvidia is the single largest index constituent and the bellwether for AI capital spending, a surprise in either direction would move the consensus price view for the whole S&amp;P 500 more than any other scheduled item.</w:t>
      </w:r>
    </w:p>
    <w:p>
      <w:pPr>
        <w:pStyle w:val="Heading1"/>
        <w:spacing w:after="150" w:before="300"/>
      </w:pPr>
      <w:r>
        <w:rPr>
          <w:b/>
          <w:bCs/>
          <w:color w:val="9A6A1A"/>
          <w:sz w:val="26"/>
          <w:szCs w:val="26"/>
        </w:rPr>
        <w:t xml:space="preserve">§14  </w:t>
      </w:r>
      <w:r>
        <w:rPr>
          <w:b/>
          <w:bCs/>
          <w:color w:val="1F3A66"/>
          <w:sz w:val="26"/>
          <w:szCs w:val="26"/>
        </w:rPr>
        <w:t xml:space="preserve">Macro Context</w:t>
      </w:r>
      <w:r>
        <w:rPr>
          <w:i/>
          <w:iCs/>
          <w:color w:val="9A6A1A"/>
          <w:sz w:val="18"/>
          <w:szCs w:val="18"/>
        </w:rPr>
        <w:t xml:space="preserve">   [Updated]</w:t>
      </w:r>
    </w:p>
    <w:p>
      <w:pPr>
        <w:spacing w:after="120" w:before="0"/>
      </w:pPr>
      <w:r>
        <w:rPr>
          <w:b/>
          <w:bCs/>
        </w:rPr>
        <w:t xml:space="preserve">Rates and monetary policy. </w:t>
      </w:r>
      <w:r>
        <w:t xml:space="preserve">The defining macro variable is the long end of the Treasury curve: the 30-year yield reached roughly 5.19%, a near-19-year high, and the move — not a Fed decision — drove the mid-week sell-off. No FOMC meeting falls in the horizon. This connects directly to the §10 reading that the rates backdrop offsets the risk-on counter signal.</w:t>
      </w:r>
    </w:p>
    <w:p>
      <w:pPr>
        <w:spacing w:after="120" w:before="0"/>
      </w:pPr>
      <w:r>
        <w:rPr>
          <w:b/>
          <w:bCs/>
        </w:rPr>
        <w:t xml:space="preserve">Inflation. </w:t>
      </w:r>
      <w:r>
        <w:t xml:space="preserve">Inflation and rate-cut uncertainty are cited by institutional commentary as the key swing risks; sticky inflation that keeps the long end elevated is price-negative for the index via the discount-rate channel.</w:t>
      </w:r>
    </w:p>
    <w:p>
      <w:pPr>
        <w:spacing w:after="120" w:before="0"/>
      </w:pPr>
      <w:r>
        <w:rPr>
          <w:b/>
          <w:bCs/>
        </w:rPr>
        <w:t xml:space="preserve">Safe-haven / real yields. </w:t>
      </w:r>
      <w:r>
        <w:t xml:space="preserve">Gold is not an active counter in this instance, but rising real yields are the mirror image of the Treasury move and are a structural headwind for long-duration equity valuations.</w:t>
      </w:r>
    </w:p>
    <w:p>
      <w:pPr>
        <w:spacing w:after="120" w:before="0"/>
      </w:pPr>
      <w:r>
        <w:rPr>
          <w:b/>
          <w:bCs/>
        </w:rPr>
        <w:t xml:space="preserve">Liquidity and FX. </w:t>
      </w:r>
      <w:r>
        <w:t xml:space="preserve">Per the §10 USDX read, the dollar is soft — easier global financial conditions and a tailwind for multinational earnings translation. This partially offsets the rates drag.</w:t>
      </w:r>
    </w:p>
    <w:p>
      <w:pPr>
        <w:spacing w:after="120" w:before="0"/>
      </w:pPr>
      <w:r>
        <w:rPr>
          <w:b/>
          <w:bCs/>
        </w:rPr>
        <w:t xml:space="preserve">Energy. </w:t>
      </w:r>
      <w:r>
        <w:t xml:space="preserve">WTI fell sharply (around −5.7% on 20 May) on de-escalation headlines; lower energy costs ease the inflation impulse and were a proximate driver of the equity rebound.</w:t>
      </w:r>
    </w:p>
    <w:p>
      <w:pPr>
        <w:spacing w:after="120" w:before="0"/>
      </w:pPr>
      <w:r>
        <w:rPr>
          <w:b/>
          <w:bCs/>
        </w:rPr>
        <w:t xml:space="preserve">Positioning. </w:t>
      </w:r>
      <w:r>
        <w:t xml:space="preserve">VIX easing from its mid-month spike (per §10) signals hedges coming off; small-cap underperformance (Russell 2000 at a four-week low) flags narrow, mega-cap-concentrated leadership. Watch item from §13d: a renewed long-end yield spike is the macro variable most likely to invalidate the constructive lean.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§15  </w:t>
      </w:r>
      <w:r>
        <w:rPr>
          <w:b/>
          <w:bCs/>
          <w:color w:val="1F3A66"/>
          <w:sz w:val="26"/>
          <w:szCs w:val="26"/>
        </w:rPr>
        <w:t xml:space="preserve">Bull / Bear Balance</w:t>
      </w:r>
    </w:p>
    <w:p>
      <w:pPr>
        <w:pStyle w:val="Heading2"/>
        <w:spacing w:after="120" w:before="200"/>
      </w:pPr>
      <w:r>
        <w:rPr>
          <w:color w:val="1F3A66"/>
        </w:rPr>
        <w:t xml:space="preserve">Main upside risks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 strong Nvidia print with reassuring AI-capex guidance resolves the whipsaw to the upside and re-anchors the index's largest weighting (§13d).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Continued US–Iran de-escalation extends the cooling in oil and yields, lifting the multiple and validating the 20 May rebound.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 retreat in the 30-year yield from its ~19-year high removes the proximate cause of the 15–19 May decline.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The medium-term Trending-Bullish regime and Trending-Up KER (§9) keep the structural bid intact; the close holds above daily R1 and the daily pivot.</w:t>
      </w:r>
    </w:p>
    <w:p>
      <w:pPr>
        <w:pStyle w:val="Heading2"/>
        <w:spacing w:after="120" w:before="200"/>
      </w:pPr>
      <w:r>
        <w:rPr>
          <w:color w:val="1F3A66"/>
        </w:rPr>
        <w:t xml:space="preserve">Main downside risks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 Nvidia miss or soft guide — the §13d highest-impact event — would pressure the entire AI complex and the index's largest weight.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 renewed long-end yield spike re-compresses valuation multiples; the rates backdrop is the MIXED element flagged in §10.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 breakdown in US–Iran negotiations reverses the oil and yield relief and the 20 May rally with it.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Narrow breadth — the Russell 2000 at a four-week low — leaves the index fragile to any mega-cap stumble; pivot-wise, a daily close back below weekly S1 (7,359.39) and daily S1 (7,328.01) would confirm the bears.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§16  </w:t>
      </w:r>
      <w:r>
        <w:rPr>
          <w:b/>
          <w:bCs/>
          <w:color w:val="1F3A66"/>
          <w:sz w:val="26"/>
          <w:szCs w:val="26"/>
        </w:rPr>
        <w:t xml:space="preserve">Forward View</w:t>
      </w:r>
    </w:p>
    <w:p>
      <w:pPr>
        <w:spacing w:after="120" w:before="0"/>
      </w:pPr>
      <w:r>
        <w:rPr>
          <w:b/>
          <w:bCs/>
        </w:rPr>
        <w:t xml:space="preserve">Expected direction (next 5 trading days): </w:t>
      </w:r>
      <w:r>
        <w:t xml:space="preserve">modestly higher with a wide two-way distribution — a constructive lean that is explicitly conditional on the Nvidia result. Expected trading range: roughly 7,330 to 7,565 index points, bounded below by weekly S1 / daily S1 (7,328–7,359) and above by weekly R1 / R2 (7,487–7,565). Base-case invalidation: a daily close back below 7,328 (daily S1) would break the constructive structure and re-open the 7,300–7,232 weekly support shelf.</w:t>
      </w:r>
    </w:p>
    <w:p>
      <w:pPr>
        <w:spacing w:after="120" w:before="0"/>
      </w:pPr>
      <w:r>
        <w:rPr>
          <w:b/>
          <w:bCs/>
        </w:rPr>
        <w:t xml:space="preserve">Regime consistency: </w:t>
      </w:r>
      <w:r>
        <w:t xml:space="preserve">This view respects the technical regime of §9 — it favours trend-resumption over fade while acknowledging the Transitional short-term state — and it respects the §13d calendar by making the Nvidia event the explicit swing factor. It does not contradict the medium-term bullish classification.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§17  </w:t>
      </w:r>
      <w:r>
        <w:rPr>
          <w:b/>
          <w:bCs/>
          <w:color w:val="1F3A66"/>
          <w:sz w:val="26"/>
          <w:szCs w:val="26"/>
        </w:rPr>
        <w:t xml:space="preserve">Forecast (One Sentence)</w:t>
      </w:r>
    </w:p>
    <w:p>
      <w:pPr>
        <w:spacing w:after="120" w:before="0"/>
      </w:pPr>
      <w:r>
        <w:rPr>
          <w:b/>
          <w:bCs/>
          <w:i/>
          <w:iCs/>
        </w:rPr>
        <w:t xml:space="preserve">The S&amp;P 500 is expected to grind modestly higher over the next five sessions, holding above the 7,328 daily-support shelf, provided Nvidia's earnings do not deliver a negative surprise.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§18  </w:t>
      </w:r>
      <w:r>
        <w:rPr>
          <w:b/>
          <w:bCs/>
          <w:color w:val="1F3A66"/>
          <w:sz w:val="26"/>
          <w:szCs w:val="26"/>
        </w:rPr>
        <w:t xml:space="preserve">Final Analyst Judgement</w:t>
      </w:r>
    </w:p>
    <w:p>
      <w:pPr>
        <w:spacing w:after="120" w:before="0"/>
      </w:pPr>
      <w:r>
        <w:rPr>
          <w:b/>
          <w:bCs/>
        </w:rPr>
        <w:t xml:space="preserve">Consensus price call: </w:t>
      </w:r>
      <w:r>
        <w:t xml:space="preserve">7,432.97 index points, confidence Medium.</w:t>
      </w:r>
    </w:p>
    <w:p>
      <w:pPr>
        <w:spacing w:after="120" w:before="0"/>
      </w:pPr>
      <w:r>
        <w:rPr>
          <w:b/>
          <w:bCs/>
        </w:rPr>
        <w:t xml:space="preserve">Three most important reasons for the current level: </w:t>
      </w:r>
      <w:r>
        <w:t xml:space="preserve">(1) a Treasury-yield shock that drove a three-session decline from the 14 May record area; (2) a de-escalation-driven relief rebound on 20 May that recovered most of that decline; (3) pre-positioning into Nvidia's Q1 earnings, which is gating the index's largest weighting.</w:t>
      </w:r>
    </w:p>
    <w:p>
      <w:pPr>
        <w:spacing w:after="120" w:before="0"/>
      </w:pPr>
      <w:r>
        <w:rPr>
          <w:b/>
          <w:bCs/>
        </w:rPr>
        <w:t xml:space="preserve">Single watch item: </w:t>
      </w:r>
      <w:r>
        <w:t xml:space="preserve">Nvidia Q1 earnings — the result will most likely resolve the current Transitional whipsaw in one direction.</w:t>
      </w:r>
    </w:p>
    <w:p>
      <w:pPr>
        <w:pStyle w:val="Heading1"/>
        <w:spacing w:after="150" w:before="300"/>
      </w:pPr>
      <w:r>
        <w:rPr>
          <w:b/>
          <w:bCs/>
          <w:color w:val="1F3A66"/>
          <w:sz w:val="26"/>
          <w:szCs w:val="26"/>
        </w:rPr>
        <w:t xml:space="preserve">§19  </w:t>
      </w:r>
      <w:r>
        <w:rPr>
          <w:b/>
          <w:bCs/>
          <w:color w:val="1F3A66"/>
          <w:sz w:val="26"/>
          <w:szCs w:val="26"/>
        </w:rPr>
        <w:t xml:space="preserve">Source Discipline Note</w:t>
      </w:r>
    </w:p>
    <w:p>
      <w:pPr>
        <w:spacing w:after="120" w:before="0"/>
      </w:pPr>
      <w:r>
        <w:rPr>
          <w:b/>
          <w:bCs/>
        </w:rPr>
        <w:t xml:space="preserve">Live vs indicative data. </w:t>
      </w:r>
      <w:r>
        <w:t xml:space="preserve">All five session closes in §6 are corroborated by at least two independent approved sources within the ±0.10 pt equity-index tolerance and are treated as live, definitive values. Intraday High/Low values are accepted at aggregator level; where a particular extreme was carried by only one aggregator it is labelled indicative and used for narrative and chart purposes only, not for definitive settlement.</w:t>
      </w:r>
    </w:p>
    <w:p>
      <w:pPr>
        <w:spacing w:after="120" w:before="0"/>
      </w:pPr>
      <w:r>
        <w:rPr>
          <w:b/>
          <w:bCs/>
        </w:rPr>
        <w:t xml:space="preserve">Data gaps and normalization. </w:t>
      </w:r>
      <w:r>
        <w:t xml:space="preserve">No FX or unit normalization was required — all data is native index points in USD on the cash-session basis. CFD-derived quotes were excluded from accepted OHLC values per the cash-basis restriction and retained only as directional corroboration.</w:t>
      </w:r>
    </w:p>
    <w:p>
      <w:pPr>
        <w:spacing w:after="120" w:before="0"/>
      </w:pPr>
      <w:r>
        <w:rPr>
          <w:b/>
          <w:bCs/>
        </w:rPr>
        <w:t xml:space="preserve">Corroboration status per instrument. </w:t>
      </w:r>
      <w:r>
        <w:t xml:space="preserve">S&amp;P 500 cash: CORROBORATED across all five sessions. Daily and weekly pivot inputs: CORROBORATED (derived from the validated §6 table). Monthly pivot inputs: SINGLE-SOURCE-INDICATIVE — the April 2026 monthly High/Low/Close rest on a wider range reconstruction rather than a two-source fetch; this flag propagates to the §21 trade-card caveats. Counter instruments (VIX, DAX 40, USDX): directional corroboration only — used for cross-asset reads, not for OHLC pivots.</w:t>
      </w:r>
    </w:p>
    <w:p>
      <w:pPr>
        <w:pStyle w:val="Heading1"/>
        <w:spacing w:after="150" w:before="300"/>
      </w:pPr>
      <w:r>
        <w:rPr>
          <w:b/>
          <w:bCs/>
          <w:color w:val="9A6A1A"/>
          <w:sz w:val="26"/>
          <w:szCs w:val="26"/>
        </w:rPr>
        <w:t xml:space="preserve">§20  </w:t>
      </w:r>
      <w:r>
        <w:rPr>
          <w:b/>
          <w:bCs/>
          <w:color w:val="1F3A66"/>
          <w:sz w:val="26"/>
          <w:szCs w:val="26"/>
        </w:rPr>
        <w:t xml:space="preserve">Agent Log</w:t>
      </w:r>
      <w:r>
        <w:rPr>
          <w:i/>
          <w:iCs/>
          <w:color w:val="9A6A1A"/>
          <w:sz w:val="18"/>
          <w:szCs w:val="18"/>
        </w:rPr>
        <w:t xml:space="preserve">   [Updated]</w:t>
      </w:r>
    </w:p>
    <w:p>
      <w:pPr>
        <w:spacing w:after="120" w:before="0"/>
      </w:pPr>
      <w:r>
        <w:rPr>
          <w:b/>
          <w:bCs/>
        </w:rPr>
        <w:t xml:space="preserve">As-of override. </w:t>
      </w:r>
      <w:r>
        <w:t xml:space="preserve">This run was executed for an as-of date of 21 May 2026. The daily-open anchor was overridden at the operator's instruction; the report uses an anchored open for the 21 May session and, in the absence of a printed 21 May open at run time, uses the 20 May regular-session close (7,432.97) as the anchored-open proxy for the Trade 1 entry. This deviation from the standard 07:00 UK cash-anchor convention is logged here per the no-variable-exposure and process-audit requirements.</w:t>
      </w:r>
    </w:p>
    <w:p>
      <w:pPr>
        <w:spacing w:after="120" w:before="0"/>
      </w:pPr>
      <w:r>
        <w:rPr>
          <w:b/>
          <w:bCs/>
        </w:rPr>
        <w:t xml:space="preserve">Sources attempted and outcome. </w:t>
      </w:r>
      <w:r>
        <w:t xml:space="preserve">Approved-stack sources were worked in rank order. Investing.com, Stooq, Twelve Data, CNBC, TheStreet, FRED and the S&amp;P Dow Jones close anchor returned usable data; closes were corroborated in two-source pairs within tolerance (deltas 0.00–0.07 pts). A direct CSV pull from Stooq was unavailable in the execution environment (network restriction) and the value chain fell through to web-sourced corroboration — logged as a fetch-environment limitation, not a data-quality failure.</w:t>
      </w:r>
    </w:p>
    <w:p>
      <w:pPr>
        <w:spacing w:after="120" w:before="0"/>
      </w:pPr>
      <w:r>
        <w:rPr>
          <w:b/>
          <w:bCs/>
        </w:rPr>
        <w:t xml:space="preserve">Sentiment derivation. </w:t>
      </w:r>
      <w:r>
        <w:t xml:space="preserve">Six primary-asset articles classified per the §13a table; each carries a derivation quote. Source-class-weighted tilt computed as +0.12 (Mixed / Balanced). Tilt rests on six articles — above the three-article low-confidence floor.</w:t>
      </w:r>
    </w:p>
    <w:p>
      <w:pPr>
        <w:spacing w:after="120" w:before="0"/>
      </w:pPr>
      <w:r>
        <w:rPr>
          <w:b/>
          <w:bCs/>
        </w:rPr>
        <w:t xml:space="preserve">Strategy trace (M5). </w:t>
      </w:r>
      <w:r>
        <w:t xml:space="preserve">Direction-score weights: defaults (0.25 / 0.20 / 0.10 / 0.15 / 0.15 / 0.15), unchanged — no tuning, within the 20-session lock. Per-signal contributions: short-term technical 0.00, medium-term regime +0.20, VOLator 0.00, Kaufman +0.041, sentiment +0.018, cross-asset +0.045; total score +0.30 → LONG (conviction threshold 0.25). Regime label TRANSITION → Trade 2 plays the breakout side only and Trade 3 forks to variant 3C. Suppression: none of the three cards is fully suppressed; Trade 3C is conditional on a confirmed break (see §21b). Single-source-indicative flag on monthly pivots propagated to card caveats. Backtest: five sessions reconstructed at t−1 with sentiment frozen per session; resolution on actual session OHLC; reconstruction is a directional sanity-check only.</w:t>
      </w:r>
    </w:p>
    <w:p>
      <w:pPr>
        <w:spacing w:after="120" w:before="0"/>
      </w:pPr>
      <w:r>
        <w:rPr>
          <w:b/>
          <w:bCs/>
        </w:rPr>
        <w:t xml:space="preserve">Forecast reasoning. </w:t>
      </w:r>
      <w:r>
        <w:t xml:space="preserve">§17 derived from the technical integration note plus the balanced sentiment tilt and the MIXED cross-asset read; it is independent of the §21 trade-card direction and was not edited to align with it.</w:t>
      </w:r>
    </w:p>
    <w:p>
      <w:pPr>
        <w:spacing w:after="120" w:before="0"/>
      </w:pPr>
      <w:r>
        <w:rPr>
          <w:b/>
          <w:bCs/>
        </w:rPr>
        <w:t xml:space="preserve">Anomalies. </w:t>
      </w:r>
      <w:r>
        <w:t xml:space="preserve">RSI2 traversed its full range within five sessions (82 → 6 → 68) — flagged as the quantitative signature of the Transitional whipsaw, not a data error. Timestamp of run: 21 May 2026.</w:t>
      </w:r>
    </w:p>
    <w:p>
      <w:pPr>
        <w:pStyle w:val="Heading1"/>
        <w:spacing w:after="150" w:before="300"/>
      </w:pPr>
      <w:r>
        <w:rPr>
          <w:b/>
          <w:bCs/>
          <w:color w:val="9B2D5E"/>
          <w:sz w:val="26"/>
          <w:szCs w:val="26"/>
        </w:rPr>
        <w:t xml:space="preserve">§21  </w:t>
      </w:r>
      <w:r>
        <w:rPr>
          <w:b/>
          <w:bCs/>
          <w:color w:val="1F3A66"/>
          <w:sz w:val="26"/>
          <w:szCs w:val="26"/>
        </w:rPr>
        <w:t xml:space="preserve">Strategy Recommendations</w:t>
      </w:r>
      <w:r>
        <w:rPr>
          <w:i/>
          <w:iCs/>
          <w:color w:val="9B2D5E"/>
          <w:sz w:val="18"/>
          <w:szCs w:val="18"/>
        </w:rPr>
        <w:t xml:space="preserve">   [Strategies]</w:t>
      </w:r>
    </w:p>
    <w:p>
      <w:pPr>
        <w:pStyle w:val="Heading2"/>
        <w:spacing w:after="120" w:before="200"/>
      </w:pPr>
      <w:r>
        <w:rPr>
          <w:color w:val="9B2D5E"/>
        </w:rPr>
        <w:t xml:space="preserve">§21a  Directional Conviction</w:t>
      </w:r>
    </w:p>
    <w:p>
      <w:pPr>
        <w:spacing w:after="120" w:before="0"/>
      </w:pPr>
      <w:r>
        <w:t xml:space="preserve">Directional conviction is </w:t>
      </w:r>
      <w:r>
        <w:rPr>
          <w:b/>
          <w:bCs/>
        </w:rPr>
        <w:t xml:space="preserve">LONG with a direction score of +0.30</w:t>
      </w:r>
      <w:r>
        <w:t xml:space="preserve">, just clear of the 0.25 conviction threshold. The three highest-weighted contributing signals are the medium-term bullish regime (§9, +0.20), the cross-asset confirmation contribution (§10, +0.045 — scaled down because the aggregate read is MIXED, not a clean confirm), and the Kaufman trending-up signal (§9, +0.041). The short-term technical signal contributed zero because the five-day sequence label is Mixed (§8), and sentiment added only +0.018 on a balanced tilt (§13b). </w:t>
      </w:r>
      <w:r>
        <w:rPr>
          <w:b/>
          <w:bCs/>
        </w:rPr>
        <w:t xml:space="preserve">Conflict flag: </w:t>
      </w:r>
      <w:r>
        <w:t xml:space="preserve">the §21a LONG direction is broadly consistent with the §17 forecast (modestly higher) — no conflict to report. Weights basis: defaults.</w:t>
      </w:r>
    </w:p>
    <w:p>
      <w:pPr>
        <w:pStyle w:val="Heading2"/>
        <w:spacing w:after="120" w:before="200"/>
      </w:pPr>
      <w:r>
        <w:rPr>
          <w:color w:val="9B2D5E"/>
        </w:rPr>
        <w:t xml:space="preserve">§21b  Trade Cards</w:t>
      </w:r>
    </w:p>
    <w:p>
      <w:pPr>
        <w:spacing w:after="120" w:before="0"/>
      </w:pPr>
      <w:r>
        <w:rPr>
          <w:b/>
          <w:bCs/>
          <w:color w:val="9B2D5E"/>
          <w:sz w:val="22"/>
          <w:szCs w:val="22"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type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1 — Daily Directional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— score +0.30 clears the conviction threshold; medium-term regime bullish.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Market at the daily-open anchor (overridden for 21 May). Anchored-open proxy = 7,432.97 pts.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7,326.24 pts — 5-day swing low (7,341.20) less a 0.25×ATR buffer. Distance 106.7 pts (≈107 points) below entry.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106.73 pts ≈ 107 points.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7,539.70 pts — +1R (≈107 points).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7,646.43 pts — +2R (≈213 points). On fill, Unit 3 stop moves to entry +0.2R (7,454.32).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Time-stopped at session close, or price-stopped at 3×ATR (7,612.49 pts), whichever triggers first.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3 equal units; Unit 1 exits at TP1; Unit 2 exits at TP2; on Unit 2 fill, Unit 3 stop trails to entry +0.2R.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Entry 7,432.97 sits in the daily-R2 / weekly-P confluence zone (7,431–7,438) — strong confluence. SL near no major level. TP1 near weekly R1.5 (7,525.67).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Daily close below 7,328.01 (daily S1) — the first level whose close-through breaks the long narrative. Sits just above the stop; recorded explicitly.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Wide stop — 1R (107 pts) exceeds ATR(14) (≈60 pts); position size reduced accordingly. Holding period collides with the §13d Nvidia earnings event — event risk is live.</w:t>
            </w:r>
          </w:p>
        </w:tc>
      </w:tr>
    </w:tbl>
    <w:p>
      <w:pPr>
        <w:spacing w:after="120" w:before="0"/>
      </w:pPr>
      <w:r>
        <w:rPr>
          <w:b/>
          <w:bCs/>
          <w:color w:val="9B2D5E"/>
          <w:sz w:val="22"/>
          <w:szCs w:val="22"/>
        </w:rPr>
        <w:t xml:space="preserve">Trade 2 — Pivot (regime-aware, 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type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2 — Pivot, regime-aware. TRANSITION regime → breakout side only (aligned with Trade 3C, upside).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— breakout side. Counter-side limits are suppressed in a Transitional regime.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Stop/limit at 7,442.42 pts — 10% of the way from weekly P (7,437.51) toward weekly R1 (7,486.61).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7,375.01 pts — weekly-P-anchored: P − 0.8×(P − weekly S1). Distance ≈67.4 pts (≈67 points).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67.41 pts ≈ 67 points.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Weekly R1 — 7,486.61 pts.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Weekly R1.5 — 7,525.67 pts. On fill, Unit 3 stop moves to entry +0.2R.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Weekly R2 — 7,564.73 pts.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3 equal units; Unit 1 at TP1, Unit 2 at TP2; on Unit 2 fill, Unit 3 stop trails to entry +0.2R.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Entry 7,442.42 inside the daily-R2 / weekly-P confluence band (7,431–7,438 just below) — strong confluence at entry. TP2 near weekly R1.5 by construction.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Daily close back through weekly P (7,437.51) — documented even though the stop (7,375.01) sits below it.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Breakout-side-only construction per the Transitional regime. Holding period collides with the §13d Nvidia event. Monthly pivot tier is single-source-indicative (§19) — not used for this card's levels, which rely on the corroborated daily/weekly tiers.</w:t>
            </w:r>
          </w:p>
        </w:tc>
      </w:tr>
    </w:tbl>
    <w:p>
      <w:pPr>
        <w:spacing w:after="120" w:before="0"/>
      </w:pPr>
      <w:r>
        <w:rPr>
          <w:b/>
          <w:bCs/>
          <w:color w:val="9B2D5E"/>
          <w:sz w:val="22"/>
          <w:szCs w:val="22"/>
        </w:rPr>
        <w:t xml:space="preserve">Trade 3C — Momentum-Breakout (TRANSITION)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type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3 — Momentum-Breakout (variant 3C; TRANSITION regime).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— the most recent failed retest was at the upper boundary of the 25-session range; the breakout watch is to the upside.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CONDITIONAL — on a confirmed daily close above 7,515.81 pts (25-session high 7,500.85 + 0.25×ATR). Entry at that breakout candle's close. Not yet eligible: the 20 May close (7,432.97) is below the trigger.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7,225.11 pts — range low (7,041.28) + 0.40×range width (459.57). Generous post-fakeout structural stop.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≈290.7 pts from a 7,515.81 trigger (≈291 points) — sizing reduced accordingly.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Measured move — 7,960.42 pts (range high + 1.0×width).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1.5× measured move — 8,190.21 pts. On fill, Unit 3 stop moves to the broken boundary (7,500.85).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Discretionary trail beyond 1.5×MM, anchored to subsequent swing structure.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3 equal units; structural TPs preserved; on Unit 2 fill the runner stop moves to the broken boundary.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Trigger 7,515.81 sits just above the 14 May swing high (7,515.62) — round-number and swing confluence at the breakout level.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Daily close back inside the range past its midpoint (7,271.07).</w:t>
            </w:r>
          </w:p>
        </w:tc>
      </w:tr>
      <w:tr>
        <w:tc>
          <w:tcPr>
            <w:tcW w:type="dxa" w:w="26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is not eligible until a confirmed break prints — held as a conditional watch. Wide structural stop; position size reduced. Holding period would collide with the §13d Nvidia event, which is the most likely catalyst for the break itself.</w:t>
            </w:r>
          </w:p>
        </w:tc>
      </w:tr>
    </w:tbl>
    <w:p>
      <w:pPr>
        <w:pStyle w:val="Heading2"/>
        <w:spacing w:after="120" w:before="200"/>
      </w:pPr>
      <w:r>
        <w:rPr>
          <w:color w:val="9B2D5E"/>
        </w:rPr>
        <w:t xml:space="preserve">§21c 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250"/>
        <w:gridCol w:w="1100"/>
        <w:gridCol w:w="1900"/>
        <w:gridCol w:w="1100"/>
        <w:gridCol w:w="1360"/>
      </w:tblGrid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Strategy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Triggered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E0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1F3A66"/>
                <w:sz w:val="18"/>
                <w:szCs w:val="18"/>
              </w:rPr>
              <w:t xml:space="preserve">Days to res.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Thu 14 May (t−5)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7449.10 / 7500.85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+0.49R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Thu 14 May (t−5)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(breakout)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≈7455 / 7491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+0.55R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Thu 14 May (t−5)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3C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 confirmed break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Fri 15 May (t−4)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7486.30 / 7388.40 (SL)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−1.00R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Fri 15 May (t−4)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(breakout)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0.00R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Fri 15 May (t−4)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3C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 confirmed break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Mon 18 May (t−3)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NEUTRAL → suppressed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score below threshold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Mon 18 May (t−3)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(breakout)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0.00R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Mon 18 May (t−3)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3C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 confirmed break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Tue 19 May (t−2)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7398.05 / 7353.61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+0.74R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Tue 19 May (t−2)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SHORT (breakout-dn)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≈7385 / 7353.61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+0.52R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Tue 19 May (t−2)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3C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 confirmed break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Wed 20 May (t−1)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1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7369.19 / 7432.97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+0.60R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Wed 20 May (t−1)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2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LONG (breakout)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0.00R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Wed 20 May (t−1)</w:t>
            </w:r>
          </w:p>
        </w:tc>
        <w:tc>
          <w:tcPr>
            <w:tcW w:type="dxa" w:w="11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Trade 3C</w:t>
            </w:r>
          </w:p>
        </w:tc>
        <w:tc>
          <w:tcPr>
            <w:tcW w:type="dxa" w:w="125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SUPPRESSED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no confirmed break</w:t>
            </w:r>
          </w:p>
        </w:tc>
        <w:tc>
          <w:tcPr>
            <w:tcW w:type="dxa" w:w="110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gridSpan w:val="1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666666"/>
          <w:sz w:val="17"/>
          <w:szCs w:val="17"/>
        </w:rPr>
        <w:t xml:space="preserve">Note — </w:t>
      </w:r>
      <w:r>
        <w:rPr>
          <w:i/>
          <w:iCs/>
          <w:color w:val="666666"/>
          <w:sz w:val="17"/>
          <w:szCs w:val="17"/>
        </w:rPr>
        <w:t xml:space="preserve">Reconstruction at each t−1 close with sentiment frozen per session; resolution on the actual t-session OHLC, slippage zero, SL-first tick priority. Trade 3C reconstructs as SUPPRESSED across the window because no session produced a confirmed close beyond the 25-session boundary. R-multiples are mark-to-bar single-session outcomes.</w:t>
      </w:r>
    </w:p>
    <w:p>
      <w:pPr>
        <w:pStyle w:val="Heading2"/>
        <w:spacing w:after="120" w:before="200"/>
      </w:pPr>
      <w:r>
        <w:rPr>
          <w:color w:val="9B2D5E"/>
        </w:rPr>
        <w:t xml:space="preserve">§21d  'What Is Working' Aggregate</w:t>
      </w:r>
    </w:p>
    <w:p>
      <w:pPr>
        <w:spacing w:after="120" w:before="0"/>
      </w:pPr>
      <w:r>
        <w:t xml:space="preserve">Trade 1 over the last 5 sessions: triggered 4/5 times (one NEUTRAL suppression), mean R = +0.21, TP1/TP2/TP3 hit rates ≈ 25% / 0% / 0% — three small wins and one full stop, a profile consistent with a choppy, two-way tape. Trade 2 over the last 5 sessions: triggered 2/5 times (three sessions the breakout limit was not reached), mean R = +0.54, hit rates skewed to partial TP1 fills. Trade 3C over the last 5 sessions: triggered 0/5 — suppressed every session for want of a confirmed range break. </w:t>
      </w:r>
      <w:r>
        <w:rPr>
          <w:b/>
          <w:bCs/>
        </w:rPr>
        <w:t xml:space="preserve">Strongest performer: </w:t>
      </w:r>
      <w:r>
        <w:t xml:space="preserve">Trade 2 (mean R +0.54 on closed positions). </w:t>
      </w:r>
      <w:r>
        <w:rPr>
          <w:b/>
          <w:bCs/>
        </w:rPr>
        <w:t xml:space="preserve">Weakest performer: </w:t>
      </w:r>
      <w:r>
        <w:t xml:space="preserve">Trade 3C — insufficient triggers to rank. </w:t>
      </w:r>
      <w:r>
        <w:rPr>
          <w:b/>
          <w:bCs/>
        </w:rPr>
        <w:t xml:space="preserve">Limitations: </w:t>
      </w:r>
      <w: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A66" w:sz="6" w:space="4"/>
        </w:pBdr>
        <w:spacing w:before="260"/>
      </w:pPr>
      <w:r>
        <w:rPr>
          <w:i/>
          <w:iCs/>
          <w:color w:val="888888"/>
          <w:sz w:val="16"/>
          <w:szCs w:val="16"/>
        </w:rPr>
        <w:t xml:space="preserve">S&amp;P 500 Daily Report  │  21 May 2026  │  Senior US Equity Strategist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99999"/>
        <w:sz w:val="15"/>
        <w:szCs w:val="15"/>
      </w:rPr>
      <w:t xml:space="preserve">S&amp;P 500 Report — Daily: 21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f005457c123274432fd40855c8ecf68ad0bc75.png"/><Relationship Id="rId10" Type="http://schemas.openxmlformats.org/officeDocument/2006/relationships/image" Target="media/ec225759c5229aa10de929138d70a4eeb3389a45.png"/><Relationship Id="rId11" Type="http://schemas.openxmlformats.org/officeDocument/2006/relationships/image" Target="media/e107551dbc9bd87946a5a9da16709db7b626a831.png"/><Relationship Id="rId12" Type="http://schemas.openxmlformats.org/officeDocument/2006/relationships/image" Target="media/805632d5d22f447eec95a5a732f3cf2580b40c81.png"/><Relationship Id="rId13" Type="http://schemas.openxmlformats.org/officeDocument/2006/relationships/image" Target="media/5f24980267c42c9f3983b83d4e0a57d944ffca6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2026-05-20T21:37:12.241Z</dcterms:created>
  <dcterms:modified xsi:type="dcterms:W3CDTF">2026-05-20T21:37:12.241Z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