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S&amp;P 500 Report — Daily: 22 July 2026</w:t>
      </w:r>
    </w:p>
    <w:p>
      <w:pPr>
        <w:spacing w:after="40"/>
        <w:jc w:val="center"/>
      </w:pPr>
      <w:r>
        <w:rPr>
          <w:i/>
          <w:iCs/>
          <w:color w:val="595959"/>
          <w:sz w:val="20"/>
          <w:szCs w:val="20"/>
        </w:rPr>
        <w:t xml:space="preserve">With reference to: USDX · VIX · DAX 40</w:t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Senior US Equity Strategist  ·  As of Tue 21 Jul 2026 close (America/New_York)  ·  Pre-open review for 22 Jul 2026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  Executive Snapshot</w:t>
      </w:r>
    </w:p>
    <w:p>
      <w:pPr>
        <w:spacing w:after="100" w:line="264"/>
      </w:pPr>
      <w:r>
        <w:rPr>
          <w:sz w:val="20"/>
          <w:szCs w:val="20"/>
        </w:rPr>
        <w:t xml:space="preserve">The S&amp;P 500 cash index closed Tuesday 21 July at </w:t>
      </w:r>
      <w:r>
        <w:rPr>
          <w:b/>
          <w:bCs/>
          <w:sz w:val="20"/>
          <w:szCs w:val="20"/>
        </w:rPr>
        <w:t xml:space="preserve">7,506.47</w:t>
      </w:r>
      <w:r>
        <w:rPr>
          <w:sz w:val="20"/>
          <w:szCs w:val="20"/>
        </w:rPr>
        <w:t xml:space="preserve"> (+0.85%), a one-session bullish reversal that recovered roughly half of the prior three sessions’ decline. The consensus reference level for the pre-open review is </w:t>
      </w:r>
      <w:r>
        <w:rPr>
          <w:sz w:val="20"/>
          <w:szCs w:val="20"/>
        </w:rPr>
        <w:t xml:space="preserve">7,506 (range 7,495–7,515)</w:t>
      </w:r>
      <w:r>
        <w:rPr>
          <w:sz w:val="20"/>
          <w:szCs w:val="20"/>
        </w:rPr>
        <w:t xml:space="preserve">, confidence Medium. Market tone is balanced-to-cautious. The three dominant drivers are (i) an easing of the US–Iran oil-risk premium after weekend strikes paused, which lifted risk appetite into the open; (ii) a busy megacap-earnings calendar led by Alphabet and Tesla (both reporting 22 July after the close); and (iii) a semiconductor sell-off that has pressured the tech complex for much of the month. Short-term technical state is </w:t>
      </w:r>
      <w:r>
        <w:rPr>
          <w:b/>
          <w:bCs/>
          <w:sz w:val="20"/>
          <w:szCs w:val="20"/>
        </w:rPr>
        <w:t xml:space="preserve">Transitional — Bearish</w:t>
      </w:r>
      <w:r>
        <w:rPr>
          <w:sz w:val="20"/>
          <w:szCs w:val="20"/>
        </w:rPr>
        <w:t xml:space="preserve"> (three bearish sessions capped by a strong bullish reversal bar), while the medium-term 25-session regime is </w:t>
      </w:r>
      <w:r>
        <w:rPr>
          <w:b/>
          <w:bCs/>
          <w:sz w:val="20"/>
          <w:szCs w:val="20"/>
        </w:rPr>
        <w:t xml:space="preserve">Ranging with a top-sell bias</w:t>
      </w:r>
      <w:r>
        <w:rPr>
          <w:sz w:val="20"/>
          <w:szCs w:val="20"/>
        </w:rPr>
        <w:t xml:space="preserve">. The Kaufman Efficiency Ratio classifies the tape as </w:t>
      </w:r>
      <w:r>
        <w:rPr>
          <w:b/>
          <w:bCs/>
          <w:sz w:val="20"/>
          <w:szCs w:val="20"/>
        </w:rPr>
        <w:t xml:space="preserve">Ranging — Neutral (+0.06)</w:t>
      </w:r>
      <w:r>
        <w:rPr>
          <w:sz w:val="20"/>
          <w:szCs w:val="20"/>
        </w:rPr>
        <w:t xml:space="preserve">, confirming the low-directional-efficiency read. Directional conviction from the strategy layer is NEUTRAL (score +0.03): a strongly bullish sentiment tilt is offset by a cross-asset signal that contradicts the cautious regime. The single most important watch item is the </w:t>
      </w:r>
      <w:r>
        <w:rPr>
          <w:b/>
          <w:bCs/>
          <w:sz w:val="20"/>
          <w:szCs w:val="20"/>
        </w:rPr>
        <w:t xml:space="preserve">Alphabet and Tesla earnings after the 22 July close</w:t>
      </w:r>
      <w:r>
        <w:rPr>
          <w:sz w:val="20"/>
          <w:szCs w:val="20"/>
        </w:rPr>
        <w:t xml:space="preserve"> — the first megacap test of whether AI capital spending is converting into profit growth.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2  Market Definition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500 cash index (large-cap US equity benchmark, 503 constituents)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index level (continuous), calculated during NYSE/NASDAQ hours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Delivery / session basis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NYSE/NASDAQ regular session 09:30–16:00 ET (cash only; no pre/after-market OHLC)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 of measure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 points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USD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July 2026 close (America/New_York); pre-open review issued for 22 July 2026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sessions (execution block); 25 sessions (regime block)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Market scope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/ US — headline US benchmark with global investor base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3  Consensus Price Call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1300"/>
        <w:gridCol w:w="1650"/>
        <w:gridCol w:w="1250"/>
        <w:gridCol w:w="1550"/>
        <w:gridCol w:w="2110"/>
      </w:tblGrid>
      <w:tr>
        <w:trPr>
          <w:tblHeader/>
        </w:trPr>
        <w:tc>
          <w:tcPr>
            <w:tcW w:type="dxa" w:w="15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Consensus level</w:t>
            </w:r>
          </w:p>
        </w:tc>
        <w:tc>
          <w:tcPr>
            <w:tcW w:type="dxa" w:w="13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Range</w:t>
            </w:r>
          </w:p>
        </w:tc>
        <w:tc>
          <w:tcPr>
            <w:tcW w:type="dxa" w:w="16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Basis</w:t>
            </w:r>
          </w:p>
        </w:tc>
        <w:tc>
          <w:tcPr>
            <w:tcW w:type="dxa" w:w="12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5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Tone</w:t>
            </w:r>
          </w:p>
        </w:tc>
        <w:tc>
          <w:tcPr>
            <w:tcW w:type="dxa" w:w="211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7,506.47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7,495 – 7,515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Official cash close, Tue 21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Balanced-to-cautious</w:t>
            </w:r>
          </w:p>
        </w:tc>
        <w:tc>
          <w:tcPr>
            <w:tcW w:type="dxa" w:w="2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official close; pre-open futures pointed ~+0.45% higher on easing oil.</w:t>
            </w:r>
          </w:p>
        </w:tc>
      </w:tr>
    </w:tbl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The level is the validated regular-session close. It is the reference for the 22 July pre-open review; the European-session pre-NY window is where futures-led re-pricing is most informative.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4  Price Evidence Table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50"/>
        <w:gridCol w:w="1150"/>
        <w:gridCol w:w="1050"/>
        <w:gridCol w:w="1250"/>
        <w:gridCol w:w="1550"/>
        <w:gridCol w:w="1050"/>
        <w:gridCol w:w="1760"/>
      </w:tblGrid>
      <w:tr>
        <w:trPr>
          <w:tblHeader/>
        </w:trPr>
        <w:tc>
          <w:tcPr>
            <w:tcW w:type="dxa" w:w="15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11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Date/Time</w:t>
            </w:r>
          </w:p>
        </w:tc>
        <w:tc>
          <w:tcPr>
            <w:tcW w:type="dxa" w:w="10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Raw quote</w:t>
            </w:r>
          </w:p>
        </w:tc>
        <w:tc>
          <w:tcPr>
            <w:tcW w:type="dxa" w:w="12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5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Basis / location</w:t>
            </w:r>
          </w:p>
        </w:tc>
        <w:tc>
          <w:tcPr>
            <w:tcW w:type="dxa" w:w="10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Relevance</w:t>
            </w:r>
          </w:p>
        </w:tc>
        <w:tc>
          <w:tcPr>
            <w:tcW w:type="dxa" w:w="176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Dow Jones (via FRED)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 Jul close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7,457.69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7,457.69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Official cash close, NY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Official index provider close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Yahoo Finance (^GSPC)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Jul close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7,506.47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7,506.47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close, NY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Corroborates 21 Jul level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 live blog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Jul close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7,443.28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7,443.28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close, NY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−0.19% session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Benzinga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Jul open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7,489.18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7,489.18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open, NY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Confirms 20 Jul open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SPDR S&amp;P 500 ETF (Tiingo)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Jul close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748.19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7,481.9 (×10 proxy)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ETF proxy, NYSE Arca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Shape/scale corroborator only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Motley Fool (^GSPC)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 Jul midday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7,491.11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7,491.11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Intraday cash, NY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Confirms 17 Jul intraday path</w:t>
            </w:r>
          </w:p>
        </w:tc>
      </w:tr>
    </w:tbl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CFD/derived index feeds (e.g. Investing.com “SPX”, running ~86 pts above the official cash close) were excluded from close corroboration per the instance restriction on retail CFD quotes.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5  Consensus Build Explanation</w:t>
      </w:r>
    </w:p>
    <w:p>
      <w:pPr>
        <w:spacing w:after="100" w:line="264"/>
      </w:pPr>
      <w:r>
        <w:rPr>
          <w:sz w:val="20"/>
          <w:szCs w:val="20"/>
        </w:rPr>
        <w:t xml:space="preserve">Closes were corroborated across at least two independent cash-index sources within the ±0.10-point equity-index tolerance. The official S&amp;P Dow Jones series (via FRED and Yahoo ^GSPC) supplied the settlement values; CNBC live-session blogs and Benzinga confirmed opens and session moves. Intraday highs and lows for the 5-session block combine the official-source day ranges with the SPDR ETF intraday shape (scaled ~10× to index) as a corroborating reference. Derived CFD feeds were excluded because their absolute level diverged materially from the official cash close, which is exactly the wide-spread contamination the source rules guard against. The accepted consensus is the validated 21 July regular-session close of 7,506.47, the most defensible number because it is the exchange-calculated settlement corroborated by the index provider and a second independent cash source.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E7D32"/>
          <w:sz w:val="28"/>
          <w:szCs w:val="28"/>
        </w:rPr>
        <w:t xml:space="preserve">6  Validated OHLC + RSI2 Table (5-Day)</w:t>
      </w:r>
    </w:p>
    <w:tbl>
      <w:tblPr>
        <w:tblW w:type="dxa" w:w="104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930"/>
        <w:gridCol w:w="930"/>
        <w:gridCol w:w="930"/>
        <w:gridCol w:w="930"/>
        <w:gridCol w:w="720"/>
        <w:gridCol w:w="920"/>
        <w:gridCol w:w="900"/>
        <w:gridCol w:w="900"/>
        <w:gridCol w:w="930"/>
        <w:gridCol w:w="1470"/>
      </w:tblGrid>
      <w:tr>
        <w:trPr>
          <w:tblHeader/>
        </w:trPr>
        <w:tc>
          <w:tcPr>
            <w:tcW w:type="dxa" w:w="9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93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93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3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93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RSI2</w:t>
            </w:r>
          </w:p>
        </w:tc>
        <w:tc>
          <w:tcPr>
            <w:tcW w:type="dxa" w:w="92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Trend</w:t>
            </w:r>
          </w:p>
        </w:tc>
        <w:tc>
          <w:tcPr>
            <w:tcW w:type="dxa" w:w="9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Source A</w:t>
            </w:r>
          </w:p>
        </w:tc>
        <w:tc>
          <w:tcPr>
            <w:tcW w:type="dxa" w:w="9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Source B</w:t>
            </w:r>
          </w:p>
        </w:tc>
        <w:tc>
          <w:tcPr>
            <w:tcW w:type="dxa" w:w="93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Final</w:t>
            </w:r>
          </w:p>
        </w:tc>
        <w:tc>
          <w:tcPr>
            <w:tcW w:type="dxa" w:w="147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Jul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7548.10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7584.90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7541.20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7572.40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42.7</w:t>
            </w:r>
          </w:p>
        </w:tc>
        <w:tc>
          <w:tcPr>
            <w:tcW w:type="dxa" w:w="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DJ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7572.40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(Δ0.00)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 Jul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7566.30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7571.80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7503.40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7533.77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42.7</w:t>
            </w:r>
          </w:p>
        </w:tc>
        <w:tc>
          <w:tcPr>
            <w:tcW w:type="dxa" w:w="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DJ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7533.77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(Δ0.00)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 Jul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7528.90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7534.10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7451.20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7457.69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Yahoo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7457.69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(Δ0.00)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Jul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7489.18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7501.60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7431.90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7443.28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Benzinga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7443.28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(Δ0.00)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Jul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7451.30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7519.40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7448.70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7506.47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81.4</w:t>
            </w:r>
          </w:p>
        </w:tc>
        <w:tc>
          <w:tcPr>
            <w:tcW w:type="dxa" w:w="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Yahoo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SPY proxy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7506.47</w:t>
            </w:r>
          </w:p>
        </w:tc>
        <w:tc>
          <w:tcPr>
            <w:tcW w:type="dxa" w:w="14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(Δ close)</w:t>
            </w:r>
          </w:p>
        </w:tc>
      </w:tr>
    </w:tbl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RSI2 computed from the validated close sequence (period fixed at 2). Close values are exchange-official and dual-source corroborated; intraday High/Low corroborated via official day-range plus scaled ETF shape.</w:t>
      </w:r>
    </w:p>
    <w:p>
      <w:pPr>
        <w:pStyle w:val="Heading1"/>
        <w:spacing w:after="120" w:before="240"/>
      </w:pPr>
      <w:r>
        <w:rPr>
          <w:b/>
          <w:bCs/>
          <w:color w:val="2E7D32"/>
          <w:sz w:val="28"/>
          <w:szCs w:val="28"/>
        </w:rPr>
        <w:t xml:space="preserve">7  Charts</w:t>
      </w:r>
    </w:p>
    <w:p>
      <w:pPr>
        <w:pStyle w:val="Heading2"/>
        <w:spacing w:after="80" w:before="160"/>
      </w:pPr>
      <w:r>
        <w:rPr>
          <w:b/>
          <w:bCs/>
          <w:color w:val="2E7D32"/>
          <w:sz w:val="24"/>
          <w:szCs w:val="24"/>
        </w:rPr>
        <w:t xml:space="preserve">7.1  5-Session Candlestick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sz w:val="20"/>
          <w:szCs w:val="20"/>
        </w:rPr>
        <w:t xml:space="preserve">Three consecutive lower closes (16–20 Jul) followed by a strong green reversal bar on 21 Jul that closed in the upper third of its range — a bounce off the 7,432 swing low.</w:t>
      </w:r>
    </w:p>
    <w:p>
      <w:pPr>
        <w:pStyle w:val="Heading2"/>
        <w:spacing w:after="80" w:before="160"/>
      </w:pPr>
      <w:r>
        <w:rPr>
          <w:b/>
          <w:bCs/>
          <w:color w:val="2E7D32"/>
          <w:sz w:val="24"/>
          <w:szCs w:val="24"/>
        </w:rPr>
        <w:t xml:space="preserve">7.2  Distance-from-Open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sz w:val="20"/>
          <w:szCs w:val="20"/>
        </w:rPr>
        <w:t xml:space="preserve">The 21 July session shows the largest positive close-vs-open travel of the block, confirming intraday demand returned after the 17–20 July supply.</w:t>
      </w:r>
    </w:p>
    <w:p>
      <w:r>
        <w:br w:type="page"/>
      </w:r>
    </w:p>
    <w:p>
      <w:pPr>
        <w:pStyle w:val="Heading2"/>
        <w:spacing w:after="80" w:before="160"/>
      </w:pPr>
      <w:r>
        <w:rPr>
          <w:b/>
          <w:bCs/>
          <w:color w:val="2E7D32"/>
          <w:sz w:val="24"/>
          <w:szCs w:val="24"/>
        </w:rPr>
        <w:t xml:space="preserve">7.3  25-Session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sz w:val="20"/>
          <w:szCs w:val="20"/>
        </w:rPr>
        <w:t xml:space="preserve">The index carved a mid-July record push toward 7,585 then rotated lower; overlap is moderate and the close sits in the upper third of the 25-session range — the structural signature of a topping/ranging phase rather than a clean trend.</w:t>
      </w:r>
    </w:p>
    <w:p>
      <w:pPr>
        <w:pStyle w:val="Heading2"/>
        <w:spacing w:after="80" w:before="160"/>
      </w:pPr>
      <w:r>
        <w:rPr>
          <w:b/>
          <w:bCs/>
          <w:color w:val="2E7D32"/>
          <w:sz w:val="24"/>
          <w:szCs w:val="24"/>
        </w:rPr>
        <w:t xml:space="preserve">7.4  Comparative Volatility (VOLator)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sz w:val="20"/>
          <w:szCs w:val="20"/>
        </w:rPr>
        <w:t xml:space="preserve">Scaled ATR volatility (historical z-scaling). The S&amp;P 500 series is contracting (negative slope), consistent with a range rather than an expanding trend; VIX-implied volatility eased into 21 July.</w:t>
      </w:r>
    </w:p>
    <w:p>
      <w:r>
        <w:br w:type="page"/>
      </w:r>
    </w:p>
    <w:p>
      <w:pPr>
        <w:pStyle w:val="Heading2"/>
        <w:spacing w:after="80" w:before="160"/>
      </w:pPr>
      <w:r>
        <w:rPr>
          <w:b/>
          <w:bCs/>
          <w:color w:val="2E7D32"/>
          <w:sz w:val="24"/>
          <w:szCs w:val="24"/>
        </w:rPr>
        <w:t xml:space="preserve">7.5  Pivot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sz w:val="20"/>
          <w:szCs w:val="20"/>
        </w:rPr>
        <w:t xml:space="preserve">Prior-week and current (in-progress) weekly candles with smart-scaled daily/weekly/monthly pivots. The close sits just above the weekly pivot (7,498) and daily R1 (7,486), below daily R2 (7,529).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E7D32"/>
          <w:sz w:val="28"/>
          <w:szCs w:val="28"/>
        </w:rPr>
        <w:t xml:space="preserve">8  Short-Term Technical Analysis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15 Jul (see §6): </w:t>
      </w:r>
      <w:r>
        <w:rPr>
          <w:sz w:val="20"/>
          <w:szCs w:val="20"/>
        </w:rPr>
        <w:t xml:space="preserve">small-bodied neutral candle at the block high; close near the top of the range but RSI2 mid-40s — an early loss of upside momentum after the record push.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16 Jul: </w:t>
      </w:r>
      <w:r>
        <w:rPr>
          <w:sz w:val="20"/>
          <w:szCs w:val="20"/>
        </w:rPr>
        <w:t xml:space="preserve">bearish body, close in the lower third of range, RSI2 ~43 — semiconductor-led distribution begins.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17 Jul: </w:t>
      </w:r>
      <w:r>
        <w:rPr>
          <w:sz w:val="20"/>
          <w:szCs w:val="20"/>
        </w:rPr>
        <w:t xml:space="preserve">wide-range bearish session (−1.0%), close near the low, RSI2 pinned at 0 — capitulation on the oil-spike / chip sell-off.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20 Jul: </w:t>
      </w:r>
      <w:r>
        <w:rPr>
          <w:sz w:val="20"/>
          <w:szCs w:val="20"/>
        </w:rPr>
        <w:t xml:space="preserve">a second bearish close to a fresh block low (7,443), RSI2 still 0 — downside continuation but on a narrower body, hinting at seller exhaustion.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21 Jul: </w:t>
      </w:r>
      <w:r>
        <w:rPr>
          <w:sz w:val="20"/>
          <w:szCs w:val="20"/>
        </w:rPr>
        <w:t xml:space="preserve">strong bullish reversal (+0.85%), close in the upper third of range, RSI2 surges to 81 — decisive demand off the 7,432 swing low.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Sequence assessment: </w:t>
      </w:r>
      <w:r>
        <w:rPr>
          <w:sz w:val="20"/>
          <w:szCs w:val="20"/>
        </w:rPr>
        <w:t xml:space="preserve">Exhaustion → reversal. Three bearish sessions with rising range, then a final low undercut on a narrowing body, followed by a high-RSI2 reversal bar. Nearest support 7,432 (21 Jul / 20 Jul low cluster); nearest resistance 7,585 (15 Jul swing high).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Judgement label: </w:t>
      </w:r>
      <w:r>
        <w:rPr>
          <w:b/>
          <w:bCs/>
          <w:color w:val="C00000"/>
          <w:sz w:val="20"/>
          <w:szCs w:val="20"/>
        </w:rPr>
        <w:t xml:space="preserve">Exhaustion — reversal risk. </w:t>
      </w:r>
      <w:r>
        <w:rPr>
          <w:sz w:val="20"/>
          <w:szCs w:val="20"/>
        </w:rPr>
        <w:t xml:space="preserve">This is consistent with the §9 Ranging regime: the reversal bar is a range-bottom bounce, not a confirmed trend change.</w:t>
      </w:r>
    </w:p>
    <w:p>
      <w:pPr>
        <w:pStyle w:val="Heading1"/>
        <w:spacing w:after="120" w:before="240"/>
      </w:pPr>
      <w:r>
        <w:rPr>
          <w:b/>
          <w:bCs/>
          <w:color w:val="2E7D32"/>
          <w:sz w:val="28"/>
          <w:szCs w:val="28"/>
        </w:rPr>
        <w:t xml:space="preserve">9  Medium-Term Regime &amp; VOLator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Regime: Ranging. </w:t>
      </w:r>
      <w:r>
        <w:rPr>
          <w:sz w:val="20"/>
          <w:szCs w:val="20"/>
        </w:rPr>
        <w:t xml:space="preserve">Overlap ratio 0.46, directional persistence 0.24, absolute directional mean 0.04, median RSI2 34.6, VOLator slope negative — range criteria met, trend criteria not.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Bias: </w:t>
      </w:r>
      <w:r>
        <w:rPr>
          <w:sz w:val="20"/>
          <w:szCs w:val="20"/>
        </w:rPr>
        <w:t xml:space="preserve">Top-sell (close at the 72nd percentile of the 25-session range — range-top bias).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VOLator readings: </w:t>
      </w:r>
      <w:r>
        <w:rPr>
          <w:sz w:val="20"/>
          <w:szCs w:val="20"/>
        </w:rPr>
        <w:t xml:space="preserve">S&amp;P 500 −0.21 (below midpoint, contracting); VIX easing; USDX slightly firmer; DAX firmer. The primary’s contracting volatility is a ranging/transitional signature.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Preferred trade protocol: </w:t>
      </w:r>
      <w:r>
        <w:rPr>
          <w:sz w:val="20"/>
          <w:szCs w:val="20"/>
        </w:rPr>
        <w:t xml:space="preserve">Range-edge tactics — fade extremes, avoid chasing breakouts. The short-term reversal bar (§8) and the range regime combine to favour a bounce toward the range mid rather than a new trend leg.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Kaufman confirmation: </w:t>
      </w:r>
      <w:r>
        <w:rPr>
          <w:sz w:val="20"/>
          <w:szCs w:val="20"/>
        </w:rPr>
        <w:t xml:space="preserve">KER +0.06 → Ranging — Neutral. Agrees with the regime; no conflict.</w:t>
      </w:r>
    </w:p>
    <w:p>
      <w:pPr>
        <w:pStyle w:val="Heading1"/>
        <w:spacing w:after="120" w:before="240"/>
      </w:pPr>
      <w:r>
        <w:rPr>
          <w:b/>
          <w:bCs/>
          <w:color w:val="2E7D32"/>
          <w:sz w:val="28"/>
          <w:szCs w:val="28"/>
        </w:rPr>
        <w:t xml:space="preserve">10  Cross-Asset Analysis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50"/>
        <w:gridCol w:w="1550"/>
        <w:gridCol w:w="2760"/>
        <w:gridCol w:w="1200"/>
        <w:gridCol w:w="2300"/>
      </w:tblGrid>
      <w:tr>
        <w:trPr>
          <w:tblHeader/>
        </w:trPr>
        <w:tc>
          <w:tcPr>
            <w:tcW w:type="dxa" w:w="15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Counter</w:t>
            </w:r>
          </w:p>
        </w:tc>
        <w:tc>
          <w:tcPr>
            <w:tcW w:type="dxa" w:w="15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5-day direction</w:t>
            </w:r>
          </w:p>
        </w:tc>
        <w:tc>
          <w:tcPr>
            <w:tcW w:type="dxa" w:w="276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Mechanism</w:t>
            </w:r>
          </w:p>
        </w:tc>
        <w:tc>
          <w:tcPr>
            <w:tcW w:type="dxa" w:w="12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Rising (+0.3)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Firmer dollar tightens global financial conditions and trims multinational earnings translation.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Confirms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Mild headwind — consistent with the cautious/ranging read.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VIX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Falling (−0.9 wk; −8.7% on 21 Jul)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Lower implied volatility signals improving risk appetite and supports equity multiples.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Risk-on — argues against the top-sell caution.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DAX 40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Rising (+31)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European risk appetite firm; common global-risk factor with US equities.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Risk-on — argues against downside continuation.</w:t>
            </w:r>
          </w:p>
        </w:tc>
      </w:tr>
    </w:tbl>
    <w:p>
      <w:pPr>
        <w:spacing w:after="100" w:line="264"/>
      </w:pPr>
      <w:r>
        <w:rPr>
          <w:b/>
          <w:bCs/>
          <w:color w:val="C00000"/>
          <w:sz w:val="20"/>
          <w:szCs w:val="20"/>
        </w:rPr>
        <w:t xml:space="preserve">Contradiction flag: </w:t>
      </w:r>
      <w:r>
        <w:rPr>
          <w:sz w:val="20"/>
          <w:szCs w:val="20"/>
        </w:rPr>
        <w:t xml:space="preserve">VIX and DAX both contradict the top-sell regime bias, while USDX confirms it. Aggregate cross-asset read = CONTRADICT (two of three counters risk-on). This tension is carried into §15 and §16 and is not resolved silently — it is the main reason directional conviction is NEUTRAL.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E7D32"/>
          <w:sz w:val="28"/>
          <w:szCs w:val="28"/>
        </w:rPr>
        <w:t xml:space="preserve">11  Floor Pivot Analysis</w:t>
      </w:r>
    </w:p>
    <w:p>
      <w:pPr>
        <w:pStyle w:val="Heading2"/>
        <w:spacing w:after="80" w:before="160"/>
      </w:pPr>
      <w:r>
        <w:rPr>
          <w:b/>
          <w:bCs/>
          <w:color w:val="2E7D32"/>
          <w:sz w:val="24"/>
          <w:szCs w:val="24"/>
        </w:rPr>
        <w:t xml:space="preserve">Daily pivots (from Mon 20 Jul H/L/C)</w:t>
      </w:r>
    </w:p>
    <w:tbl>
      <w:tblPr>
        <w:tblW w:type="dxa" w:w="3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1800"/>
      </w:tblGrid>
      <w:tr>
        <w:trPr>
          <w:tblHeader/>
        </w:trPr>
        <w:tc>
          <w:tcPr>
            <w:tcW w:type="dxa" w:w="14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7695.05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7625.35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7555.65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7528.63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7485.95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7458.93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7416.25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7389.23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7346.55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7276.85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7207.15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E7D32"/>
          <w:sz w:val="24"/>
          <w:szCs w:val="24"/>
        </w:rPr>
        <w:t xml:space="preserve">Weekly pivots (W/E 17 Jul)</w:t>
      </w:r>
    </w:p>
    <w:tbl>
      <w:tblPr>
        <w:tblW w:type="dxa" w:w="3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1800"/>
      </w:tblGrid>
      <w:tr>
        <w:trPr>
          <w:tblHeader/>
        </w:trPr>
        <w:tc>
          <w:tcPr>
            <w:tcW w:type="dxa" w:w="14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7945.76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7812.06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7678.36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7631.63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7544.66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7497.93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7410.96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7364.23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7277.26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7143.56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7009.86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E7D32"/>
          <w:sz w:val="24"/>
          <w:szCs w:val="24"/>
        </w:rPr>
        <w:t xml:space="preserve">Monthly pivots (June)</w:t>
      </w:r>
    </w:p>
    <w:tbl>
      <w:tblPr>
        <w:tblW w:type="dxa" w:w="3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1800"/>
      </w:tblGrid>
      <w:tr>
        <w:trPr>
          <w:tblHeader/>
        </w:trPr>
        <w:tc>
          <w:tcPr>
            <w:tcW w:type="dxa" w:w="14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8144.33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7948.03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7751.73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7624.47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7555.43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7428.17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7359.13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7231.87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7162.83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6966.53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6770.23</w:t>
            </w:r>
          </w:p>
        </w:tc>
      </w:tr>
    </w:tbl>
    <w:p>
      <w:pPr>
        <w:spacing w:after="100" w:line="264"/>
      </w:pPr>
      <w:r>
        <w:rPr>
          <w:b/>
          <w:bCs/>
          <w:sz w:val="20"/>
          <w:szCs w:val="20"/>
        </w:rPr>
        <w:t xml:space="preserve">Source status: </w:t>
      </w:r>
      <w:r>
        <w:rPr>
          <w:sz w:val="20"/>
          <w:szCs w:val="20"/>
        </w:rPr>
        <w:t xml:space="preserve">Prior-period H/L/C are dual-source corroborated for the daily and weekly frames (accepted, not indicative). The monthly frame uses June’s corroborated month high/low/close. </w:t>
      </w:r>
      <w:r>
        <w:rPr>
          <w:b/>
          <w:bCs/>
          <w:sz w:val="20"/>
          <w:szCs w:val="20"/>
        </w:rPr>
        <w:t xml:space="preserve">Position narrative: </w:t>
      </w:r>
      <w:r>
        <w:rPr>
          <w:sz w:val="20"/>
          <w:szCs w:val="20"/>
        </w:rPr>
        <w:t xml:space="preserve">the 7,506 close sits just above weekly P (7,498) and daily R1 (7,486), below daily R2 (7,529). Confluence zone: daily R1 (7,486), weekly P (7,498) and the round 7,500 cluster within ~0.4% form the immediate pivot band. Monthly P (7,428) aligns with the daily S1/weekly S1 support shelf near 7,410–7,428.</w:t>
      </w:r>
    </w:p>
    <w:p>
      <w:pPr>
        <w:pStyle w:val="Heading1"/>
        <w:spacing w:after="120" w:before="240"/>
      </w:pPr>
      <w:r>
        <w:rPr>
          <w:b/>
          <w:bCs/>
          <w:color w:val="B26A00"/>
          <w:sz w:val="28"/>
          <w:szCs w:val="28"/>
        </w:rPr>
        <w:t xml:space="preserve">12  Key Market Considerations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Earnings (structural driver, price-supportive). </w:t>
      </w:r>
      <w:r>
        <w:rPr>
          <w:sz w:val="20"/>
          <w:szCs w:val="20"/>
        </w:rPr>
        <w:t xml:space="preserve">Q2 2026 blended S&amp;P 500 earnings growth is tracking ~24.7% (FactSet), with ~88% of early filers beating EPS estimates. The bulk of the beat is concentrated in Micron and Nvidia; ex-chips growth is ~16.8%. Broad but chip-skewed — supportive with a concentration caveat.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Megacap catalysts (cyclical, event-driven). </w:t>
      </w:r>
      <w:r>
        <w:rPr>
          <w:sz w:val="20"/>
          <w:szCs w:val="20"/>
        </w:rPr>
        <w:t xml:space="preserve">Alphabet and Tesla report 22 July after the close; Intel 23 July. These are the first Magnificent-7 tests of AI-capex-to-profit conversion and carry outsized index weight. Flagged as the §13d Tier-1 event.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Energy / geopolitics (cyclical, reversible). </w:t>
      </w:r>
      <w:r>
        <w:rPr>
          <w:sz w:val="20"/>
          <w:szCs w:val="20"/>
        </w:rPr>
        <w:t xml:space="preserve">US–Iran strikes and Strait-of-Hormuz risk drove a mid-month oil spike (Brent above ~$89). A reported push for a 10-day ceasefire eased crude into 21 July, relieving the inflation/risk overhang. Price-negative if it re-escalates; currently easing.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Macro / rates (structural, neutral-to-negative). </w:t>
      </w:r>
      <w:r>
        <w:rPr>
          <w:sz w:val="20"/>
          <w:szCs w:val="20"/>
        </w:rPr>
        <w:t xml:space="preserve">The next FOMC is 28–29 July; the 10-year yield sits near 4.55%. Softer wholesale inflation mid-month was supportive, but higher oil is an upside inflation risk. Neutral into the meeting.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Substitution / breadth (cyclical). </w:t>
      </w:r>
      <w:r>
        <w:rPr>
          <w:sz w:val="20"/>
          <w:szCs w:val="20"/>
        </w:rPr>
        <w:t xml:space="preserve">Small caps (Russell 2000) and energy outperformed during the chip washout — a rotation signature. Breadth was thin on down days (decliners ~64%), a caution flag for the range-top.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B26A00"/>
          <w:sz w:val="28"/>
          <w:szCs w:val="28"/>
        </w:rPr>
        <w:t xml:space="preserve">13  Sentiment, News &amp; Calendar</w:t>
      </w:r>
    </w:p>
    <w:p>
      <w:pPr>
        <w:pStyle w:val="Heading2"/>
        <w:spacing w:after="80" w:before="160"/>
      </w:pPr>
      <w:r>
        <w:rPr>
          <w:b/>
          <w:bCs/>
          <w:color w:val="B26A00"/>
          <w:sz w:val="24"/>
          <w:szCs w:val="24"/>
        </w:rPr>
        <w:t xml:space="preserve">13a  Per-Article Sentiment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50"/>
        <w:gridCol w:w="720"/>
        <w:gridCol w:w="2200"/>
        <w:gridCol w:w="900"/>
        <w:gridCol w:w="1150"/>
        <w:gridCol w:w="3140"/>
      </w:tblGrid>
      <w:tr>
        <w:trPr>
          <w:tblHeader/>
        </w:trPr>
        <w:tc>
          <w:tcPr>
            <w:tcW w:type="dxa" w:w="12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72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Headline (abbrev.)</w:t>
            </w:r>
          </w:p>
        </w:tc>
        <w:tc>
          <w:tcPr>
            <w:tcW w:type="dxa" w:w="9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Class</w:t>
            </w:r>
          </w:p>
        </w:tc>
        <w:tc>
          <w:tcPr>
            <w:tcW w:type="dxa" w:w="11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Sentiment</w:t>
            </w:r>
          </w:p>
        </w:tc>
        <w:tc>
          <w:tcPr>
            <w:tcW w:type="dxa" w:w="314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Derivation quote (≤15 words)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Forbes (B. Stone)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 Jul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Tesla &amp; Alphabet headline a big S&amp;P 500 earnings week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Mixed (bearish lean)</w:t>
            </w:r>
          </w:p>
        </w:tc>
        <w:tc>
          <w:tcPr>
            <w:tcW w:type="dxa" w:w="31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“revisit to higher oil prices may weigh on overall sentiment”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heygotrade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Jul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Outlook: Alphabet &amp; Tesla test the AI rally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type="dxa" w:w="31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“Markets enter the week with a cautious tone”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 Jul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Earnings playbook: Alphabet and Tesla set to report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W w:type="dxa" w:w="31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“88% have exceeded analyst earnings expectations”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Benzinga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Jul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Will the S&amp;P 500 open up or down today?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W w:type="dxa" w:w="31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“95% probability that the index will open higher”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 (Week Ahead)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 Jul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market next week: outlook Jul 20–24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W w:type="dxa" w:w="31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“UBS hikes its year-end S&amp;P 500 target to 8,100”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Zacks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Jul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Tesla and Alphabet are part of Zacks earnings preview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W w:type="dxa" w:w="31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“off to a very good start… 82.3% beating EPS estimates”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B26A00"/>
          <w:sz w:val="24"/>
          <w:szCs w:val="24"/>
        </w:rPr>
        <w:t xml:space="preserve">13b  Aggregate Sentiment Summary</w:t>
      </w:r>
    </w:p>
    <w:p>
      <w:pPr>
        <w:spacing w:after="100" w:line="264"/>
      </w:pPr>
      <w:r>
        <w:rPr>
          <w:sz w:val="20"/>
          <w:szCs w:val="20"/>
        </w:rPr>
        <w:t xml:space="preserve">4 Bullish (1 institutional, 2 media, 1 trade press), 1 Mixed-bearish (media), 1 Mixed (trade press) = </w:t>
      </w:r>
      <w:r>
        <w:rPr>
          <w:b/>
          <w:bCs/>
          <w:sz w:val="20"/>
          <w:szCs w:val="20"/>
        </w:rPr>
        <w:t xml:space="preserve">Predominantly Bullish (tilt = +0.65)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Divergence flag: </w:t>
      </w:r>
      <w:r>
        <w:rPr>
          <w:sz w:val="20"/>
          <w:szCs w:val="20"/>
        </w:rPr>
        <w:t xml:space="preserve">sentiment is bullish while the technical regime is ranging/top-sell and price action has been corrective — a sentiment/price divergence. Given the ranging regime and the CONTRADICT cross-asset read, the technicals take precedence for the base case; sentiment supports the upside risk scenario.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Confidence: </w:t>
      </w:r>
      <w:r>
        <w:rPr>
          <w:sz w:val="20"/>
          <w:szCs w:val="20"/>
        </w:rPr>
        <w:t xml:space="preserve">computed on six articles — not low-confidence. Tilt is consumed by the §21 directional score.</w:t>
      </w:r>
    </w:p>
    <w:p>
      <w:pPr>
        <w:pStyle w:val="Heading2"/>
        <w:spacing w:after="80" w:before="160"/>
      </w:pPr>
      <w:r>
        <w:rPr>
          <w:b/>
          <w:bCs/>
          <w:color w:val="B26A00"/>
          <w:sz w:val="24"/>
          <w:szCs w:val="24"/>
        </w:rPr>
        <w:t xml:space="preserve">13c  News Calendar — Previous Period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900"/>
        <w:gridCol w:w="1900"/>
        <w:gridCol w:w="900"/>
        <w:gridCol w:w="3760"/>
      </w:tblGrid>
      <w:tr>
        <w:trPr>
          <w:tblHeader/>
        </w:trPr>
        <w:tc>
          <w:tcPr>
            <w:tcW w:type="dxa" w:w="9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Event</w:t>
            </w:r>
          </w:p>
        </w:tc>
        <w:tc>
          <w:tcPr>
            <w:tcW w:type="dxa" w:w="19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June PPI / wholesale inflation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Softer than expected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Cooling inflation supported the mid-month record push toward 7,585.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16–17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Semiconductor sell-off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TSMC capex guide; SOX bear market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Chip-led decline dragged the index ~1.6% on the week.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US–Iran strikes / oil spike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Brent &gt; $89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Energy up, tech down; risk-off close at 7,458.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9th consecutive night of strikes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Diplomatic signals midday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 slipped to 7,443 then stabilised.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B26A00"/>
          <w:sz w:val="24"/>
          <w:szCs w:val="24"/>
        </w:rPr>
        <w:t xml:space="preserve">13d  News Calendar — Upcoming Period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50"/>
        <w:gridCol w:w="1850"/>
        <w:gridCol w:w="1500"/>
        <w:gridCol w:w="850"/>
        <w:gridCol w:w="4110"/>
      </w:tblGrid>
      <w:tr>
        <w:trPr>
          <w:tblHeader/>
        </w:trPr>
        <w:tc>
          <w:tcPr>
            <w:tcW w:type="dxa" w:w="10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8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Event</w:t>
            </w:r>
          </w:p>
        </w:tc>
        <w:tc>
          <w:tcPr>
            <w:tcW w:type="dxa" w:w="15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Context</w:t>
            </w:r>
          </w:p>
        </w:tc>
        <w:tc>
          <w:tcPr>
            <w:tcW w:type="dxa" w:w="8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Impact</w:t>
            </w:r>
          </w:p>
        </w:tc>
        <w:tc>
          <w:tcPr>
            <w:tcW w:type="dxa" w:w="411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Implication (beat / miss)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 Jul (a/c)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Alphabet &amp; Tesla Q2 earnings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Mag-7 reports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Beat → tech leadership resumes, upside through 7,529–7,585; miss → range-low retest toward 7,432–7,410.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Jul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 Q2 earnings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Chip-sector read-through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Confirms or refutes the semi stabilisation.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Jul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Global flash PMIs (Jul)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Growth pulse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 PMIs support risk; weak prints add caution.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28–29 Jul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FOMC meeting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Rates on hold expected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Hawkish surprise pressures multiples; dovish tone supports.</w:t>
            </w:r>
          </w:p>
        </w:tc>
      </w:tr>
    </w:tbl>
    <w:p>
      <w:pPr>
        <w:spacing w:after="100" w:line="264"/>
      </w:pPr>
      <w:r>
        <w:rPr>
          <w:b/>
          <w:bCs/>
          <w:color w:val="C00000"/>
          <w:sz w:val="20"/>
          <w:szCs w:val="20"/>
        </w:rPr>
        <w:t xml:space="preserve">Highest-impact upcoming event: </w:t>
      </w:r>
      <w:r>
        <w:rPr>
          <w:b/>
          <w:bCs/>
          <w:sz w:val="20"/>
          <w:szCs w:val="20"/>
        </w:rPr>
        <w:t xml:space="preserve">Alphabet &amp; Tesla earnings (22 Jul, after close). </w:t>
      </w:r>
      <w:r>
        <w:rPr>
          <w:sz w:val="20"/>
          <w:szCs w:val="20"/>
        </w:rPr>
        <w:t xml:space="preserve">A clear beat with constructive AI-capex commentary would flip the near-term view bullish and likely resolve the range to the upside; a disappointment would validate the top-sell bias and target the 7,432–7,410 support shelf.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B26A00"/>
          <w:sz w:val="28"/>
          <w:szCs w:val="28"/>
        </w:rPr>
        <w:t xml:space="preserve">14  Macro Context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Rates &amp; policy: </w:t>
      </w:r>
      <w:r>
        <w:rPr>
          <w:sz w:val="20"/>
          <w:szCs w:val="20"/>
        </w:rPr>
        <w:t xml:space="preserve">Fed funds at 3.75%; FOMC 28–29 Jul. 10-year ~4.55%. Cross-referencing the §10 VIX read (falling), the options market is not pricing meeting risk aggressively — supportive short-term, but the meeting is a §13d watch item.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Inflation: </w:t>
      </w:r>
      <w:r>
        <w:rPr>
          <w:sz w:val="20"/>
          <w:szCs w:val="20"/>
        </w:rPr>
        <w:t xml:space="preserve">Softer June wholesale inflation was equity-supportive; the mid-month oil spike is the main upside inflation risk. Net neutral into the FOMC.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Liquidity &amp; FX: </w:t>
      </w:r>
      <w:r>
        <w:rPr>
          <w:sz w:val="20"/>
          <w:szCs w:val="20"/>
        </w:rPr>
        <w:t xml:space="preserve">Per §10, USDX is firmer — a mild multinational-earnings headwind and a tightening-of-conditions signal. Not yet at a level that overrides earnings-season support.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Energy: </w:t>
      </w:r>
      <w:r>
        <w:rPr>
          <w:sz w:val="20"/>
          <w:szCs w:val="20"/>
        </w:rPr>
        <w:t xml:space="preserve">Crude eased into 21 Jul on ceasefire hopes after the mid-month spike; a re-escalation is the clearest exogenous downside catalyst for the index.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Positioning / volatility: </w:t>
      </w:r>
      <w:r>
        <w:rPr>
          <w:sz w:val="20"/>
          <w:szCs w:val="20"/>
        </w:rPr>
        <w:t xml:space="preserve">VIX in the 17–19 area (not elevated by the &gt;20 threshold); thin breadth on down days signals a market leaning on a narrow set of leaders. Watch item: FOMC and megacap earnings could expand realised volatility quickly.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15  Bull / Bear Balance</w:t>
      </w:r>
    </w:p>
    <w:p>
      <w:pPr>
        <w:pStyle w:val="Heading2"/>
        <w:spacing w:after="80" w:before="160"/>
      </w:pPr>
      <w:r>
        <w:rPr>
          <w:b/>
          <w:bCs/>
          <w:color w:val="2E7D32"/>
          <w:sz w:val="24"/>
          <w:szCs w:val="24"/>
        </w:rPr>
        <w:t xml:space="preserve">Upside risks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Megacap earnings beats (Alphabet/Tesla, 22 Jul) with constructive AI-capex commentary — the §13d Tier-1 catalyst — could resolve the range up through daily R2 (7,529) toward the 7,585 swing high.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Cross-asset risk-on (VIX falling, DAX rising — §10/§11) and a bullish sentiment tilt (+0.65) support a bounce from the range low.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Cooling inflation and a stabilising semiconductor complex would restore breadth.</w:t>
      </w:r>
    </w:p>
    <w:p>
      <w:pPr>
        <w:pStyle w:val="Heading2"/>
        <w:spacing w:after="80" w:before="160"/>
      </w:pPr>
      <w:r>
        <w:rPr>
          <w:b/>
          <w:bCs/>
          <w:color w:val="AD1457"/>
          <w:sz w:val="24"/>
          <w:szCs w:val="24"/>
        </w:rPr>
        <w:t xml:space="preserve">Downside risks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Ranging/top-sell regime (§9): the close at the 72nd percentile of the range with negative directional persistence favours a fade back toward the range mid.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Semiconductor fragility and thin breadth — a renewed chip sell-off pulls the index back to the 7,432–7,410 support shelf (daily S1 / weekly S1 / monthly P confluence, §11).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Oil / Iran re-escalation reintroduces the inflation-and-risk premium that drove the 17 Jul sell-off.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16  Forward View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Base case (next 5 sessions): </w:t>
      </w:r>
      <w:r>
        <w:rPr>
          <w:sz w:val="20"/>
          <w:szCs w:val="20"/>
        </w:rPr>
        <w:t xml:space="preserve">range-bound with a modest recovery bias off the 21 July reversal, trading roughly 7,432–7,585, pivoting on the 22 July megacap earnings (§13d). This respects the §9 Ranging regime — it does not assert a new uptrend. Directionally, the index is more likely to oscillate within the range than to break decisively until earnings and the FOMC clear.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Invalidation: </w:t>
      </w:r>
      <w:r>
        <w:rPr>
          <w:sz w:val="20"/>
          <w:szCs w:val="20"/>
        </w:rPr>
        <w:t xml:space="preserve">a daily close below 7,410 (weekly S1 / monthly-P shelf) breaks the range-low support and opens 7,364–7,346; a daily close above 7,585 with breadth negates the top-sell bias and confirms an upside range resolution. The bullish sentiment tilt (§13b) leans with the upside scenario, but the cross-asset CONTRADICT and ranging regime keep the base case balanced — flagged, not resolved.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17  Forecast (one sentence)</w:t>
      </w:r>
    </w:p>
    <w:p>
      <w:pPr>
        <w:spacing w:after="100" w:line="264"/>
      </w:pPr>
      <w:r>
        <w:rPr>
          <w:i/>
          <w:iCs/>
          <w:sz w:val="22"/>
          <w:szCs w:val="22"/>
        </w:rPr>
        <w:t xml:space="preserve">Within a ranging, top-sell medium-term regime, the S&amp;P 500 is expected to consolidate in the 7,432–7,585 band over the next five sessions with a mild recovery bias off the 21 July reversal, its direction gated by the 22 July Alphabet and Tesla earnings.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18  Final Analyst Judgement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Consensus price call: </w:t>
      </w:r>
      <w:r>
        <w:rPr>
          <w:sz w:val="20"/>
          <w:szCs w:val="20"/>
        </w:rPr>
        <w:t xml:space="preserve">7,506.47 (Tue 21 Jul close), confidence Medium, tone balanced-to-cautious.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Three most important reasons: </w:t>
      </w:r>
      <w:r>
        <w:rPr>
          <w:sz w:val="20"/>
          <w:szCs w:val="20"/>
        </w:rPr>
        <w:t xml:space="preserve">(1) the 25-session tape is ranging with a top-sell bias and low Kaufman efficiency; (2) a strong 21 July reversal bar plus bullish sentiment and risk-on counters argue for a bounce, but not a confirmed trend; (3) the outcome hinges on megacap earnings that have not yet printed.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Single watch item: </w:t>
      </w:r>
      <w:r>
        <w:rPr>
          <w:sz w:val="20"/>
          <w:szCs w:val="20"/>
        </w:rPr>
        <w:t xml:space="preserve">Alphabet and Tesla Q2 earnings after the 22 July close.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19  Source Discipline Note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Live vs indicative: all five session closes are exchange-official and dual-source corroborated (accepted, not indicative). Intraday High/Low are corroborated via official day-range plus scaled ETF shape; none are single-source-only for pivot inputs.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Pivot corroboration: daily and weekly prior-period H/L/C are corroborated (not flagged indicative); therefore the §21 pivot trade is not suppressed on corroboration grounds. Monthly frame uses corroborated June range.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Data gaps / assumptions: derived CFD index feeds were excluded from close corroboration because their absolute level diverged ~86 pts from the official cash close. Counter levels (USDX, VIX, DAX) are used directionally only.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Per the run instruction, corroboration tolerance was applied normally; no strategy was suppressed for want of corroboration.</w:t>
      </w:r>
    </w:p>
    <w:p>
      <w:pPr>
        <w:pStyle w:val="Heading1"/>
        <w:spacing w:after="120" w:before="240"/>
      </w:pPr>
      <w:r>
        <w:rPr>
          <w:b/>
          <w:bCs/>
          <w:color w:val="B26A00"/>
          <w:sz w:val="28"/>
          <w:szCs w:val="28"/>
        </w:rPr>
        <w:t xml:space="preserve">20  Agent Log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Instruments resolved: S&amp;P 500 cash (^GSPC) primary; USDX, VIX, DAX 40 counters. Primary closes corroborated across S&amp;P Dow Jones (FRED), Yahoo ^GSPC, CNBC live blogs and Benzinga within ±0.10-pt tolerance.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Validation method: two-source corroboration on closes; official day-range plus scaled ETF intraday for High/Low; CFD/derived feeds excluded.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Sentiment derivation: six articles, source-class weighted per methodology → numeric tilt +0.65 (Predominantly Bullish); each classification carries a ≤15-word derivation quote (§13a).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Direction-score weights: defaults (0.25 / 0.20 / 0.10 / 0.15 / 0.15 / 0.15). Score +0.03 → NEUTRAL; drivers: sentiment +0.65×0.15 = +0.10, cross-asset −0.50×0.15 = −0.075, Kaufman +0.06×0.15 = +0.01.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color w:val="C00000"/>
          <w:sz w:val="20"/>
          <w:szCs w:val="20"/>
        </w:rPr>
        <w:t xml:space="preserve">Override logged: </w:t>
      </w:r>
      <w:r>
        <w:rPr>
          <w:sz w:val="20"/>
          <w:szCs w:val="20"/>
        </w:rPr>
        <w:t xml:space="preserve">the daily-open execution anchor was overridden from the instance default (07:00 UK, the European pre-NY window) to 00:00 UK at the user’s explicit instruction for the 22 July run. Note that the S&amp;P 500 cash session trades 14:30–21:00 UK, so a 00:00 UK anchor precedes the cash open; trade-card entries are therefore expressed as market-on-open at the overridden anchor and should be executed at the 22 July cash open. Deviation recorded here per the change-control rule.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b/>
          <w:bCs/>
          <w:sz w:val="20"/>
          <w:szCs w:val="20"/>
        </w:rPr>
        <w:t xml:space="preserve">Strategy note: </w:t>
      </w:r>
      <w:r>
        <w:rPr>
          <w:sz w:val="20"/>
          <w:szCs w:val="20"/>
        </w:rPr>
        <w:t xml:space="preserve">the directional trade cards suppress on a NEUTRAL score and an absence of confirmed breakout (regime/price reasons, not corroboration). Per the run instruction to always surface a tradeable strategy, the range-consistent Trade 3B (mean-reversion) is presented as the actionable card in §21.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Backtest: 5 sessions reconstructed at each t−1 close with no forward leakage; sentiment frozen at reconstruction date; ATR/swings/KER recomputed per session.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Anomaly: RSI2 pinned at 0 on 17–20 Jul (consecutive lower closes) then 81 on 21 Jul — expected behaviour of a 2-period RSI at a sharp reversal, not a data error.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AD1457"/>
          <w:sz w:val="28"/>
          <w:szCs w:val="28"/>
        </w:rPr>
        <w:t xml:space="preserve">21  Strategy Recommendations</w:t>
      </w:r>
    </w:p>
    <w:p>
      <w:pPr>
        <w:pStyle w:val="Heading2"/>
        <w:spacing w:after="80" w:before="160"/>
      </w:pPr>
      <w:r>
        <w:rPr>
          <w:b/>
          <w:bCs/>
          <w:color w:val="AD1457"/>
          <w:sz w:val="24"/>
          <w:szCs w:val="24"/>
        </w:rPr>
        <w:t xml:space="preserve">21a  Directional Conviction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Direction: NEUTRAL. Score: +0.03 (weights: defaults). </w:t>
      </w:r>
      <w:r>
        <w:rPr>
          <w:sz w:val="20"/>
          <w:szCs w:val="20"/>
        </w:rPr>
        <w:t xml:space="preserve">The three highest-weighted contributors are sentiment tilt (§13b) +0.65 → +0.10, cross-asset confirmation (§10) −0.50 → −0.08, and Kaufman KER (§9) +0.06 → +0.01. The short- and medium-term technical signals net to zero (short-term bearish sequence but a &gt;50 reversal RSI2; ranging medium-term). </w:t>
      </w:r>
      <w:r>
        <w:rPr>
          <w:b/>
          <w:bCs/>
          <w:sz w:val="20"/>
          <w:szCs w:val="20"/>
        </w:rPr>
        <w:t xml:space="preserve">Conflict flag: </w:t>
      </w:r>
      <w:r>
        <w:rPr>
          <w:sz w:val="20"/>
          <w:szCs w:val="20"/>
        </w:rPr>
        <w:t xml:space="preserve">the NEUTRAL score is directionally consistent with the balanced §17 forecast; no override applied. The bullish sentiment and the risk-on counters pull in opposite directions, which is why conviction does not clear the ±0.25 threshold.</w:t>
      </w:r>
    </w:p>
    <w:p>
      <w:pPr>
        <w:pStyle w:val="Heading2"/>
        <w:spacing w:after="80" w:before="160"/>
      </w:pPr>
      <w:r>
        <w:rPr>
          <w:b/>
          <w:bCs/>
          <w:color w:val="AD1457"/>
          <w:sz w:val="24"/>
          <w:szCs w:val="24"/>
        </w:rPr>
        <w:t xml:space="preserve">21b  Trade Cards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Trade 1 — Daily Directional: </w:t>
      </w:r>
      <w:r>
        <w:rPr>
          <w:color w:val="C00000"/>
          <w:sz w:val="20"/>
          <w:szCs w:val="20"/>
        </w:rPr>
        <w:t xml:space="preserve">SUPPRESSED — direction score |+0.03| below the ±0.25 conviction threshold.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Trade 2 — Pivot (regime-aware): </w:t>
      </w:r>
      <w:r>
        <w:rPr>
          <w:color w:val="C00000"/>
          <w:sz w:val="20"/>
          <w:szCs w:val="20"/>
        </w:rPr>
        <w:t xml:space="preserve">SUPPRESSED — TRANSITION/ranging tape with no confirmed breakout side; a counter-side limit would front-run the breakout trade. Pivots are corroborated (not indicative), so this is a regime suppression, not a corroboration one.</w:t>
      </w:r>
    </w:p>
    <w:p>
      <w:pPr>
        <w:spacing w:after="100" w:line="264"/>
      </w:pPr>
      <w:r>
        <w:rPr>
          <w:b/>
          <w:bCs/>
          <w:color w:val="AD1457"/>
          <w:sz w:val="20"/>
          <w:szCs w:val="20"/>
        </w:rPr>
        <w:t xml:space="preserve">Trade 3B — Mean-Reversion (range-fade) — actionable, regime-consistent: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Value (index points + native “points”)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Trade type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3 → 3B Mean-Reversion (range fade) — selected because the medium-term regime is Ranging with a top-sell bias.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BIDIRECTIONAL — analyst selects the side that price reaches first. Primary lean: SHORT the range top (top-sell bias).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Range anchors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25-session range low 7,300.9 → high 7,584.9; width 284.0 points.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SHORT entry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7,524.1 – 7,552.5 (78.6%–88.6% of range). Sell limit into the upper zone.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SHORT stop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7,556.5 — ~8 points above zone top / 10% of width inside the boundary. Risk ≈ 4–32 points depending on fill.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SHORT TP1 / TP2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TP1 7,442.9 (range mid, ~+80 pts); TP2 7,329.3 (opposite side −10%). Runner beyond on a range break.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LONG entry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7,333.3 – 7,361.7 (11.4%–21.4% of range). Buy limit into the lower zone.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LONG stop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7,329.3 — 10% of width inside the lower boundary.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LONG TP1 / TP2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TP1 7,442.9 (range mid); TP2 7,556.5 (opposite side −10%).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Tranche management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equal units; Unit 1 → range mid, Unit 2 → opposite-side −10%, Unit 3 runner; on Unit 2 fill, Unit 3 SL → mid ± 0.05 × width.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 zone overlaps daily R2 (7,529) and the 15 Jul swing high (7,585) — strong confluence. LONG zone overlaps daily/weekly S3 (7,346/7,364) — supportive.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close outside the range in the faded direction (below 7,300.9 for shorts; above 7,584.9 for longs).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Holding period collides with the §13d Tier-1 Alphabet/Tesla earnings (22 Jul, after close) — reduce size or stand aside into the print; NEUTRAL directional score (low conviction); entry executed at the overridden 00:00 UK anchor / 22 Jul cash open.</w:t>
            </w:r>
          </w:p>
        </w:tc>
      </w:tr>
    </w:tbl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All levels in index points; native unit is “points” (tick size 0.01). This card fades range extremes and is the regime-appropriate strategy while directional conviction is NEUTRAL. Manage around the 22 July earnings catalyst.</w:t>
      </w:r>
    </w:p>
    <w:p>
      <w:pPr>
        <w:pStyle w:val="Heading2"/>
        <w:spacing w:after="80" w:before="160"/>
      </w:pPr>
      <w:r>
        <w:rPr>
          <w:b/>
          <w:bCs/>
          <w:color w:val="AD1457"/>
          <w:sz w:val="24"/>
          <w:szCs w:val="24"/>
        </w:rPr>
        <w:t xml:space="preserve">21c  5-Session No-Leakage Backtest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2000"/>
        <w:gridCol w:w="1300"/>
        <w:gridCol w:w="1250"/>
        <w:gridCol w:w="1250"/>
        <w:gridCol w:w="1860"/>
      </w:tblGrid>
      <w:tr>
        <w:trPr>
          <w:tblHeader/>
        </w:trPr>
        <w:tc>
          <w:tcPr>
            <w:tcW w:type="dxa" w:w="17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20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130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12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Triggered</w:t>
            </w:r>
          </w:p>
        </w:tc>
        <w:tc>
          <w:tcPr>
            <w:tcW w:type="dxa" w:w="12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86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Days to resolution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 14 Jul (t−5)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3B range-fade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−1.0R</w:t>
            </w:r>
          </w:p>
        </w:tc>
        <w:tc>
          <w:tcPr>
            <w:tcW w:type="dxa" w:w="1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Wed 15 Jul (t−4)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3B range-fade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−1.0R</w:t>
            </w:r>
          </w:p>
        </w:tc>
        <w:tc>
          <w:tcPr>
            <w:tcW w:type="dxa" w:w="1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Thu 16 Jul (t−3)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3B range-fade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+0.0R (open)</w:t>
            </w:r>
          </w:p>
        </w:tc>
        <w:tc>
          <w:tcPr>
            <w:tcW w:type="dxa" w:w="1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5+ (open)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Fri 17 Jul (t−2)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3B range-fade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 20 Jul (t−1)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3B range-fade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AD1457"/>
          <w:sz w:val="24"/>
          <w:szCs w:val="24"/>
        </w:rPr>
        <w:t xml:space="preserve">21d  “What Is Working” Aggregate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Trade 3B over the last 5 sessions: </w:t>
      </w:r>
      <w:r>
        <w:rPr>
          <w:sz w:val="20"/>
          <w:szCs w:val="20"/>
        </w:rPr>
        <w:t xml:space="preserve">triggered 3/5, mean R = −0.67, hit rates TP1/TP2/TP3 = 0% / 0% / 0% (one position open). Fading the range top was premature while the index was still pressing mid-July highs — the two clean triggers were stopped out before the top-sell bias asserted. Strongest performer: none (no closed winners). Weakest performer: Trade 3B (the only strategy with triggers). </w:t>
      </w:r>
      <w:r>
        <w:rPr>
          <w:b/>
          <w:bCs/>
          <w:sz w:val="20"/>
          <w:szCs w:val="20"/>
        </w:rPr>
        <w:t xml:space="preserve">Limitations: </w:t>
      </w:r>
      <w:r>
        <w:rPr>
          <w:sz w:val="20"/>
          <w:szCs w:val="20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S&amp;P 500 Daily Report │ 22 July 2026 │ Senior US Equity Strategist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903178ada7821dae10715ef6d435f991893b22.png"/><Relationship Id="rId9" Type="http://schemas.openxmlformats.org/officeDocument/2006/relationships/image" Target="media/154549d9720eebb47e5955d63df53cc388649171.png"/><Relationship Id="rId10" Type="http://schemas.openxmlformats.org/officeDocument/2006/relationships/image" Target="media/4e31c0362fd7b627f430418f5ea523f905af1234.png"/><Relationship Id="rId11" Type="http://schemas.openxmlformats.org/officeDocument/2006/relationships/image" Target="media/4ee795d37f03e619bfcae54231db115e677dbefe.png"/><Relationship Id="rId12" Type="http://schemas.openxmlformats.org/officeDocument/2006/relationships/image" Target="media/3279766427b41b9a254de14de0e02c4510f363c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S&amp;P 500 Report — Daily: 22 July 2026</dc:title>
  <dc:creator>Senior US Equity Strategist</dc:creator>
  <cp:lastModifiedBy>Un-named</cp:lastModifiedBy>
  <cp:revision>1</cp:revision>
  <dcterms:created xsi:type="dcterms:W3CDTF">2026-07-21T21:49:46.174Z</dcterms:created>
  <dcterms:modified xsi:type="dcterms:W3CDTF">2026-07-21T21:49:46.187Z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