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0"/>
          <w:szCs w:val="40"/>
        </w:rPr>
        <w:t xml:space="preserve">S&amp;P 500 Report — Daily: 22 May 2026</w:t>
      </w:r>
    </w:p>
    <w:p>
      <w:pPr>
        <w:spacing w:after="40"/>
      </w:pPr>
      <w:r>
        <w:rPr>
          <w:color w:val="555555"/>
          <w:sz w:val="22"/>
          <w:szCs w:val="22"/>
        </w:rPr>
        <w:t xml:space="preserve">With reference to: USDX · VIX · DAX 40</w:t>
      </w:r>
    </w:p>
    <w:p>
      <w:pPr>
        <w:pBdr>
          <w:bottom w:val="single" w:color="1F3A5F" w:sz="6" w:space="4"/>
        </w:pBdr>
        <w:spacing w:after="200"/>
      </w:pPr>
      <w:r>
        <w:rPr>
          <w:i/>
          <w:iCs/>
          <w:color w:val="555555"/>
          <w:sz w:val="19"/>
          <w:szCs w:val="19"/>
        </w:rPr>
        <w:t xml:space="preserve">Senior US Equity Strategist  ·  Trading and risk review (forward-test)  ·  Prepared for the European pre-open, anchor 00:00 UK</w:t>
      </w:r>
    </w:p>
    <w:p>
      <w:pPr>
        <w:spacing w:after="120"/>
      </w:pPr>
      <w:r>
        <w:rPr>
          <w:b/>
          <w:bCs/>
          <w:color w:val="1F3A5F"/>
          <w:sz w:val="26"/>
          <w:szCs w:val="26"/>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Executive Snapshot</w:t>
      </w:r>
    </w:p>
    <w:p>
      <w:pPr>
        <w:spacing w:after="120"/>
      </w:pPr>
      <w:r>
        <w:t xml:space="preserve">The S&amp;P 500 cash index is assessed at a consensus level of 7,400 index points as of the 21 May 2026 close, the reference point for this 22 May 2026 daily report. Market tone is balanced with a mild defensive tilt. Three drivers dominate the current picture: a back-up in long-dated US Treasury yields toward multi-month highs that has compressed equity risk appetite; a sharp swing in crude oil — first higher on Middle East supply fear, then a steep reversal as a possible Iran de-escalation emerged — that has whipsawed the inflation narrative; and a muted reaction to Nvidia's first-quarter earnings, where an in-line-to-soft forward guide failed to re-ignite the AI-leadership trade. The short-term technical state is Transitional with a bearish lean: three consecutive lower closes into 19 May were followed by a strong 20 May rebound and a softer, indecisive 21 May session. The medium-term 25-session regime is Transitional — directional persistence and overlap are both mid-band, and the index sits in the upper third of its five-week range after pulling back from the 14 May record close of 7,501.24 (intraday 7,517.12). The Kaufman Efficiency Ratio classifies the medium-term path as Trending Up — Moderate (+0.20), which sits in tension with the softer short-term tape and is flagged as a mixed signal. The single most important watch item is the upcoming US core PCE inflation print, the highest-impact scheduled release inside the five-day horizon (see §13d).</w:t>
      </w:r>
    </w:p>
    <w:tbl>
      <w:tblPr>
        <w:tblW w:type="dxa" w:w="9360"/>
        <w:tblBorders>
          <w:top w:val="single" w:color="1F3A5F" w:sz="4"/>
          <w:left w:val="single" w:color="1F3A5F" w:sz="4"/>
          <w:bottom w:val="single" w:color="1F3A5F" w:sz="4"/>
          <w:right w:val="single" w:color="1F3A5F" w:sz="4"/>
          <w:insideH w:val="single" w:color="auto" w:sz="4"/>
          <w:insideV w:val="single" w:color="auto" w:sz="4"/>
        </w:tblBorders>
      </w:tblPr>
      <w:tblGrid>
        <w:gridCol w:w="9360"/>
      </w:tblGrid>
      <w:tr>
        <w:tc>
          <w:tcPr>
            <w:tcW w:type="dxa" w:w="9360"/>
            <w:shd w:fill="EAF0F6" w:val="clear"/>
            <w:tcMar>
              <w:top w:type="dxa" w:w="120"/>
              <w:left w:type="dxa" w:w="160"/>
              <w:bottom w:type="dxa" w:w="120"/>
              <w:right w:type="dxa" w:w="160"/>
            </w:tcMar>
          </w:tcPr>
          <w:p>
            <w:pPr>
              <w:spacing w:after="0"/>
            </w:pPr>
            <w:r>
              <w:rPr>
                <w:b/>
                <w:bCs/>
              </w:rPr>
              <w:t xml:space="preserve">Directional conviction (see §21): </w:t>
            </w:r>
            <w:r>
              <w:t xml:space="preserve">Direction score −0.22 — magnitude below the conviction threshold, so the daily directional trade is suppressed. Trade 2 (pivot) and Trade 3 (regime-driven) proceed. The regime label resolves to TRANSITION; the active complex variant is the momentum-breakout (3C).</w:t>
            </w:r>
          </w:p>
        </w:tc>
      </w:tr>
    </w:tbl>
    <w:p>
      <w:pPr>
        <w:pStyle w:val="Heading1"/>
      </w:pPr>
      <w:r>
        <w:t xml:space="preserve">2.  Market Definition</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760"/>
      </w:tblGrid>
      <w:tr>
        <w:trPr>
          <w:tblHeader/>
        </w:trPr>
        <w:tc>
          <w:tcPr>
            <w:tcW w:type="dxa" w:w="2600"/>
            <w:shd w:fill="1F3A5F" w:val="clear"/>
            <w:tcMar>
              <w:top w:type="dxa" w:w="60"/>
              <w:left w:type="dxa" w:w="100"/>
              <w:bottom w:type="dxa" w:w="60"/>
              <w:right w:type="dxa" w:w="100"/>
            </w:tcMar>
          </w:tcPr>
          <w:p>
            <w:pPr>
              <w:spacing w:after="0"/>
              <w:jc w:val="left"/>
            </w:pPr>
            <w:r>
              <w:rPr>
                <w:b/>
                <w:bCs/>
                <w:color w:val="FFFFFF"/>
                <w:sz w:val="18"/>
                <w:szCs w:val="18"/>
              </w:rPr>
              <w:t xml:space="preserve">Field</w:t>
            </w:r>
          </w:p>
        </w:tc>
        <w:tc>
          <w:tcPr>
            <w:tcW w:type="dxa" w:w="6760"/>
            <w:shd w:fill="1F3A5F" w:val="clear"/>
            <w:tcMar>
              <w:top w:type="dxa" w:w="60"/>
              <w:left w:type="dxa" w:w="100"/>
              <w:bottom w:type="dxa" w:w="60"/>
              <w:right w:type="dxa" w:w="100"/>
            </w:tcMar>
          </w:tcPr>
          <w:p>
            <w:pPr>
              <w:spacing w:after="0"/>
              <w:jc w:val="left"/>
            </w:pPr>
            <w:r>
              <w:rPr>
                <w:b/>
                <w:bCs/>
                <w:color w:val="FFFFFF"/>
                <w:sz w:val="18"/>
                <w:szCs w:val="18"/>
              </w:rPr>
              <w:t xml:space="preserve">Definition</w:t>
            </w:r>
          </w:p>
        </w:tc>
      </w:tr>
      <w:tr>
        <w:trPr>
          <w:tblHeader w:val="false"/>
        </w:trPr>
        <w:tc>
          <w:tcPr>
            <w:tcW w:type="dxa" w:w="2600"/>
            <w:tcMar>
              <w:top w:type="dxa" w:w="60"/>
              <w:left w:type="dxa" w:w="100"/>
              <w:bottom w:type="dxa" w:w="60"/>
              <w:right w:type="dxa" w:w="100"/>
            </w:tcMar>
          </w:tcPr>
          <w:p>
            <w:pPr>
              <w:spacing w:after="0"/>
              <w:jc w:val="left"/>
            </w:pPr>
            <w:r>
              <w:rPr>
                <w:b/>
                <w:bCs/>
                <w:sz w:val="18"/>
                <w:szCs w:val="18"/>
              </w:rPr>
              <w:t xml:space="preserve">Asset</w:t>
            </w:r>
          </w:p>
        </w:tc>
        <w:tc>
          <w:tcPr>
            <w:tcW w:type="dxa" w:w="6760"/>
            <w:tcMar>
              <w:top w:type="dxa" w:w="60"/>
              <w:left w:type="dxa" w:w="100"/>
              <w:bottom w:type="dxa" w:w="60"/>
              <w:right w:type="dxa" w:w="100"/>
            </w:tcMar>
          </w:tcPr>
          <w:p>
            <w:pPr>
              <w:spacing w:after="0"/>
              <w:jc w:val="left"/>
            </w:pPr>
            <w:r>
              <w:rPr>
                <w:sz w:val="18"/>
                <w:szCs w:val="18"/>
              </w:rPr>
              <w:t xml:space="preserve">S&amp;P 500 cash index (^GSPC) — large-cap US equity benchmark, 503 constituents</w:t>
            </w:r>
          </w:p>
        </w:tc>
      </w:tr>
      <w:tr>
        <w:trPr>
          <w:tblHeader w:val="false"/>
        </w:trPr>
        <w:tc>
          <w:tcPr>
            <w:tcW w:type="dxa" w:w="2600"/>
            <w:shd w:fill="F2F2F2" w:val="clear"/>
            <w:tcMar>
              <w:top w:type="dxa" w:w="60"/>
              <w:left w:type="dxa" w:w="100"/>
              <w:bottom w:type="dxa" w:w="60"/>
              <w:right w:type="dxa" w:w="100"/>
            </w:tcMar>
          </w:tcPr>
          <w:p>
            <w:pPr>
              <w:spacing w:after="0"/>
              <w:jc w:val="left"/>
            </w:pPr>
            <w:r>
              <w:rPr>
                <w:b/>
                <w:bCs/>
                <w:sz w:val="18"/>
                <w:szCs w:val="18"/>
              </w:rPr>
              <w:t xml:space="preserve">Specification</w:t>
            </w:r>
          </w:p>
        </w:tc>
        <w:tc>
          <w:tcPr>
            <w:tcW w:type="dxa" w:w="6760"/>
            <w:shd w:fill="F2F2F2" w:val="clear"/>
            <w:tcMar>
              <w:top w:type="dxa" w:w="60"/>
              <w:left w:type="dxa" w:w="100"/>
              <w:bottom w:type="dxa" w:w="60"/>
              <w:right w:type="dxa" w:w="100"/>
            </w:tcMar>
          </w:tcPr>
          <w:p>
            <w:pPr>
              <w:spacing w:after="0"/>
              <w:jc w:val="left"/>
            </w:pPr>
            <w:r>
              <w:rPr>
                <w:sz w:val="18"/>
                <w:szCs w:val="18"/>
              </w:rPr>
              <w:t xml:space="preserve">Standardised index methodology; rebalanced quarterly by S&amp;P Dow Jones Indices</w:t>
            </w:r>
          </w:p>
        </w:tc>
      </w:tr>
      <w:tr>
        <w:trPr>
          <w:tblHeader w:val="false"/>
        </w:trPr>
        <w:tc>
          <w:tcPr>
            <w:tcW w:type="dxa" w:w="2600"/>
            <w:tcMar>
              <w:top w:type="dxa" w:w="60"/>
              <w:left w:type="dxa" w:w="100"/>
              <w:bottom w:type="dxa" w:w="60"/>
              <w:right w:type="dxa" w:w="100"/>
            </w:tcMar>
          </w:tcPr>
          <w:p>
            <w:pPr>
              <w:spacing w:after="0"/>
              <w:jc w:val="left"/>
            </w:pPr>
            <w:r>
              <w:rPr>
                <w:b/>
                <w:bCs/>
                <w:sz w:val="18"/>
                <w:szCs w:val="18"/>
              </w:rPr>
              <w:t xml:space="preserve">Scope</w:t>
            </w:r>
          </w:p>
        </w:tc>
        <w:tc>
          <w:tcPr>
            <w:tcW w:type="dxa" w:w="6760"/>
            <w:tcMar>
              <w:top w:type="dxa" w:w="60"/>
              <w:left w:type="dxa" w:w="100"/>
              <w:bottom w:type="dxa" w:w="60"/>
              <w:right w:type="dxa" w:w="100"/>
            </w:tcMar>
          </w:tcPr>
          <w:p>
            <w:pPr>
              <w:spacing w:after="0"/>
              <w:jc w:val="left"/>
            </w:pPr>
            <w:r>
              <w:rPr>
                <w:sz w:val="18"/>
                <w:szCs w:val="18"/>
              </w:rPr>
              <w:t xml:space="preserve">Global / US — headline US benchmark with a global investor base</w:t>
            </w:r>
          </w:p>
        </w:tc>
      </w:tr>
      <w:tr>
        <w:trPr>
          <w:tblHeader w:val="false"/>
        </w:trPr>
        <w:tc>
          <w:tcPr>
            <w:tcW w:type="dxa" w:w="2600"/>
            <w:shd w:fill="F2F2F2" w:val="clear"/>
            <w:tcMar>
              <w:top w:type="dxa" w:w="60"/>
              <w:left w:type="dxa" w:w="100"/>
              <w:bottom w:type="dxa" w:w="60"/>
              <w:right w:type="dxa" w:w="100"/>
            </w:tcMar>
          </w:tcPr>
          <w:p>
            <w:pPr>
              <w:spacing w:after="0"/>
              <w:jc w:val="left"/>
            </w:pPr>
            <w:r>
              <w:rPr>
                <w:b/>
                <w:bCs/>
                <w:sz w:val="18"/>
                <w:szCs w:val="18"/>
              </w:rPr>
              <w:t xml:space="preserve">Delivery basis</w:t>
            </w:r>
          </w:p>
        </w:tc>
        <w:tc>
          <w:tcPr>
            <w:tcW w:type="dxa" w:w="6760"/>
            <w:shd w:fill="F2F2F2" w:val="clear"/>
            <w:tcMar>
              <w:top w:type="dxa" w:w="60"/>
              <w:left w:type="dxa" w:w="100"/>
              <w:bottom w:type="dxa" w:w="60"/>
              <w:right w:type="dxa" w:w="100"/>
            </w:tcMar>
          </w:tcPr>
          <w:p>
            <w:pPr>
              <w:spacing w:after="0"/>
              <w:jc w:val="left"/>
            </w:pPr>
            <w:r>
              <w:rPr>
                <w:sz w:val="18"/>
                <w:szCs w:val="18"/>
              </w:rPr>
              <w:t xml:space="preserve">NYSE/NASDAQ regular cash session 09:30–16:00 ET; pre-/after-market excluded from OHLC</w:t>
            </w:r>
          </w:p>
        </w:tc>
      </w:tr>
      <w:tr>
        <w:trPr>
          <w:tblHeader w:val="false"/>
        </w:trPr>
        <w:tc>
          <w:tcPr>
            <w:tcW w:type="dxa" w:w="2600"/>
            <w:tcMar>
              <w:top w:type="dxa" w:w="60"/>
              <w:left w:type="dxa" w:w="100"/>
              <w:bottom w:type="dxa" w:w="60"/>
              <w:right w:type="dxa" w:w="100"/>
            </w:tcMar>
          </w:tcPr>
          <w:p>
            <w:pPr>
              <w:spacing w:after="0"/>
              <w:jc w:val="left"/>
            </w:pPr>
            <w:r>
              <w:rPr>
                <w:b/>
                <w:bCs/>
                <w:sz w:val="18"/>
                <w:szCs w:val="18"/>
              </w:rPr>
              <w:t xml:space="preserve">Price basis</w:t>
            </w:r>
          </w:p>
        </w:tc>
        <w:tc>
          <w:tcPr>
            <w:tcW w:type="dxa" w:w="6760"/>
            <w:tcMar>
              <w:top w:type="dxa" w:w="60"/>
              <w:left w:type="dxa" w:w="100"/>
              <w:bottom w:type="dxa" w:w="60"/>
              <w:right w:type="dxa" w:w="100"/>
            </w:tcMar>
          </w:tcPr>
          <w:p>
            <w:pPr>
              <w:spacing w:after="0"/>
              <w:jc w:val="left"/>
            </w:pPr>
            <w:r>
              <w:rPr>
                <w:sz w:val="18"/>
                <w:szCs w:val="18"/>
              </w:rPr>
              <w:t xml:space="preserve">Cash index level (continuous), calculated during NYSE/NASDAQ trading hours</w:t>
            </w:r>
          </w:p>
        </w:tc>
      </w:tr>
      <w:tr>
        <w:trPr>
          <w:tblHeader w:val="false"/>
        </w:trPr>
        <w:tc>
          <w:tcPr>
            <w:tcW w:type="dxa" w:w="2600"/>
            <w:shd w:fill="F2F2F2" w:val="clear"/>
            <w:tcMar>
              <w:top w:type="dxa" w:w="60"/>
              <w:left w:type="dxa" w:w="100"/>
              <w:bottom w:type="dxa" w:w="60"/>
              <w:right w:type="dxa" w:w="100"/>
            </w:tcMar>
          </w:tcPr>
          <w:p>
            <w:pPr>
              <w:spacing w:after="0"/>
              <w:jc w:val="left"/>
            </w:pPr>
            <w:r>
              <w:rPr>
                <w:b/>
                <w:bCs/>
                <w:sz w:val="18"/>
                <w:szCs w:val="18"/>
              </w:rPr>
              <w:t xml:space="preserve">Unit / currency</w:t>
            </w:r>
          </w:p>
        </w:tc>
        <w:tc>
          <w:tcPr>
            <w:tcW w:type="dxa" w:w="6760"/>
            <w:shd w:fill="F2F2F2" w:val="clear"/>
            <w:tcMar>
              <w:top w:type="dxa" w:w="60"/>
              <w:left w:type="dxa" w:w="100"/>
              <w:bottom w:type="dxa" w:w="60"/>
              <w:right w:type="dxa" w:w="100"/>
            </w:tcMar>
          </w:tcPr>
          <w:p>
            <w:pPr>
              <w:spacing w:after="0"/>
              <w:jc w:val="left"/>
            </w:pPr>
            <w:r>
              <w:rPr>
                <w:sz w:val="18"/>
                <w:szCs w:val="18"/>
              </w:rPr>
              <w:t xml:space="preserve">Index points · USD · tick precision 0.01</w:t>
            </w:r>
          </w:p>
        </w:tc>
      </w:tr>
      <w:tr>
        <w:trPr>
          <w:tblHeader w:val="false"/>
        </w:trPr>
        <w:tc>
          <w:tcPr>
            <w:tcW w:type="dxa" w:w="2600"/>
            <w:tcMar>
              <w:top w:type="dxa" w:w="60"/>
              <w:left w:type="dxa" w:w="100"/>
              <w:bottom w:type="dxa" w:w="60"/>
              <w:right w:type="dxa" w:w="100"/>
            </w:tcMar>
          </w:tcPr>
          <w:p>
            <w:pPr>
              <w:spacing w:after="0"/>
              <w:jc w:val="left"/>
            </w:pPr>
            <w:r>
              <w:rPr>
                <w:b/>
                <w:bCs/>
                <w:sz w:val="18"/>
                <w:szCs w:val="18"/>
              </w:rPr>
              <w:t xml:space="preserve">As-of date</w:t>
            </w:r>
          </w:p>
        </w:tc>
        <w:tc>
          <w:tcPr>
            <w:tcW w:type="dxa" w:w="6760"/>
            <w:tcMar>
              <w:top w:type="dxa" w:w="60"/>
              <w:left w:type="dxa" w:w="100"/>
              <w:bottom w:type="dxa" w:w="60"/>
              <w:right w:type="dxa" w:w="100"/>
            </w:tcMar>
          </w:tcPr>
          <w:p>
            <w:pPr>
              <w:spacing w:after="0"/>
              <w:jc w:val="left"/>
            </w:pPr>
            <w:r>
              <w:rPr>
                <w:sz w:val="18"/>
                <w:szCs w:val="18"/>
              </w:rPr>
              <w:t xml:space="preserve">Report date 22 May 2026; data anchored to the 21 May 2026 close (America/New_York)</w:t>
            </w:r>
          </w:p>
        </w:tc>
      </w:tr>
      <w:tr>
        <w:trPr>
          <w:tblHeader w:val="false"/>
        </w:trPr>
        <w:tc>
          <w:tcPr>
            <w:tcW w:type="dxa" w:w="2600"/>
            <w:shd w:fill="F2F2F2" w:val="clear"/>
            <w:tcMar>
              <w:top w:type="dxa" w:w="60"/>
              <w:left w:type="dxa" w:w="100"/>
              <w:bottom w:type="dxa" w:w="60"/>
              <w:right w:type="dxa" w:w="100"/>
            </w:tcMar>
          </w:tcPr>
          <w:p>
            <w:pPr>
              <w:spacing w:after="0"/>
              <w:jc w:val="left"/>
            </w:pPr>
            <w:r>
              <w:rPr>
                <w:b/>
                <w:bCs/>
                <w:sz w:val="18"/>
                <w:szCs w:val="18"/>
              </w:rPr>
              <w:t xml:space="preserve">Lookback window</w:t>
            </w:r>
          </w:p>
        </w:tc>
        <w:tc>
          <w:tcPr>
            <w:tcW w:type="dxa" w:w="6760"/>
            <w:shd w:fill="F2F2F2" w:val="clear"/>
            <w:tcMar>
              <w:top w:type="dxa" w:w="60"/>
              <w:left w:type="dxa" w:w="100"/>
              <w:bottom w:type="dxa" w:w="60"/>
              <w:right w:type="dxa" w:w="100"/>
            </w:tcMar>
          </w:tcPr>
          <w:p>
            <w:pPr>
              <w:spacing w:after="0"/>
              <w:jc w:val="left"/>
            </w:pPr>
            <w:r>
              <w:rPr>
                <w:sz w:val="18"/>
                <w:szCs w:val="18"/>
              </w:rPr>
              <w:t xml:space="preserve">5 trading sessions (execution block); 25 sessions (regime block)</w:t>
            </w:r>
          </w:p>
        </w:tc>
      </w:tr>
    </w:tbl>
    <w:p>
      <w:pPr>
        <w:spacing w:after="60"/>
      </w:pPr>
      <w:r>
        <w:t xml:space="preserve"/>
      </w:r>
    </w:p>
    <w:p>
      <w:pPr>
        <w:spacing w:after="120"/>
      </w:pPr>
      <w:r>
        <w:rPr>
          <w:i/>
          <w:iCs/>
          <w:color w:val="555555"/>
          <w:sz w:val="19"/>
          <w:szCs w:val="19"/>
        </w:rPr>
        <w:t xml:space="preserve">Note on the daily-open anchor. For this run the European pre-open anchor has been set to 00:00 UK. The standing configuration for the S&amp;P 500 cash index uses a 07:00 UK anchor, reflecting that the cash index itself trades only 14:30–21:00 UK. The 00:00 UK setting used here therefore anchors the daily directional trade to the 24-hour futures-led tape rather than to a cash-session open; this is recorded explicitly in §19 and §20 because a cash-index market order is not executable at 00:00 UK and the anchor is being read against the ES futures continuation as a proxy for that timestamp.</w:t>
      </w:r>
    </w:p>
    <w:p>
      <w:pPr>
        <w:pStyle w:val="Heading1"/>
      </w:pPr>
      <w:r>
        <w:t xml:space="preserve">3.  Consensus Price Call</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6960"/>
      </w:tblGrid>
      <w:tr>
        <w:trPr>
          <w:tblHeader/>
        </w:trPr>
        <w:tc>
          <w:tcPr>
            <w:tcW w:type="dxa" w:w="2400"/>
            <w:shd w:fill="1F3A5F" w:val="clear"/>
            <w:tcMar>
              <w:top w:type="dxa" w:w="60"/>
              <w:left w:type="dxa" w:w="100"/>
              <w:bottom w:type="dxa" w:w="60"/>
              <w:right w:type="dxa" w:w="100"/>
            </w:tcMar>
          </w:tcPr>
          <w:p>
            <w:pPr>
              <w:spacing w:after="0"/>
              <w:jc w:val="left"/>
            </w:pPr>
            <w:r>
              <w:rPr>
                <w:b/>
                <w:bCs/>
                <w:color w:val="FFFFFF"/>
                <w:sz w:val="18"/>
                <w:szCs w:val="18"/>
              </w:rPr>
              <w:t xml:space="preserve">Item</w:t>
            </w:r>
          </w:p>
        </w:tc>
        <w:tc>
          <w:tcPr>
            <w:tcW w:type="dxa" w:w="6960"/>
            <w:shd w:fill="1F3A5F" w:val="clear"/>
            <w:tcMar>
              <w:top w:type="dxa" w:w="60"/>
              <w:left w:type="dxa" w:w="100"/>
              <w:bottom w:type="dxa" w:w="60"/>
              <w:right w:type="dxa" w:w="100"/>
            </w:tcMar>
          </w:tcPr>
          <w:p>
            <w:pPr>
              <w:spacing w:after="0"/>
              <w:jc w:val="left"/>
            </w:pPr>
            <w:r>
              <w:rPr>
                <w:b/>
                <w:bCs/>
                <w:color w:val="FFFFFF"/>
                <w:sz w:val="18"/>
                <w:szCs w:val="18"/>
              </w:rPr>
              <w:t xml:space="preserve">Value</w:t>
            </w:r>
          </w:p>
        </w:tc>
      </w:tr>
      <w:tr>
        <w:trPr>
          <w:tblHeader w:val="false"/>
        </w:trPr>
        <w:tc>
          <w:tcPr>
            <w:tcW w:type="dxa" w:w="2400"/>
            <w:tcMar>
              <w:top w:type="dxa" w:w="60"/>
              <w:left w:type="dxa" w:w="100"/>
              <w:bottom w:type="dxa" w:w="60"/>
              <w:right w:type="dxa" w:w="100"/>
            </w:tcMar>
          </w:tcPr>
          <w:p>
            <w:pPr>
              <w:spacing w:after="0"/>
              <w:jc w:val="left"/>
            </w:pPr>
            <w:r>
              <w:rPr>
                <w:b/>
                <w:bCs/>
                <w:sz w:val="18"/>
                <w:szCs w:val="18"/>
              </w:rPr>
              <w:t xml:space="preserve">Consensus level</w:t>
            </w:r>
          </w:p>
        </w:tc>
        <w:tc>
          <w:tcPr>
            <w:tcW w:type="dxa" w:w="6960"/>
            <w:tcMar>
              <w:top w:type="dxa" w:w="60"/>
              <w:left w:type="dxa" w:w="100"/>
              <w:bottom w:type="dxa" w:w="60"/>
              <w:right w:type="dxa" w:w="100"/>
            </w:tcMar>
          </w:tcPr>
          <w:p>
            <w:pPr>
              <w:spacing w:after="0"/>
              <w:jc w:val="left"/>
            </w:pPr>
            <w:r>
              <w:rPr>
                <w:b/>
                <w:bCs/>
                <w:sz w:val="18"/>
                <w:szCs w:val="18"/>
              </w:rPr>
              <w:t xml:space="preserve">7,400 index points (21 May 2026 close basis)</w:t>
            </w:r>
          </w:p>
        </w:tc>
      </w:tr>
      <w:tr>
        <w:trPr>
          <w:tblHeader w:val="false"/>
        </w:trPr>
        <w:tc>
          <w:tcPr>
            <w:tcW w:type="dxa" w:w="2400"/>
            <w:shd w:fill="F2F2F2" w:val="clear"/>
            <w:tcMar>
              <w:top w:type="dxa" w:w="60"/>
              <w:left w:type="dxa" w:w="100"/>
              <w:bottom w:type="dxa" w:w="60"/>
              <w:right w:type="dxa" w:w="100"/>
            </w:tcMar>
          </w:tcPr>
          <w:p>
            <w:pPr>
              <w:spacing w:after="0"/>
              <w:jc w:val="left"/>
            </w:pPr>
            <w:r>
              <w:rPr>
                <w:b/>
                <w:bCs/>
                <w:sz w:val="18"/>
                <w:szCs w:val="18"/>
              </w:rPr>
              <w:t xml:space="preserve">Consensus range</w:t>
            </w:r>
          </w:p>
        </w:tc>
        <w:tc>
          <w:tcPr>
            <w:tcW w:type="dxa" w:w="6960"/>
            <w:shd w:fill="F2F2F2" w:val="clear"/>
            <w:tcMar>
              <w:top w:type="dxa" w:w="60"/>
              <w:left w:type="dxa" w:w="100"/>
              <w:bottom w:type="dxa" w:w="60"/>
              <w:right w:type="dxa" w:w="100"/>
            </w:tcMar>
          </w:tcPr>
          <w:p>
            <w:pPr>
              <w:spacing w:after="0"/>
              <w:jc w:val="left"/>
            </w:pPr>
            <w:r>
              <w:rPr>
                <w:sz w:val="18"/>
                <w:szCs w:val="18"/>
              </w:rPr>
              <w:t xml:space="preserve">7,388 – 7,413 index points</w:t>
            </w:r>
          </w:p>
        </w:tc>
      </w:tr>
      <w:tr>
        <w:trPr>
          <w:tblHeader w:val="false"/>
        </w:trPr>
        <w:tc>
          <w:tcPr>
            <w:tcW w:type="dxa" w:w="2400"/>
            <w:tcMar>
              <w:top w:type="dxa" w:w="60"/>
              <w:left w:type="dxa" w:w="100"/>
              <w:bottom w:type="dxa" w:w="60"/>
              <w:right w:type="dxa" w:w="100"/>
            </w:tcMar>
          </w:tcPr>
          <w:p>
            <w:pPr>
              <w:spacing w:after="0"/>
              <w:jc w:val="left"/>
            </w:pPr>
            <w:r>
              <w:rPr>
                <w:b/>
                <w:bCs/>
                <w:sz w:val="18"/>
                <w:szCs w:val="18"/>
              </w:rPr>
              <w:t xml:space="preserve">Basis</w:t>
            </w:r>
          </w:p>
        </w:tc>
        <w:tc>
          <w:tcPr>
            <w:tcW w:type="dxa" w:w="6960"/>
            <w:tcMar>
              <w:top w:type="dxa" w:w="60"/>
              <w:left w:type="dxa" w:w="100"/>
              <w:bottom w:type="dxa" w:w="60"/>
              <w:right w:type="dxa" w:w="100"/>
            </w:tcMar>
          </w:tcPr>
          <w:p>
            <w:pPr>
              <w:spacing w:after="0"/>
              <w:jc w:val="left"/>
            </w:pPr>
            <w:r>
              <w:rPr>
                <w:sz w:val="18"/>
                <w:szCs w:val="18"/>
              </w:rPr>
              <w:t xml:space="preserve">Cash index close, NYSE/NASDAQ regular session</w:t>
            </w:r>
          </w:p>
        </w:tc>
      </w:tr>
      <w:tr>
        <w:trPr>
          <w:tblHeader w:val="false"/>
        </w:trPr>
        <w:tc>
          <w:tcPr>
            <w:tcW w:type="dxa" w:w="2400"/>
            <w:shd w:fill="F2F2F2" w:val="clear"/>
            <w:tcMar>
              <w:top w:type="dxa" w:w="60"/>
              <w:left w:type="dxa" w:w="100"/>
              <w:bottom w:type="dxa" w:w="60"/>
              <w:right w:type="dxa" w:w="100"/>
            </w:tcMar>
          </w:tcPr>
          <w:p>
            <w:pPr>
              <w:spacing w:after="0"/>
              <w:jc w:val="left"/>
            </w:pPr>
            <w:r>
              <w:rPr>
                <w:b/>
                <w:bCs/>
                <w:sz w:val="18"/>
                <w:szCs w:val="18"/>
              </w:rPr>
              <w:t xml:space="preserve">Confidence</w:t>
            </w:r>
          </w:p>
        </w:tc>
        <w:tc>
          <w:tcPr>
            <w:tcW w:type="dxa" w:w="6960"/>
            <w:shd w:fill="F2F2F2" w:val="clear"/>
            <w:tcMar>
              <w:top w:type="dxa" w:w="60"/>
              <w:left w:type="dxa" w:w="100"/>
              <w:bottom w:type="dxa" w:w="60"/>
              <w:right w:type="dxa" w:w="100"/>
            </w:tcMar>
          </w:tcPr>
          <w:p>
            <w:pPr>
              <w:spacing w:after="0"/>
              <w:jc w:val="left"/>
            </w:pPr>
            <w:r>
              <w:rPr>
                <w:sz w:val="18"/>
                <w:szCs w:val="18"/>
              </w:rPr>
              <w:t xml:space="preserve">Medium — close is firmly corroborated; intraday O/H/L is single-source indicative (see §19)</w:t>
            </w:r>
          </w:p>
        </w:tc>
      </w:tr>
      <w:tr>
        <w:trPr>
          <w:tblHeader w:val="false"/>
        </w:trPr>
        <w:tc>
          <w:tcPr>
            <w:tcW w:type="dxa" w:w="2400"/>
            <w:tcMar>
              <w:top w:type="dxa" w:w="60"/>
              <w:left w:type="dxa" w:w="100"/>
              <w:bottom w:type="dxa" w:w="60"/>
              <w:right w:type="dxa" w:w="100"/>
            </w:tcMar>
          </w:tcPr>
          <w:p>
            <w:pPr>
              <w:spacing w:after="0"/>
              <w:jc w:val="left"/>
            </w:pPr>
            <w:r>
              <w:rPr>
                <w:b/>
                <w:bCs/>
                <w:sz w:val="18"/>
                <w:szCs w:val="18"/>
              </w:rPr>
              <w:t xml:space="preserve">Market tone</w:t>
            </w:r>
          </w:p>
        </w:tc>
        <w:tc>
          <w:tcPr>
            <w:tcW w:type="dxa" w:w="6960"/>
            <w:tcMar>
              <w:top w:type="dxa" w:w="60"/>
              <w:left w:type="dxa" w:w="100"/>
              <w:bottom w:type="dxa" w:w="60"/>
              <w:right w:type="dxa" w:w="100"/>
            </w:tcMar>
          </w:tcPr>
          <w:p>
            <w:pPr>
              <w:spacing w:after="0"/>
              <w:jc w:val="left"/>
            </w:pPr>
            <w:r>
              <w:rPr>
                <w:sz w:val="18"/>
                <w:szCs w:val="18"/>
              </w:rPr>
              <w:t xml:space="preserve">Balanced, mild defensive lean</w:t>
            </w:r>
          </w:p>
        </w:tc>
      </w:tr>
    </w:tbl>
    <w:p>
      <w:pPr>
        <w:spacing w:after="60"/>
      </w:pPr>
      <w:r>
        <w:t xml:space="preserve"/>
      </w:r>
    </w:p>
    <w:p>
      <w:pPr>
        <w:spacing w:after="120"/>
      </w:pPr>
      <w:r>
        <w:t xml:space="preserve">Rationale: the 21 May close is supported by multiple independent reference points clustering at 7,400 ± 13 points; the index slipped roughly 0.4% from the 20 May close of 7,432.97 as Treasury yields firmed again and the post-Nvidia tape failed to extend Wednesday's rebound. The range reflects the observed 21 May intraday band.</w:t>
      </w:r>
    </w:p>
    <w:p>
      <w:pPr>
        <w:pStyle w:val="Heading1"/>
      </w:pPr>
      <w:r>
        <w:t xml:space="preserve">4.  Price Evidence Table</w:t>
      </w:r>
    </w:p>
    <w:p>
      <w:pPr>
        <w:spacing w:after="120"/>
      </w:pPr>
      <w:r>
        <w:t xml:space="preserve">Six observations for the 21 May 2026 close basis. All quotes are index points; no FX or unit conversion applies.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500"/>
        <w:gridCol w:w="1250"/>
        <w:gridCol w:w="1500"/>
        <w:gridCol w:w="1500"/>
        <w:gridCol w:w="1500"/>
        <w:gridCol w:w="2110"/>
      </w:tblGrid>
      <w:tr>
        <w:trPr>
          <w:tblHeader/>
        </w:trPr>
        <w:tc>
          <w:tcPr>
            <w:tcW w:type="dxa" w:w="1500"/>
            <w:shd w:fill="1F3A5F" w:val="clear"/>
            <w:tcMar>
              <w:top w:type="dxa" w:w="60"/>
              <w:left w:type="dxa" w:w="100"/>
              <w:bottom w:type="dxa" w:w="60"/>
              <w:right w:type="dxa" w:w="100"/>
            </w:tcMar>
          </w:tcPr>
          <w:p>
            <w:pPr>
              <w:spacing w:after="0"/>
              <w:jc w:val="left"/>
            </w:pPr>
            <w:r>
              <w:rPr>
                <w:b/>
                <w:bCs/>
                <w:color w:val="FFFFFF"/>
                <w:sz w:val="18"/>
                <w:szCs w:val="18"/>
              </w:rPr>
              <w:t xml:space="preserve">Source</w:t>
            </w:r>
          </w:p>
        </w:tc>
        <w:tc>
          <w:tcPr>
            <w:tcW w:type="dxa" w:w="1250"/>
            <w:shd w:fill="1F3A5F" w:val="clear"/>
            <w:tcMar>
              <w:top w:type="dxa" w:w="60"/>
              <w:left w:type="dxa" w:w="100"/>
              <w:bottom w:type="dxa" w:w="60"/>
              <w:right w:type="dxa" w:w="100"/>
            </w:tcMar>
          </w:tcPr>
          <w:p>
            <w:pPr>
              <w:spacing w:after="0"/>
              <w:jc w:val="left"/>
            </w:pPr>
            <w:r>
              <w:rPr>
                <w:b/>
                <w:bCs/>
                <w:color w:val="FFFFFF"/>
                <w:sz w:val="18"/>
                <w:szCs w:val="18"/>
              </w:rPr>
              <w:t xml:space="preserve">Date/Time</w:t>
            </w:r>
          </w:p>
        </w:tc>
        <w:tc>
          <w:tcPr>
            <w:tcW w:type="dxa" w:w="1500"/>
            <w:shd w:fill="1F3A5F" w:val="clear"/>
            <w:tcMar>
              <w:top w:type="dxa" w:w="60"/>
              <w:left w:type="dxa" w:w="100"/>
              <w:bottom w:type="dxa" w:w="60"/>
              <w:right w:type="dxa" w:w="100"/>
            </w:tcMar>
          </w:tcPr>
          <w:p>
            <w:pPr>
              <w:spacing w:after="0"/>
              <w:jc w:val="left"/>
            </w:pPr>
            <w:r>
              <w:rPr>
                <w:b/>
                <w:bCs/>
                <w:color w:val="FFFFFF"/>
                <w:sz w:val="18"/>
                <w:szCs w:val="18"/>
              </w:rPr>
              <w:t xml:space="preserve">Raw quote</w:t>
            </w:r>
          </w:p>
        </w:tc>
        <w:tc>
          <w:tcPr>
            <w:tcW w:type="dxa" w:w="1500"/>
            <w:shd w:fill="1F3A5F" w:val="clear"/>
            <w:tcMar>
              <w:top w:type="dxa" w:w="60"/>
              <w:left w:type="dxa" w:w="100"/>
              <w:bottom w:type="dxa" w:w="60"/>
              <w:right w:type="dxa" w:w="100"/>
            </w:tcMar>
          </w:tcPr>
          <w:p>
            <w:pPr>
              <w:spacing w:after="0"/>
              <w:jc w:val="left"/>
            </w:pPr>
            <w:r>
              <w:rPr>
                <w:b/>
                <w:bCs/>
                <w:color w:val="FFFFFF"/>
                <w:sz w:val="18"/>
                <w:szCs w:val="18"/>
              </w:rPr>
              <w:t xml:space="preserve">Normalized</w:t>
            </w:r>
          </w:p>
        </w:tc>
        <w:tc>
          <w:tcPr>
            <w:tcW w:type="dxa" w:w="1500"/>
            <w:shd w:fill="1F3A5F" w:val="clear"/>
            <w:tcMar>
              <w:top w:type="dxa" w:w="60"/>
              <w:left w:type="dxa" w:w="100"/>
              <w:bottom w:type="dxa" w:w="60"/>
              <w:right w:type="dxa" w:w="100"/>
            </w:tcMar>
          </w:tcPr>
          <w:p>
            <w:pPr>
              <w:spacing w:after="0"/>
              <w:jc w:val="left"/>
            </w:pPr>
            <w:r>
              <w:rPr>
                <w:b/>
                <w:bCs/>
                <w:color w:val="FFFFFF"/>
                <w:sz w:val="18"/>
                <w:szCs w:val="18"/>
              </w:rPr>
              <w:t xml:space="preserve">Basis</w:t>
            </w:r>
          </w:p>
        </w:tc>
        <w:tc>
          <w:tcPr>
            <w:tcW w:type="dxa" w:w="2110"/>
            <w:shd w:fill="1F3A5F" w:val="clear"/>
            <w:tcMar>
              <w:top w:type="dxa" w:w="60"/>
              <w:left w:type="dxa" w:w="100"/>
              <w:bottom w:type="dxa" w:w="60"/>
              <w:right w:type="dxa" w:w="100"/>
            </w:tcMar>
          </w:tcPr>
          <w:p>
            <w:pPr>
              <w:spacing w:after="0"/>
              <w:jc w:val="left"/>
            </w:pPr>
            <w:r>
              <w:rPr>
                <w:b/>
                <w:bCs/>
                <w:color w:val="FFFFFF"/>
                <w:sz w:val="18"/>
                <w:szCs w:val="18"/>
              </w:rPr>
              <w:t xml:space="preserve">Relevance / notes</w:t>
            </w:r>
          </w:p>
        </w:tc>
      </w:tr>
      <w:tr>
        <w:trPr>
          <w:tblHeader w:val="false"/>
        </w:trPr>
        <w:tc>
          <w:tcPr>
            <w:tcW w:type="dxa" w:w="1500"/>
            <w:tcMar>
              <w:top w:type="dxa" w:w="60"/>
              <w:left w:type="dxa" w:w="100"/>
              <w:bottom w:type="dxa" w:w="60"/>
              <w:right w:type="dxa" w:w="100"/>
            </w:tcMar>
          </w:tcPr>
          <w:p>
            <w:pPr>
              <w:spacing w:after="0"/>
              <w:jc w:val="left"/>
            </w:pPr>
            <w:r>
              <w:rPr>
                <w:sz w:val="18"/>
                <w:szCs w:val="18"/>
              </w:rPr>
              <w:t xml:space="preserve">S&amp;P Dow Jones / FRED</w:t>
            </w:r>
          </w:p>
        </w:tc>
        <w:tc>
          <w:tcPr>
            <w:tcW w:type="dxa" w:w="1250"/>
            <w:tcMar>
              <w:top w:type="dxa" w:w="60"/>
              <w:left w:type="dxa" w:w="100"/>
              <w:bottom w:type="dxa" w:w="60"/>
              <w:right w:type="dxa" w:w="100"/>
            </w:tcMar>
          </w:tcPr>
          <w:p>
            <w:pPr>
              <w:spacing w:after="0"/>
              <w:jc w:val="left"/>
            </w:pPr>
            <w:r>
              <w:rPr>
                <w:sz w:val="18"/>
                <w:szCs w:val="18"/>
              </w:rPr>
              <w:t xml:space="preserve">20 May close</w:t>
            </w:r>
          </w:p>
        </w:tc>
        <w:tc>
          <w:tcPr>
            <w:tcW w:type="dxa" w:w="1500"/>
            <w:tcMar>
              <w:top w:type="dxa" w:w="60"/>
              <w:left w:type="dxa" w:w="100"/>
              <w:bottom w:type="dxa" w:w="60"/>
              <w:right w:type="dxa" w:w="100"/>
            </w:tcMar>
          </w:tcPr>
          <w:p>
            <w:pPr>
              <w:spacing w:after="0"/>
              <w:jc w:val="left"/>
            </w:pPr>
            <w:r>
              <w:rPr>
                <w:sz w:val="18"/>
                <w:szCs w:val="18"/>
              </w:rPr>
              <w:t xml:space="preserve">7,432.97</w:t>
            </w:r>
          </w:p>
        </w:tc>
        <w:tc>
          <w:tcPr>
            <w:tcW w:type="dxa" w:w="1500"/>
            <w:tcMar>
              <w:top w:type="dxa" w:w="60"/>
              <w:left w:type="dxa" w:w="100"/>
              <w:bottom w:type="dxa" w:w="60"/>
              <w:right w:type="dxa" w:w="100"/>
            </w:tcMar>
          </w:tcPr>
          <w:p>
            <w:pPr>
              <w:spacing w:after="0"/>
              <w:jc w:val="left"/>
            </w:pPr>
            <w:r>
              <w:rPr>
                <w:sz w:val="18"/>
                <w:szCs w:val="18"/>
              </w:rPr>
              <w:t xml:space="preserve">7,432.97</w:t>
            </w:r>
          </w:p>
        </w:tc>
        <w:tc>
          <w:tcPr>
            <w:tcW w:type="dxa" w:w="1500"/>
            <w:tcMar>
              <w:top w:type="dxa" w:w="60"/>
              <w:left w:type="dxa" w:w="100"/>
              <w:bottom w:type="dxa" w:w="60"/>
              <w:right w:type="dxa" w:w="100"/>
            </w:tcMar>
          </w:tcPr>
          <w:p>
            <w:pPr>
              <w:spacing w:after="0"/>
              <w:jc w:val="left"/>
            </w:pPr>
            <w:r>
              <w:rPr>
                <w:sz w:val="18"/>
                <w:szCs w:val="18"/>
              </w:rPr>
              <w:t xml:space="preserve">Official close</w:t>
            </w:r>
          </w:p>
        </w:tc>
        <w:tc>
          <w:tcPr>
            <w:tcW w:type="dxa" w:w="2110"/>
            <w:tcMar>
              <w:top w:type="dxa" w:w="60"/>
              <w:left w:type="dxa" w:w="100"/>
              <w:bottom w:type="dxa" w:w="60"/>
              <w:right w:type="dxa" w:w="100"/>
            </w:tcMar>
          </w:tcPr>
          <w:p>
            <w:pPr>
              <w:spacing w:after="0"/>
              <w:jc w:val="left"/>
            </w:pPr>
            <w:r>
              <w:rPr>
                <w:sz w:val="18"/>
                <w:szCs w:val="18"/>
              </w:rPr>
              <w:t xml:space="preserve">Core — prior-session official anchor</w:t>
            </w:r>
          </w:p>
        </w:tc>
      </w:tr>
      <w:tr>
        <w:trPr>
          <w:tblHeader w:val="false"/>
        </w:trPr>
        <w:tc>
          <w:tcPr>
            <w:tcW w:type="dxa" w:w="1500"/>
            <w:shd w:fill="F2F2F2" w:val="clear"/>
            <w:tcMar>
              <w:top w:type="dxa" w:w="60"/>
              <w:left w:type="dxa" w:w="100"/>
              <w:bottom w:type="dxa" w:w="60"/>
              <w:right w:type="dxa" w:w="100"/>
            </w:tcMar>
          </w:tcPr>
          <w:p>
            <w:pPr>
              <w:spacing w:after="0"/>
              <w:jc w:val="left"/>
            </w:pPr>
            <w:r>
              <w:rPr>
                <w:sz w:val="18"/>
                <w:szCs w:val="18"/>
              </w:rPr>
              <w:t xml:space="preserve">CNBC market report</w:t>
            </w:r>
          </w:p>
        </w:tc>
        <w:tc>
          <w:tcPr>
            <w:tcW w:type="dxa" w:w="1250"/>
            <w:shd w:fill="F2F2F2" w:val="clear"/>
            <w:tcMar>
              <w:top w:type="dxa" w:w="60"/>
              <w:left w:type="dxa" w:w="100"/>
              <w:bottom w:type="dxa" w:w="60"/>
              <w:right w:type="dxa" w:w="100"/>
            </w:tcMar>
          </w:tcPr>
          <w:p>
            <w:pPr>
              <w:spacing w:after="0"/>
              <w:jc w:val="left"/>
            </w:pPr>
            <w:r>
              <w:rPr>
                <w:sz w:val="18"/>
                <w:szCs w:val="18"/>
              </w:rPr>
              <w:t xml:space="preserve">20 May</w:t>
            </w:r>
          </w:p>
        </w:tc>
        <w:tc>
          <w:tcPr>
            <w:tcW w:type="dxa" w:w="1500"/>
            <w:shd w:fill="F2F2F2" w:val="clear"/>
            <w:tcMar>
              <w:top w:type="dxa" w:w="60"/>
              <w:left w:type="dxa" w:w="100"/>
              <w:bottom w:type="dxa" w:w="60"/>
              <w:right w:type="dxa" w:w="100"/>
            </w:tcMar>
          </w:tcPr>
          <w:p>
            <w:pPr>
              <w:spacing w:after="0"/>
              <w:jc w:val="left"/>
            </w:pPr>
            <w:r>
              <w:rPr>
                <w:sz w:val="18"/>
                <w:szCs w:val="18"/>
              </w:rPr>
              <w:t xml:space="preserve">7,432.97 (+1.08%)</w:t>
            </w:r>
          </w:p>
        </w:tc>
        <w:tc>
          <w:tcPr>
            <w:tcW w:type="dxa" w:w="1500"/>
            <w:shd w:fill="F2F2F2" w:val="clear"/>
            <w:tcMar>
              <w:top w:type="dxa" w:w="60"/>
              <w:left w:type="dxa" w:w="100"/>
              <w:bottom w:type="dxa" w:w="60"/>
              <w:right w:type="dxa" w:w="100"/>
            </w:tcMar>
          </w:tcPr>
          <w:p>
            <w:pPr>
              <w:spacing w:after="0"/>
              <w:jc w:val="left"/>
            </w:pPr>
            <w:r>
              <w:rPr>
                <w:sz w:val="18"/>
                <w:szCs w:val="18"/>
              </w:rPr>
              <w:t xml:space="preserve">7,432.97</w:t>
            </w:r>
          </w:p>
        </w:tc>
        <w:tc>
          <w:tcPr>
            <w:tcW w:type="dxa" w:w="1500"/>
            <w:shd w:fill="F2F2F2" w:val="clear"/>
            <w:tcMar>
              <w:top w:type="dxa" w:w="60"/>
              <w:left w:type="dxa" w:w="100"/>
              <w:bottom w:type="dxa" w:w="60"/>
              <w:right w:type="dxa" w:w="100"/>
            </w:tcMar>
          </w:tcPr>
          <w:p>
            <w:pPr>
              <w:spacing w:after="0"/>
              <w:jc w:val="left"/>
            </w:pPr>
            <w:r>
              <w:rPr>
                <w:sz w:val="18"/>
                <w:szCs w:val="18"/>
              </w:rPr>
              <w:t xml:space="preserve">Cash close</w:t>
            </w:r>
          </w:p>
        </w:tc>
        <w:tc>
          <w:tcPr>
            <w:tcW w:type="dxa" w:w="2110"/>
            <w:shd w:fill="F2F2F2" w:val="clear"/>
            <w:tcMar>
              <w:top w:type="dxa" w:w="60"/>
              <w:left w:type="dxa" w:w="100"/>
              <w:bottom w:type="dxa" w:w="60"/>
              <w:right w:type="dxa" w:w="100"/>
            </w:tcMar>
          </w:tcPr>
          <w:p>
            <w:pPr>
              <w:spacing w:after="0"/>
              <w:jc w:val="left"/>
            </w:pPr>
            <w:r>
              <w:rPr>
                <w:sz w:val="18"/>
                <w:szCs w:val="18"/>
              </w:rPr>
              <w:t xml:space="preserve">Core — corroborates official close</w:t>
            </w:r>
          </w:p>
        </w:tc>
      </w:tr>
      <w:tr>
        <w:trPr>
          <w:tblHeader w:val="false"/>
        </w:trPr>
        <w:tc>
          <w:tcPr>
            <w:tcW w:type="dxa" w:w="1500"/>
            <w:tcMar>
              <w:top w:type="dxa" w:w="60"/>
              <w:left w:type="dxa" w:w="100"/>
              <w:bottom w:type="dxa" w:w="60"/>
              <w:right w:type="dxa" w:w="100"/>
            </w:tcMar>
          </w:tcPr>
          <w:p>
            <w:pPr>
              <w:spacing w:after="0"/>
              <w:jc w:val="left"/>
            </w:pPr>
            <w:r>
              <w:rPr>
                <w:sz w:val="18"/>
                <w:szCs w:val="18"/>
              </w:rPr>
              <w:t xml:space="preserve">Yahoo Finance</w:t>
            </w:r>
          </w:p>
        </w:tc>
        <w:tc>
          <w:tcPr>
            <w:tcW w:type="dxa" w:w="1250"/>
            <w:tcMar>
              <w:top w:type="dxa" w:w="60"/>
              <w:left w:type="dxa" w:w="100"/>
              <w:bottom w:type="dxa" w:w="60"/>
              <w:right w:type="dxa" w:w="100"/>
            </w:tcMar>
          </w:tcPr>
          <w:p>
            <w:pPr>
              <w:spacing w:after="0"/>
              <w:jc w:val="left"/>
            </w:pPr>
            <w:r>
              <w:rPr>
                <w:sz w:val="18"/>
                <w:szCs w:val="18"/>
              </w:rPr>
              <w:t xml:space="preserve">21 May intraday</w:t>
            </w:r>
          </w:p>
        </w:tc>
        <w:tc>
          <w:tcPr>
            <w:tcW w:type="dxa" w:w="1500"/>
            <w:tcMar>
              <w:top w:type="dxa" w:w="60"/>
              <w:left w:type="dxa" w:w="100"/>
              <w:bottom w:type="dxa" w:w="60"/>
              <w:right w:type="dxa" w:w="100"/>
            </w:tcMar>
          </w:tcPr>
          <w:p>
            <w:pPr>
              <w:spacing w:after="0"/>
              <w:jc w:val="left"/>
            </w:pPr>
            <w:r>
              <w:rPr>
                <w:sz w:val="18"/>
                <w:szCs w:val="18"/>
              </w:rPr>
              <w:t xml:space="preserve">~7,412–7,413</w:t>
            </w:r>
          </w:p>
        </w:tc>
        <w:tc>
          <w:tcPr>
            <w:tcW w:type="dxa" w:w="1500"/>
            <w:tcMar>
              <w:top w:type="dxa" w:w="60"/>
              <w:left w:type="dxa" w:w="100"/>
              <w:bottom w:type="dxa" w:w="60"/>
              <w:right w:type="dxa" w:w="100"/>
            </w:tcMar>
          </w:tcPr>
          <w:p>
            <w:pPr>
              <w:spacing w:after="0"/>
              <w:jc w:val="left"/>
            </w:pPr>
            <w:r>
              <w:rPr>
                <w:sz w:val="18"/>
                <w:szCs w:val="18"/>
              </w:rPr>
              <w:t xml:space="preserve">7,412.5</w:t>
            </w:r>
          </w:p>
        </w:tc>
        <w:tc>
          <w:tcPr>
            <w:tcW w:type="dxa" w:w="1500"/>
            <w:tcMar>
              <w:top w:type="dxa" w:w="60"/>
              <w:left w:type="dxa" w:w="100"/>
              <w:bottom w:type="dxa" w:w="60"/>
              <w:right w:type="dxa" w:w="100"/>
            </w:tcMar>
          </w:tcPr>
          <w:p>
            <w:pPr>
              <w:spacing w:after="0"/>
              <w:jc w:val="left"/>
            </w:pPr>
            <w:r>
              <w:rPr>
                <w:sz w:val="18"/>
                <w:szCs w:val="18"/>
              </w:rPr>
              <w:t xml:space="preserve">Cash, delayed</w:t>
            </w:r>
          </w:p>
        </w:tc>
        <w:tc>
          <w:tcPr>
            <w:tcW w:type="dxa" w:w="2110"/>
            <w:tcMar>
              <w:top w:type="dxa" w:w="60"/>
              <w:left w:type="dxa" w:w="100"/>
              <w:bottom w:type="dxa" w:w="60"/>
              <w:right w:type="dxa" w:w="100"/>
            </w:tcMar>
          </w:tcPr>
          <w:p>
            <w:pPr>
              <w:spacing w:after="0"/>
              <w:jc w:val="left"/>
            </w:pPr>
            <w:r>
              <w:rPr>
                <w:sz w:val="18"/>
                <w:szCs w:val="18"/>
              </w:rPr>
              <w:t xml:space="preserve">Directional — intraday reference</w:t>
            </w:r>
          </w:p>
        </w:tc>
      </w:tr>
      <w:tr>
        <w:trPr>
          <w:tblHeader w:val="false"/>
        </w:trPr>
        <w:tc>
          <w:tcPr>
            <w:tcW w:type="dxa" w:w="1500"/>
            <w:shd w:fill="F2F2F2" w:val="clear"/>
            <w:tcMar>
              <w:top w:type="dxa" w:w="60"/>
              <w:left w:type="dxa" w:w="100"/>
              <w:bottom w:type="dxa" w:w="60"/>
              <w:right w:type="dxa" w:w="100"/>
            </w:tcMar>
          </w:tcPr>
          <w:p>
            <w:pPr>
              <w:spacing w:after="0"/>
              <w:jc w:val="left"/>
            </w:pPr>
            <w:r>
              <w:rPr>
                <w:sz w:val="18"/>
                <w:szCs w:val="18"/>
              </w:rPr>
              <w:t xml:space="preserve">Trading Economics</w:t>
            </w:r>
          </w:p>
        </w:tc>
        <w:tc>
          <w:tcPr>
            <w:tcW w:type="dxa" w:w="1250"/>
            <w:shd w:fill="F2F2F2" w:val="clear"/>
            <w:tcMar>
              <w:top w:type="dxa" w:w="60"/>
              <w:left w:type="dxa" w:w="100"/>
              <w:bottom w:type="dxa" w:w="60"/>
              <w:right w:type="dxa" w:w="100"/>
            </w:tcMar>
          </w:tcPr>
          <w:p>
            <w:pPr>
              <w:spacing w:after="0"/>
              <w:jc w:val="left"/>
            </w:pPr>
            <w:r>
              <w:rPr>
                <w:sz w:val="18"/>
                <w:szCs w:val="18"/>
              </w:rPr>
              <w:t xml:space="preserve">21 May</w:t>
            </w:r>
          </w:p>
        </w:tc>
        <w:tc>
          <w:tcPr>
            <w:tcW w:type="dxa" w:w="1500"/>
            <w:shd w:fill="F2F2F2" w:val="clear"/>
            <w:tcMar>
              <w:top w:type="dxa" w:w="60"/>
              <w:left w:type="dxa" w:w="100"/>
              <w:bottom w:type="dxa" w:w="60"/>
              <w:right w:type="dxa" w:w="100"/>
            </w:tcMar>
          </w:tcPr>
          <w:p>
            <w:pPr>
              <w:spacing w:after="0"/>
              <w:jc w:val="left"/>
            </w:pPr>
            <w:r>
              <w:rPr>
                <w:sz w:val="18"/>
                <w:szCs w:val="18"/>
              </w:rPr>
              <w:t xml:space="preserve">~7,400 (−0.44%)</w:t>
            </w:r>
          </w:p>
        </w:tc>
        <w:tc>
          <w:tcPr>
            <w:tcW w:type="dxa" w:w="1500"/>
            <w:shd w:fill="F2F2F2" w:val="clear"/>
            <w:tcMar>
              <w:top w:type="dxa" w:w="60"/>
              <w:left w:type="dxa" w:w="100"/>
              <w:bottom w:type="dxa" w:w="60"/>
              <w:right w:type="dxa" w:w="100"/>
            </w:tcMar>
          </w:tcPr>
          <w:p>
            <w:pPr>
              <w:spacing w:after="0"/>
              <w:jc w:val="left"/>
            </w:pPr>
            <w:r>
              <w:rPr>
                <w:sz w:val="18"/>
                <w:szCs w:val="18"/>
              </w:rPr>
              <w:t xml:space="preserve">7,400</w:t>
            </w:r>
          </w:p>
        </w:tc>
        <w:tc>
          <w:tcPr>
            <w:tcW w:type="dxa" w:w="1500"/>
            <w:shd w:fill="F2F2F2" w:val="clear"/>
            <w:tcMar>
              <w:top w:type="dxa" w:w="60"/>
              <w:left w:type="dxa" w:w="100"/>
              <w:bottom w:type="dxa" w:w="60"/>
              <w:right w:type="dxa" w:w="100"/>
            </w:tcMar>
          </w:tcPr>
          <w:p>
            <w:pPr>
              <w:spacing w:after="0"/>
              <w:jc w:val="left"/>
            </w:pPr>
            <w:r>
              <w:rPr>
                <w:sz w:val="18"/>
                <w:szCs w:val="18"/>
              </w:rPr>
              <w:t xml:space="preserve">CFD proxy</w:t>
            </w:r>
          </w:p>
        </w:tc>
        <w:tc>
          <w:tcPr>
            <w:tcW w:type="dxa" w:w="2110"/>
            <w:shd w:fill="F2F2F2" w:val="clear"/>
            <w:tcMar>
              <w:top w:type="dxa" w:w="60"/>
              <w:left w:type="dxa" w:w="100"/>
              <w:bottom w:type="dxa" w:w="60"/>
              <w:right w:type="dxa" w:w="100"/>
            </w:tcMar>
          </w:tcPr>
          <w:p>
            <w:pPr>
              <w:spacing w:after="0"/>
              <w:jc w:val="left"/>
            </w:pPr>
            <w:r>
              <w:rPr>
                <w:sz w:val="18"/>
                <w:szCs w:val="18"/>
              </w:rPr>
              <w:t xml:space="preserve">Core — close-basis corroborator</w:t>
            </w:r>
          </w:p>
        </w:tc>
      </w:tr>
      <w:tr>
        <w:trPr>
          <w:tblHeader w:val="false"/>
        </w:trPr>
        <w:tc>
          <w:tcPr>
            <w:tcW w:type="dxa" w:w="1500"/>
            <w:tcMar>
              <w:top w:type="dxa" w:w="60"/>
              <w:left w:type="dxa" w:w="100"/>
              <w:bottom w:type="dxa" w:w="60"/>
              <w:right w:type="dxa" w:w="100"/>
            </w:tcMar>
          </w:tcPr>
          <w:p>
            <w:pPr>
              <w:spacing w:after="0"/>
              <w:jc w:val="left"/>
            </w:pPr>
            <w:r>
              <w:rPr>
                <w:sz w:val="18"/>
                <w:szCs w:val="18"/>
              </w:rPr>
              <w:t xml:space="preserve">Investing.com</w:t>
            </w:r>
          </w:p>
        </w:tc>
        <w:tc>
          <w:tcPr>
            <w:tcW w:type="dxa" w:w="1250"/>
            <w:tcMar>
              <w:top w:type="dxa" w:w="60"/>
              <w:left w:type="dxa" w:w="100"/>
              <w:bottom w:type="dxa" w:w="60"/>
              <w:right w:type="dxa" w:w="100"/>
            </w:tcMar>
          </w:tcPr>
          <w:p>
            <w:pPr>
              <w:spacing w:after="0"/>
              <w:jc w:val="left"/>
            </w:pPr>
            <w:r>
              <w:rPr>
                <w:sz w:val="18"/>
                <w:szCs w:val="18"/>
              </w:rPr>
              <w:t xml:space="preserve">21 May</w:t>
            </w:r>
          </w:p>
        </w:tc>
        <w:tc>
          <w:tcPr>
            <w:tcW w:type="dxa" w:w="1500"/>
            <w:tcMar>
              <w:top w:type="dxa" w:w="60"/>
              <w:left w:type="dxa" w:w="100"/>
              <w:bottom w:type="dxa" w:w="60"/>
              <w:right w:type="dxa" w:w="100"/>
            </w:tcMar>
          </w:tcPr>
          <w:p>
            <w:pPr>
              <w:spacing w:after="0"/>
              <w:jc w:val="left"/>
            </w:pPr>
            <w:r>
              <w:rPr>
                <w:sz w:val="18"/>
                <w:szCs w:val="18"/>
              </w:rPr>
              <w:t xml:space="preserve">Close ~7,400</w:t>
            </w:r>
          </w:p>
        </w:tc>
        <w:tc>
          <w:tcPr>
            <w:tcW w:type="dxa" w:w="1500"/>
            <w:tcMar>
              <w:top w:type="dxa" w:w="60"/>
              <w:left w:type="dxa" w:w="100"/>
              <w:bottom w:type="dxa" w:w="60"/>
              <w:right w:type="dxa" w:w="100"/>
            </w:tcMar>
          </w:tcPr>
          <w:p>
            <w:pPr>
              <w:spacing w:after="0"/>
              <w:jc w:val="left"/>
            </w:pPr>
            <w:r>
              <w:rPr>
                <w:sz w:val="18"/>
                <w:szCs w:val="18"/>
              </w:rPr>
              <w:t xml:space="preserve">7,400</w:t>
            </w:r>
          </w:p>
        </w:tc>
        <w:tc>
          <w:tcPr>
            <w:tcW w:type="dxa" w:w="1500"/>
            <w:tcMar>
              <w:top w:type="dxa" w:w="60"/>
              <w:left w:type="dxa" w:w="100"/>
              <w:bottom w:type="dxa" w:w="60"/>
              <w:right w:type="dxa" w:w="100"/>
            </w:tcMar>
          </w:tcPr>
          <w:p>
            <w:pPr>
              <w:spacing w:after="0"/>
              <w:jc w:val="left"/>
            </w:pPr>
            <w:r>
              <w:rPr>
                <w:sz w:val="18"/>
                <w:szCs w:val="18"/>
              </w:rPr>
              <w:t xml:space="preserve">Cash close</w:t>
            </w:r>
          </w:p>
        </w:tc>
        <w:tc>
          <w:tcPr>
            <w:tcW w:type="dxa" w:w="2110"/>
            <w:tcMar>
              <w:top w:type="dxa" w:w="60"/>
              <w:left w:type="dxa" w:w="100"/>
              <w:bottom w:type="dxa" w:w="60"/>
              <w:right w:type="dxa" w:w="100"/>
            </w:tcMar>
          </w:tcPr>
          <w:p>
            <w:pPr>
              <w:spacing w:after="0"/>
              <w:jc w:val="left"/>
            </w:pPr>
            <w:r>
              <w:rPr>
                <w:sz w:val="18"/>
                <w:szCs w:val="18"/>
              </w:rPr>
              <w:t xml:space="preserve">Core — aggregator close</w:t>
            </w:r>
          </w:p>
        </w:tc>
      </w:tr>
      <w:tr>
        <w:trPr>
          <w:tblHeader w:val="false"/>
        </w:trPr>
        <w:tc>
          <w:tcPr>
            <w:tcW w:type="dxa" w:w="1500"/>
            <w:shd w:fill="F2F2F2" w:val="clear"/>
            <w:tcMar>
              <w:top w:type="dxa" w:w="60"/>
              <w:left w:type="dxa" w:w="100"/>
              <w:bottom w:type="dxa" w:w="60"/>
              <w:right w:type="dxa" w:w="100"/>
            </w:tcMar>
          </w:tcPr>
          <w:p>
            <w:pPr>
              <w:spacing w:after="0"/>
              <w:jc w:val="left"/>
            </w:pPr>
            <w:r>
              <w:rPr>
                <w:sz w:val="18"/>
                <w:szCs w:val="18"/>
              </w:rPr>
              <w:t xml:space="preserve">CME ES futures</w:t>
            </w:r>
          </w:p>
        </w:tc>
        <w:tc>
          <w:tcPr>
            <w:tcW w:type="dxa" w:w="1250"/>
            <w:shd w:fill="F2F2F2" w:val="clear"/>
            <w:tcMar>
              <w:top w:type="dxa" w:w="60"/>
              <w:left w:type="dxa" w:w="100"/>
              <w:bottom w:type="dxa" w:w="60"/>
              <w:right w:type="dxa" w:w="100"/>
            </w:tcMar>
          </w:tcPr>
          <w:p>
            <w:pPr>
              <w:spacing w:after="0"/>
              <w:jc w:val="left"/>
            </w:pPr>
            <w:r>
              <w:rPr>
                <w:sz w:val="18"/>
                <w:szCs w:val="18"/>
              </w:rPr>
              <w:t xml:space="preserve">21 May</w:t>
            </w:r>
          </w:p>
        </w:tc>
        <w:tc>
          <w:tcPr>
            <w:tcW w:type="dxa" w:w="1500"/>
            <w:shd w:fill="F2F2F2" w:val="clear"/>
            <w:tcMar>
              <w:top w:type="dxa" w:w="60"/>
              <w:left w:type="dxa" w:w="100"/>
              <w:bottom w:type="dxa" w:w="60"/>
              <w:right w:type="dxa" w:w="100"/>
            </w:tcMar>
          </w:tcPr>
          <w:p>
            <w:pPr>
              <w:spacing w:after="0"/>
              <w:jc w:val="left"/>
            </w:pPr>
            <w:r>
              <w:rPr>
                <w:sz w:val="18"/>
                <w:szCs w:val="18"/>
              </w:rPr>
              <w:t xml:space="preserve">Confirmatory only</w:t>
            </w:r>
          </w:p>
        </w:tc>
        <w:tc>
          <w:tcPr>
            <w:tcW w:type="dxa" w:w="1500"/>
            <w:shd w:fill="F2F2F2" w:val="clear"/>
            <w:tcMar>
              <w:top w:type="dxa" w:w="60"/>
              <w:left w:type="dxa" w:w="100"/>
              <w:bottom w:type="dxa" w:w="60"/>
              <w:right w:type="dxa" w:w="100"/>
            </w:tcMar>
          </w:tcPr>
          <w:p>
            <w:pPr>
              <w:spacing w:after="0"/>
              <w:jc w:val="left"/>
            </w:pPr>
            <w:r>
              <w:rPr>
                <w:sz w:val="18"/>
                <w:szCs w:val="18"/>
              </w:rPr>
              <w:t xml:space="preserve">n/a</w:t>
            </w:r>
          </w:p>
        </w:tc>
        <w:tc>
          <w:tcPr>
            <w:tcW w:type="dxa" w:w="1500"/>
            <w:shd w:fill="F2F2F2" w:val="clear"/>
            <w:tcMar>
              <w:top w:type="dxa" w:w="60"/>
              <w:left w:type="dxa" w:w="100"/>
              <w:bottom w:type="dxa" w:w="60"/>
              <w:right w:type="dxa" w:w="100"/>
            </w:tcMar>
          </w:tcPr>
          <w:p>
            <w:pPr>
              <w:spacing w:after="0"/>
              <w:jc w:val="left"/>
            </w:pPr>
            <w:r>
              <w:rPr>
                <w:sz w:val="18"/>
                <w:szCs w:val="18"/>
              </w:rPr>
              <w:t xml:space="preserve">Futures basis</w:t>
            </w:r>
          </w:p>
        </w:tc>
        <w:tc>
          <w:tcPr>
            <w:tcW w:type="dxa" w:w="2110"/>
            <w:shd w:fill="F2F2F2" w:val="clear"/>
            <w:tcMar>
              <w:top w:type="dxa" w:w="60"/>
              <w:left w:type="dxa" w:w="100"/>
              <w:bottom w:type="dxa" w:w="60"/>
              <w:right w:type="dxa" w:w="100"/>
            </w:tcMar>
          </w:tcPr>
          <w:p>
            <w:pPr>
              <w:spacing w:after="0"/>
              <w:jc w:val="left"/>
            </w:pPr>
            <w:r>
              <w:rPr>
                <w:sz w:val="18"/>
                <w:szCs w:val="18"/>
              </w:rPr>
              <w:t xml:space="preserve">Directional — confirmation only per restrictions</w:t>
            </w:r>
          </w:p>
        </w:tc>
      </w:tr>
    </w:tbl>
    <w:p>
      <w:pPr>
        <w:spacing w:after="60"/>
      </w:pPr>
      <w:r>
        <w:t xml:space="preserve"/>
      </w:r>
    </w:p>
    <w:p>
      <w:pPr>
        <w:spacing w:after="120"/>
      </w:pPr>
      <w:r>
        <w:rPr>
          <w:i/>
          <w:iCs/>
          <w:color w:val="555555"/>
          <w:sz w:val="19"/>
          <w:szCs w:val="19"/>
        </w:rPr>
        <w:t xml:space="preserve">Excluded: retail CFD spread quotes and after-hours indications are excluded from the cash OHLC basis. CME ES futures are admitted for directional confirmation only and are not blended into the cash close.</w:t>
      </w:r>
    </w:p>
    <w:p>
      <w:pPr>
        <w:pStyle w:val="Heading1"/>
      </w:pPr>
      <w:r>
        <w:t xml:space="preserve">5.  Consensus Build Explanation</w:t>
      </w:r>
    </w:p>
    <w:p>
      <w:pPr>
        <w:spacing w:after="120"/>
      </w:pPr>
      <w:r>
        <w:t xml:space="preserve">The consensus level is built with a recency- and credibility-weighted median. The 20 May official close of 7,432.97 is the firmest single observation and is corroborated to the point by independent market reporting. For the 21 May close basis, the weighted-median centre of the close-basis observations sits at 7,400 index points, with the index provider and exchange-tier sources carrying the highest weight and aggregator/CFD references down-weighted. No normalization adjustments are required because every observation is already in index points and USD on the same cash-session basis.</w:t>
      </w:r>
    </w:p>
    <w:p>
      <w:pPr>
        <w:spacing w:after="120"/>
      </w:pPr>
      <w:r>
        <w:t xml:space="preserve">The 7,400 figure is the most defensible because it is the convergence point of the close-basis sources, it is consistent with the reported −0.44% session change from the corroborated 20 May close, and it falls inside the observed intraday band. Intraday Open/High/Low for the cash index could not be dual-source corroborated within the ±0.10-point equity-index tolerance; those fields are carried as single-source indicative and are flagged throughout (see §6 and §19).</w:t>
      </w:r>
    </w:p>
    <w:p>
      <w:pPr>
        <w:pStyle w:val="Heading1"/>
      </w:pPr>
      <w:r>
        <w:t xml:space="preserve">6.  Validated OHLC and RSI2 Table</w:t>
      </w:r>
    </w:p>
    <w:p>
      <w:pPr>
        <w:spacing w:after="120"/>
      </w:pPr>
      <w:r>
        <w:t xml:space="preserve">Five validated sessions for the S&amp;P 500 cash index. RSI2 is the period-2 RSI computed from the validated close sequence. Close values are corroborated; intraday O/H/L are single-source indicative — labelled accordingly and not used as definitive pivot inputs without the indicative qualifier.</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280"/>
        <w:gridCol w:w="1140"/>
        <w:gridCol w:w="1140"/>
        <w:gridCol w:w="1140"/>
        <w:gridCol w:w="1300"/>
        <w:gridCol w:w="900"/>
        <w:gridCol w:w="1180"/>
        <w:gridCol w:w="1280"/>
      </w:tblGrid>
      <w:tr>
        <w:trPr>
          <w:tblHeader/>
        </w:trPr>
        <w:tc>
          <w:tcPr>
            <w:tcW w:type="dxa" w:w="1280"/>
            <w:shd w:fill="1F3A5F" w:val="clear"/>
            <w:tcMar>
              <w:top w:type="dxa" w:w="60"/>
              <w:left w:type="dxa" w:w="100"/>
              <w:bottom w:type="dxa" w:w="60"/>
              <w:right w:type="dxa" w:w="100"/>
            </w:tcMar>
          </w:tcPr>
          <w:p>
            <w:pPr>
              <w:spacing w:after="0"/>
              <w:jc w:val="left"/>
            </w:pPr>
            <w:r>
              <w:rPr>
                <w:b/>
                <w:bCs/>
                <w:color w:val="FFFFFF"/>
                <w:sz w:val="18"/>
                <w:szCs w:val="18"/>
              </w:rPr>
              <w:t xml:space="preserve">Date</w:t>
            </w:r>
          </w:p>
        </w:tc>
        <w:tc>
          <w:tcPr>
            <w:tcW w:type="dxa" w:w="1140"/>
            <w:shd w:fill="1F3A5F" w:val="clear"/>
            <w:tcMar>
              <w:top w:type="dxa" w:w="60"/>
              <w:left w:type="dxa" w:w="100"/>
              <w:bottom w:type="dxa" w:w="60"/>
              <w:right w:type="dxa" w:w="100"/>
            </w:tcMar>
          </w:tcPr>
          <w:p>
            <w:pPr>
              <w:spacing w:after="0"/>
              <w:jc w:val="left"/>
            </w:pPr>
            <w:r>
              <w:rPr>
                <w:b/>
                <w:bCs/>
                <w:color w:val="FFFFFF"/>
                <w:sz w:val="18"/>
                <w:szCs w:val="18"/>
              </w:rPr>
              <w:t xml:space="preserve">Open</w:t>
            </w:r>
          </w:p>
        </w:tc>
        <w:tc>
          <w:tcPr>
            <w:tcW w:type="dxa" w:w="1140"/>
            <w:shd w:fill="1F3A5F" w:val="clear"/>
            <w:tcMar>
              <w:top w:type="dxa" w:w="60"/>
              <w:left w:type="dxa" w:w="100"/>
              <w:bottom w:type="dxa" w:w="60"/>
              <w:right w:type="dxa" w:w="100"/>
            </w:tcMar>
          </w:tcPr>
          <w:p>
            <w:pPr>
              <w:spacing w:after="0"/>
              <w:jc w:val="left"/>
            </w:pPr>
            <w:r>
              <w:rPr>
                <w:b/>
                <w:bCs/>
                <w:color w:val="FFFFFF"/>
                <w:sz w:val="18"/>
                <w:szCs w:val="18"/>
              </w:rPr>
              <w:t xml:space="preserve">High</w:t>
            </w:r>
          </w:p>
        </w:tc>
        <w:tc>
          <w:tcPr>
            <w:tcW w:type="dxa" w:w="1140"/>
            <w:shd w:fill="1F3A5F" w:val="clear"/>
            <w:tcMar>
              <w:top w:type="dxa" w:w="60"/>
              <w:left w:type="dxa" w:w="100"/>
              <w:bottom w:type="dxa" w:w="60"/>
              <w:right w:type="dxa" w:w="100"/>
            </w:tcMar>
          </w:tcPr>
          <w:p>
            <w:pPr>
              <w:spacing w:after="0"/>
              <w:jc w:val="left"/>
            </w:pPr>
            <w:r>
              <w:rPr>
                <w:b/>
                <w:bCs/>
                <w:color w:val="FFFFFF"/>
                <w:sz w:val="18"/>
                <w:szCs w:val="18"/>
              </w:rPr>
              <w:t xml:space="preserve">Low</w:t>
            </w:r>
          </w:p>
        </w:tc>
        <w:tc>
          <w:tcPr>
            <w:tcW w:type="dxa" w:w="1300"/>
            <w:shd w:fill="1F3A5F" w:val="clear"/>
            <w:tcMar>
              <w:top w:type="dxa" w:w="60"/>
              <w:left w:type="dxa" w:w="100"/>
              <w:bottom w:type="dxa" w:w="60"/>
              <w:right w:type="dxa" w:w="100"/>
            </w:tcMar>
          </w:tcPr>
          <w:p>
            <w:pPr>
              <w:spacing w:after="0"/>
              <w:jc w:val="left"/>
            </w:pPr>
            <w:r>
              <w:rPr>
                <w:b/>
                <w:bCs/>
                <w:color w:val="FFFFFF"/>
                <w:sz w:val="18"/>
                <w:szCs w:val="18"/>
              </w:rPr>
              <w:t xml:space="preserve">Close</w:t>
            </w:r>
          </w:p>
        </w:tc>
        <w:tc>
          <w:tcPr>
            <w:tcW w:type="dxa" w:w="900"/>
            <w:shd w:fill="1F3A5F" w:val="clear"/>
            <w:tcMar>
              <w:top w:type="dxa" w:w="60"/>
              <w:left w:type="dxa" w:w="100"/>
              <w:bottom w:type="dxa" w:w="60"/>
              <w:right w:type="dxa" w:w="100"/>
            </w:tcMar>
          </w:tcPr>
          <w:p>
            <w:pPr>
              <w:spacing w:after="0"/>
              <w:jc w:val="left"/>
            </w:pPr>
            <w:r>
              <w:rPr>
                <w:b/>
                <w:bCs/>
                <w:color w:val="FFFFFF"/>
                <w:sz w:val="18"/>
                <w:szCs w:val="18"/>
              </w:rPr>
              <w:t xml:space="preserve">RSI2</w:t>
            </w:r>
          </w:p>
        </w:tc>
        <w:tc>
          <w:tcPr>
            <w:tcW w:type="dxa" w:w="1180"/>
            <w:shd w:fill="1F3A5F" w:val="clear"/>
            <w:tcMar>
              <w:top w:type="dxa" w:w="60"/>
              <w:left w:type="dxa" w:w="100"/>
              <w:bottom w:type="dxa" w:w="60"/>
              <w:right w:type="dxa" w:w="100"/>
            </w:tcMar>
          </w:tcPr>
          <w:p>
            <w:pPr>
              <w:spacing w:after="0"/>
              <w:jc w:val="left"/>
            </w:pPr>
            <w:r>
              <w:rPr>
                <w:b/>
                <w:bCs/>
                <w:color w:val="FFFFFF"/>
                <w:sz w:val="18"/>
                <w:szCs w:val="18"/>
              </w:rPr>
              <w:t xml:space="preserve">Trend</w:t>
            </w:r>
          </w:p>
        </w:tc>
        <w:tc>
          <w:tcPr>
            <w:tcW w:type="dxa" w:w="1280"/>
            <w:shd w:fill="1F3A5F" w:val="clear"/>
            <w:tcMar>
              <w:top w:type="dxa" w:w="60"/>
              <w:left w:type="dxa" w:w="100"/>
              <w:bottom w:type="dxa" w:w="60"/>
              <w:right w:type="dxa" w:w="100"/>
            </w:tcMar>
          </w:tcPr>
          <w:p>
            <w:pPr>
              <w:spacing w:after="0"/>
              <w:jc w:val="left"/>
            </w:pPr>
            <w:r>
              <w:rPr>
                <w:b/>
                <w:bCs/>
                <w:color w:val="FFFFFF"/>
                <w:sz w:val="18"/>
                <w:szCs w:val="18"/>
              </w:rPr>
              <w:t xml:space="preserve">Validation</w:t>
            </w:r>
          </w:p>
        </w:tc>
      </w:tr>
      <w:tr>
        <w:trPr>
          <w:tblHeader w:val="false"/>
        </w:trPr>
        <w:tc>
          <w:tcPr>
            <w:tcW w:type="dxa" w:w="1280"/>
            <w:tcMar>
              <w:top w:type="dxa" w:w="60"/>
              <w:left w:type="dxa" w:w="100"/>
              <w:bottom w:type="dxa" w:w="60"/>
              <w:right w:type="dxa" w:w="100"/>
            </w:tcMar>
          </w:tcPr>
          <w:p>
            <w:pPr>
              <w:spacing w:after="0"/>
              <w:jc w:val="left"/>
            </w:pPr>
            <w:r>
              <w:rPr>
                <w:b/>
                <w:bCs/>
                <w:sz w:val="18"/>
                <w:szCs w:val="18"/>
              </w:rPr>
              <w:t xml:space="preserve">Fri 15 May</w:t>
            </w:r>
          </w:p>
        </w:tc>
        <w:tc>
          <w:tcPr>
            <w:tcW w:type="dxa" w:w="1140"/>
            <w:tcMar>
              <w:top w:type="dxa" w:w="60"/>
              <w:left w:type="dxa" w:w="100"/>
              <w:bottom w:type="dxa" w:w="60"/>
              <w:right w:type="dxa" w:w="100"/>
            </w:tcMar>
          </w:tcPr>
          <w:p>
            <w:pPr>
              <w:spacing w:after="0"/>
              <w:jc w:val="left"/>
            </w:pPr>
            <w:r>
              <w:rPr>
                <w:sz w:val="18"/>
                <w:szCs w:val="18"/>
              </w:rPr>
              <w:t xml:space="preserve">7,488.30</w:t>
            </w:r>
          </w:p>
        </w:tc>
        <w:tc>
          <w:tcPr>
            <w:tcW w:type="dxa" w:w="1140"/>
            <w:tcMar>
              <w:top w:type="dxa" w:w="60"/>
              <w:left w:type="dxa" w:w="100"/>
              <w:bottom w:type="dxa" w:w="60"/>
              <w:right w:type="dxa" w:w="100"/>
            </w:tcMar>
          </w:tcPr>
          <w:p>
            <w:pPr>
              <w:spacing w:after="0"/>
              <w:jc w:val="left"/>
            </w:pPr>
            <w:r>
              <w:rPr>
                <w:sz w:val="18"/>
                <w:szCs w:val="18"/>
              </w:rPr>
              <w:t xml:space="preserve">7,501.10</w:t>
            </w:r>
          </w:p>
        </w:tc>
        <w:tc>
          <w:tcPr>
            <w:tcW w:type="dxa" w:w="1140"/>
            <w:tcMar>
              <w:top w:type="dxa" w:w="60"/>
              <w:left w:type="dxa" w:w="100"/>
              <w:bottom w:type="dxa" w:w="60"/>
              <w:right w:type="dxa" w:w="100"/>
            </w:tcMar>
          </w:tcPr>
          <w:p>
            <w:pPr>
              <w:spacing w:after="0"/>
              <w:jc w:val="left"/>
            </w:pPr>
            <w:r>
              <w:rPr>
                <w:sz w:val="18"/>
                <w:szCs w:val="18"/>
              </w:rPr>
              <w:t xml:space="preserve">7,388.40</w:t>
            </w:r>
          </w:p>
        </w:tc>
        <w:tc>
          <w:tcPr>
            <w:tcW w:type="dxa" w:w="1300"/>
            <w:tcMar>
              <w:top w:type="dxa" w:w="60"/>
              <w:left w:type="dxa" w:w="100"/>
              <w:bottom w:type="dxa" w:w="60"/>
              <w:right w:type="dxa" w:w="100"/>
            </w:tcMar>
          </w:tcPr>
          <w:p>
            <w:pPr>
              <w:spacing w:after="0"/>
              <w:jc w:val="left"/>
            </w:pPr>
            <w:r>
              <w:rPr>
                <w:b/>
                <w:bCs/>
                <w:sz w:val="18"/>
                <w:szCs w:val="18"/>
              </w:rPr>
              <w:t xml:space="preserve">7,396.80</w:t>
            </w:r>
          </w:p>
        </w:tc>
        <w:tc>
          <w:tcPr>
            <w:tcW w:type="dxa" w:w="900"/>
            <w:tcMar>
              <w:top w:type="dxa" w:w="60"/>
              <w:left w:type="dxa" w:w="100"/>
              <w:bottom w:type="dxa" w:w="60"/>
              <w:right w:type="dxa" w:w="100"/>
            </w:tcMar>
          </w:tcPr>
          <w:p>
            <w:pPr>
              <w:spacing w:after="0"/>
              <w:jc w:val="left"/>
            </w:pPr>
            <w:r>
              <w:rPr>
                <w:sz w:val="18"/>
                <w:szCs w:val="18"/>
              </w:rPr>
              <w:t xml:space="preserve">31.9</w:t>
            </w:r>
          </w:p>
        </w:tc>
        <w:tc>
          <w:tcPr>
            <w:tcW w:type="dxa" w:w="1180"/>
            <w:tcMar>
              <w:top w:type="dxa" w:w="60"/>
              <w:left w:type="dxa" w:w="100"/>
              <w:bottom w:type="dxa" w:w="60"/>
              <w:right w:type="dxa" w:w="100"/>
            </w:tcMar>
          </w:tcPr>
          <w:p>
            <w:pPr>
              <w:spacing w:after="0"/>
              <w:jc w:val="left"/>
            </w:pPr>
            <w:r>
              <w:rPr>
                <w:color w:val="C0392B"/>
                <w:sz w:val="18"/>
                <w:szCs w:val="18"/>
              </w:rPr>
              <w:t xml:space="preserve">Bearish</w:t>
            </w:r>
          </w:p>
        </w:tc>
        <w:tc>
          <w:tcPr>
            <w:tcW w:type="dxa" w:w="1280"/>
            <w:tcMar>
              <w:top w:type="dxa" w:w="60"/>
              <w:left w:type="dxa" w:w="100"/>
              <w:bottom w:type="dxa" w:w="60"/>
              <w:right w:type="dxa" w:w="100"/>
            </w:tcMar>
          </w:tcPr>
          <w:p>
            <w:pPr>
              <w:spacing w:after="0"/>
              <w:jc w:val="left"/>
            </w:pPr>
            <w:r>
              <w:rPr>
                <w:sz w:val="15"/>
                <w:szCs w:val="15"/>
              </w:rPr>
              <w:t xml:space="preserve">Close corroborated; O/H/L indicative</w:t>
            </w:r>
          </w:p>
        </w:tc>
      </w:tr>
      <w:tr>
        <w:trPr>
          <w:tblHeader w:val="false"/>
        </w:trPr>
        <w:tc>
          <w:tcPr>
            <w:tcW w:type="dxa" w:w="1280"/>
            <w:shd w:fill="F2F2F2" w:val="clear"/>
            <w:tcMar>
              <w:top w:type="dxa" w:w="60"/>
              <w:left w:type="dxa" w:w="100"/>
              <w:bottom w:type="dxa" w:w="60"/>
              <w:right w:type="dxa" w:w="100"/>
            </w:tcMar>
          </w:tcPr>
          <w:p>
            <w:pPr>
              <w:spacing w:after="0"/>
              <w:jc w:val="left"/>
            </w:pPr>
            <w:r>
              <w:rPr>
                <w:b/>
                <w:bCs/>
                <w:sz w:val="18"/>
                <w:szCs w:val="18"/>
              </w:rPr>
              <w:t xml:space="preserve">Mon 18 May</w:t>
            </w:r>
          </w:p>
        </w:tc>
        <w:tc>
          <w:tcPr>
            <w:tcW w:type="dxa" w:w="1140"/>
            <w:shd w:fill="F2F2F2" w:val="clear"/>
            <w:tcMar>
              <w:top w:type="dxa" w:w="60"/>
              <w:left w:type="dxa" w:w="100"/>
              <w:bottom w:type="dxa" w:w="60"/>
              <w:right w:type="dxa" w:w="100"/>
            </w:tcMar>
          </w:tcPr>
          <w:p>
            <w:pPr>
              <w:spacing w:after="0"/>
              <w:jc w:val="left"/>
            </w:pPr>
            <w:r>
              <w:rPr>
                <w:sz w:val="18"/>
                <w:szCs w:val="18"/>
              </w:rPr>
              <w:t xml:space="preserve">7,402.10</w:t>
            </w:r>
          </w:p>
        </w:tc>
        <w:tc>
          <w:tcPr>
            <w:tcW w:type="dxa" w:w="1140"/>
            <w:shd w:fill="F2F2F2" w:val="clear"/>
            <w:tcMar>
              <w:top w:type="dxa" w:w="60"/>
              <w:left w:type="dxa" w:w="100"/>
              <w:bottom w:type="dxa" w:w="60"/>
              <w:right w:type="dxa" w:w="100"/>
            </w:tcMar>
          </w:tcPr>
          <w:p>
            <w:pPr>
              <w:spacing w:after="0"/>
              <w:jc w:val="left"/>
            </w:pPr>
            <w:r>
              <w:rPr>
                <w:sz w:val="18"/>
                <w:szCs w:val="18"/>
              </w:rPr>
              <w:t xml:space="preserve">7,430.50</w:t>
            </w:r>
          </w:p>
        </w:tc>
        <w:tc>
          <w:tcPr>
            <w:tcW w:type="dxa" w:w="1140"/>
            <w:shd w:fill="F2F2F2" w:val="clear"/>
            <w:tcMar>
              <w:top w:type="dxa" w:w="60"/>
              <w:left w:type="dxa" w:w="100"/>
              <w:bottom w:type="dxa" w:w="60"/>
              <w:right w:type="dxa" w:w="100"/>
            </w:tcMar>
          </w:tcPr>
          <w:p>
            <w:pPr>
              <w:spacing w:after="0"/>
              <w:jc w:val="left"/>
            </w:pPr>
            <w:r>
              <w:rPr>
                <w:sz w:val="18"/>
                <w:szCs w:val="18"/>
              </w:rPr>
              <w:t xml:space="preserve">7,351.20</w:t>
            </w:r>
          </w:p>
        </w:tc>
        <w:tc>
          <w:tcPr>
            <w:tcW w:type="dxa" w:w="1300"/>
            <w:shd w:fill="F2F2F2" w:val="clear"/>
            <w:tcMar>
              <w:top w:type="dxa" w:w="60"/>
              <w:left w:type="dxa" w:w="100"/>
              <w:bottom w:type="dxa" w:w="60"/>
              <w:right w:type="dxa" w:w="100"/>
            </w:tcMar>
          </w:tcPr>
          <w:p>
            <w:pPr>
              <w:spacing w:after="0"/>
              <w:jc w:val="left"/>
            </w:pPr>
            <w:r>
              <w:rPr>
                <w:b/>
                <w:bCs/>
                <w:sz w:val="18"/>
                <w:szCs w:val="18"/>
              </w:rPr>
              <w:t xml:space="preserve">7,358.60</w:t>
            </w:r>
          </w:p>
        </w:tc>
        <w:tc>
          <w:tcPr>
            <w:tcW w:type="dxa" w:w="900"/>
            <w:shd w:fill="F2F2F2" w:val="clear"/>
            <w:tcMar>
              <w:top w:type="dxa" w:w="60"/>
              <w:left w:type="dxa" w:w="100"/>
              <w:bottom w:type="dxa" w:w="60"/>
              <w:right w:type="dxa" w:w="100"/>
            </w:tcMar>
          </w:tcPr>
          <w:p>
            <w:pPr>
              <w:spacing w:after="0"/>
              <w:jc w:val="left"/>
            </w:pPr>
            <w:r>
              <w:rPr>
                <w:sz w:val="18"/>
                <w:szCs w:val="18"/>
              </w:rPr>
              <w:t xml:space="preserve">0.0</w:t>
            </w:r>
          </w:p>
        </w:tc>
        <w:tc>
          <w:tcPr>
            <w:tcW w:type="dxa" w:w="1180"/>
            <w:shd w:fill="F2F2F2" w:val="clear"/>
            <w:tcMar>
              <w:top w:type="dxa" w:w="60"/>
              <w:left w:type="dxa" w:w="100"/>
              <w:bottom w:type="dxa" w:w="60"/>
              <w:right w:type="dxa" w:w="100"/>
            </w:tcMar>
          </w:tcPr>
          <w:p>
            <w:pPr>
              <w:spacing w:after="0"/>
              <w:jc w:val="left"/>
            </w:pPr>
            <w:r>
              <w:rPr>
                <w:color w:val="C0392B"/>
                <w:sz w:val="18"/>
                <w:szCs w:val="18"/>
              </w:rPr>
              <w:t xml:space="preserve">Bearish</w:t>
            </w:r>
          </w:p>
        </w:tc>
        <w:tc>
          <w:tcPr>
            <w:tcW w:type="dxa" w:w="1280"/>
            <w:shd w:fill="F2F2F2" w:val="clear"/>
            <w:tcMar>
              <w:top w:type="dxa" w:w="60"/>
              <w:left w:type="dxa" w:w="100"/>
              <w:bottom w:type="dxa" w:w="60"/>
              <w:right w:type="dxa" w:w="100"/>
            </w:tcMar>
          </w:tcPr>
          <w:p>
            <w:pPr>
              <w:spacing w:after="0"/>
              <w:jc w:val="left"/>
            </w:pPr>
            <w:r>
              <w:rPr>
                <w:sz w:val="15"/>
                <w:szCs w:val="15"/>
              </w:rPr>
              <w:t xml:space="preserve">Close corroborated; O/H/L indicative</w:t>
            </w:r>
          </w:p>
        </w:tc>
      </w:tr>
      <w:tr>
        <w:trPr>
          <w:tblHeader w:val="false"/>
        </w:trPr>
        <w:tc>
          <w:tcPr>
            <w:tcW w:type="dxa" w:w="1280"/>
            <w:tcMar>
              <w:top w:type="dxa" w:w="60"/>
              <w:left w:type="dxa" w:w="100"/>
              <w:bottom w:type="dxa" w:w="60"/>
              <w:right w:type="dxa" w:w="100"/>
            </w:tcMar>
          </w:tcPr>
          <w:p>
            <w:pPr>
              <w:spacing w:after="0"/>
              <w:jc w:val="left"/>
            </w:pPr>
            <w:r>
              <w:rPr>
                <w:b/>
                <w:bCs/>
                <w:sz w:val="18"/>
                <w:szCs w:val="18"/>
              </w:rPr>
              <w:t xml:space="preserve">Tue 19 May</w:t>
            </w:r>
          </w:p>
        </w:tc>
        <w:tc>
          <w:tcPr>
            <w:tcW w:type="dxa" w:w="1140"/>
            <w:tcMar>
              <w:top w:type="dxa" w:w="60"/>
              <w:left w:type="dxa" w:w="100"/>
              <w:bottom w:type="dxa" w:w="60"/>
              <w:right w:type="dxa" w:w="100"/>
            </w:tcMar>
          </w:tcPr>
          <w:p>
            <w:pPr>
              <w:spacing w:after="0"/>
              <w:jc w:val="left"/>
            </w:pPr>
            <w:r>
              <w:rPr>
                <w:sz w:val="18"/>
                <w:szCs w:val="18"/>
              </w:rPr>
              <w:t xml:space="preserve">7,361.40</w:t>
            </w:r>
          </w:p>
        </w:tc>
        <w:tc>
          <w:tcPr>
            <w:tcW w:type="dxa" w:w="1140"/>
            <w:tcMar>
              <w:top w:type="dxa" w:w="60"/>
              <w:left w:type="dxa" w:w="100"/>
              <w:bottom w:type="dxa" w:w="60"/>
              <w:right w:type="dxa" w:w="100"/>
            </w:tcMar>
          </w:tcPr>
          <w:p>
            <w:pPr>
              <w:spacing w:after="0"/>
              <w:jc w:val="left"/>
            </w:pPr>
            <w:r>
              <w:rPr>
                <w:sz w:val="18"/>
                <w:szCs w:val="18"/>
              </w:rPr>
              <w:t xml:space="preserve">7,372.90</w:t>
            </w:r>
          </w:p>
        </w:tc>
        <w:tc>
          <w:tcPr>
            <w:tcW w:type="dxa" w:w="1140"/>
            <w:tcMar>
              <w:top w:type="dxa" w:w="60"/>
              <w:left w:type="dxa" w:w="100"/>
              <w:bottom w:type="dxa" w:w="60"/>
              <w:right w:type="dxa" w:w="100"/>
            </w:tcMar>
          </w:tcPr>
          <w:p>
            <w:pPr>
              <w:spacing w:after="0"/>
              <w:jc w:val="left"/>
            </w:pPr>
            <w:r>
              <w:rPr>
                <w:sz w:val="18"/>
                <w:szCs w:val="18"/>
              </w:rPr>
              <w:t xml:space="preserve">7,300.80</w:t>
            </w:r>
          </w:p>
        </w:tc>
        <w:tc>
          <w:tcPr>
            <w:tcW w:type="dxa" w:w="1300"/>
            <w:tcMar>
              <w:top w:type="dxa" w:w="60"/>
              <w:left w:type="dxa" w:w="100"/>
              <w:bottom w:type="dxa" w:w="60"/>
              <w:right w:type="dxa" w:w="100"/>
            </w:tcMar>
          </w:tcPr>
          <w:p>
            <w:pPr>
              <w:spacing w:after="0"/>
              <w:jc w:val="left"/>
            </w:pPr>
            <w:r>
              <w:rPr>
                <w:b/>
                <w:bCs/>
                <w:sz w:val="18"/>
                <w:szCs w:val="18"/>
              </w:rPr>
              <w:t xml:space="preserve">7,353.61</w:t>
            </w:r>
          </w:p>
        </w:tc>
        <w:tc>
          <w:tcPr>
            <w:tcW w:type="dxa" w:w="900"/>
            <w:tcMar>
              <w:top w:type="dxa" w:w="60"/>
              <w:left w:type="dxa" w:w="100"/>
              <w:bottom w:type="dxa" w:w="60"/>
              <w:right w:type="dxa" w:w="100"/>
            </w:tcMar>
          </w:tcPr>
          <w:p>
            <w:pPr>
              <w:spacing w:after="0"/>
              <w:jc w:val="left"/>
            </w:pPr>
            <w:r>
              <w:rPr>
                <w:sz w:val="18"/>
                <w:szCs w:val="18"/>
              </w:rPr>
              <w:t xml:space="preserve">0.0</w:t>
            </w:r>
          </w:p>
        </w:tc>
        <w:tc>
          <w:tcPr>
            <w:tcW w:type="dxa" w:w="1180"/>
            <w:tcMar>
              <w:top w:type="dxa" w:w="60"/>
              <w:left w:type="dxa" w:w="100"/>
              <w:bottom w:type="dxa" w:w="60"/>
              <w:right w:type="dxa" w:w="100"/>
            </w:tcMar>
          </w:tcPr>
          <w:p>
            <w:pPr>
              <w:spacing w:after="0"/>
              <w:jc w:val="left"/>
            </w:pPr>
            <w:r>
              <w:rPr>
                <w:color w:val="C0392B"/>
                <w:sz w:val="18"/>
                <w:szCs w:val="18"/>
              </w:rPr>
              <w:t xml:space="preserve">Bearish</w:t>
            </w:r>
          </w:p>
        </w:tc>
        <w:tc>
          <w:tcPr>
            <w:tcW w:type="dxa" w:w="1280"/>
            <w:tcMar>
              <w:top w:type="dxa" w:w="60"/>
              <w:left w:type="dxa" w:w="100"/>
              <w:bottom w:type="dxa" w:w="60"/>
              <w:right w:type="dxa" w:w="100"/>
            </w:tcMar>
          </w:tcPr>
          <w:p>
            <w:pPr>
              <w:spacing w:after="0"/>
              <w:jc w:val="left"/>
            </w:pPr>
            <w:r>
              <w:rPr>
                <w:sz w:val="15"/>
                <w:szCs w:val="15"/>
              </w:rPr>
              <w:t xml:space="preserve">Close corroborated; O/H/L indicative</w:t>
            </w:r>
          </w:p>
        </w:tc>
      </w:tr>
      <w:tr>
        <w:trPr>
          <w:tblHeader w:val="false"/>
        </w:trPr>
        <w:tc>
          <w:tcPr>
            <w:tcW w:type="dxa" w:w="1280"/>
            <w:shd w:fill="F2F2F2" w:val="clear"/>
            <w:tcMar>
              <w:top w:type="dxa" w:w="60"/>
              <w:left w:type="dxa" w:w="100"/>
              <w:bottom w:type="dxa" w:w="60"/>
              <w:right w:type="dxa" w:w="100"/>
            </w:tcMar>
          </w:tcPr>
          <w:p>
            <w:pPr>
              <w:spacing w:after="0"/>
              <w:jc w:val="left"/>
            </w:pPr>
            <w:r>
              <w:rPr>
                <w:b/>
                <w:bCs/>
                <w:sz w:val="18"/>
                <w:szCs w:val="18"/>
              </w:rPr>
              <w:t xml:space="preserve">Wed 20 May</w:t>
            </w:r>
          </w:p>
        </w:tc>
        <w:tc>
          <w:tcPr>
            <w:tcW w:type="dxa" w:w="1140"/>
            <w:shd w:fill="F2F2F2" w:val="clear"/>
            <w:tcMar>
              <w:top w:type="dxa" w:w="60"/>
              <w:left w:type="dxa" w:w="100"/>
              <w:bottom w:type="dxa" w:w="60"/>
              <w:right w:type="dxa" w:w="100"/>
            </w:tcMar>
          </w:tcPr>
          <w:p>
            <w:pPr>
              <w:spacing w:after="0"/>
              <w:jc w:val="left"/>
            </w:pPr>
            <w:r>
              <w:rPr>
                <w:sz w:val="18"/>
                <w:szCs w:val="18"/>
              </w:rPr>
              <w:t xml:space="preserve">7,372.50</w:t>
            </w:r>
          </w:p>
        </w:tc>
        <w:tc>
          <w:tcPr>
            <w:tcW w:type="dxa" w:w="1140"/>
            <w:shd w:fill="F2F2F2" w:val="clear"/>
            <w:tcMar>
              <w:top w:type="dxa" w:w="60"/>
              <w:left w:type="dxa" w:w="100"/>
              <w:bottom w:type="dxa" w:w="60"/>
              <w:right w:type="dxa" w:w="100"/>
            </w:tcMar>
          </w:tcPr>
          <w:p>
            <w:pPr>
              <w:spacing w:after="0"/>
              <w:jc w:val="left"/>
            </w:pPr>
            <w:r>
              <w:rPr>
                <w:sz w:val="18"/>
                <w:szCs w:val="18"/>
              </w:rPr>
              <w:t xml:space="preserve">7,441.20</w:t>
            </w:r>
          </w:p>
        </w:tc>
        <w:tc>
          <w:tcPr>
            <w:tcW w:type="dxa" w:w="1140"/>
            <w:shd w:fill="F2F2F2" w:val="clear"/>
            <w:tcMar>
              <w:top w:type="dxa" w:w="60"/>
              <w:left w:type="dxa" w:w="100"/>
              <w:bottom w:type="dxa" w:w="60"/>
              <w:right w:type="dxa" w:w="100"/>
            </w:tcMar>
          </w:tcPr>
          <w:p>
            <w:pPr>
              <w:spacing w:after="0"/>
              <w:jc w:val="left"/>
            </w:pPr>
            <w:r>
              <w:rPr>
                <w:sz w:val="18"/>
                <w:szCs w:val="18"/>
              </w:rPr>
              <w:t xml:space="preserve">7,360.10</w:t>
            </w:r>
          </w:p>
        </w:tc>
        <w:tc>
          <w:tcPr>
            <w:tcW w:type="dxa" w:w="1300"/>
            <w:shd w:fill="F2F2F2" w:val="clear"/>
            <w:tcMar>
              <w:top w:type="dxa" w:w="60"/>
              <w:left w:type="dxa" w:w="100"/>
              <w:bottom w:type="dxa" w:w="60"/>
              <w:right w:type="dxa" w:w="100"/>
            </w:tcMar>
          </w:tcPr>
          <w:p>
            <w:pPr>
              <w:spacing w:after="0"/>
              <w:jc w:val="left"/>
            </w:pPr>
            <w:r>
              <w:rPr>
                <w:b/>
                <w:bCs/>
                <w:sz w:val="18"/>
                <w:szCs w:val="18"/>
              </w:rPr>
              <w:t xml:space="preserve">7,432.97</w:t>
            </w:r>
          </w:p>
        </w:tc>
        <w:tc>
          <w:tcPr>
            <w:tcW w:type="dxa" w:w="900"/>
            <w:shd w:fill="F2F2F2" w:val="clear"/>
            <w:tcMar>
              <w:top w:type="dxa" w:w="60"/>
              <w:left w:type="dxa" w:w="100"/>
              <w:bottom w:type="dxa" w:w="60"/>
              <w:right w:type="dxa" w:w="100"/>
            </w:tcMar>
          </w:tcPr>
          <w:p>
            <w:pPr>
              <w:spacing w:after="0"/>
              <w:jc w:val="left"/>
            </w:pPr>
            <w:r>
              <w:rPr>
                <w:sz w:val="18"/>
                <w:szCs w:val="18"/>
              </w:rPr>
              <w:t xml:space="preserve">94.1</w:t>
            </w:r>
          </w:p>
        </w:tc>
        <w:tc>
          <w:tcPr>
            <w:tcW w:type="dxa" w:w="1180"/>
            <w:shd w:fill="F2F2F2" w:val="clear"/>
            <w:tcMar>
              <w:top w:type="dxa" w:w="60"/>
              <w:left w:type="dxa" w:w="100"/>
              <w:bottom w:type="dxa" w:w="60"/>
              <w:right w:type="dxa" w:w="100"/>
            </w:tcMar>
          </w:tcPr>
          <w:p>
            <w:pPr>
              <w:spacing w:after="0"/>
              <w:jc w:val="left"/>
            </w:pPr>
            <w:r>
              <w:rPr>
                <w:color w:val="2E8B57"/>
                <w:sz w:val="18"/>
                <w:szCs w:val="18"/>
              </w:rPr>
              <w:t xml:space="preserve">Bullish</w:t>
            </w:r>
          </w:p>
        </w:tc>
        <w:tc>
          <w:tcPr>
            <w:tcW w:type="dxa" w:w="1280"/>
            <w:shd w:fill="F2F2F2" w:val="clear"/>
            <w:tcMar>
              <w:top w:type="dxa" w:w="60"/>
              <w:left w:type="dxa" w:w="100"/>
              <w:bottom w:type="dxa" w:w="60"/>
              <w:right w:type="dxa" w:w="100"/>
            </w:tcMar>
          </w:tcPr>
          <w:p>
            <w:pPr>
              <w:spacing w:after="0"/>
              <w:jc w:val="left"/>
            </w:pPr>
            <w:r>
              <w:rPr>
                <w:sz w:val="15"/>
                <w:szCs w:val="15"/>
              </w:rPr>
              <w:t xml:space="preserve">Close corroborated; O/H/L indicative</w:t>
            </w:r>
          </w:p>
        </w:tc>
      </w:tr>
      <w:tr>
        <w:trPr>
          <w:tblHeader w:val="false"/>
        </w:trPr>
        <w:tc>
          <w:tcPr>
            <w:tcW w:type="dxa" w:w="1280"/>
            <w:tcMar>
              <w:top w:type="dxa" w:w="60"/>
              <w:left w:type="dxa" w:w="100"/>
              <w:bottom w:type="dxa" w:w="60"/>
              <w:right w:type="dxa" w:w="100"/>
            </w:tcMar>
          </w:tcPr>
          <w:p>
            <w:pPr>
              <w:spacing w:after="0"/>
              <w:jc w:val="left"/>
            </w:pPr>
            <w:r>
              <w:rPr>
                <w:b/>
                <w:bCs/>
                <w:sz w:val="18"/>
                <w:szCs w:val="18"/>
              </w:rPr>
              <w:t xml:space="preserve">Thu 21 May</w:t>
            </w:r>
          </w:p>
        </w:tc>
        <w:tc>
          <w:tcPr>
            <w:tcW w:type="dxa" w:w="1140"/>
            <w:tcMar>
              <w:top w:type="dxa" w:w="60"/>
              <w:left w:type="dxa" w:w="100"/>
              <w:bottom w:type="dxa" w:w="60"/>
              <w:right w:type="dxa" w:w="100"/>
            </w:tcMar>
          </w:tcPr>
          <w:p>
            <w:pPr>
              <w:spacing w:after="0"/>
              <w:jc w:val="left"/>
            </w:pPr>
            <w:r>
              <w:rPr>
                <w:sz w:val="18"/>
                <w:szCs w:val="18"/>
              </w:rPr>
              <w:t xml:space="preserve">7,430.80</w:t>
            </w:r>
          </w:p>
        </w:tc>
        <w:tc>
          <w:tcPr>
            <w:tcW w:type="dxa" w:w="1140"/>
            <w:tcMar>
              <w:top w:type="dxa" w:w="60"/>
              <w:left w:type="dxa" w:w="100"/>
              <w:bottom w:type="dxa" w:w="60"/>
              <w:right w:type="dxa" w:w="100"/>
            </w:tcMar>
          </w:tcPr>
          <w:p>
            <w:pPr>
              <w:spacing w:after="0"/>
              <w:jc w:val="left"/>
            </w:pPr>
            <w:r>
              <w:rPr>
                <w:sz w:val="18"/>
                <w:szCs w:val="18"/>
              </w:rPr>
              <w:t xml:space="preserve">7,448.60</w:t>
            </w:r>
          </w:p>
        </w:tc>
        <w:tc>
          <w:tcPr>
            <w:tcW w:type="dxa" w:w="1140"/>
            <w:tcMar>
              <w:top w:type="dxa" w:w="60"/>
              <w:left w:type="dxa" w:w="100"/>
              <w:bottom w:type="dxa" w:w="60"/>
              <w:right w:type="dxa" w:w="100"/>
            </w:tcMar>
          </w:tcPr>
          <w:p>
            <w:pPr>
              <w:spacing w:after="0"/>
              <w:jc w:val="left"/>
            </w:pPr>
            <w:r>
              <w:rPr>
                <w:sz w:val="18"/>
                <w:szCs w:val="18"/>
              </w:rPr>
              <w:t xml:space="preserve">7,388.20</w:t>
            </w:r>
          </w:p>
        </w:tc>
        <w:tc>
          <w:tcPr>
            <w:tcW w:type="dxa" w:w="1300"/>
            <w:tcMar>
              <w:top w:type="dxa" w:w="60"/>
              <w:left w:type="dxa" w:w="100"/>
              <w:bottom w:type="dxa" w:w="60"/>
              <w:right w:type="dxa" w:w="100"/>
            </w:tcMar>
          </w:tcPr>
          <w:p>
            <w:pPr>
              <w:spacing w:after="0"/>
              <w:jc w:val="left"/>
            </w:pPr>
            <w:r>
              <w:rPr>
                <w:b/>
                <w:bCs/>
                <w:sz w:val="18"/>
                <w:szCs w:val="18"/>
              </w:rPr>
              <w:t xml:space="preserve">7,400.30</w:t>
            </w:r>
          </w:p>
        </w:tc>
        <w:tc>
          <w:tcPr>
            <w:tcW w:type="dxa" w:w="900"/>
            <w:tcMar>
              <w:top w:type="dxa" w:w="60"/>
              <w:left w:type="dxa" w:w="100"/>
              <w:bottom w:type="dxa" w:w="60"/>
              <w:right w:type="dxa" w:w="100"/>
            </w:tcMar>
          </w:tcPr>
          <w:p>
            <w:pPr>
              <w:spacing w:after="0"/>
              <w:jc w:val="left"/>
            </w:pPr>
            <w:r>
              <w:rPr>
                <w:sz w:val="18"/>
                <w:szCs w:val="18"/>
              </w:rPr>
              <w:t xml:space="preserve">70.8</w:t>
            </w:r>
          </w:p>
        </w:tc>
        <w:tc>
          <w:tcPr>
            <w:tcW w:type="dxa" w:w="1180"/>
            <w:tcMar>
              <w:top w:type="dxa" w:w="60"/>
              <w:left w:type="dxa" w:w="100"/>
              <w:bottom w:type="dxa" w:w="60"/>
              <w:right w:type="dxa" w:w="100"/>
            </w:tcMar>
          </w:tcPr>
          <w:p>
            <w:pPr>
              <w:spacing w:after="0"/>
              <w:jc w:val="left"/>
            </w:pPr>
            <w:r>
              <w:rPr>
                <w:color w:val="B9770E"/>
                <w:sz w:val="18"/>
                <w:szCs w:val="18"/>
              </w:rPr>
              <w:t xml:space="preserve">Neutral</w:t>
            </w:r>
          </w:p>
        </w:tc>
        <w:tc>
          <w:tcPr>
            <w:tcW w:type="dxa" w:w="1280"/>
            <w:tcMar>
              <w:top w:type="dxa" w:w="60"/>
              <w:left w:type="dxa" w:w="100"/>
              <w:bottom w:type="dxa" w:w="60"/>
              <w:right w:type="dxa" w:w="100"/>
            </w:tcMar>
          </w:tcPr>
          <w:p>
            <w:pPr>
              <w:spacing w:after="0"/>
              <w:jc w:val="left"/>
            </w:pPr>
            <w:r>
              <w:rPr>
                <w:sz w:val="15"/>
                <w:szCs w:val="15"/>
              </w:rPr>
              <w:t xml:space="preserve">Close corroborated; O/H/L indicative</w:t>
            </w:r>
          </w:p>
        </w:tc>
      </w:tr>
    </w:tbl>
    <w:p>
      <w:pPr>
        <w:spacing w:after="60"/>
      </w:pPr>
      <w:r>
        <w:t xml:space="preserve"/>
      </w:r>
    </w:p>
    <w:p>
      <w:pPr>
        <w:spacing w:after="120"/>
      </w:pPr>
      <w:r>
        <w:rPr>
          <w:i/>
          <w:iCs/>
          <w:color w:val="555555"/>
          <w:sz w:val="19"/>
          <w:szCs w:val="19"/>
        </w:rPr>
        <w:t xml:space="preserve">Source A / Source B: close prices corroborated across S&amp;P Dow Jones / FRED, CNBC, Yahoo Finance, Trading Economics and Investing.com within the ±0.10-point equity-index tolerance for the 14 and 20 May sessions; the 15, 18, 19 and 21 May closes are corroborated at the close-basis level but the matching intraday Open/High/Low could not be paired within tolerance from two independent approved sources. Those O/H/L fields are therefore marked single-source indicative. RSI2 of 0.0 on 18 and 19 May is a correct reading — two consecutive all-loss sessions drive the period-2 oscillator to its floor, consistent with the sharp two-session decline.</w:t>
      </w:r>
    </w:p>
    <w:p>
      <w:r>
        <w:br w:type="page"/>
      </w:r>
    </w:p>
    <w:p>
      <w:pPr>
        <w:pStyle w:val="Heading1"/>
      </w:pPr>
      <w:r>
        <w:t xml:space="preserve">7.  Charts</w:t>
      </w:r>
    </w:p>
    <w:p>
      <w:pPr>
        <w:pStyle w:val="Heading3"/>
      </w:pPr>
      <w:r>
        <w:t xml:space="preserve">7.1  Five-Day Candlestick</w:t>
      </w:r>
    </w:p>
    <w:p>
      <w:pPr>
        <w:spacing w:after="160" w:before="120"/>
        <w:jc w:val="center"/>
      </w:pPr>
      <w:r>
        <w:drawing>
          <wp:inline distT="0" distB="0" distL="0" distR="0">
            <wp:extent cx="5715000" cy="3044952"/>
            <wp:effectExtent t="0" r="0" b="0" l="0"/>
            <wp:docPr id="1" name="chart" descr="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4952"/>
                    </a:xfrm>
                    <a:prstGeom prst="rect">
                      <a:avLst/>
                    </a:prstGeom>
                  </pic:spPr>
                </pic:pic>
              </a:graphicData>
            </a:graphic>
          </wp:inline>
        </w:drawing>
      </w:r>
    </w:p>
    <w:p>
      <w:pPr>
        <w:spacing w:after="120"/>
      </w:pPr>
      <w:r>
        <w:t xml:space="preserve">Three red bodies into 19 May, a decisive green rebound on 20 May, then a red 21 May body that closes in the lower fifth of its range — the visual signature of a market that bounced but could not follow through.</w:t>
      </w:r>
    </w:p>
    <w:p>
      <w:pPr>
        <w:pStyle w:val="Heading3"/>
      </w:pPr>
      <w:r>
        <w:t xml:space="preserve">7.2  Distance from Session Open</w:t>
      </w:r>
    </w:p>
    <w:p>
      <w:pPr>
        <w:spacing w:after="160" w:before="120"/>
        <w:jc w:val="center"/>
      </w:pPr>
      <w:r>
        <w:drawing>
          <wp:inline distT="0" distB="0" distL="0" distR="0">
            <wp:extent cx="5715000" cy="3044952"/>
            <wp:effectExtent t="0" r="0" b="0" l="0"/>
            <wp:docPr id="1" name="chart" descr="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4952"/>
                    </a:xfrm>
                    <a:prstGeom prst="rect">
                      <a:avLst/>
                    </a:prstGeom>
                  </pic:spPr>
                </pic:pic>
              </a:graphicData>
            </a:graphic>
          </wp:inline>
        </w:drawing>
      </w:r>
    </w:p>
    <w:p>
      <w:pPr>
        <w:spacing w:after="120"/>
      </w:pPr>
      <w:r>
        <w:t xml:space="preserve">Normalising each session to its own open exposes the directional travel. The 20 May session shows the largest positive close-versus-open displacement; 21 May reverts to a negative close-versus-open reading despite an early push higher.</w:t>
      </w:r>
    </w:p>
    <w:p>
      <w:pPr>
        <w:pStyle w:val="Heading3"/>
      </w:pPr>
      <w:r>
        <w:t xml:space="preserve">7.3  Twenty-Five-Session Structure</w:t>
      </w:r>
    </w:p>
    <w:p>
      <w:pPr>
        <w:spacing w:after="160" w:before="120"/>
        <w:jc w:val="center"/>
      </w:pPr>
      <w:r>
        <w:drawing>
          <wp:inline distT="0" distB="0" distL="0" distR="0">
            <wp:extent cx="5715000" cy="3044952"/>
            <wp:effectExtent t="0" r="0" b="0" l="0"/>
            <wp:docPr id="1" name="chart" descr="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4952"/>
                    </a:xfrm>
                    <a:prstGeom prst="rect">
                      <a:avLst/>
                    </a:prstGeom>
                  </pic:spPr>
                </pic:pic>
              </a:graphicData>
            </a:graphic>
          </wp:inline>
        </w:drawing>
      </w:r>
    </w:p>
    <w:p>
      <w:pPr>
        <w:spacing w:after="120"/>
      </w:pPr>
      <w:r>
        <w:t xml:space="preserve">The medium-term structure shows a sustained climb into the 14 May record, a three-session pullback, and a partial recovery. Bars alternate colour in the final stretch — the hallmark of a transitional, rotation-prone tape rather than a clean trend.</w:t>
      </w:r>
    </w:p>
    <w:p>
      <w:pPr>
        <w:pStyle w:val="Heading3"/>
      </w:pPr>
      <w:r>
        <w:t xml:space="preserve">7.4  Comparative Volatility (VOLator)</w:t>
      </w:r>
    </w:p>
    <w:p>
      <w:pPr>
        <w:spacing w:after="160" w:before="120"/>
        <w:jc w:val="center"/>
      </w:pPr>
      <w:r>
        <w:drawing>
          <wp:inline distT="0" distB="0" distL="0" distR="0">
            <wp:extent cx="5715000" cy="3172968"/>
            <wp:effectExtent t="0" r="0" b="0" l="0"/>
            <wp:docPr id="1" name="chart" descr="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2968"/>
                    </a:xfrm>
                    <a:prstGeom prst="rect">
                      <a:avLst/>
                    </a:prstGeom>
                  </pic:spPr>
                </pic:pic>
              </a:graphicData>
            </a:graphic>
          </wp:inline>
        </w:drawing>
      </w:r>
    </w:p>
    <w:p>
      <w:pPr>
        <w:spacing w:after="120"/>
      </w:pPr>
      <w:r>
        <w:t xml:space="preserve">Scaled volatility for the S&amp;P 500 has risen toward the top of its band, with a positive slope over the last ten observations. DAX 40 tracks it closely; VIX-implied volatility has re-expanded off its mid-band trough; USDX volatility remains subdued. Rising realised volatility into a mid-range tape supports the transitional read.</w:t>
      </w:r>
    </w:p>
    <w:p>
      <w:pPr>
        <w:pStyle w:val="Heading3"/>
      </w:pPr>
      <w:r>
        <w:t xml:space="preserve">7.5  Pivot Structure</w:t>
      </w:r>
    </w:p>
    <w:p>
      <w:pPr>
        <w:spacing w:after="160" w:before="120"/>
        <w:jc w:val="center"/>
      </w:pPr>
      <w:r>
        <w:drawing>
          <wp:inline distT="0" distB="0" distL="0" distR="0">
            <wp:extent cx="5486400" cy="3959352"/>
            <wp:effectExtent t="0" r="0" b="0" l="0"/>
            <wp:docPr id="1" name="chart" descr="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959352"/>
                    </a:xfrm>
                    <a:prstGeom prst="rect">
                      <a:avLst/>
                    </a:prstGeom>
                  </pic:spPr>
                </pic:pic>
              </a:graphicData>
            </a:graphic>
          </wp:inline>
        </w:drawing>
      </w:r>
    </w:p>
    <w:p>
      <w:pPr>
        <w:spacing w:after="120"/>
      </w:pPr>
      <w:r>
        <w:t xml:space="preserve">The 21 May close at 7,400 sits just below the daily pivot at 7,412 and inside a dense confluence band: the weekly pivot (7,434), daily R1 (7,437) and monthly R1 (7,440) cluster overhead within a roughly six-point span, while daily S1.5 (7,364), weekly S1 (7,351) and daily S2 (7,352) cluster below.</w:t>
      </w:r>
    </w:p>
    <w:p>
      <w:r>
        <w:br w:type="page"/>
      </w:r>
    </w:p>
    <w:p>
      <w:pPr>
        <w:pStyle w:val="Heading1"/>
      </w:pPr>
      <w:r>
        <w:t xml:space="preserve">8.  Short-Term Technical Analysis</w:t>
      </w:r>
    </w:p>
    <w:p>
      <w:pPr>
        <w:pStyle w:val="Heading3"/>
      </w:pPr>
      <w:r>
        <w:t xml:space="preserve">Session-by-session</w:t>
      </w:r>
    </w:p>
    <w:p>
      <w:pPr>
        <w:pStyle w:val="ListParagraph"/>
        <w:numPr>
          <w:ilvl w:val="0"/>
          <w:numId w:val="2"/>
        </w:numPr>
        <w:spacing w:after="60"/>
      </w:pPr>
      <w:r>
        <w:rPr>
          <w:b/>
          <w:bCs/>
        </w:rPr>
        <w:t xml:space="preserve">15 May (see §6): </w:t>
      </w:r>
      <w:r>
        <w:t xml:space="preserve">a large bearish body closing in the lower 7% of its range, RSI2 at 31.9. The record-day momentum was decisively rejected; supply dominated.</w:t>
      </w:r>
    </w:p>
    <w:p>
      <w:pPr>
        <w:pStyle w:val="ListParagraph"/>
        <w:numPr>
          <w:ilvl w:val="0"/>
          <w:numId w:val="2"/>
        </w:numPr>
        <w:spacing w:after="60"/>
      </w:pPr>
      <w:r>
        <w:rPr>
          <w:b/>
          <w:bCs/>
        </w:rPr>
        <w:t xml:space="preserve">18 May (see §6): </w:t>
      </w:r>
      <w:r>
        <w:t xml:space="preserve">a second bearish body, close at 9% of range, RSI2 pinned at 0.0. Continuation lower with no demand response intraday.</w:t>
      </w:r>
    </w:p>
    <w:p>
      <w:pPr>
        <w:pStyle w:val="ListParagraph"/>
        <w:numPr>
          <w:ilvl w:val="0"/>
          <w:numId w:val="2"/>
        </w:numPr>
        <w:spacing w:after="60"/>
      </w:pPr>
      <w:r>
        <w:rPr>
          <w:b/>
          <w:bCs/>
        </w:rPr>
        <w:t xml:space="preserve">19 May (see §6): </w:t>
      </w:r>
      <w:r>
        <w:t xml:space="preserve">a narrow-range bearish body but with a close back at 73% of range and a long lower wick — the first sign of demand absorbing the decline, even though RSI2 remained at 0.0.</w:t>
      </w:r>
    </w:p>
    <w:p>
      <w:pPr>
        <w:pStyle w:val="ListParagraph"/>
        <w:numPr>
          <w:ilvl w:val="0"/>
          <w:numId w:val="2"/>
        </w:numPr>
        <w:spacing w:after="60"/>
      </w:pPr>
      <w:r>
        <w:rPr>
          <w:b/>
          <w:bCs/>
        </w:rPr>
        <w:t xml:space="preserve">20 May (see §6): </w:t>
      </w:r>
      <w:r>
        <w:t xml:space="preserve">a strong bullish body, close at 90% of range, RSI2 surging to 94.1 — a sharp relief rebound as oil and yields eased.</w:t>
      </w:r>
    </w:p>
    <w:p>
      <w:pPr>
        <w:pStyle w:val="ListParagraph"/>
        <w:numPr>
          <w:ilvl w:val="0"/>
          <w:numId w:val="2"/>
        </w:numPr>
        <w:spacing w:after="60"/>
      </w:pPr>
      <w:r>
        <w:rPr>
          <w:b/>
          <w:bCs/>
        </w:rPr>
        <w:t xml:space="preserve">21 May (see §6): </w:t>
      </w:r>
      <w:r>
        <w:t xml:space="preserve">a bearish body that opened firm but closed at only 20% of range, RSI2 easing to 70.8 — an indecisive session that gave back much of the prior day's close-to-close gain.</w:t>
      </w:r>
    </w:p>
    <w:p>
      <w:pPr>
        <w:spacing w:after="60"/>
      </w:pPr>
      <w:r>
        <w:t xml:space="preserve"/>
      </w:r>
    </w:p>
    <w:p>
      <w:pPr>
        <w:pStyle w:val="Heading3"/>
      </w:pPr>
      <w:r>
        <w:t xml:space="preserve">Sequence assessment</w:t>
      </w:r>
    </w:p>
    <w:p>
      <w:pPr>
        <w:spacing w:after="120"/>
      </w:pPr>
      <w:r>
        <w:t xml:space="preserve">The five-session sequence is classified as Indecision shading into Exhaustion. The evidence: direction alternates (three down, one strong up, one down); both the 19 May lower wick and the 21 May upper-range rejection show two-sided wick prominence; and RSI2 has oscillated violently between 0.0 and 94.1 across just three sessions. The 20 May rebound did not produce a higher high versus 15 May, so the recovery is so far corrective rather than trend-resuming.</w:t>
      </w:r>
    </w:p>
    <w:p>
      <w:pPr>
        <w:pStyle w:val="Heading3"/>
      </w:pPr>
      <w:r>
        <w:t xml:space="preserve">Nearest support and resistance</w:t>
      </w:r>
    </w:p>
    <w:p>
      <w:pPr>
        <w:pStyle w:val="ListParagraph"/>
        <w:numPr>
          <w:ilvl w:val="0"/>
          <w:numId w:val="2"/>
        </w:numPr>
        <w:spacing w:after="60"/>
      </w:pPr>
      <w:r>
        <w:t xml:space="preserve">Resistance: 7,448.60 (21 May high), then 7,501.10 (15 May high) — the latter is the gateway back toward the record.</w:t>
      </w:r>
    </w:p>
    <w:p>
      <w:pPr>
        <w:pStyle w:val="ListParagraph"/>
        <w:numPr>
          <w:ilvl w:val="0"/>
          <w:numId w:val="2"/>
        </w:numPr>
        <w:spacing w:after="60"/>
      </w:pPr>
      <w:r>
        <w:t xml:space="preserve">Support: 7,388.20 (21 May low), then 7,300.80 (19 May low) — the structural floor of the five-day block.</w:t>
      </w:r>
    </w:p>
    <w:p>
      <w:pPr>
        <w:spacing w:after="60"/>
      </w:pPr>
      <w:r>
        <w:t xml:space="preserve"/>
      </w:r>
    </w:p>
    <w:tbl>
      <w:tblPr>
        <w:tblW w:type="dxa" w:w="9360"/>
        <w:tblBorders>
          <w:top w:val="single" w:color="1F3A5F" w:sz="4"/>
          <w:left w:val="single" w:color="1F3A5F" w:sz="4"/>
          <w:bottom w:val="single" w:color="1F3A5F" w:sz="4"/>
          <w:right w:val="single" w:color="1F3A5F" w:sz="4"/>
          <w:insideH w:val="single" w:color="auto" w:sz="4"/>
          <w:insideV w:val="single" w:color="auto" w:sz="4"/>
        </w:tblBorders>
      </w:tblPr>
      <w:tblGrid>
        <w:gridCol w:w="9360"/>
      </w:tblGrid>
      <w:tr>
        <w:tc>
          <w:tcPr>
            <w:tcW w:type="dxa" w:w="9360"/>
            <w:shd w:fill="EAF0F6" w:val="clear"/>
            <w:tcMar>
              <w:top w:type="dxa" w:w="120"/>
              <w:left w:type="dxa" w:w="160"/>
              <w:bottom w:type="dxa" w:w="120"/>
              <w:right w:type="dxa" w:w="160"/>
            </w:tcMar>
          </w:tcPr>
          <w:p>
            <w:pPr>
              <w:spacing w:after="0"/>
            </w:pPr>
            <w:r>
              <w:rPr>
                <w:b/>
                <w:bCs/>
              </w:rPr>
              <w:t xml:space="preserve">Judgement label: </w:t>
            </w:r>
            <w:r>
              <w:t xml:space="preserve">Indecision — reversal risk. This label is consistent with the Transitional medium-term regime in §9; no conflict to flag.</w:t>
            </w:r>
          </w:p>
        </w:tc>
      </w:tr>
    </w:tbl>
    <w:p>
      <w:pPr>
        <w:pStyle w:val="Heading1"/>
      </w:pPr>
      <w:r>
        <w:t xml:space="preserve">9.  Medium-Term Regime and VOLator</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000"/>
        <w:gridCol w:w="6360"/>
      </w:tblGrid>
      <w:tr>
        <w:trPr>
          <w:tblHeader/>
        </w:trPr>
        <w:tc>
          <w:tcPr>
            <w:tcW w:type="dxa" w:w="3000"/>
            <w:shd w:fill="1F3A5F" w:val="clear"/>
            <w:tcMar>
              <w:top w:type="dxa" w:w="60"/>
              <w:left w:type="dxa" w:w="100"/>
              <w:bottom w:type="dxa" w:w="60"/>
              <w:right w:type="dxa" w:w="100"/>
            </w:tcMar>
          </w:tcPr>
          <w:p>
            <w:pPr>
              <w:spacing w:after="0"/>
              <w:jc w:val="left"/>
            </w:pPr>
            <w:r>
              <w:rPr>
                <w:b/>
                <w:bCs/>
                <w:color w:val="FFFFFF"/>
                <w:sz w:val="18"/>
                <w:szCs w:val="18"/>
              </w:rPr>
              <w:t xml:space="preserve">Metric</w:t>
            </w:r>
          </w:p>
        </w:tc>
        <w:tc>
          <w:tcPr>
            <w:tcW w:type="dxa" w:w="6360"/>
            <w:shd w:fill="1F3A5F" w:val="clear"/>
            <w:tcMar>
              <w:top w:type="dxa" w:w="60"/>
              <w:left w:type="dxa" w:w="100"/>
              <w:bottom w:type="dxa" w:w="60"/>
              <w:right w:type="dxa" w:w="100"/>
            </w:tcMar>
          </w:tcPr>
          <w:p>
            <w:pPr>
              <w:spacing w:after="0"/>
              <w:jc w:val="left"/>
            </w:pPr>
            <w:r>
              <w:rPr>
                <w:b/>
                <w:bCs/>
                <w:color w:val="FFFFFF"/>
                <w:sz w:val="18"/>
                <w:szCs w:val="18"/>
              </w:rPr>
              <w:t xml:space="preserve">Reading</w:t>
            </w:r>
          </w:p>
        </w:tc>
      </w:tr>
      <w:tr>
        <w:trPr>
          <w:tblHeader w:val="false"/>
        </w:trPr>
        <w:tc>
          <w:tcPr>
            <w:tcW w:type="dxa" w:w="3000"/>
            <w:tcMar>
              <w:top w:type="dxa" w:w="60"/>
              <w:left w:type="dxa" w:w="100"/>
              <w:bottom w:type="dxa" w:w="60"/>
              <w:right w:type="dxa" w:w="100"/>
            </w:tcMar>
          </w:tcPr>
          <w:p>
            <w:pPr>
              <w:spacing w:after="0"/>
              <w:jc w:val="left"/>
            </w:pPr>
            <w:r>
              <w:rPr>
                <w:b/>
                <w:bCs/>
                <w:sz w:val="18"/>
                <w:szCs w:val="18"/>
              </w:rPr>
              <w:t xml:space="preserve">Regime classification</w:t>
            </w:r>
          </w:p>
        </w:tc>
        <w:tc>
          <w:tcPr>
            <w:tcW w:type="dxa" w:w="6360"/>
            <w:tcMar>
              <w:top w:type="dxa" w:w="60"/>
              <w:left w:type="dxa" w:w="100"/>
              <w:bottom w:type="dxa" w:w="60"/>
              <w:right w:type="dxa" w:w="100"/>
            </w:tcMar>
          </w:tcPr>
          <w:p>
            <w:pPr>
              <w:spacing w:after="0"/>
              <w:jc w:val="left"/>
            </w:pPr>
            <w:r>
              <w:rPr>
                <w:b/>
                <w:bCs/>
                <w:sz w:val="18"/>
                <w:szCs w:val="18"/>
              </w:rPr>
              <w:t xml:space="preserve">Transitional</w:t>
            </w:r>
          </w:p>
        </w:tc>
      </w:tr>
      <w:tr>
        <w:trPr>
          <w:tblHeader w:val="false"/>
        </w:trPr>
        <w:tc>
          <w:tcPr>
            <w:tcW w:type="dxa" w:w="3000"/>
            <w:shd w:fill="F2F2F2" w:val="clear"/>
            <w:tcMar>
              <w:top w:type="dxa" w:w="60"/>
              <w:left w:type="dxa" w:w="100"/>
              <w:bottom w:type="dxa" w:w="60"/>
              <w:right w:type="dxa" w:w="100"/>
            </w:tcMar>
          </w:tcPr>
          <w:p>
            <w:pPr>
              <w:spacing w:after="0"/>
              <w:jc w:val="left"/>
            </w:pPr>
            <w:r>
              <w:rPr>
                <w:b/>
                <w:bCs/>
                <w:sz w:val="18"/>
                <w:szCs w:val="18"/>
              </w:rPr>
              <w:t xml:space="preserve">Directional bias</w:t>
            </w:r>
          </w:p>
        </w:tc>
        <w:tc>
          <w:tcPr>
            <w:tcW w:type="dxa" w:w="6360"/>
            <w:shd w:fill="F2F2F2" w:val="clear"/>
            <w:tcMar>
              <w:top w:type="dxa" w:w="60"/>
              <w:left w:type="dxa" w:w="100"/>
              <w:bottom w:type="dxa" w:w="60"/>
              <w:right w:type="dxa" w:w="100"/>
            </w:tcMar>
          </w:tcPr>
          <w:p>
            <w:pPr>
              <w:spacing w:after="0"/>
              <w:jc w:val="left"/>
            </w:pPr>
            <w:r>
              <w:rPr>
                <w:sz w:val="18"/>
                <w:szCs w:val="18"/>
              </w:rPr>
              <w:t xml:space="preserve">Neutral, mild bearish lean</w:t>
            </w:r>
          </w:p>
        </w:tc>
      </w:tr>
      <w:tr>
        <w:trPr>
          <w:tblHeader w:val="false"/>
        </w:trPr>
        <w:tc>
          <w:tcPr>
            <w:tcW w:type="dxa" w:w="3000"/>
            <w:tcMar>
              <w:top w:type="dxa" w:w="60"/>
              <w:left w:type="dxa" w:w="100"/>
              <w:bottom w:type="dxa" w:w="60"/>
              <w:right w:type="dxa" w:w="100"/>
            </w:tcMar>
          </w:tcPr>
          <w:p>
            <w:pPr>
              <w:spacing w:after="0"/>
              <w:jc w:val="left"/>
            </w:pPr>
            <w:r>
              <w:rPr>
                <w:b/>
                <w:bCs/>
                <w:sz w:val="18"/>
                <w:szCs w:val="18"/>
              </w:rPr>
              <w:t xml:space="preserve">Overlap ratio (5-session)</w:t>
            </w:r>
          </w:p>
        </w:tc>
        <w:tc>
          <w:tcPr>
            <w:tcW w:type="dxa" w:w="6360"/>
            <w:tcMar>
              <w:top w:type="dxa" w:w="60"/>
              <w:left w:type="dxa" w:w="100"/>
              <w:bottom w:type="dxa" w:w="60"/>
              <w:right w:type="dxa" w:w="100"/>
            </w:tcMar>
          </w:tcPr>
          <w:p>
            <w:pPr>
              <w:spacing w:after="0"/>
              <w:jc w:val="left"/>
            </w:pPr>
            <w:r>
              <w:rPr>
                <w:sz w:val="18"/>
                <w:szCs w:val="18"/>
              </w:rPr>
              <w:t xml:space="preserve">0.47 — between the ranging and trending thresholds</w:t>
            </w:r>
          </w:p>
        </w:tc>
      </w:tr>
      <w:tr>
        <w:trPr>
          <w:tblHeader w:val="false"/>
        </w:trPr>
        <w:tc>
          <w:tcPr>
            <w:tcW w:type="dxa" w:w="3000"/>
            <w:shd w:fill="F2F2F2" w:val="clear"/>
            <w:tcMar>
              <w:top w:type="dxa" w:w="60"/>
              <w:left w:type="dxa" w:w="100"/>
              <w:bottom w:type="dxa" w:w="60"/>
              <w:right w:type="dxa" w:w="100"/>
            </w:tcMar>
          </w:tcPr>
          <w:p>
            <w:pPr>
              <w:spacing w:after="0"/>
              <w:jc w:val="left"/>
            </w:pPr>
            <w:r>
              <w:rPr>
                <w:b/>
                <w:bCs/>
                <w:sz w:val="18"/>
                <w:szCs w:val="18"/>
              </w:rPr>
              <w:t xml:space="preserve">Directional persistence</w:t>
            </w:r>
          </w:p>
        </w:tc>
        <w:tc>
          <w:tcPr>
            <w:tcW w:type="dxa" w:w="6360"/>
            <w:shd w:fill="F2F2F2" w:val="clear"/>
            <w:tcMar>
              <w:top w:type="dxa" w:w="60"/>
              <w:left w:type="dxa" w:w="100"/>
              <w:bottom w:type="dxa" w:w="60"/>
              <w:right w:type="dxa" w:w="100"/>
            </w:tcMar>
          </w:tcPr>
          <w:p>
            <w:pPr>
              <w:spacing w:after="0"/>
              <w:jc w:val="left"/>
            </w:pPr>
            <w:r>
              <w:rPr>
                <w:sz w:val="18"/>
                <w:szCs w:val="18"/>
              </w:rPr>
              <w:t xml:space="preserve">0.50 — no clear directional follow-through</w:t>
            </w:r>
          </w:p>
        </w:tc>
      </w:tr>
      <w:tr>
        <w:trPr>
          <w:tblHeader w:val="false"/>
        </w:trPr>
        <w:tc>
          <w:tcPr>
            <w:tcW w:type="dxa" w:w="3000"/>
            <w:tcMar>
              <w:top w:type="dxa" w:w="60"/>
              <w:left w:type="dxa" w:w="100"/>
              <w:bottom w:type="dxa" w:w="60"/>
              <w:right w:type="dxa" w:w="100"/>
            </w:tcMar>
          </w:tcPr>
          <w:p>
            <w:pPr>
              <w:spacing w:after="0"/>
              <w:jc w:val="left"/>
            </w:pPr>
            <w:r>
              <w:rPr>
                <w:b/>
                <w:bCs/>
                <w:sz w:val="18"/>
                <w:szCs w:val="18"/>
              </w:rPr>
              <w:t xml:space="preserve">Range position</w:t>
            </w:r>
          </w:p>
        </w:tc>
        <w:tc>
          <w:tcPr>
            <w:tcW w:type="dxa" w:w="6360"/>
            <w:tcMar>
              <w:top w:type="dxa" w:w="60"/>
              <w:left w:type="dxa" w:w="100"/>
              <w:bottom w:type="dxa" w:w="60"/>
              <w:right w:type="dxa" w:w="100"/>
            </w:tcMar>
          </w:tcPr>
          <w:p>
            <w:pPr>
              <w:spacing w:after="0"/>
              <w:jc w:val="left"/>
            </w:pPr>
            <w:r>
              <w:rPr>
                <w:sz w:val="18"/>
                <w:szCs w:val="18"/>
              </w:rPr>
              <w:t xml:space="preserve">78th percentile of the 25-session range — Range Top Bias</w:t>
            </w:r>
          </w:p>
        </w:tc>
      </w:tr>
      <w:tr>
        <w:trPr>
          <w:tblHeader w:val="false"/>
        </w:trPr>
        <w:tc>
          <w:tcPr>
            <w:tcW w:type="dxa" w:w="3000"/>
            <w:shd w:fill="F2F2F2" w:val="clear"/>
            <w:tcMar>
              <w:top w:type="dxa" w:w="60"/>
              <w:left w:type="dxa" w:w="100"/>
              <w:bottom w:type="dxa" w:w="60"/>
              <w:right w:type="dxa" w:w="100"/>
            </w:tcMar>
          </w:tcPr>
          <w:p>
            <w:pPr>
              <w:spacing w:after="0"/>
              <w:jc w:val="left"/>
            </w:pPr>
            <w:r>
              <w:rPr>
                <w:b/>
                <w:bCs/>
                <w:sz w:val="18"/>
                <w:szCs w:val="18"/>
              </w:rPr>
              <w:t xml:space="preserve">VOLator slope</w:t>
            </w:r>
          </w:p>
        </w:tc>
        <w:tc>
          <w:tcPr>
            <w:tcW w:type="dxa" w:w="6360"/>
            <w:shd w:fill="F2F2F2" w:val="clear"/>
            <w:tcMar>
              <w:top w:type="dxa" w:w="60"/>
              <w:left w:type="dxa" w:w="100"/>
              <w:bottom w:type="dxa" w:w="60"/>
              <w:right w:type="dxa" w:w="100"/>
            </w:tcMar>
          </w:tcPr>
          <w:p>
            <w:pPr>
              <w:spacing w:after="0"/>
              <w:jc w:val="left"/>
            </w:pPr>
            <w:r>
              <w:rPr>
                <w:sz w:val="18"/>
                <w:szCs w:val="18"/>
              </w:rPr>
              <w:t xml:space="preserve">+0.23 — volatility expanding</w:t>
            </w:r>
          </w:p>
        </w:tc>
      </w:tr>
      <w:tr>
        <w:trPr>
          <w:tblHeader w:val="false"/>
        </w:trPr>
        <w:tc>
          <w:tcPr>
            <w:tcW w:type="dxa" w:w="3000"/>
            <w:tcMar>
              <w:top w:type="dxa" w:w="60"/>
              <w:left w:type="dxa" w:w="100"/>
              <w:bottom w:type="dxa" w:w="60"/>
              <w:right w:type="dxa" w:w="100"/>
            </w:tcMar>
          </w:tcPr>
          <w:p>
            <w:pPr>
              <w:spacing w:after="0"/>
              <w:jc w:val="left"/>
            </w:pPr>
            <w:r>
              <w:rPr>
                <w:b/>
                <w:bCs/>
                <w:sz w:val="18"/>
                <w:szCs w:val="18"/>
              </w:rPr>
              <w:t xml:space="preserve">Median RSI2 (5-day)</w:t>
            </w:r>
          </w:p>
        </w:tc>
        <w:tc>
          <w:tcPr>
            <w:tcW w:type="dxa" w:w="6360"/>
            <w:tcMar>
              <w:top w:type="dxa" w:w="60"/>
              <w:left w:type="dxa" w:w="100"/>
              <w:bottom w:type="dxa" w:w="60"/>
              <w:right w:type="dxa" w:w="100"/>
            </w:tcMar>
          </w:tcPr>
          <w:p>
            <w:pPr>
              <w:spacing w:after="0"/>
              <w:jc w:val="left"/>
            </w:pPr>
            <w:r>
              <w:rPr>
                <w:sz w:val="18"/>
                <w:szCs w:val="18"/>
              </w:rPr>
              <w:t xml:space="preserve">31.9 — skewed low by the two 0.0 prints</w:t>
            </w:r>
          </w:p>
        </w:tc>
      </w:tr>
    </w:tbl>
    <w:p>
      <w:pPr>
        <w:spacing w:after="60"/>
      </w:pPr>
      <w:r>
        <w:t xml:space="preserve"/>
      </w:r>
    </w:p>
    <w:p>
      <w:pPr>
        <w:spacing w:after="120"/>
      </w:pPr>
      <w:r>
        <w:t xml:space="preserve">VOLator current readings. S&amp;P 500 scaled volatility is at the top of its band (≈ +1.0) and expanding; DAX 40 is similarly elevated and expanding; VIX-implied volatility is mid-band and re-expanding off a trough; USDX volatility is below its midpoint and broadly flat. Rising realised volatility while the index sits mid-range, with overlap and persistence both in no-man's-land, is the defining signature of a transitional regime.</w:t>
      </w:r>
    </w:p>
    <w:p>
      <w:pPr>
        <w:spacing w:after="120"/>
      </w:pPr>
      <w:r>
        <w:t xml:space="preserve">Preferred trade protocol. Combining the §8 short-term Indecision read with the medium-term Transitional regime yields a reduced-conviction protocol: wait for a confirmed break before committing directional risk. This is consistent across the two horizons.</w:t>
      </w:r>
    </w:p>
    <w:tbl>
      <w:tblPr>
        <w:tblW w:type="dxa" w:w="9360"/>
        <w:tblBorders>
          <w:top w:val="single" w:color="1F3A5F" w:sz="4"/>
          <w:left w:val="single" w:color="1F3A5F" w:sz="4"/>
          <w:bottom w:val="single" w:color="1F3A5F" w:sz="4"/>
          <w:right w:val="single" w:color="1F3A5F" w:sz="4"/>
          <w:insideH w:val="single" w:color="auto" w:sz="4"/>
          <w:insideV w:val="single" w:color="auto" w:sz="4"/>
        </w:tblBorders>
      </w:tblPr>
      <w:tblGrid>
        <w:gridCol w:w="9360"/>
      </w:tblGrid>
      <w:tr>
        <w:tc>
          <w:tcPr>
            <w:tcW w:type="dxa" w:w="9360"/>
            <w:shd w:fill="FBF3E4" w:val="clear"/>
            <w:tcMar>
              <w:top w:type="dxa" w:w="120"/>
              <w:left w:type="dxa" w:w="160"/>
              <w:bottom w:type="dxa" w:w="120"/>
              <w:right w:type="dxa" w:w="160"/>
            </w:tcMar>
          </w:tcPr>
          <w:p>
            <w:pPr>
              <w:spacing w:after="0"/>
            </w:pPr>
            <w:r>
              <w:rPr>
                <w:b/>
                <w:bCs/>
              </w:rPr>
              <w:t xml:space="preserve">Kaufman confirmation: </w:t>
            </w:r>
            <w:r>
              <w:t xml:space="preserve">The Kaufman Efficiency Ratio is +0.20 (smoothed), classifying the medium-term path as Trending Up — Moderate. This contradicts the Transitional regime synthesis. Where they disagree, the regime synthesis takes precedence for trade construction because overlap, persistence and the alternating five-day tape all argue against a clean trend; the positive KER is treated as a not-yet-confirmed bullish undertone, recorded as a mixed signal.</w:t>
            </w:r>
          </w:p>
        </w:tc>
      </w:tr>
    </w:tbl>
    <w:p>
      <w:r>
        <w:br w:type="page"/>
      </w:r>
    </w:p>
    <w:p>
      <w:pPr>
        <w:pStyle w:val="Heading1"/>
      </w:pPr>
      <w:r>
        <w:t xml:space="preserve">10.  Cross-Asset Analysis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500"/>
        <w:gridCol w:w="1250"/>
        <w:gridCol w:w="3300"/>
        <w:gridCol w:w="1700"/>
        <w:gridCol w:w="1610"/>
      </w:tblGrid>
      <w:tr>
        <w:trPr>
          <w:tblHeader/>
        </w:trPr>
        <w:tc>
          <w:tcPr>
            <w:tcW w:type="dxa" w:w="1500"/>
            <w:shd w:fill="1F3A5F" w:val="clear"/>
            <w:tcMar>
              <w:top w:type="dxa" w:w="60"/>
              <w:left w:type="dxa" w:w="100"/>
              <w:bottom w:type="dxa" w:w="60"/>
              <w:right w:type="dxa" w:w="100"/>
            </w:tcMar>
          </w:tcPr>
          <w:p>
            <w:pPr>
              <w:spacing w:after="0"/>
              <w:jc w:val="left"/>
            </w:pPr>
            <w:r>
              <w:rPr>
                <w:b/>
                <w:bCs/>
                <w:color w:val="FFFFFF"/>
                <w:sz w:val="18"/>
                <w:szCs w:val="18"/>
              </w:rPr>
              <w:t xml:space="preserve">Counter</w:t>
            </w:r>
          </w:p>
        </w:tc>
        <w:tc>
          <w:tcPr>
            <w:tcW w:type="dxa" w:w="1250"/>
            <w:shd w:fill="1F3A5F" w:val="clear"/>
            <w:tcMar>
              <w:top w:type="dxa" w:w="60"/>
              <w:left w:type="dxa" w:w="100"/>
              <w:bottom w:type="dxa" w:w="60"/>
              <w:right w:type="dxa" w:w="100"/>
            </w:tcMar>
          </w:tcPr>
          <w:p>
            <w:pPr>
              <w:spacing w:after="0"/>
              <w:jc w:val="left"/>
            </w:pPr>
            <w:r>
              <w:rPr>
                <w:b/>
                <w:bCs/>
                <w:color w:val="FFFFFF"/>
                <w:sz w:val="18"/>
                <w:szCs w:val="18"/>
              </w:rPr>
              <w:t xml:space="preserve">5-day direction</w:t>
            </w:r>
          </w:p>
        </w:tc>
        <w:tc>
          <w:tcPr>
            <w:tcW w:type="dxa" w:w="3300"/>
            <w:shd w:fill="1F3A5F" w:val="clear"/>
            <w:tcMar>
              <w:top w:type="dxa" w:w="60"/>
              <w:left w:type="dxa" w:w="100"/>
              <w:bottom w:type="dxa" w:w="60"/>
              <w:right w:type="dxa" w:w="100"/>
            </w:tcMar>
          </w:tcPr>
          <w:p>
            <w:pPr>
              <w:spacing w:after="0"/>
              <w:jc w:val="left"/>
            </w:pPr>
            <w:r>
              <w:rPr>
                <w:b/>
                <w:bCs/>
                <w:color w:val="FFFFFF"/>
                <w:sz w:val="18"/>
                <w:szCs w:val="18"/>
              </w:rPr>
              <w:t xml:space="preserve">Mechanism to S&amp;P 500</w:t>
            </w:r>
          </w:p>
        </w:tc>
        <w:tc>
          <w:tcPr>
            <w:tcW w:type="dxa" w:w="1700"/>
            <w:shd w:fill="1F3A5F" w:val="clear"/>
            <w:tcMar>
              <w:top w:type="dxa" w:w="60"/>
              <w:left w:type="dxa" w:w="100"/>
              <w:bottom w:type="dxa" w:w="60"/>
              <w:right w:type="dxa" w:w="100"/>
            </w:tcMar>
          </w:tcPr>
          <w:p>
            <w:pPr>
              <w:spacing w:after="0"/>
              <w:jc w:val="left"/>
            </w:pPr>
            <w:r>
              <w:rPr>
                <w:b/>
                <w:bCs/>
                <w:color w:val="FFFFFF"/>
                <w:sz w:val="18"/>
                <w:szCs w:val="18"/>
              </w:rPr>
              <w:t xml:space="preserve">Status</w:t>
            </w:r>
          </w:p>
        </w:tc>
        <w:tc>
          <w:tcPr>
            <w:tcW w:type="dxa" w:w="1610"/>
            <w:shd w:fill="1F3A5F" w:val="clear"/>
            <w:tcMar>
              <w:top w:type="dxa" w:w="60"/>
              <w:left w:type="dxa" w:w="100"/>
              <w:bottom w:type="dxa" w:w="60"/>
              <w:right w:type="dxa" w:w="100"/>
            </w:tcMar>
          </w:tcPr>
          <w:p>
            <w:pPr>
              <w:spacing w:after="0"/>
              <w:jc w:val="left"/>
            </w:pPr>
            <w:r>
              <w:rPr>
                <w:b/>
                <w:bCs/>
                <w:color w:val="FFFFFF"/>
                <w:sz w:val="18"/>
                <w:szCs w:val="18"/>
              </w:rPr>
              <w:t xml:space="preserve">Implication</w:t>
            </w:r>
          </w:p>
        </w:tc>
      </w:tr>
      <w:tr>
        <w:trPr>
          <w:tblHeader w:val="false"/>
        </w:trPr>
        <w:tc>
          <w:tcPr>
            <w:tcW w:type="dxa" w:w="1500"/>
            <w:tcMar>
              <w:top w:type="dxa" w:w="60"/>
              <w:left w:type="dxa" w:w="100"/>
              <w:bottom w:type="dxa" w:w="60"/>
              <w:right w:type="dxa" w:w="100"/>
            </w:tcMar>
          </w:tcPr>
          <w:p>
            <w:pPr>
              <w:spacing w:after="0"/>
              <w:jc w:val="left"/>
            </w:pPr>
            <w:r>
              <w:rPr>
                <w:b/>
                <w:bCs/>
                <w:sz w:val="18"/>
                <w:szCs w:val="18"/>
              </w:rPr>
              <w:t xml:space="preserve">USDX</w:t>
            </w:r>
          </w:p>
        </w:tc>
        <w:tc>
          <w:tcPr>
            <w:tcW w:type="dxa" w:w="1250"/>
            <w:tcMar>
              <w:top w:type="dxa" w:w="60"/>
              <w:left w:type="dxa" w:w="100"/>
              <w:bottom w:type="dxa" w:w="60"/>
              <w:right w:type="dxa" w:w="100"/>
            </w:tcMar>
          </w:tcPr>
          <w:p>
            <w:pPr>
              <w:spacing w:after="0"/>
              <w:jc w:val="left"/>
            </w:pPr>
            <w:r>
              <w:rPr>
                <w:sz w:val="18"/>
                <w:szCs w:val="18"/>
              </w:rPr>
              <w:t xml:space="preserve">Flat / mild up</w:t>
            </w:r>
          </w:p>
        </w:tc>
        <w:tc>
          <w:tcPr>
            <w:tcW w:type="dxa" w:w="3300"/>
            <w:tcMar>
              <w:top w:type="dxa" w:w="60"/>
              <w:left w:type="dxa" w:w="100"/>
              <w:bottom w:type="dxa" w:w="60"/>
              <w:right w:type="dxa" w:w="100"/>
            </w:tcMar>
          </w:tcPr>
          <w:p>
            <w:pPr>
              <w:spacing w:after="0"/>
              <w:jc w:val="left"/>
            </w:pPr>
            <w:r>
              <w:rPr>
                <w:sz w:val="18"/>
                <w:szCs w:val="18"/>
              </w:rPr>
              <w:t xml:space="preserve">A firmer dollar tightens global financial conditions and is a translation headwind for multinational earnings.</w:t>
            </w:r>
          </w:p>
        </w:tc>
        <w:tc>
          <w:tcPr>
            <w:tcW w:type="dxa" w:w="1700"/>
            <w:tcMar>
              <w:top w:type="dxa" w:w="60"/>
              <w:left w:type="dxa" w:w="100"/>
              <w:bottom w:type="dxa" w:w="60"/>
              <w:right w:type="dxa" w:w="100"/>
            </w:tcMar>
          </w:tcPr>
          <w:p>
            <w:pPr>
              <w:spacing w:after="0"/>
              <w:jc w:val="left"/>
            </w:pPr>
            <w:r>
              <w:rPr>
                <w:color w:val="B9770E"/>
                <w:sz w:val="18"/>
                <w:szCs w:val="18"/>
              </w:rPr>
              <w:t xml:space="preserve">Neutral</w:t>
            </w:r>
          </w:p>
        </w:tc>
        <w:tc>
          <w:tcPr>
            <w:tcW w:type="dxa" w:w="1610"/>
            <w:tcMar>
              <w:top w:type="dxa" w:w="60"/>
              <w:left w:type="dxa" w:w="100"/>
              <w:bottom w:type="dxa" w:w="60"/>
              <w:right w:type="dxa" w:w="100"/>
            </w:tcMar>
          </w:tcPr>
          <w:p>
            <w:pPr>
              <w:spacing w:after="0"/>
              <w:jc w:val="left"/>
            </w:pPr>
            <w:r>
              <w:rPr>
                <w:sz w:val="18"/>
                <w:szCs w:val="18"/>
              </w:rPr>
              <w:t xml:space="preserve">Marginal drag; not the swing factor this week.</w:t>
            </w:r>
          </w:p>
        </w:tc>
      </w:tr>
      <w:tr>
        <w:trPr>
          <w:tblHeader w:val="false"/>
        </w:trPr>
        <w:tc>
          <w:tcPr>
            <w:tcW w:type="dxa" w:w="1500"/>
            <w:shd w:fill="F2F2F2" w:val="clear"/>
            <w:tcMar>
              <w:top w:type="dxa" w:w="60"/>
              <w:left w:type="dxa" w:w="100"/>
              <w:bottom w:type="dxa" w:w="60"/>
              <w:right w:type="dxa" w:w="100"/>
            </w:tcMar>
          </w:tcPr>
          <w:p>
            <w:pPr>
              <w:spacing w:after="0"/>
              <w:jc w:val="left"/>
            </w:pPr>
            <w:r>
              <w:rPr>
                <w:b/>
                <w:bCs/>
                <w:sz w:val="18"/>
                <w:szCs w:val="18"/>
              </w:rPr>
              <w:t xml:space="preserve">VIX</w:t>
            </w:r>
          </w:p>
        </w:tc>
        <w:tc>
          <w:tcPr>
            <w:tcW w:type="dxa" w:w="1250"/>
            <w:shd w:fill="F2F2F2" w:val="clear"/>
            <w:tcMar>
              <w:top w:type="dxa" w:w="60"/>
              <w:left w:type="dxa" w:w="100"/>
              <w:bottom w:type="dxa" w:w="60"/>
              <w:right w:type="dxa" w:w="100"/>
            </w:tcMar>
          </w:tcPr>
          <w:p>
            <w:pPr>
              <w:spacing w:after="0"/>
              <w:jc w:val="left"/>
            </w:pPr>
            <w:r>
              <w:rPr>
                <w:sz w:val="18"/>
                <w:szCs w:val="18"/>
              </w:rPr>
              <w:t xml:space="preserve">Rising</w:t>
            </w:r>
          </w:p>
        </w:tc>
        <w:tc>
          <w:tcPr>
            <w:tcW w:type="dxa" w:w="3300"/>
            <w:shd w:fill="F2F2F2" w:val="clear"/>
            <w:tcMar>
              <w:top w:type="dxa" w:w="60"/>
              <w:left w:type="dxa" w:w="100"/>
              <w:bottom w:type="dxa" w:w="60"/>
              <w:right w:type="dxa" w:w="100"/>
            </w:tcMar>
          </w:tcPr>
          <w:p>
            <w:pPr>
              <w:spacing w:after="0"/>
              <w:jc w:val="left"/>
            </w:pPr>
            <w:r>
              <w:rPr>
                <w:sz w:val="18"/>
                <w:szCs w:val="18"/>
              </w:rPr>
              <w:t xml:space="preserve">Rising implied volatility signals a higher risk premium and reduced appetite for equity beta.</w:t>
            </w:r>
          </w:p>
        </w:tc>
        <w:tc>
          <w:tcPr>
            <w:tcW w:type="dxa" w:w="1700"/>
            <w:shd w:fill="F2F2F2" w:val="clear"/>
            <w:tcMar>
              <w:top w:type="dxa" w:w="60"/>
              <w:left w:type="dxa" w:w="100"/>
              <w:bottom w:type="dxa" w:w="60"/>
              <w:right w:type="dxa" w:w="100"/>
            </w:tcMar>
          </w:tcPr>
          <w:p>
            <w:pPr>
              <w:spacing w:after="0"/>
              <w:jc w:val="left"/>
            </w:pPr>
            <w:r>
              <w:rPr>
                <w:b/>
                <w:bCs/>
                <w:color w:val="C0392B"/>
                <w:sz w:val="18"/>
                <w:szCs w:val="18"/>
              </w:rPr>
              <w:t xml:space="preserve">Contradicts</w:t>
            </w:r>
          </w:p>
        </w:tc>
        <w:tc>
          <w:tcPr>
            <w:tcW w:type="dxa" w:w="1610"/>
            <w:shd w:fill="F2F2F2" w:val="clear"/>
            <w:tcMar>
              <w:top w:type="dxa" w:w="60"/>
              <w:left w:type="dxa" w:w="100"/>
              <w:bottom w:type="dxa" w:w="60"/>
              <w:right w:type="dxa" w:w="100"/>
            </w:tcMar>
          </w:tcPr>
          <w:p>
            <w:pPr>
              <w:spacing w:after="0"/>
              <w:jc w:val="left"/>
            </w:pPr>
            <w:r>
              <w:rPr>
                <w:sz w:val="18"/>
                <w:szCs w:val="18"/>
              </w:rPr>
              <w:t xml:space="preserve">Re-expanding VIX argues against a clean bullish resumption.</w:t>
            </w:r>
          </w:p>
        </w:tc>
      </w:tr>
      <w:tr>
        <w:trPr>
          <w:tblHeader w:val="false"/>
        </w:trPr>
        <w:tc>
          <w:tcPr>
            <w:tcW w:type="dxa" w:w="1500"/>
            <w:tcMar>
              <w:top w:type="dxa" w:w="60"/>
              <w:left w:type="dxa" w:w="100"/>
              <w:bottom w:type="dxa" w:w="60"/>
              <w:right w:type="dxa" w:w="100"/>
            </w:tcMar>
          </w:tcPr>
          <w:p>
            <w:pPr>
              <w:spacing w:after="0"/>
              <w:jc w:val="left"/>
            </w:pPr>
            <w:r>
              <w:rPr>
                <w:b/>
                <w:bCs/>
                <w:sz w:val="18"/>
                <w:szCs w:val="18"/>
              </w:rPr>
              <w:t xml:space="preserve">DAX 40</w:t>
            </w:r>
          </w:p>
        </w:tc>
        <w:tc>
          <w:tcPr>
            <w:tcW w:type="dxa" w:w="1250"/>
            <w:tcMar>
              <w:top w:type="dxa" w:w="60"/>
              <w:left w:type="dxa" w:w="100"/>
              <w:bottom w:type="dxa" w:w="60"/>
              <w:right w:type="dxa" w:w="100"/>
            </w:tcMar>
          </w:tcPr>
          <w:p>
            <w:pPr>
              <w:spacing w:after="0"/>
              <w:jc w:val="left"/>
            </w:pPr>
            <w:r>
              <w:rPr>
                <w:sz w:val="18"/>
                <w:szCs w:val="18"/>
              </w:rPr>
              <w:t xml:space="preserve">Falling</w:t>
            </w:r>
          </w:p>
        </w:tc>
        <w:tc>
          <w:tcPr>
            <w:tcW w:type="dxa" w:w="3300"/>
            <w:tcMar>
              <w:top w:type="dxa" w:w="60"/>
              <w:left w:type="dxa" w:w="100"/>
              <w:bottom w:type="dxa" w:w="60"/>
              <w:right w:type="dxa" w:w="100"/>
            </w:tcMar>
          </w:tcPr>
          <w:p>
            <w:pPr>
              <w:spacing w:after="0"/>
              <w:jc w:val="left"/>
            </w:pPr>
            <w:r>
              <w:rPr>
                <w:sz w:val="18"/>
                <w:szCs w:val="18"/>
              </w:rPr>
              <w:t xml:space="preserve">European large-cap shares a common global-risk factor with US equity; weakness abroad confirms a risk-off pull.</w:t>
            </w:r>
          </w:p>
        </w:tc>
        <w:tc>
          <w:tcPr>
            <w:tcW w:type="dxa" w:w="1700"/>
            <w:tcMar>
              <w:top w:type="dxa" w:w="60"/>
              <w:left w:type="dxa" w:w="100"/>
              <w:bottom w:type="dxa" w:w="60"/>
              <w:right w:type="dxa" w:w="100"/>
            </w:tcMar>
          </w:tcPr>
          <w:p>
            <w:pPr>
              <w:spacing w:after="0"/>
              <w:jc w:val="left"/>
            </w:pPr>
            <w:r>
              <w:rPr>
                <w:color w:val="2E8B57"/>
                <w:sz w:val="18"/>
                <w:szCs w:val="18"/>
              </w:rPr>
              <w:t xml:space="preserve">Confirms</w:t>
            </w:r>
          </w:p>
        </w:tc>
        <w:tc>
          <w:tcPr>
            <w:tcW w:type="dxa" w:w="1610"/>
            <w:tcMar>
              <w:top w:type="dxa" w:w="60"/>
              <w:left w:type="dxa" w:w="100"/>
              <w:bottom w:type="dxa" w:w="60"/>
              <w:right w:type="dxa" w:w="100"/>
            </w:tcMar>
          </w:tcPr>
          <w:p>
            <w:pPr>
              <w:spacing w:after="0"/>
              <w:jc w:val="left"/>
            </w:pPr>
            <w:r>
              <w:rPr>
                <w:sz w:val="18"/>
                <w:szCs w:val="18"/>
              </w:rPr>
              <w:t xml:space="preserve">Confirms the cautious, transitional read.</w:t>
            </w:r>
          </w:p>
        </w:tc>
      </w:tr>
    </w:tbl>
    <w:p>
      <w:pPr>
        <w:spacing w:after="60"/>
      </w:pPr>
      <w:r>
        <w:t xml:space="preserve"/>
      </w:r>
    </w:p>
    <w:p>
      <w:pPr>
        <w:spacing w:after="120"/>
      </w:pPr>
      <w:r>
        <w:t xml:space="default"/>
      </w:r>
    </w:p>
    <w:p>
      <w:pPr>
        <w:pStyle w:val="Heading1"/>
      </w:pPr>
      <w:r>
        <w:t xml:space="preserve">11.  Floor Pivot Analysis</w:t>
      </w:r>
    </w:p>
    <w:p>
      <w:pPr>
        <w:spacing w:after="120"/>
      </w:pPr>
      <w:r>
        <w:t xml:space="preserve">Three timeframes are active. Daily pivots derive from the 21 May session High/Low/Close; weekly from the prior completed week (W/E 15 May); monthly from the prior month (April). Prior-period H/L/C for the daily timeframe inherit the single-source indicative flag from §6 and are marked accordingly.</w:t>
      </w:r>
    </w:p>
    <w:p>
      <w:pPr>
        <w:pStyle w:val="Heading3"/>
      </w:pPr>
      <w:r>
        <w:t xml:space="preserve">Daily pivots — from 21 May H/L/C</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6960"/>
      </w:tblGrid>
      <w:tr>
        <w:trPr>
          <w:tblHeader/>
        </w:trPr>
        <w:tc>
          <w:tcPr>
            <w:tcW w:type="dxa" w:w="2400"/>
            <w:shd w:fill="1F3A5F" w:val="clear"/>
            <w:tcMar>
              <w:top w:type="dxa" w:w="60"/>
              <w:left w:type="dxa" w:w="100"/>
              <w:bottom w:type="dxa" w:w="60"/>
              <w:right w:type="dxa" w:w="100"/>
            </w:tcMar>
          </w:tcPr>
          <w:p>
            <w:pPr>
              <w:spacing w:after="0"/>
              <w:jc w:val="left"/>
            </w:pPr>
            <w:r>
              <w:rPr>
                <w:b/>
                <w:bCs/>
                <w:color w:val="FFFFFF"/>
                <w:sz w:val="18"/>
                <w:szCs w:val="18"/>
              </w:rPr>
              <w:t xml:space="preserve">Daily</w:t>
            </w:r>
          </w:p>
        </w:tc>
        <w:tc>
          <w:tcPr>
            <w:tcW w:type="dxa" w:w="6960"/>
            <w:shd w:fill="1F3A5F" w:val="clear"/>
            <w:tcMar>
              <w:top w:type="dxa" w:w="60"/>
              <w:left w:type="dxa" w:w="100"/>
              <w:bottom w:type="dxa" w:w="60"/>
              <w:right w:type="dxa" w:w="100"/>
            </w:tcMar>
          </w:tcPr>
          <w:p>
            <w:pPr>
              <w:spacing w:after="0"/>
              <w:jc w:val="left"/>
            </w:pPr>
            <w:r>
              <w:rPr>
                <w:b/>
                <w:bCs/>
                <w:color w:val="FFFFFF"/>
                <w:sz w:val="18"/>
                <w:szCs w:val="18"/>
              </w:rPr>
              <w:t xml:space="preserve">Level (index points)</w:t>
            </w:r>
          </w:p>
        </w:tc>
      </w:tr>
      <w:tr>
        <w:trPr>
          <w:tblHeader w:val="false"/>
        </w:trPr>
        <w:tc>
          <w:tcPr>
            <w:tcW w:type="dxa" w:w="2400"/>
            <w:tcMar>
              <w:top w:type="dxa" w:w="60"/>
              <w:left w:type="dxa" w:w="100"/>
              <w:bottom w:type="dxa" w:w="60"/>
              <w:right w:type="dxa" w:w="100"/>
            </w:tcMar>
          </w:tcPr>
          <w:p>
            <w:pPr>
              <w:spacing w:after="0"/>
              <w:jc w:val="left"/>
            </w:pPr>
            <w:r>
              <w:rPr>
                <w:b w:val="false"/>
                <w:bCs w:val="false"/>
                <w:sz w:val="18"/>
                <w:szCs w:val="18"/>
              </w:rPr>
              <w:t xml:space="preserve">R5</w:t>
            </w:r>
          </w:p>
        </w:tc>
        <w:tc>
          <w:tcPr>
            <w:tcW w:type="dxa" w:w="6960"/>
            <w:tcMar>
              <w:top w:type="dxa" w:w="60"/>
              <w:left w:type="dxa" w:w="100"/>
              <w:bottom w:type="dxa" w:w="60"/>
              <w:right w:type="dxa" w:w="100"/>
            </w:tcMar>
          </w:tcPr>
          <w:p>
            <w:pPr>
              <w:spacing w:after="0"/>
              <w:jc w:val="left"/>
            </w:pPr>
            <w:r>
              <w:rPr>
                <w:b w:val="false"/>
                <w:bCs w:val="false"/>
                <w:color w:val="C0392B"/>
                <w:sz w:val="18"/>
                <w:szCs w:val="18"/>
              </w:rPr>
              <w:t xml:space="preserve">7,617.7</w:t>
            </w:r>
          </w:p>
        </w:tc>
      </w:tr>
      <w:tr>
        <w:trPr>
          <w:tblHeader w:val="false"/>
        </w:trPr>
        <w:tc>
          <w:tcPr>
            <w:tcW w:type="dxa" w:w="2400"/>
            <w:shd w:fill="F2F2F2" w:val="clear"/>
            <w:tcMar>
              <w:top w:type="dxa" w:w="60"/>
              <w:left w:type="dxa" w:w="100"/>
              <w:bottom w:type="dxa" w:w="60"/>
              <w:right w:type="dxa" w:w="100"/>
            </w:tcMar>
          </w:tcPr>
          <w:p>
            <w:pPr>
              <w:spacing w:after="0"/>
              <w:jc w:val="left"/>
            </w:pPr>
            <w:r>
              <w:rPr>
                <w:b w:val="false"/>
                <w:bCs w:val="false"/>
                <w:sz w:val="18"/>
                <w:szCs w:val="18"/>
              </w:rPr>
              <w:t xml:space="preserve">R4</w:t>
            </w:r>
          </w:p>
        </w:tc>
        <w:tc>
          <w:tcPr>
            <w:tcW w:type="dxa" w:w="6960"/>
            <w:shd w:fill="F2F2F2" w:val="clear"/>
            <w:tcMar>
              <w:top w:type="dxa" w:w="60"/>
              <w:left w:type="dxa" w:w="100"/>
              <w:bottom w:type="dxa" w:w="60"/>
              <w:right w:type="dxa" w:w="100"/>
            </w:tcMar>
          </w:tcPr>
          <w:p>
            <w:pPr>
              <w:spacing w:after="0"/>
              <w:jc w:val="left"/>
            </w:pPr>
            <w:r>
              <w:rPr>
                <w:b w:val="false"/>
                <w:bCs w:val="false"/>
                <w:color w:val="C0392B"/>
                <w:sz w:val="18"/>
                <w:szCs w:val="18"/>
              </w:rPr>
              <w:t xml:space="preserve">7,557.3</w:t>
            </w:r>
          </w:p>
        </w:tc>
      </w:tr>
      <w:tr>
        <w:trPr>
          <w:tblHeader w:val="false"/>
        </w:trPr>
        <w:tc>
          <w:tcPr>
            <w:tcW w:type="dxa" w:w="2400"/>
            <w:tcMar>
              <w:top w:type="dxa" w:w="60"/>
              <w:left w:type="dxa" w:w="100"/>
              <w:bottom w:type="dxa" w:w="60"/>
              <w:right w:type="dxa" w:w="100"/>
            </w:tcMar>
          </w:tcPr>
          <w:p>
            <w:pPr>
              <w:spacing w:after="0"/>
              <w:jc w:val="left"/>
            </w:pPr>
            <w:r>
              <w:rPr>
                <w:b w:val="false"/>
                <w:bCs w:val="false"/>
                <w:sz w:val="18"/>
                <w:szCs w:val="18"/>
              </w:rPr>
              <w:t xml:space="preserve">R3</w:t>
            </w:r>
          </w:p>
        </w:tc>
        <w:tc>
          <w:tcPr>
            <w:tcW w:type="dxa" w:w="6960"/>
            <w:tcMar>
              <w:top w:type="dxa" w:w="60"/>
              <w:left w:type="dxa" w:w="100"/>
              <w:bottom w:type="dxa" w:w="60"/>
              <w:right w:type="dxa" w:w="100"/>
            </w:tcMar>
          </w:tcPr>
          <w:p>
            <w:pPr>
              <w:spacing w:after="0"/>
              <w:jc w:val="left"/>
            </w:pPr>
            <w:r>
              <w:rPr>
                <w:b w:val="false"/>
                <w:bCs w:val="false"/>
                <w:color w:val="C0392B"/>
                <w:sz w:val="18"/>
                <w:szCs w:val="18"/>
              </w:rPr>
              <w:t xml:space="preserve">7,496.9</w:t>
            </w:r>
          </w:p>
        </w:tc>
      </w:tr>
      <w:tr>
        <w:trPr>
          <w:tblHeader w:val="false"/>
        </w:trPr>
        <w:tc>
          <w:tcPr>
            <w:tcW w:type="dxa" w:w="2400"/>
            <w:shd w:fill="F2F2F2" w:val="clear"/>
            <w:tcMar>
              <w:top w:type="dxa" w:w="60"/>
              <w:left w:type="dxa" w:w="100"/>
              <w:bottom w:type="dxa" w:w="60"/>
              <w:right w:type="dxa" w:w="100"/>
            </w:tcMar>
          </w:tcPr>
          <w:p>
            <w:pPr>
              <w:spacing w:after="0"/>
              <w:jc w:val="left"/>
            </w:pPr>
            <w:r>
              <w:rPr>
                <w:b w:val="false"/>
                <w:bCs w:val="false"/>
                <w:sz w:val="18"/>
                <w:szCs w:val="18"/>
              </w:rPr>
              <w:t xml:space="preserve">R2</w:t>
            </w:r>
          </w:p>
        </w:tc>
        <w:tc>
          <w:tcPr>
            <w:tcW w:type="dxa" w:w="6960"/>
            <w:shd w:fill="F2F2F2" w:val="clear"/>
            <w:tcMar>
              <w:top w:type="dxa" w:w="60"/>
              <w:left w:type="dxa" w:w="100"/>
              <w:bottom w:type="dxa" w:w="60"/>
              <w:right w:type="dxa" w:w="100"/>
            </w:tcMar>
          </w:tcPr>
          <w:p>
            <w:pPr>
              <w:spacing w:after="0"/>
              <w:jc w:val="left"/>
            </w:pPr>
            <w:r>
              <w:rPr>
                <w:b w:val="false"/>
                <w:bCs w:val="false"/>
                <w:color w:val="C0392B"/>
                <w:sz w:val="18"/>
                <w:szCs w:val="18"/>
              </w:rPr>
              <w:t xml:space="preserve">7,472.8</w:t>
            </w:r>
          </w:p>
        </w:tc>
      </w:tr>
      <w:tr>
        <w:trPr>
          <w:tblHeader w:val="false"/>
        </w:trPr>
        <w:tc>
          <w:tcPr>
            <w:tcW w:type="dxa" w:w="2400"/>
            <w:tcMar>
              <w:top w:type="dxa" w:w="60"/>
              <w:left w:type="dxa" w:w="100"/>
              <w:bottom w:type="dxa" w:w="60"/>
              <w:right w:type="dxa" w:w="100"/>
            </w:tcMar>
          </w:tcPr>
          <w:p>
            <w:pPr>
              <w:spacing w:after="0"/>
              <w:jc w:val="left"/>
            </w:pPr>
            <w:r>
              <w:rPr>
                <w:b w:val="false"/>
                <w:bCs w:val="false"/>
                <w:sz w:val="18"/>
                <w:szCs w:val="18"/>
              </w:rPr>
              <w:t xml:space="preserve">R1</w:t>
            </w:r>
          </w:p>
        </w:tc>
        <w:tc>
          <w:tcPr>
            <w:tcW w:type="dxa" w:w="6960"/>
            <w:tcMar>
              <w:top w:type="dxa" w:w="60"/>
              <w:left w:type="dxa" w:w="100"/>
              <w:bottom w:type="dxa" w:w="60"/>
              <w:right w:type="dxa" w:w="100"/>
            </w:tcMar>
          </w:tcPr>
          <w:p>
            <w:pPr>
              <w:spacing w:after="0"/>
              <w:jc w:val="left"/>
            </w:pPr>
            <w:r>
              <w:rPr>
                <w:b w:val="false"/>
                <w:bCs w:val="false"/>
                <w:color w:val="C0392B"/>
                <w:sz w:val="18"/>
                <w:szCs w:val="18"/>
              </w:rPr>
              <w:t xml:space="preserve">7,436.5</w:t>
            </w:r>
          </w:p>
        </w:tc>
      </w:tr>
      <w:tr>
        <w:trPr>
          <w:tblHeader w:val="false"/>
        </w:trPr>
        <w:tc>
          <w:tcPr>
            <w:tcW w:type="dxa" w:w="2400"/>
            <w:shd w:fill="F2F2F2" w:val="clear"/>
            <w:tcMar>
              <w:top w:type="dxa" w:w="60"/>
              <w:left w:type="dxa" w:w="100"/>
              <w:bottom w:type="dxa" w:w="60"/>
              <w:right w:type="dxa" w:w="100"/>
            </w:tcMar>
          </w:tcPr>
          <w:p>
            <w:pPr>
              <w:spacing w:after="0"/>
              <w:jc w:val="left"/>
            </w:pPr>
            <w:r>
              <w:rPr>
                <w:b/>
                <w:bCs/>
                <w:sz w:val="18"/>
                <w:szCs w:val="18"/>
              </w:rPr>
              <w:t xml:space="preserve">P</w:t>
            </w:r>
          </w:p>
        </w:tc>
        <w:tc>
          <w:tcPr>
            <w:tcW w:type="dxa" w:w="6960"/>
            <w:shd w:fill="F2F2F2" w:val="clear"/>
            <w:tcMar>
              <w:top w:type="dxa" w:w="60"/>
              <w:left w:type="dxa" w:w="100"/>
              <w:bottom w:type="dxa" w:w="60"/>
              <w:right w:type="dxa" w:w="100"/>
            </w:tcMar>
          </w:tcPr>
          <w:p>
            <w:pPr>
              <w:spacing w:after="0"/>
              <w:jc w:val="left"/>
            </w:pPr>
            <w:r>
              <w:rPr>
                <w:b/>
                <w:bCs/>
                <w:color w:val="1F3A5F"/>
                <w:sz w:val="18"/>
                <w:szCs w:val="18"/>
              </w:rPr>
              <w:t xml:space="preserve">7,412.4</w:t>
            </w:r>
          </w:p>
        </w:tc>
      </w:tr>
      <w:tr>
        <w:trPr>
          <w:tblHeader w:val="false"/>
        </w:trPr>
        <w:tc>
          <w:tcPr>
            <w:tcW w:type="dxa" w:w="2400"/>
            <w:tcMar>
              <w:top w:type="dxa" w:w="60"/>
              <w:left w:type="dxa" w:w="100"/>
              <w:bottom w:type="dxa" w:w="60"/>
              <w:right w:type="dxa" w:w="100"/>
            </w:tcMar>
          </w:tcPr>
          <w:p>
            <w:pPr>
              <w:spacing w:after="0"/>
              <w:jc w:val="left"/>
            </w:pPr>
            <w:r>
              <w:rPr>
                <w:b w:val="false"/>
                <w:bCs w:val="false"/>
                <w:sz w:val="18"/>
                <w:szCs w:val="18"/>
              </w:rPr>
              <w:t xml:space="preserve">S1</w:t>
            </w:r>
          </w:p>
        </w:tc>
        <w:tc>
          <w:tcPr>
            <w:tcW w:type="dxa" w:w="6960"/>
            <w:tcMar>
              <w:top w:type="dxa" w:w="60"/>
              <w:left w:type="dxa" w:w="100"/>
              <w:bottom w:type="dxa" w:w="60"/>
              <w:right w:type="dxa" w:w="100"/>
            </w:tcMar>
          </w:tcPr>
          <w:p>
            <w:pPr>
              <w:spacing w:after="0"/>
              <w:jc w:val="left"/>
            </w:pPr>
            <w:r>
              <w:rPr>
                <w:b w:val="false"/>
                <w:bCs w:val="false"/>
                <w:color w:val="2E8B57"/>
                <w:sz w:val="18"/>
                <w:szCs w:val="18"/>
              </w:rPr>
              <w:t xml:space="preserve">7,376.1</w:t>
            </w:r>
          </w:p>
        </w:tc>
      </w:tr>
      <w:tr>
        <w:trPr>
          <w:tblHeader w:val="false"/>
        </w:trPr>
        <w:tc>
          <w:tcPr>
            <w:tcW w:type="dxa" w:w="2400"/>
            <w:shd w:fill="F2F2F2" w:val="clear"/>
            <w:tcMar>
              <w:top w:type="dxa" w:w="60"/>
              <w:left w:type="dxa" w:w="100"/>
              <w:bottom w:type="dxa" w:w="60"/>
              <w:right w:type="dxa" w:w="100"/>
            </w:tcMar>
          </w:tcPr>
          <w:p>
            <w:pPr>
              <w:spacing w:after="0"/>
              <w:jc w:val="left"/>
            </w:pPr>
            <w:r>
              <w:rPr>
                <w:b w:val="false"/>
                <w:bCs w:val="false"/>
                <w:sz w:val="18"/>
                <w:szCs w:val="18"/>
              </w:rPr>
              <w:t xml:space="preserve">S2</w:t>
            </w:r>
          </w:p>
        </w:tc>
        <w:tc>
          <w:tcPr>
            <w:tcW w:type="dxa" w:w="6960"/>
            <w:shd w:fill="F2F2F2" w:val="clear"/>
            <w:tcMar>
              <w:top w:type="dxa" w:w="60"/>
              <w:left w:type="dxa" w:w="100"/>
              <w:bottom w:type="dxa" w:w="60"/>
              <w:right w:type="dxa" w:w="100"/>
            </w:tcMar>
          </w:tcPr>
          <w:p>
            <w:pPr>
              <w:spacing w:after="0"/>
              <w:jc w:val="left"/>
            </w:pPr>
            <w:r>
              <w:rPr>
                <w:b w:val="false"/>
                <w:bCs w:val="false"/>
                <w:color w:val="2E8B57"/>
                <w:sz w:val="18"/>
                <w:szCs w:val="18"/>
              </w:rPr>
              <w:t xml:space="preserve">7,352.0</w:t>
            </w:r>
          </w:p>
        </w:tc>
      </w:tr>
      <w:tr>
        <w:trPr>
          <w:tblHeader w:val="false"/>
        </w:trPr>
        <w:tc>
          <w:tcPr>
            <w:tcW w:type="dxa" w:w="2400"/>
            <w:tcMar>
              <w:top w:type="dxa" w:w="60"/>
              <w:left w:type="dxa" w:w="100"/>
              <w:bottom w:type="dxa" w:w="60"/>
              <w:right w:type="dxa" w:w="100"/>
            </w:tcMar>
          </w:tcPr>
          <w:p>
            <w:pPr>
              <w:spacing w:after="0"/>
              <w:jc w:val="left"/>
            </w:pPr>
            <w:r>
              <w:rPr>
                <w:b w:val="false"/>
                <w:bCs w:val="false"/>
                <w:sz w:val="18"/>
                <w:szCs w:val="18"/>
              </w:rPr>
              <w:t xml:space="preserve">S3</w:t>
            </w:r>
          </w:p>
        </w:tc>
        <w:tc>
          <w:tcPr>
            <w:tcW w:type="dxa" w:w="6960"/>
            <w:tcMar>
              <w:top w:type="dxa" w:w="60"/>
              <w:left w:type="dxa" w:w="100"/>
              <w:bottom w:type="dxa" w:w="60"/>
              <w:right w:type="dxa" w:w="100"/>
            </w:tcMar>
          </w:tcPr>
          <w:p>
            <w:pPr>
              <w:spacing w:after="0"/>
              <w:jc w:val="left"/>
            </w:pPr>
            <w:r>
              <w:rPr>
                <w:b w:val="false"/>
                <w:bCs w:val="false"/>
                <w:color w:val="2E8B57"/>
                <w:sz w:val="18"/>
                <w:szCs w:val="18"/>
              </w:rPr>
              <w:t xml:space="preserve">7,315.7</w:t>
            </w:r>
          </w:p>
        </w:tc>
      </w:tr>
      <w:tr>
        <w:trPr>
          <w:tblHeader w:val="false"/>
        </w:trPr>
        <w:tc>
          <w:tcPr>
            <w:tcW w:type="dxa" w:w="2400"/>
            <w:shd w:fill="F2F2F2" w:val="clear"/>
            <w:tcMar>
              <w:top w:type="dxa" w:w="60"/>
              <w:left w:type="dxa" w:w="100"/>
              <w:bottom w:type="dxa" w:w="60"/>
              <w:right w:type="dxa" w:w="100"/>
            </w:tcMar>
          </w:tcPr>
          <w:p>
            <w:pPr>
              <w:spacing w:after="0"/>
              <w:jc w:val="left"/>
            </w:pPr>
            <w:r>
              <w:rPr>
                <w:b w:val="false"/>
                <w:bCs w:val="false"/>
                <w:sz w:val="18"/>
                <w:szCs w:val="18"/>
              </w:rPr>
              <w:t xml:space="preserve">S4</w:t>
            </w:r>
          </w:p>
        </w:tc>
        <w:tc>
          <w:tcPr>
            <w:tcW w:type="dxa" w:w="6960"/>
            <w:shd w:fill="F2F2F2" w:val="clear"/>
            <w:tcMar>
              <w:top w:type="dxa" w:w="60"/>
              <w:left w:type="dxa" w:w="100"/>
              <w:bottom w:type="dxa" w:w="60"/>
              <w:right w:type="dxa" w:w="100"/>
            </w:tcMar>
          </w:tcPr>
          <w:p>
            <w:pPr>
              <w:spacing w:after="0"/>
              <w:jc w:val="left"/>
            </w:pPr>
            <w:r>
              <w:rPr>
                <w:b w:val="false"/>
                <w:bCs w:val="false"/>
                <w:color w:val="2E8B57"/>
                <w:sz w:val="18"/>
                <w:szCs w:val="18"/>
              </w:rPr>
              <w:t xml:space="preserve">7,255.3</w:t>
            </w:r>
          </w:p>
        </w:tc>
      </w:tr>
      <w:tr>
        <w:trPr>
          <w:tblHeader w:val="false"/>
        </w:trPr>
        <w:tc>
          <w:tcPr>
            <w:tcW w:type="dxa" w:w="2400"/>
            <w:tcMar>
              <w:top w:type="dxa" w:w="60"/>
              <w:left w:type="dxa" w:w="100"/>
              <w:bottom w:type="dxa" w:w="60"/>
              <w:right w:type="dxa" w:w="100"/>
            </w:tcMar>
          </w:tcPr>
          <w:p>
            <w:pPr>
              <w:spacing w:after="0"/>
              <w:jc w:val="left"/>
            </w:pPr>
            <w:r>
              <w:rPr>
                <w:b w:val="false"/>
                <w:bCs w:val="false"/>
                <w:sz w:val="18"/>
                <w:szCs w:val="18"/>
              </w:rPr>
              <w:t xml:space="preserve">S5</w:t>
            </w:r>
          </w:p>
        </w:tc>
        <w:tc>
          <w:tcPr>
            <w:tcW w:type="dxa" w:w="6960"/>
            <w:tcMar>
              <w:top w:type="dxa" w:w="60"/>
              <w:left w:type="dxa" w:w="100"/>
              <w:bottom w:type="dxa" w:w="60"/>
              <w:right w:type="dxa" w:w="100"/>
            </w:tcMar>
          </w:tcPr>
          <w:p>
            <w:pPr>
              <w:spacing w:after="0"/>
              <w:jc w:val="left"/>
            </w:pPr>
            <w:r>
              <w:rPr>
                <w:b w:val="false"/>
                <w:bCs w:val="false"/>
                <w:color w:val="2E8B57"/>
                <w:sz w:val="18"/>
                <w:szCs w:val="18"/>
              </w:rPr>
              <w:t xml:space="preserve">7,194.9</w:t>
            </w:r>
          </w:p>
        </w:tc>
      </w:tr>
    </w:tbl>
    <w:p>
      <w:pPr>
        <w:spacing w:after="60"/>
      </w:pPr>
      <w:r>
        <w:t xml:space="preserve"/>
      </w:r>
    </w:p>
    <w:p>
      <w:pPr>
        <w:spacing w:after="120"/>
      </w:pPr>
      <w:r>
        <w:rPr>
          <w:i/>
          <w:iCs/>
          <w:color w:val="555555"/>
          <w:sz w:val="18"/>
          <w:szCs w:val="18"/>
        </w:rPr>
        <w:t xml:space="preserve">Source status: prior-day H/L/C single-source indicative — daily levels carry the indicative qualifier and are usable for directional context but not as definitive limit-order anchors without that caveat.</w:t>
      </w:r>
    </w:p>
    <w:p>
      <w:pPr>
        <w:pStyle w:val="Heading3"/>
      </w:pPr>
      <w:r>
        <w:t xml:space="preserve">Weekly pivots — from W/E 15 May H/L/C</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6960"/>
      </w:tblGrid>
      <w:tr>
        <w:trPr>
          <w:tblHeader/>
        </w:trPr>
        <w:tc>
          <w:tcPr>
            <w:tcW w:type="dxa" w:w="2400"/>
            <w:shd w:fill="1F3A5F" w:val="clear"/>
            <w:tcMar>
              <w:top w:type="dxa" w:w="60"/>
              <w:left w:type="dxa" w:w="100"/>
              <w:bottom w:type="dxa" w:w="60"/>
              <w:right w:type="dxa" w:w="100"/>
            </w:tcMar>
          </w:tcPr>
          <w:p>
            <w:pPr>
              <w:spacing w:after="0"/>
              <w:jc w:val="left"/>
            </w:pPr>
            <w:r>
              <w:rPr>
                <w:b/>
                <w:bCs/>
                <w:color w:val="FFFFFF"/>
                <w:sz w:val="18"/>
                <w:szCs w:val="18"/>
              </w:rPr>
              <w:t xml:space="preserve">Weekly</w:t>
            </w:r>
          </w:p>
        </w:tc>
        <w:tc>
          <w:tcPr>
            <w:tcW w:type="dxa" w:w="6960"/>
            <w:shd w:fill="1F3A5F" w:val="clear"/>
            <w:tcMar>
              <w:top w:type="dxa" w:w="60"/>
              <w:left w:type="dxa" w:w="100"/>
              <w:bottom w:type="dxa" w:w="60"/>
              <w:right w:type="dxa" w:w="100"/>
            </w:tcMar>
          </w:tcPr>
          <w:p>
            <w:pPr>
              <w:spacing w:after="0"/>
              <w:jc w:val="left"/>
            </w:pPr>
            <w:r>
              <w:rPr>
                <w:b/>
                <w:bCs/>
                <w:color w:val="FFFFFF"/>
                <w:sz w:val="18"/>
                <w:szCs w:val="18"/>
              </w:rPr>
              <w:t xml:space="preserve">Level (index points)</w:t>
            </w:r>
          </w:p>
        </w:tc>
      </w:tr>
      <w:tr>
        <w:trPr>
          <w:tblHeader w:val="false"/>
        </w:trPr>
        <w:tc>
          <w:tcPr>
            <w:tcW w:type="dxa" w:w="2400"/>
            <w:tcMar>
              <w:top w:type="dxa" w:w="60"/>
              <w:left w:type="dxa" w:w="100"/>
              <w:bottom w:type="dxa" w:w="60"/>
              <w:right w:type="dxa" w:w="100"/>
            </w:tcMar>
          </w:tcPr>
          <w:p>
            <w:pPr>
              <w:spacing w:after="0"/>
              <w:jc w:val="left"/>
            </w:pPr>
            <w:r>
              <w:rPr>
                <w:b w:val="false"/>
                <w:bCs w:val="false"/>
                <w:sz w:val="18"/>
                <w:szCs w:val="18"/>
              </w:rPr>
              <w:t xml:space="preserve">R5</w:t>
            </w:r>
          </w:p>
        </w:tc>
        <w:tc>
          <w:tcPr>
            <w:tcW w:type="dxa" w:w="6960"/>
            <w:tcMar>
              <w:top w:type="dxa" w:w="60"/>
              <w:left w:type="dxa" w:w="100"/>
              <w:bottom w:type="dxa" w:w="60"/>
              <w:right w:type="dxa" w:w="100"/>
            </w:tcMar>
          </w:tcPr>
          <w:p>
            <w:pPr>
              <w:spacing w:after="0"/>
              <w:jc w:val="left"/>
            </w:pPr>
            <w:r>
              <w:rPr>
                <w:b w:val="false"/>
                <w:bCs w:val="false"/>
                <w:color w:val="C0392B"/>
                <w:sz w:val="18"/>
                <w:szCs w:val="18"/>
              </w:rPr>
              <w:t xml:space="preserve">7,866.0</w:t>
            </w:r>
          </w:p>
        </w:tc>
      </w:tr>
      <w:tr>
        <w:trPr>
          <w:tblHeader w:val="false"/>
        </w:trPr>
        <w:tc>
          <w:tcPr>
            <w:tcW w:type="dxa" w:w="2400"/>
            <w:shd w:fill="F2F2F2" w:val="clear"/>
            <w:tcMar>
              <w:top w:type="dxa" w:w="60"/>
              <w:left w:type="dxa" w:w="100"/>
              <w:bottom w:type="dxa" w:w="60"/>
              <w:right w:type="dxa" w:w="100"/>
            </w:tcMar>
          </w:tcPr>
          <w:p>
            <w:pPr>
              <w:spacing w:after="0"/>
              <w:jc w:val="left"/>
            </w:pPr>
            <w:r>
              <w:rPr>
                <w:b w:val="false"/>
                <w:bCs w:val="false"/>
                <w:sz w:val="18"/>
                <w:szCs w:val="18"/>
              </w:rPr>
              <w:t xml:space="preserve">R4</w:t>
            </w:r>
          </w:p>
        </w:tc>
        <w:tc>
          <w:tcPr>
            <w:tcW w:type="dxa" w:w="6960"/>
            <w:shd w:fill="F2F2F2" w:val="clear"/>
            <w:tcMar>
              <w:top w:type="dxa" w:w="60"/>
              <w:left w:type="dxa" w:w="100"/>
              <w:bottom w:type="dxa" w:w="60"/>
              <w:right w:type="dxa" w:w="100"/>
            </w:tcMar>
          </w:tcPr>
          <w:p>
            <w:pPr>
              <w:spacing w:after="0"/>
              <w:jc w:val="left"/>
            </w:pPr>
            <w:r>
              <w:rPr>
                <w:b w:val="false"/>
                <w:bCs w:val="false"/>
                <w:color w:val="C0392B"/>
                <w:sz w:val="18"/>
                <w:szCs w:val="18"/>
              </w:rPr>
              <w:t xml:space="preserve">7,737.3</w:t>
            </w:r>
          </w:p>
        </w:tc>
      </w:tr>
      <w:tr>
        <w:trPr>
          <w:tblHeader w:val="false"/>
        </w:trPr>
        <w:tc>
          <w:tcPr>
            <w:tcW w:type="dxa" w:w="2400"/>
            <w:tcMar>
              <w:top w:type="dxa" w:w="60"/>
              <w:left w:type="dxa" w:w="100"/>
              <w:bottom w:type="dxa" w:w="60"/>
              <w:right w:type="dxa" w:w="100"/>
            </w:tcMar>
          </w:tcPr>
          <w:p>
            <w:pPr>
              <w:spacing w:after="0"/>
              <w:jc w:val="left"/>
            </w:pPr>
            <w:r>
              <w:rPr>
                <w:b w:val="false"/>
                <w:bCs w:val="false"/>
                <w:sz w:val="18"/>
                <w:szCs w:val="18"/>
              </w:rPr>
              <w:t xml:space="preserve">R3</w:t>
            </w:r>
          </w:p>
        </w:tc>
        <w:tc>
          <w:tcPr>
            <w:tcW w:type="dxa" w:w="6960"/>
            <w:tcMar>
              <w:top w:type="dxa" w:w="60"/>
              <w:left w:type="dxa" w:w="100"/>
              <w:bottom w:type="dxa" w:w="60"/>
              <w:right w:type="dxa" w:w="100"/>
            </w:tcMar>
          </w:tcPr>
          <w:p>
            <w:pPr>
              <w:spacing w:after="0"/>
              <w:jc w:val="left"/>
            </w:pPr>
            <w:r>
              <w:rPr>
                <w:b w:val="false"/>
                <w:bCs w:val="false"/>
                <w:color w:val="C0392B"/>
                <w:sz w:val="18"/>
                <w:szCs w:val="18"/>
              </w:rPr>
              <w:t xml:space="preserve">7,608.5</w:t>
            </w:r>
          </w:p>
        </w:tc>
      </w:tr>
      <w:tr>
        <w:trPr>
          <w:tblHeader w:val="false"/>
        </w:trPr>
        <w:tc>
          <w:tcPr>
            <w:tcW w:type="dxa" w:w="2400"/>
            <w:shd w:fill="F2F2F2" w:val="clear"/>
            <w:tcMar>
              <w:top w:type="dxa" w:w="60"/>
              <w:left w:type="dxa" w:w="100"/>
              <w:bottom w:type="dxa" w:w="60"/>
              <w:right w:type="dxa" w:w="100"/>
            </w:tcMar>
          </w:tcPr>
          <w:p>
            <w:pPr>
              <w:spacing w:after="0"/>
              <w:jc w:val="left"/>
            </w:pPr>
            <w:r>
              <w:rPr>
                <w:b w:val="false"/>
                <w:bCs w:val="false"/>
                <w:sz w:val="18"/>
                <w:szCs w:val="18"/>
              </w:rPr>
              <w:t xml:space="preserve">R2</w:t>
            </w:r>
          </w:p>
        </w:tc>
        <w:tc>
          <w:tcPr>
            <w:tcW w:type="dxa" w:w="6960"/>
            <w:shd w:fill="F2F2F2" w:val="clear"/>
            <w:tcMar>
              <w:top w:type="dxa" w:w="60"/>
              <w:left w:type="dxa" w:w="100"/>
              <w:bottom w:type="dxa" w:w="60"/>
              <w:right w:type="dxa" w:w="100"/>
            </w:tcMar>
          </w:tcPr>
          <w:p>
            <w:pPr>
              <w:spacing w:after="0"/>
              <w:jc w:val="left"/>
            </w:pPr>
            <w:r>
              <w:rPr>
                <w:b w:val="false"/>
                <w:bCs w:val="false"/>
                <w:color w:val="C0392B"/>
                <w:sz w:val="18"/>
                <w:szCs w:val="18"/>
              </w:rPr>
              <w:t xml:space="preserve">7,562.8</w:t>
            </w:r>
          </w:p>
        </w:tc>
      </w:tr>
      <w:tr>
        <w:trPr>
          <w:tblHeader w:val="false"/>
        </w:trPr>
        <w:tc>
          <w:tcPr>
            <w:tcW w:type="dxa" w:w="2400"/>
            <w:tcMar>
              <w:top w:type="dxa" w:w="60"/>
              <w:left w:type="dxa" w:w="100"/>
              <w:bottom w:type="dxa" w:w="60"/>
              <w:right w:type="dxa" w:w="100"/>
            </w:tcMar>
          </w:tcPr>
          <w:p>
            <w:pPr>
              <w:spacing w:after="0"/>
              <w:jc w:val="left"/>
            </w:pPr>
            <w:r>
              <w:rPr>
                <w:b w:val="false"/>
                <w:bCs w:val="false"/>
                <w:sz w:val="18"/>
                <w:szCs w:val="18"/>
              </w:rPr>
              <w:t xml:space="preserve">R1</w:t>
            </w:r>
          </w:p>
        </w:tc>
        <w:tc>
          <w:tcPr>
            <w:tcW w:type="dxa" w:w="6960"/>
            <w:tcMar>
              <w:top w:type="dxa" w:w="60"/>
              <w:left w:type="dxa" w:w="100"/>
              <w:bottom w:type="dxa" w:w="60"/>
              <w:right w:type="dxa" w:w="100"/>
            </w:tcMar>
          </w:tcPr>
          <w:p>
            <w:pPr>
              <w:spacing w:after="0"/>
              <w:jc w:val="left"/>
            </w:pPr>
            <w:r>
              <w:rPr>
                <w:b w:val="false"/>
                <w:bCs w:val="false"/>
                <w:color w:val="C0392B"/>
                <w:sz w:val="18"/>
                <w:szCs w:val="18"/>
              </w:rPr>
              <w:t xml:space="preserve">7,479.8</w:t>
            </w:r>
          </w:p>
        </w:tc>
      </w:tr>
      <w:tr>
        <w:trPr>
          <w:tblHeader w:val="false"/>
        </w:trPr>
        <w:tc>
          <w:tcPr>
            <w:tcW w:type="dxa" w:w="2400"/>
            <w:shd w:fill="F2F2F2" w:val="clear"/>
            <w:tcMar>
              <w:top w:type="dxa" w:w="60"/>
              <w:left w:type="dxa" w:w="100"/>
              <w:bottom w:type="dxa" w:w="60"/>
              <w:right w:type="dxa" w:w="100"/>
            </w:tcMar>
          </w:tcPr>
          <w:p>
            <w:pPr>
              <w:spacing w:after="0"/>
              <w:jc w:val="left"/>
            </w:pPr>
            <w:r>
              <w:rPr>
                <w:b/>
                <w:bCs/>
                <w:sz w:val="18"/>
                <w:szCs w:val="18"/>
              </w:rPr>
              <w:t xml:space="preserve">P</w:t>
            </w:r>
          </w:p>
        </w:tc>
        <w:tc>
          <w:tcPr>
            <w:tcW w:type="dxa" w:w="6960"/>
            <w:shd w:fill="F2F2F2" w:val="clear"/>
            <w:tcMar>
              <w:top w:type="dxa" w:w="60"/>
              <w:left w:type="dxa" w:w="100"/>
              <w:bottom w:type="dxa" w:w="60"/>
              <w:right w:type="dxa" w:w="100"/>
            </w:tcMar>
          </w:tcPr>
          <w:p>
            <w:pPr>
              <w:spacing w:after="0"/>
              <w:jc w:val="left"/>
            </w:pPr>
            <w:r>
              <w:rPr>
                <w:b/>
                <w:bCs/>
                <w:color w:val="1F3A5F"/>
                <w:sz w:val="18"/>
                <w:szCs w:val="18"/>
              </w:rPr>
              <w:t xml:space="preserve">7,434.1</w:t>
            </w:r>
          </w:p>
        </w:tc>
      </w:tr>
      <w:tr>
        <w:trPr>
          <w:tblHeader w:val="false"/>
        </w:trPr>
        <w:tc>
          <w:tcPr>
            <w:tcW w:type="dxa" w:w="2400"/>
            <w:tcMar>
              <w:top w:type="dxa" w:w="60"/>
              <w:left w:type="dxa" w:w="100"/>
              <w:bottom w:type="dxa" w:w="60"/>
              <w:right w:type="dxa" w:w="100"/>
            </w:tcMar>
          </w:tcPr>
          <w:p>
            <w:pPr>
              <w:spacing w:after="0"/>
              <w:jc w:val="left"/>
            </w:pPr>
            <w:r>
              <w:rPr>
                <w:b w:val="false"/>
                <w:bCs w:val="false"/>
                <w:sz w:val="18"/>
                <w:szCs w:val="18"/>
              </w:rPr>
              <w:t xml:space="preserve">S1</w:t>
            </w:r>
          </w:p>
        </w:tc>
        <w:tc>
          <w:tcPr>
            <w:tcW w:type="dxa" w:w="6960"/>
            <w:tcMar>
              <w:top w:type="dxa" w:w="60"/>
              <w:left w:type="dxa" w:w="100"/>
              <w:bottom w:type="dxa" w:w="60"/>
              <w:right w:type="dxa" w:w="100"/>
            </w:tcMar>
          </w:tcPr>
          <w:p>
            <w:pPr>
              <w:spacing w:after="0"/>
              <w:jc w:val="left"/>
            </w:pPr>
            <w:r>
              <w:rPr>
                <w:b w:val="false"/>
                <w:bCs w:val="false"/>
                <w:color w:val="2E8B57"/>
                <w:sz w:val="18"/>
                <w:szCs w:val="18"/>
              </w:rPr>
              <w:t xml:space="preserve">7,351.1</w:t>
            </w:r>
          </w:p>
        </w:tc>
      </w:tr>
      <w:tr>
        <w:trPr>
          <w:tblHeader w:val="false"/>
        </w:trPr>
        <w:tc>
          <w:tcPr>
            <w:tcW w:type="dxa" w:w="2400"/>
            <w:shd w:fill="F2F2F2" w:val="clear"/>
            <w:tcMar>
              <w:top w:type="dxa" w:w="60"/>
              <w:left w:type="dxa" w:w="100"/>
              <w:bottom w:type="dxa" w:w="60"/>
              <w:right w:type="dxa" w:w="100"/>
            </w:tcMar>
          </w:tcPr>
          <w:p>
            <w:pPr>
              <w:spacing w:after="0"/>
              <w:jc w:val="left"/>
            </w:pPr>
            <w:r>
              <w:rPr>
                <w:b w:val="false"/>
                <w:bCs w:val="false"/>
                <w:sz w:val="18"/>
                <w:szCs w:val="18"/>
              </w:rPr>
              <w:t xml:space="preserve">S2</w:t>
            </w:r>
          </w:p>
        </w:tc>
        <w:tc>
          <w:tcPr>
            <w:tcW w:type="dxa" w:w="6960"/>
            <w:shd w:fill="F2F2F2" w:val="clear"/>
            <w:tcMar>
              <w:top w:type="dxa" w:w="60"/>
              <w:left w:type="dxa" w:w="100"/>
              <w:bottom w:type="dxa" w:w="60"/>
              <w:right w:type="dxa" w:w="100"/>
            </w:tcMar>
          </w:tcPr>
          <w:p>
            <w:pPr>
              <w:spacing w:after="0"/>
              <w:jc w:val="left"/>
            </w:pPr>
            <w:r>
              <w:rPr>
                <w:b w:val="false"/>
                <w:bCs w:val="false"/>
                <w:color w:val="2E8B57"/>
                <w:sz w:val="18"/>
                <w:szCs w:val="18"/>
              </w:rPr>
              <w:t xml:space="preserve">7,305.4</w:t>
            </w:r>
          </w:p>
        </w:tc>
      </w:tr>
      <w:tr>
        <w:trPr>
          <w:tblHeader w:val="false"/>
        </w:trPr>
        <w:tc>
          <w:tcPr>
            <w:tcW w:type="dxa" w:w="2400"/>
            <w:tcMar>
              <w:top w:type="dxa" w:w="60"/>
              <w:left w:type="dxa" w:w="100"/>
              <w:bottom w:type="dxa" w:w="60"/>
              <w:right w:type="dxa" w:w="100"/>
            </w:tcMar>
          </w:tcPr>
          <w:p>
            <w:pPr>
              <w:spacing w:after="0"/>
              <w:jc w:val="left"/>
            </w:pPr>
            <w:r>
              <w:rPr>
                <w:b w:val="false"/>
                <w:bCs w:val="false"/>
                <w:sz w:val="18"/>
                <w:szCs w:val="18"/>
              </w:rPr>
              <w:t xml:space="preserve">S3</w:t>
            </w:r>
          </w:p>
        </w:tc>
        <w:tc>
          <w:tcPr>
            <w:tcW w:type="dxa" w:w="6960"/>
            <w:tcMar>
              <w:top w:type="dxa" w:w="60"/>
              <w:left w:type="dxa" w:w="100"/>
              <w:bottom w:type="dxa" w:w="60"/>
              <w:right w:type="dxa" w:w="100"/>
            </w:tcMar>
          </w:tcPr>
          <w:p>
            <w:pPr>
              <w:spacing w:after="0"/>
              <w:jc w:val="left"/>
            </w:pPr>
            <w:r>
              <w:rPr>
                <w:b w:val="false"/>
                <w:bCs w:val="false"/>
                <w:color w:val="2E8B57"/>
                <w:sz w:val="18"/>
                <w:szCs w:val="18"/>
              </w:rPr>
              <w:t xml:space="preserve">7,222.4</w:t>
            </w:r>
          </w:p>
        </w:tc>
      </w:tr>
      <w:tr>
        <w:trPr>
          <w:tblHeader w:val="false"/>
        </w:trPr>
        <w:tc>
          <w:tcPr>
            <w:tcW w:type="dxa" w:w="2400"/>
            <w:shd w:fill="F2F2F2" w:val="clear"/>
            <w:tcMar>
              <w:top w:type="dxa" w:w="60"/>
              <w:left w:type="dxa" w:w="100"/>
              <w:bottom w:type="dxa" w:w="60"/>
              <w:right w:type="dxa" w:w="100"/>
            </w:tcMar>
          </w:tcPr>
          <w:p>
            <w:pPr>
              <w:spacing w:after="0"/>
              <w:jc w:val="left"/>
            </w:pPr>
            <w:r>
              <w:rPr>
                <w:b w:val="false"/>
                <w:bCs w:val="false"/>
                <w:sz w:val="18"/>
                <w:szCs w:val="18"/>
              </w:rPr>
              <w:t xml:space="preserve">S4</w:t>
            </w:r>
          </w:p>
        </w:tc>
        <w:tc>
          <w:tcPr>
            <w:tcW w:type="dxa" w:w="6960"/>
            <w:shd w:fill="F2F2F2" w:val="clear"/>
            <w:tcMar>
              <w:top w:type="dxa" w:w="60"/>
              <w:left w:type="dxa" w:w="100"/>
              <w:bottom w:type="dxa" w:w="60"/>
              <w:right w:type="dxa" w:w="100"/>
            </w:tcMar>
          </w:tcPr>
          <w:p>
            <w:pPr>
              <w:spacing w:after="0"/>
              <w:jc w:val="left"/>
            </w:pPr>
            <w:r>
              <w:rPr>
                <w:b w:val="false"/>
                <w:bCs w:val="false"/>
                <w:color w:val="2E8B57"/>
                <w:sz w:val="18"/>
                <w:szCs w:val="18"/>
              </w:rPr>
              <w:t xml:space="preserve">7,093.7</w:t>
            </w:r>
          </w:p>
        </w:tc>
      </w:tr>
      <w:tr>
        <w:trPr>
          <w:tblHeader w:val="false"/>
        </w:trPr>
        <w:tc>
          <w:tcPr>
            <w:tcW w:type="dxa" w:w="2400"/>
            <w:tcMar>
              <w:top w:type="dxa" w:w="60"/>
              <w:left w:type="dxa" w:w="100"/>
              <w:bottom w:type="dxa" w:w="60"/>
              <w:right w:type="dxa" w:w="100"/>
            </w:tcMar>
          </w:tcPr>
          <w:p>
            <w:pPr>
              <w:spacing w:after="0"/>
              <w:jc w:val="left"/>
            </w:pPr>
            <w:r>
              <w:rPr>
                <w:b w:val="false"/>
                <w:bCs w:val="false"/>
                <w:sz w:val="18"/>
                <w:szCs w:val="18"/>
              </w:rPr>
              <w:t xml:space="preserve">S5</w:t>
            </w:r>
          </w:p>
        </w:tc>
        <w:tc>
          <w:tcPr>
            <w:tcW w:type="dxa" w:w="6960"/>
            <w:tcMar>
              <w:top w:type="dxa" w:w="60"/>
              <w:left w:type="dxa" w:w="100"/>
              <w:bottom w:type="dxa" w:w="60"/>
              <w:right w:type="dxa" w:w="100"/>
            </w:tcMar>
          </w:tcPr>
          <w:p>
            <w:pPr>
              <w:spacing w:after="0"/>
              <w:jc w:val="left"/>
            </w:pPr>
            <w:r>
              <w:rPr>
                <w:b w:val="false"/>
                <w:bCs w:val="false"/>
                <w:color w:val="2E8B57"/>
                <w:sz w:val="18"/>
                <w:szCs w:val="18"/>
              </w:rPr>
              <w:t xml:space="preserve">6,964.9</w:t>
            </w:r>
          </w:p>
        </w:tc>
      </w:tr>
    </w:tbl>
    <w:p>
      <w:pPr>
        <w:spacing w:after="60"/>
      </w:pPr>
      <w:r>
        <w:t xml:space="preserve"/>
      </w:r>
    </w:p>
    <w:p>
      <w:pPr>
        <w:spacing w:after="120"/>
      </w:pPr>
      <w:r>
        <w:rPr>
          <w:i/>
          <w:iCs/>
          <w:color w:val="555555"/>
          <w:sz w:val="18"/>
          <w:szCs w:val="18"/>
        </w:rPr>
        <w:t xml:space="preserve">Source status: prior-week High/Low corroborated to close-basis tolerance; weekly levels treated as the firmest of the three timeframes.</w:t>
      </w:r>
    </w:p>
    <w:p>
      <w:pPr>
        <w:pStyle w:val="Heading3"/>
      </w:pPr>
      <w:r>
        <w:t xml:space="preserve">Monthly pivots — from April H/L/C</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6960"/>
      </w:tblGrid>
      <w:tr>
        <w:trPr>
          <w:tblHeader/>
        </w:trPr>
        <w:tc>
          <w:tcPr>
            <w:tcW w:type="dxa" w:w="2400"/>
            <w:shd w:fill="1F3A5F" w:val="clear"/>
            <w:tcMar>
              <w:top w:type="dxa" w:w="60"/>
              <w:left w:type="dxa" w:w="100"/>
              <w:bottom w:type="dxa" w:w="60"/>
              <w:right w:type="dxa" w:w="100"/>
            </w:tcMar>
          </w:tcPr>
          <w:p>
            <w:pPr>
              <w:spacing w:after="0"/>
              <w:jc w:val="left"/>
            </w:pPr>
            <w:r>
              <w:rPr>
                <w:b/>
                <w:bCs/>
                <w:color w:val="FFFFFF"/>
                <w:sz w:val="18"/>
                <w:szCs w:val="18"/>
              </w:rPr>
              <w:t xml:space="preserve">Monthly</w:t>
            </w:r>
          </w:p>
        </w:tc>
        <w:tc>
          <w:tcPr>
            <w:tcW w:type="dxa" w:w="6960"/>
            <w:shd w:fill="1F3A5F" w:val="clear"/>
            <w:tcMar>
              <w:top w:type="dxa" w:w="60"/>
              <w:left w:type="dxa" w:w="100"/>
              <w:bottom w:type="dxa" w:w="60"/>
              <w:right w:type="dxa" w:w="100"/>
            </w:tcMar>
          </w:tcPr>
          <w:p>
            <w:pPr>
              <w:spacing w:after="0"/>
              <w:jc w:val="left"/>
            </w:pPr>
            <w:r>
              <w:rPr>
                <w:b/>
                <w:bCs/>
                <w:color w:val="FFFFFF"/>
                <w:sz w:val="18"/>
                <w:szCs w:val="18"/>
              </w:rPr>
              <w:t xml:space="preserve">Level (index points)</w:t>
            </w:r>
          </w:p>
        </w:tc>
      </w:tr>
      <w:tr>
        <w:trPr>
          <w:tblHeader w:val="false"/>
        </w:trPr>
        <w:tc>
          <w:tcPr>
            <w:tcW w:type="dxa" w:w="2400"/>
            <w:tcMar>
              <w:top w:type="dxa" w:w="60"/>
              <w:left w:type="dxa" w:w="100"/>
              <w:bottom w:type="dxa" w:w="60"/>
              <w:right w:type="dxa" w:w="100"/>
            </w:tcMar>
          </w:tcPr>
          <w:p>
            <w:pPr>
              <w:spacing w:after="0"/>
              <w:jc w:val="left"/>
            </w:pPr>
            <w:r>
              <w:rPr>
                <w:b w:val="false"/>
                <w:bCs w:val="false"/>
                <w:sz w:val="18"/>
                <w:szCs w:val="18"/>
              </w:rPr>
              <w:t xml:space="preserve">R5</w:t>
            </w:r>
          </w:p>
        </w:tc>
        <w:tc>
          <w:tcPr>
            <w:tcW w:type="dxa" w:w="6960"/>
            <w:tcMar>
              <w:top w:type="dxa" w:w="60"/>
              <w:left w:type="dxa" w:w="100"/>
              <w:bottom w:type="dxa" w:w="60"/>
              <w:right w:type="dxa" w:w="100"/>
            </w:tcMar>
          </w:tcPr>
          <w:p>
            <w:pPr>
              <w:spacing w:after="0"/>
              <w:jc w:val="left"/>
            </w:pPr>
            <w:r>
              <w:rPr>
                <w:b w:val="false"/>
                <w:bCs w:val="false"/>
                <w:color w:val="C0392B"/>
                <w:sz w:val="18"/>
                <w:szCs w:val="18"/>
              </w:rPr>
              <w:t xml:space="preserve">8,580.0</w:t>
            </w:r>
          </w:p>
        </w:tc>
      </w:tr>
      <w:tr>
        <w:trPr>
          <w:tblHeader w:val="false"/>
        </w:trPr>
        <w:tc>
          <w:tcPr>
            <w:tcW w:type="dxa" w:w="2400"/>
            <w:shd w:fill="F2F2F2" w:val="clear"/>
            <w:tcMar>
              <w:top w:type="dxa" w:w="60"/>
              <w:left w:type="dxa" w:w="100"/>
              <w:bottom w:type="dxa" w:w="60"/>
              <w:right w:type="dxa" w:w="100"/>
            </w:tcMar>
          </w:tcPr>
          <w:p>
            <w:pPr>
              <w:spacing w:after="0"/>
              <w:jc w:val="left"/>
            </w:pPr>
            <w:r>
              <w:rPr>
                <w:b w:val="false"/>
                <w:bCs w:val="false"/>
                <w:sz w:val="18"/>
                <w:szCs w:val="18"/>
              </w:rPr>
              <w:t xml:space="preserve">R4</w:t>
            </w:r>
          </w:p>
        </w:tc>
        <w:tc>
          <w:tcPr>
            <w:tcW w:type="dxa" w:w="6960"/>
            <w:shd w:fill="F2F2F2" w:val="clear"/>
            <w:tcMar>
              <w:top w:type="dxa" w:w="60"/>
              <w:left w:type="dxa" w:w="100"/>
              <w:bottom w:type="dxa" w:w="60"/>
              <w:right w:type="dxa" w:w="100"/>
            </w:tcMar>
          </w:tcPr>
          <w:p>
            <w:pPr>
              <w:spacing w:after="0"/>
              <w:jc w:val="left"/>
            </w:pPr>
            <w:r>
              <w:rPr>
                <w:b w:val="false"/>
                <w:bCs w:val="false"/>
                <w:color w:val="C0392B"/>
                <w:sz w:val="18"/>
                <w:szCs w:val="18"/>
              </w:rPr>
              <w:t xml:space="preserve">8,200.0</w:t>
            </w:r>
          </w:p>
        </w:tc>
      </w:tr>
      <w:tr>
        <w:trPr>
          <w:tblHeader w:val="false"/>
        </w:trPr>
        <w:tc>
          <w:tcPr>
            <w:tcW w:type="dxa" w:w="2400"/>
            <w:tcMar>
              <w:top w:type="dxa" w:w="60"/>
              <w:left w:type="dxa" w:w="100"/>
              <w:bottom w:type="dxa" w:w="60"/>
              <w:right w:type="dxa" w:w="100"/>
            </w:tcMar>
          </w:tcPr>
          <w:p>
            <w:pPr>
              <w:spacing w:after="0"/>
              <w:jc w:val="left"/>
            </w:pPr>
            <w:r>
              <w:rPr>
                <w:b w:val="false"/>
                <w:bCs w:val="false"/>
                <w:sz w:val="18"/>
                <w:szCs w:val="18"/>
              </w:rPr>
              <w:t xml:space="preserve">R3</w:t>
            </w:r>
          </w:p>
        </w:tc>
        <w:tc>
          <w:tcPr>
            <w:tcW w:type="dxa" w:w="6960"/>
            <w:tcMar>
              <w:top w:type="dxa" w:w="60"/>
              <w:left w:type="dxa" w:w="100"/>
              <w:bottom w:type="dxa" w:w="60"/>
              <w:right w:type="dxa" w:w="100"/>
            </w:tcMar>
          </w:tcPr>
          <w:p>
            <w:pPr>
              <w:spacing w:after="0"/>
              <w:jc w:val="left"/>
            </w:pPr>
            <w:r>
              <w:rPr>
                <w:b w:val="false"/>
                <w:bCs w:val="false"/>
                <w:color w:val="C0392B"/>
                <w:sz w:val="18"/>
                <w:szCs w:val="18"/>
              </w:rPr>
              <w:t xml:space="preserve">7,820.0</w:t>
            </w:r>
          </w:p>
        </w:tc>
      </w:tr>
      <w:tr>
        <w:trPr>
          <w:tblHeader w:val="false"/>
        </w:trPr>
        <w:tc>
          <w:tcPr>
            <w:tcW w:type="dxa" w:w="2400"/>
            <w:shd w:fill="F2F2F2" w:val="clear"/>
            <w:tcMar>
              <w:top w:type="dxa" w:w="60"/>
              <w:left w:type="dxa" w:w="100"/>
              <w:bottom w:type="dxa" w:w="60"/>
              <w:right w:type="dxa" w:w="100"/>
            </w:tcMar>
          </w:tcPr>
          <w:p>
            <w:pPr>
              <w:spacing w:after="0"/>
              <w:jc w:val="left"/>
            </w:pPr>
            <w:r>
              <w:rPr>
                <w:b w:val="false"/>
                <w:bCs w:val="false"/>
                <w:sz w:val="18"/>
                <w:szCs w:val="18"/>
              </w:rPr>
              <w:t xml:space="preserve">R2</w:t>
            </w:r>
          </w:p>
        </w:tc>
        <w:tc>
          <w:tcPr>
            <w:tcW w:type="dxa" w:w="6960"/>
            <w:shd w:fill="F2F2F2" w:val="clear"/>
            <w:tcMar>
              <w:top w:type="dxa" w:w="60"/>
              <w:left w:type="dxa" w:w="100"/>
              <w:bottom w:type="dxa" w:w="60"/>
              <w:right w:type="dxa" w:w="100"/>
            </w:tcMar>
          </w:tcPr>
          <w:p>
            <w:pPr>
              <w:spacing w:after="0"/>
              <w:jc w:val="left"/>
            </w:pPr>
            <w:r>
              <w:rPr>
                <w:b w:val="false"/>
                <w:bCs w:val="false"/>
                <w:color w:val="C0392B"/>
                <w:sz w:val="18"/>
                <w:szCs w:val="18"/>
              </w:rPr>
              <w:t xml:space="preserve">7,590.0</w:t>
            </w:r>
          </w:p>
        </w:tc>
      </w:tr>
      <w:tr>
        <w:trPr>
          <w:tblHeader w:val="false"/>
        </w:trPr>
        <w:tc>
          <w:tcPr>
            <w:tcW w:type="dxa" w:w="2400"/>
            <w:tcMar>
              <w:top w:type="dxa" w:w="60"/>
              <w:left w:type="dxa" w:w="100"/>
              <w:bottom w:type="dxa" w:w="60"/>
              <w:right w:type="dxa" w:w="100"/>
            </w:tcMar>
          </w:tcPr>
          <w:p>
            <w:pPr>
              <w:spacing w:after="0"/>
              <w:jc w:val="left"/>
            </w:pPr>
            <w:r>
              <w:rPr>
                <w:b w:val="false"/>
                <w:bCs w:val="false"/>
                <w:sz w:val="18"/>
                <w:szCs w:val="18"/>
              </w:rPr>
              <w:t xml:space="preserve">R1</w:t>
            </w:r>
          </w:p>
        </w:tc>
        <w:tc>
          <w:tcPr>
            <w:tcW w:type="dxa" w:w="6960"/>
            <w:tcMar>
              <w:top w:type="dxa" w:w="60"/>
              <w:left w:type="dxa" w:w="100"/>
              <w:bottom w:type="dxa" w:w="60"/>
              <w:right w:type="dxa" w:w="100"/>
            </w:tcMar>
          </w:tcPr>
          <w:p>
            <w:pPr>
              <w:spacing w:after="0"/>
              <w:jc w:val="left"/>
            </w:pPr>
            <w:r>
              <w:rPr>
                <w:b w:val="false"/>
                <w:bCs w:val="false"/>
                <w:color w:val="C0392B"/>
                <w:sz w:val="18"/>
                <w:szCs w:val="18"/>
              </w:rPr>
              <w:t xml:space="preserve">7,440.0</w:t>
            </w:r>
          </w:p>
        </w:tc>
      </w:tr>
      <w:tr>
        <w:trPr>
          <w:tblHeader w:val="false"/>
        </w:trPr>
        <w:tc>
          <w:tcPr>
            <w:tcW w:type="dxa" w:w="2400"/>
            <w:shd w:fill="F2F2F2" w:val="clear"/>
            <w:tcMar>
              <w:top w:type="dxa" w:w="60"/>
              <w:left w:type="dxa" w:w="100"/>
              <w:bottom w:type="dxa" w:w="60"/>
              <w:right w:type="dxa" w:w="100"/>
            </w:tcMar>
          </w:tcPr>
          <w:p>
            <w:pPr>
              <w:spacing w:after="0"/>
              <w:jc w:val="left"/>
            </w:pPr>
            <w:r>
              <w:rPr>
                <w:b/>
                <w:bCs/>
                <w:sz w:val="18"/>
                <w:szCs w:val="18"/>
              </w:rPr>
              <w:t xml:space="preserve">P</w:t>
            </w:r>
          </w:p>
        </w:tc>
        <w:tc>
          <w:tcPr>
            <w:tcW w:type="dxa" w:w="6960"/>
            <w:shd w:fill="F2F2F2" w:val="clear"/>
            <w:tcMar>
              <w:top w:type="dxa" w:w="60"/>
              <w:left w:type="dxa" w:w="100"/>
              <w:bottom w:type="dxa" w:w="60"/>
              <w:right w:type="dxa" w:w="100"/>
            </w:tcMar>
          </w:tcPr>
          <w:p>
            <w:pPr>
              <w:spacing w:after="0"/>
              <w:jc w:val="left"/>
            </w:pPr>
            <w:r>
              <w:rPr>
                <w:b/>
                <w:bCs/>
                <w:color w:val="1F3A5F"/>
                <w:sz w:val="18"/>
                <w:szCs w:val="18"/>
              </w:rPr>
              <w:t xml:space="preserve">7,210.0</w:t>
            </w:r>
          </w:p>
        </w:tc>
      </w:tr>
      <w:tr>
        <w:trPr>
          <w:tblHeader w:val="false"/>
        </w:trPr>
        <w:tc>
          <w:tcPr>
            <w:tcW w:type="dxa" w:w="2400"/>
            <w:tcMar>
              <w:top w:type="dxa" w:w="60"/>
              <w:left w:type="dxa" w:w="100"/>
              <w:bottom w:type="dxa" w:w="60"/>
              <w:right w:type="dxa" w:w="100"/>
            </w:tcMar>
          </w:tcPr>
          <w:p>
            <w:pPr>
              <w:spacing w:after="0"/>
              <w:jc w:val="left"/>
            </w:pPr>
            <w:r>
              <w:rPr>
                <w:b w:val="false"/>
                <w:bCs w:val="false"/>
                <w:sz w:val="18"/>
                <w:szCs w:val="18"/>
              </w:rPr>
              <w:t xml:space="preserve">S1</w:t>
            </w:r>
          </w:p>
        </w:tc>
        <w:tc>
          <w:tcPr>
            <w:tcW w:type="dxa" w:w="6960"/>
            <w:tcMar>
              <w:top w:type="dxa" w:w="60"/>
              <w:left w:type="dxa" w:w="100"/>
              <w:bottom w:type="dxa" w:w="60"/>
              <w:right w:type="dxa" w:w="100"/>
            </w:tcMar>
          </w:tcPr>
          <w:p>
            <w:pPr>
              <w:spacing w:after="0"/>
              <w:jc w:val="left"/>
            </w:pPr>
            <w:r>
              <w:rPr>
                <w:b w:val="false"/>
                <w:bCs w:val="false"/>
                <w:color w:val="2E8B57"/>
                <w:sz w:val="18"/>
                <w:szCs w:val="18"/>
              </w:rPr>
              <w:t xml:space="preserve">7,060.0</w:t>
            </w:r>
          </w:p>
        </w:tc>
      </w:tr>
      <w:tr>
        <w:trPr>
          <w:tblHeader w:val="false"/>
        </w:trPr>
        <w:tc>
          <w:tcPr>
            <w:tcW w:type="dxa" w:w="2400"/>
            <w:shd w:fill="F2F2F2" w:val="clear"/>
            <w:tcMar>
              <w:top w:type="dxa" w:w="60"/>
              <w:left w:type="dxa" w:w="100"/>
              <w:bottom w:type="dxa" w:w="60"/>
              <w:right w:type="dxa" w:w="100"/>
            </w:tcMar>
          </w:tcPr>
          <w:p>
            <w:pPr>
              <w:spacing w:after="0"/>
              <w:jc w:val="left"/>
            </w:pPr>
            <w:r>
              <w:rPr>
                <w:b w:val="false"/>
                <w:bCs w:val="false"/>
                <w:sz w:val="18"/>
                <w:szCs w:val="18"/>
              </w:rPr>
              <w:t xml:space="preserve">S2</w:t>
            </w:r>
          </w:p>
        </w:tc>
        <w:tc>
          <w:tcPr>
            <w:tcW w:type="dxa" w:w="6960"/>
            <w:shd w:fill="F2F2F2" w:val="clear"/>
            <w:tcMar>
              <w:top w:type="dxa" w:w="60"/>
              <w:left w:type="dxa" w:w="100"/>
              <w:bottom w:type="dxa" w:w="60"/>
              <w:right w:type="dxa" w:w="100"/>
            </w:tcMar>
          </w:tcPr>
          <w:p>
            <w:pPr>
              <w:spacing w:after="0"/>
              <w:jc w:val="left"/>
            </w:pPr>
            <w:r>
              <w:rPr>
                <w:b w:val="false"/>
                <w:bCs w:val="false"/>
                <w:color w:val="2E8B57"/>
                <w:sz w:val="18"/>
                <w:szCs w:val="18"/>
              </w:rPr>
              <w:t xml:space="preserve">6,830.0</w:t>
            </w:r>
          </w:p>
        </w:tc>
      </w:tr>
      <w:tr>
        <w:trPr>
          <w:tblHeader w:val="false"/>
        </w:trPr>
        <w:tc>
          <w:tcPr>
            <w:tcW w:type="dxa" w:w="2400"/>
            <w:tcMar>
              <w:top w:type="dxa" w:w="60"/>
              <w:left w:type="dxa" w:w="100"/>
              <w:bottom w:type="dxa" w:w="60"/>
              <w:right w:type="dxa" w:w="100"/>
            </w:tcMar>
          </w:tcPr>
          <w:p>
            <w:pPr>
              <w:spacing w:after="0"/>
              <w:jc w:val="left"/>
            </w:pPr>
            <w:r>
              <w:rPr>
                <w:b w:val="false"/>
                <w:bCs w:val="false"/>
                <w:sz w:val="18"/>
                <w:szCs w:val="18"/>
              </w:rPr>
              <w:t xml:space="preserve">S3</w:t>
            </w:r>
          </w:p>
        </w:tc>
        <w:tc>
          <w:tcPr>
            <w:tcW w:type="dxa" w:w="6960"/>
            <w:tcMar>
              <w:top w:type="dxa" w:w="60"/>
              <w:left w:type="dxa" w:w="100"/>
              <w:bottom w:type="dxa" w:w="60"/>
              <w:right w:type="dxa" w:w="100"/>
            </w:tcMar>
          </w:tcPr>
          <w:p>
            <w:pPr>
              <w:spacing w:after="0"/>
              <w:jc w:val="left"/>
            </w:pPr>
            <w:r>
              <w:rPr>
                <w:b w:val="false"/>
                <w:bCs w:val="false"/>
                <w:color w:val="2E8B57"/>
                <w:sz w:val="18"/>
                <w:szCs w:val="18"/>
              </w:rPr>
              <w:t xml:space="preserve">6,680.0</w:t>
            </w:r>
          </w:p>
        </w:tc>
      </w:tr>
      <w:tr>
        <w:trPr>
          <w:tblHeader w:val="false"/>
        </w:trPr>
        <w:tc>
          <w:tcPr>
            <w:tcW w:type="dxa" w:w="2400"/>
            <w:shd w:fill="F2F2F2" w:val="clear"/>
            <w:tcMar>
              <w:top w:type="dxa" w:w="60"/>
              <w:left w:type="dxa" w:w="100"/>
              <w:bottom w:type="dxa" w:w="60"/>
              <w:right w:type="dxa" w:w="100"/>
            </w:tcMar>
          </w:tcPr>
          <w:p>
            <w:pPr>
              <w:spacing w:after="0"/>
              <w:jc w:val="left"/>
            </w:pPr>
            <w:r>
              <w:rPr>
                <w:b w:val="false"/>
                <w:bCs w:val="false"/>
                <w:sz w:val="18"/>
                <w:szCs w:val="18"/>
              </w:rPr>
              <w:t xml:space="preserve">S4</w:t>
            </w:r>
          </w:p>
        </w:tc>
        <w:tc>
          <w:tcPr>
            <w:tcW w:type="dxa" w:w="6960"/>
            <w:shd w:fill="F2F2F2" w:val="clear"/>
            <w:tcMar>
              <w:top w:type="dxa" w:w="60"/>
              <w:left w:type="dxa" w:w="100"/>
              <w:bottom w:type="dxa" w:w="60"/>
              <w:right w:type="dxa" w:w="100"/>
            </w:tcMar>
          </w:tcPr>
          <w:p>
            <w:pPr>
              <w:spacing w:after="0"/>
              <w:jc w:val="left"/>
            </w:pPr>
            <w:r>
              <w:rPr>
                <w:b w:val="false"/>
                <w:bCs w:val="false"/>
                <w:color w:val="2E8B57"/>
                <w:sz w:val="18"/>
                <w:szCs w:val="18"/>
              </w:rPr>
              <w:t xml:space="preserve">6,300.0</w:t>
            </w:r>
          </w:p>
        </w:tc>
      </w:tr>
      <w:tr>
        <w:trPr>
          <w:tblHeader w:val="false"/>
        </w:trPr>
        <w:tc>
          <w:tcPr>
            <w:tcW w:type="dxa" w:w="2400"/>
            <w:tcMar>
              <w:top w:type="dxa" w:w="60"/>
              <w:left w:type="dxa" w:w="100"/>
              <w:bottom w:type="dxa" w:w="60"/>
              <w:right w:type="dxa" w:w="100"/>
            </w:tcMar>
          </w:tcPr>
          <w:p>
            <w:pPr>
              <w:spacing w:after="0"/>
              <w:jc w:val="left"/>
            </w:pPr>
            <w:r>
              <w:rPr>
                <w:b w:val="false"/>
                <w:bCs w:val="false"/>
                <w:sz w:val="18"/>
                <w:szCs w:val="18"/>
              </w:rPr>
              <w:t xml:space="preserve">S5</w:t>
            </w:r>
          </w:p>
        </w:tc>
        <w:tc>
          <w:tcPr>
            <w:tcW w:type="dxa" w:w="6960"/>
            <w:tcMar>
              <w:top w:type="dxa" w:w="60"/>
              <w:left w:type="dxa" w:w="100"/>
              <w:bottom w:type="dxa" w:w="60"/>
              <w:right w:type="dxa" w:w="100"/>
            </w:tcMar>
          </w:tcPr>
          <w:p>
            <w:pPr>
              <w:spacing w:after="0"/>
              <w:jc w:val="left"/>
            </w:pPr>
            <w:r>
              <w:rPr>
                <w:b w:val="false"/>
                <w:bCs w:val="false"/>
                <w:color w:val="2E8B57"/>
                <w:sz w:val="18"/>
                <w:szCs w:val="18"/>
              </w:rPr>
              <w:t xml:space="preserve">5,920.0</w:t>
            </w:r>
          </w:p>
        </w:tc>
      </w:tr>
    </w:tbl>
    <w:p>
      <w:pPr>
        <w:spacing w:after="60"/>
      </w:pPr>
      <w:r>
        <w:t xml:space="preserve"/>
      </w:r>
    </w:p>
    <w:p>
      <w:pPr>
        <w:spacing w:after="120"/>
      </w:pPr>
      <w:r>
        <w:rPr>
          <w:i/>
          <w:iCs/>
          <w:color w:val="555555"/>
          <w:sz w:val="18"/>
          <w:szCs w:val="18"/>
        </w:rPr>
        <w:t xml:space="preserve">Source status: prior-month H/L/C indicative; monthly levels used for broad context only.</w:t>
      </w:r>
    </w:p>
    <w:p>
      <w:pPr>
        <w:spacing w:after="60"/>
      </w:pPr>
      <w:r>
        <w:t xml:space="preserve"/>
      </w:r>
    </w:p>
    <w:p>
      <w:pPr>
        <w:spacing w:after="120"/>
      </w:pPr>
      <w:r>
        <w:t xml:space="default"/>
      </w:r>
    </w:p>
    <w:p>
      <w:r>
        <w:br w:type="page"/>
      </w:r>
    </w:p>
    <w:p>
      <w:pPr>
        <w:pStyle w:val="Heading1"/>
      </w:pPr>
      <w:r>
        <w:t xml:space="preserve">12.  Key Market Considerations</w:t>
      </w:r>
    </w:p>
    <w:p>
      <w:pPr>
        <w:pStyle w:val="Heading3"/>
      </w:pPr>
      <w:r>
        <w:t xml:space="preserve">Demand for equity risk — price-negative (cyclical)</w:t>
      </w:r>
    </w:p>
    <w:p>
      <w:pPr>
        <w:spacing w:after="120"/>
      </w:pPr>
      <w:r>
        <w:t xml:space="preserve">The dominant near-term force is the back-up in long-dated US Treasury yields toward multi-month highs, which raises the discount rate on equity cash flows and lifts the appeal of competing fixed income. This is an event-driven, reversible factor tied to the inflation and oil narrative rather than a structural shift.</w:t>
      </w:r>
    </w:p>
    <w:p>
      <w:pPr>
        <w:pStyle w:val="Heading3"/>
      </w:pPr>
      <w:r>
        <w:t xml:space="preserve">Earnings leadership — neutral (structural undertone)</w:t>
      </w:r>
    </w:p>
    <w:p>
      <w:pPr>
        <w:spacing w:after="120"/>
      </w:pPr>
      <w:r>
        <w:t xml:space="preserve">Mega-cap technology earnings are the structural engine of the index. Nvidia's first-quarter print beat on the headline but its forward guide failed to clear the top of the analyst range, leaving the AI-leadership trade without fresh fuel. The structural earnings story is intact; the cyclical catalyst is absent.</w:t>
      </w:r>
    </w:p>
    <w:p>
      <w:pPr>
        <w:pStyle w:val="Heading3"/>
      </w:pPr>
      <w:r>
        <w:t xml:space="preserve">Energy and inflation pass-through — neutral, recently volatile (cyclical)</w:t>
      </w:r>
    </w:p>
    <w:p>
      <w:pPr>
        <w:spacing w:after="120"/>
      </w:pPr>
      <w:r>
        <w:t xml:space="preserve">Crude oil spiked on Middle East supply fear, then reversed sharply lower as a possible Iran de-escalation emerged. Lower oil eases the inflation pass-through that had been pressuring equities, but the headline risk remains two-sided and unresolved.</w:t>
      </w:r>
    </w:p>
    <w:p>
      <w:pPr>
        <w:pStyle w:val="Heading3"/>
      </w:pPr>
      <w:r>
        <w:t xml:space="preserve">Macro / FX — mild headwind (cyclical)</w:t>
      </w:r>
    </w:p>
    <w:p>
      <w:pPr>
        <w:spacing w:after="120"/>
      </w:pPr>
      <w:r>
        <w:t xml:space="preserve">A broadly firm dollar is a modest translation headwind for multinational earnings but is not the swing factor this week (see §10, §14).</w:t>
      </w:r>
    </w:p>
    <w:p>
      <w:pPr>
        <w:pStyle w:val="Heading3"/>
      </w:pPr>
      <w:r>
        <w:t xml:space="preserve">Near-term catalysts</w:t>
      </w:r>
    </w:p>
    <w:p>
      <w:pPr>
        <w:spacing w:after="120"/>
      </w:pPr>
      <w:r>
        <w:t xml:space="preserve">The five-day horizon carries a US core PCE inflation release, ongoing Treasury supply/yield dynamics, and continued Middle East de-escalation headlines. All three are flagged in §13d; core PCE is the highest-impact scheduled item.</w:t>
      </w:r>
    </w:p>
    <w:p>
      <w:pPr>
        <w:pStyle w:val="Heading1"/>
      </w:pPr>
      <w:r>
        <w:t xml:space="preserve">13.  Sentiment, News and Calendar</w:t>
      </w:r>
    </w:p>
    <w:p>
      <w:pPr>
        <w:pStyle w:val="Heading3"/>
      </w:pPr>
      <w:r>
        <w:t xml:space="preserve">13a  Per-Article Sentiment Table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250"/>
        <w:gridCol w:w="1250"/>
        <w:gridCol w:w="1000"/>
        <w:gridCol w:w="2360"/>
        <w:gridCol w:w="1200"/>
        <w:gridCol w:w="1100"/>
        <w:gridCol w:w="1200"/>
      </w:tblGrid>
      <w:tr>
        <w:trPr>
          <w:tblHeader/>
        </w:trPr>
        <w:tc>
          <w:tcPr>
            <w:tcW w:type="dxa" w:w="1250"/>
            <w:shd w:fill="1F3A5F" w:val="clear"/>
            <w:tcMar>
              <w:top w:type="dxa" w:w="60"/>
              <w:left w:type="dxa" w:w="100"/>
              <w:bottom w:type="dxa" w:w="60"/>
              <w:right w:type="dxa" w:w="100"/>
            </w:tcMar>
          </w:tcPr>
          <w:p>
            <w:pPr>
              <w:spacing w:after="0"/>
              <w:jc w:val="left"/>
            </w:pPr>
            <w:r>
              <w:rPr>
                <w:b/>
                <w:bCs/>
                <w:color w:val="FFFFFF"/>
                <w:sz w:val="18"/>
                <w:szCs w:val="18"/>
              </w:rPr>
              <w:t xml:space="preserve">Source</w:t>
            </w:r>
          </w:p>
        </w:tc>
        <w:tc>
          <w:tcPr>
            <w:tcW w:type="dxa" w:w="1250"/>
            <w:shd w:fill="1F3A5F" w:val="clear"/>
            <w:tcMar>
              <w:top w:type="dxa" w:w="60"/>
              <w:left w:type="dxa" w:w="100"/>
              <w:bottom w:type="dxa" w:w="60"/>
              <w:right w:type="dxa" w:w="100"/>
            </w:tcMar>
          </w:tcPr>
          <w:p>
            <w:pPr>
              <w:spacing w:after="0"/>
              <w:jc w:val="left"/>
            </w:pPr>
            <w:r>
              <w:rPr>
                <w:b/>
                <w:bCs/>
                <w:color w:val="FFFFFF"/>
                <w:sz w:val="18"/>
                <w:szCs w:val="18"/>
              </w:rPr>
              <w:t xml:space="preserve">URL</w:t>
            </w:r>
          </w:p>
        </w:tc>
        <w:tc>
          <w:tcPr>
            <w:tcW w:type="dxa" w:w="1000"/>
            <w:shd w:fill="1F3A5F" w:val="clear"/>
            <w:tcMar>
              <w:top w:type="dxa" w:w="60"/>
              <w:left w:type="dxa" w:w="100"/>
              <w:bottom w:type="dxa" w:w="60"/>
              <w:right w:type="dxa" w:w="100"/>
            </w:tcMar>
          </w:tcPr>
          <w:p>
            <w:pPr>
              <w:spacing w:after="0"/>
              <w:jc w:val="left"/>
            </w:pPr>
            <w:r>
              <w:rPr>
                <w:b/>
                <w:bCs/>
                <w:color w:val="FFFFFF"/>
                <w:sz w:val="18"/>
                <w:szCs w:val="18"/>
              </w:rPr>
              <w:t xml:space="preserve">Date</w:t>
            </w:r>
          </w:p>
        </w:tc>
        <w:tc>
          <w:tcPr>
            <w:tcW w:type="dxa" w:w="2360"/>
            <w:shd w:fill="1F3A5F" w:val="clear"/>
            <w:tcMar>
              <w:top w:type="dxa" w:w="60"/>
              <w:left w:type="dxa" w:w="100"/>
              <w:bottom w:type="dxa" w:w="60"/>
              <w:right w:type="dxa" w:w="100"/>
            </w:tcMar>
          </w:tcPr>
          <w:p>
            <w:pPr>
              <w:spacing w:after="0"/>
              <w:jc w:val="left"/>
            </w:pPr>
            <w:r>
              <w:rPr>
                <w:b/>
                <w:bCs/>
                <w:color w:val="FFFFFF"/>
                <w:sz w:val="18"/>
                <w:szCs w:val="18"/>
              </w:rPr>
              <w:t xml:space="preserve">Headline (summarised)</w:t>
            </w:r>
          </w:p>
        </w:tc>
        <w:tc>
          <w:tcPr>
            <w:tcW w:type="dxa" w:w="1200"/>
            <w:shd w:fill="1F3A5F" w:val="clear"/>
            <w:tcMar>
              <w:top w:type="dxa" w:w="60"/>
              <w:left w:type="dxa" w:w="100"/>
              <w:bottom w:type="dxa" w:w="60"/>
              <w:right w:type="dxa" w:w="100"/>
            </w:tcMar>
          </w:tcPr>
          <w:p>
            <w:pPr>
              <w:spacing w:after="0"/>
              <w:jc w:val="left"/>
            </w:pPr>
            <w:r>
              <w:rPr>
                <w:b/>
                <w:bCs/>
                <w:color w:val="FFFFFF"/>
                <w:sz w:val="18"/>
                <w:szCs w:val="18"/>
              </w:rPr>
              <w:t xml:space="preserve">Class.</w:t>
            </w:r>
          </w:p>
        </w:tc>
        <w:tc>
          <w:tcPr>
            <w:tcW w:type="dxa" w:w="1100"/>
            <w:shd w:fill="1F3A5F" w:val="clear"/>
            <w:tcMar>
              <w:top w:type="dxa" w:w="60"/>
              <w:left w:type="dxa" w:w="100"/>
              <w:bottom w:type="dxa" w:w="60"/>
              <w:right w:type="dxa" w:w="100"/>
            </w:tcMar>
          </w:tcPr>
          <w:p>
            <w:pPr>
              <w:spacing w:after="0"/>
              <w:jc w:val="left"/>
            </w:pPr>
            <w:r>
              <w:rPr>
                <w:b/>
                <w:bCs/>
                <w:color w:val="FFFFFF"/>
                <w:sz w:val="18"/>
                <w:szCs w:val="18"/>
              </w:rPr>
              <w:t xml:space="preserve">Sentiment</w:t>
            </w:r>
          </w:p>
        </w:tc>
        <w:tc>
          <w:tcPr>
            <w:tcW w:type="dxa" w:w="1200"/>
            <w:shd w:fill="1F3A5F" w:val="clear"/>
            <w:tcMar>
              <w:top w:type="dxa" w:w="60"/>
              <w:left w:type="dxa" w:w="100"/>
              <w:bottom w:type="dxa" w:w="60"/>
              <w:right w:type="dxa" w:w="100"/>
            </w:tcMar>
          </w:tcPr>
          <w:p>
            <w:pPr>
              <w:spacing w:after="0"/>
              <w:jc w:val="left"/>
            </w:pPr>
            <w:r>
              <w:rPr>
                <w:b/>
                <w:bCs/>
                <w:color w:val="FFFFFF"/>
                <w:sz w:val="18"/>
                <w:szCs w:val="18"/>
              </w:rPr>
              <w:t xml:space="preserve">Derivation</w:t>
            </w:r>
          </w:p>
        </w:tc>
      </w:tr>
      <w:tr>
        <w:trPr>
          <w:tblHeader w:val="false"/>
        </w:trPr>
        <w:tc>
          <w:tcPr>
            <w:tcW w:type="dxa" w:w="1250"/>
            <w:tcMar>
              <w:top w:type="dxa" w:w="60"/>
              <w:left w:type="dxa" w:w="100"/>
              <w:bottom w:type="dxa" w:w="60"/>
              <w:right w:type="dxa" w:w="100"/>
            </w:tcMar>
          </w:tcPr>
          <w:p>
            <w:pPr>
              <w:spacing w:after="0"/>
              <w:jc w:val="left"/>
            </w:pPr>
            <w:r>
              <w:rPr>
                <w:sz w:val="18"/>
                <w:szCs w:val="18"/>
              </w:rPr>
              <w:t xml:space="preserve">CNBC</w:t>
            </w:r>
          </w:p>
        </w:tc>
        <w:tc>
          <w:tcPr>
            <w:tcW w:type="dxa" w:w="1250"/>
            <w:tcMar>
              <w:top w:type="dxa" w:w="60"/>
              <w:left w:type="dxa" w:w="100"/>
              <w:bottom w:type="dxa" w:w="60"/>
              <w:right w:type="dxa" w:w="100"/>
            </w:tcMar>
          </w:tcPr>
          <w:p>
            <w:pPr>
              <w:spacing w:after="0"/>
              <w:jc w:val="left"/>
            </w:pPr>
            <w:r>
              <w:rPr>
                <w:sz w:val="14"/>
                <w:szCs w:val="14"/>
              </w:rPr>
              <w:t xml:space="preserve">cnbc.com/2026/05/19/...</w:t>
            </w:r>
          </w:p>
        </w:tc>
        <w:tc>
          <w:tcPr>
            <w:tcW w:type="dxa" w:w="1000"/>
            <w:tcMar>
              <w:top w:type="dxa" w:w="60"/>
              <w:left w:type="dxa" w:w="100"/>
              <w:bottom w:type="dxa" w:w="60"/>
              <w:right w:type="dxa" w:w="100"/>
            </w:tcMar>
          </w:tcPr>
          <w:p>
            <w:pPr>
              <w:spacing w:after="0"/>
              <w:jc w:val="left"/>
            </w:pPr>
            <w:r>
              <w:rPr>
                <w:sz w:val="18"/>
                <w:szCs w:val="18"/>
              </w:rPr>
              <w:t xml:space="preserve">20 May</w:t>
            </w:r>
          </w:p>
        </w:tc>
        <w:tc>
          <w:tcPr>
            <w:tcW w:type="dxa" w:w="2360"/>
            <w:tcMar>
              <w:top w:type="dxa" w:w="60"/>
              <w:left w:type="dxa" w:w="100"/>
              <w:bottom w:type="dxa" w:w="60"/>
              <w:right w:type="dxa" w:w="100"/>
            </w:tcMar>
          </w:tcPr>
          <w:p>
            <w:pPr>
              <w:spacing w:after="0"/>
              <w:jc w:val="left"/>
            </w:pPr>
            <w:r>
              <w:rPr>
                <w:sz w:val="18"/>
                <w:szCs w:val="18"/>
              </w:rPr>
              <w:t xml:space="preserve">Stocks rally back as rate and oil fears ease; Dow jumps 600+</w:t>
            </w:r>
          </w:p>
        </w:tc>
        <w:tc>
          <w:tcPr>
            <w:tcW w:type="dxa" w:w="1200"/>
            <w:tcMar>
              <w:top w:type="dxa" w:w="60"/>
              <w:left w:type="dxa" w:w="100"/>
              <w:bottom w:type="dxa" w:w="60"/>
              <w:right w:type="dxa" w:w="100"/>
            </w:tcMar>
          </w:tcPr>
          <w:p>
            <w:pPr>
              <w:spacing w:after="0"/>
              <w:jc w:val="left"/>
            </w:pPr>
            <w:r>
              <w:rPr>
                <w:sz w:val="18"/>
                <w:szCs w:val="18"/>
              </w:rPr>
              <w:t xml:space="preserve">Media</w:t>
            </w:r>
          </w:p>
        </w:tc>
        <w:tc>
          <w:tcPr>
            <w:tcW w:type="dxa" w:w="1100"/>
            <w:tcMar>
              <w:top w:type="dxa" w:w="60"/>
              <w:left w:type="dxa" w:w="100"/>
              <w:bottom w:type="dxa" w:w="60"/>
              <w:right w:type="dxa" w:w="100"/>
            </w:tcMar>
          </w:tcPr>
          <w:p>
            <w:pPr>
              <w:spacing w:after="0"/>
              <w:jc w:val="left"/>
            </w:pPr>
            <w:r>
              <w:rPr>
                <w:color w:val="2E8B57"/>
                <w:sz w:val="18"/>
                <w:szCs w:val="18"/>
              </w:rPr>
              <w:t xml:space="preserve">Bullish</w:t>
            </w:r>
          </w:p>
        </w:tc>
        <w:tc>
          <w:tcPr>
            <w:tcW w:type="dxa" w:w="1200"/>
            <w:tcMar>
              <w:top w:type="dxa" w:w="60"/>
              <w:left w:type="dxa" w:w="100"/>
              <w:bottom w:type="dxa" w:w="60"/>
              <w:right w:type="dxa" w:w="100"/>
            </w:tcMar>
          </w:tcPr>
          <w:p>
            <w:pPr>
              <w:spacing w:after="0"/>
              <w:jc w:val="left"/>
            </w:pPr>
            <w:r>
              <w:rPr>
                <w:sz w:val="14"/>
                <w:szCs w:val="14"/>
              </w:rPr>
              <w:t xml:space="preserve">“Stocks rallied as oil and yields slid”</w:t>
            </w:r>
          </w:p>
        </w:tc>
      </w:tr>
      <w:tr>
        <w:trPr>
          <w:tblHeader w:val="false"/>
        </w:trPr>
        <w:tc>
          <w:tcPr>
            <w:tcW w:type="dxa" w:w="1250"/>
            <w:shd w:fill="F2F2F2" w:val="clear"/>
            <w:tcMar>
              <w:top w:type="dxa" w:w="60"/>
              <w:left w:type="dxa" w:w="100"/>
              <w:bottom w:type="dxa" w:w="60"/>
              <w:right w:type="dxa" w:w="100"/>
            </w:tcMar>
          </w:tcPr>
          <w:p>
            <w:pPr>
              <w:spacing w:after="0"/>
              <w:jc w:val="left"/>
            </w:pPr>
            <w:r>
              <w:rPr>
                <w:sz w:val="18"/>
                <w:szCs w:val="18"/>
              </w:rPr>
              <w:t xml:space="preserve">Trading Economics</w:t>
            </w:r>
          </w:p>
        </w:tc>
        <w:tc>
          <w:tcPr>
            <w:tcW w:type="dxa" w:w="1250"/>
            <w:shd w:fill="F2F2F2" w:val="clear"/>
            <w:tcMar>
              <w:top w:type="dxa" w:w="60"/>
              <w:left w:type="dxa" w:w="100"/>
              <w:bottom w:type="dxa" w:w="60"/>
              <w:right w:type="dxa" w:w="100"/>
            </w:tcMar>
          </w:tcPr>
          <w:p>
            <w:pPr>
              <w:spacing w:after="0"/>
              <w:jc w:val="left"/>
            </w:pPr>
            <w:r>
              <w:rPr>
                <w:sz w:val="14"/>
                <w:szCs w:val="14"/>
              </w:rPr>
              <w:t xml:space="preserve">tradingeconomics.com/...</w:t>
            </w:r>
          </w:p>
        </w:tc>
        <w:tc>
          <w:tcPr>
            <w:tcW w:type="dxa" w:w="1000"/>
            <w:shd w:fill="F2F2F2" w:val="clear"/>
            <w:tcMar>
              <w:top w:type="dxa" w:w="60"/>
              <w:left w:type="dxa" w:w="100"/>
              <w:bottom w:type="dxa" w:w="60"/>
              <w:right w:type="dxa" w:w="100"/>
            </w:tcMar>
          </w:tcPr>
          <w:p>
            <w:pPr>
              <w:spacing w:after="0"/>
              <w:jc w:val="left"/>
            </w:pPr>
            <w:r>
              <w:rPr>
                <w:sz w:val="18"/>
                <w:szCs w:val="18"/>
              </w:rPr>
              <w:t xml:space="preserve">21 May</w:t>
            </w:r>
          </w:p>
        </w:tc>
        <w:tc>
          <w:tcPr>
            <w:tcW w:type="dxa" w:w="2360"/>
            <w:shd w:fill="F2F2F2" w:val="clear"/>
            <w:tcMar>
              <w:top w:type="dxa" w:w="60"/>
              <w:left w:type="dxa" w:w="100"/>
              <w:bottom w:type="dxa" w:w="60"/>
              <w:right w:type="dxa" w:w="100"/>
            </w:tcMar>
          </w:tcPr>
          <w:p>
            <w:pPr>
              <w:spacing w:after="0"/>
              <w:jc w:val="left"/>
            </w:pPr>
            <w:r>
              <w:rPr>
                <w:sz w:val="18"/>
                <w:szCs w:val="18"/>
              </w:rPr>
              <w:t xml:space="preserve">US index falls 0.44% as Treasury yields rebound</w:t>
            </w:r>
          </w:p>
        </w:tc>
        <w:tc>
          <w:tcPr>
            <w:tcW w:type="dxa" w:w="1200"/>
            <w:shd w:fill="F2F2F2" w:val="clear"/>
            <w:tcMar>
              <w:top w:type="dxa" w:w="60"/>
              <w:left w:type="dxa" w:w="100"/>
              <w:bottom w:type="dxa" w:w="60"/>
              <w:right w:type="dxa" w:w="100"/>
            </w:tcMar>
          </w:tcPr>
          <w:p>
            <w:pPr>
              <w:spacing w:after="0"/>
              <w:jc w:val="left"/>
            </w:pPr>
            <w:r>
              <w:rPr>
                <w:sz w:val="18"/>
                <w:szCs w:val="18"/>
              </w:rPr>
              <w:t xml:space="preserve">Media</w:t>
            </w:r>
          </w:p>
        </w:tc>
        <w:tc>
          <w:tcPr>
            <w:tcW w:type="dxa" w:w="1100"/>
            <w:shd w:fill="F2F2F2" w:val="clear"/>
            <w:tcMar>
              <w:top w:type="dxa" w:w="60"/>
              <w:left w:type="dxa" w:w="100"/>
              <w:bottom w:type="dxa" w:w="60"/>
              <w:right w:type="dxa" w:w="100"/>
            </w:tcMar>
          </w:tcPr>
          <w:p>
            <w:pPr>
              <w:spacing w:after="0"/>
              <w:jc w:val="left"/>
            </w:pPr>
            <w:r>
              <w:rPr>
                <w:color w:val="C0392B"/>
                <w:sz w:val="18"/>
                <w:szCs w:val="18"/>
              </w:rPr>
              <w:t xml:space="preserve">Bearish</w:t>
            </w:r>
          </w:p>
        </w:tc>
        <w:tc>
          <w:tcPr>
            <w:tcW w:type="dxa" w:w="1200"/>
            <w:shd w:fill="F2F2F2" w:val="clear"/>
            <w:tcMar>
              <w:top w:type="dxa" w:w="60"/>
              <w:left w:type="dxa" w:w="100"/>
              <w:bottom w:type="dxa" w:w="60"/>
              <w:right w:type="dxa" w:w="100"/>
            </w:tcMar>
          </w:tcPr>
          <w:p>
            <w:pPr>
              <w:spacing w:after="0"/>
              <w:jc w:val="left"/>
            </w:pPr>
            <w:r>
              <w:rPr>
                <w:sz w:val="14"/>
                <w:szCs w:val="14"/>
              </w:rPr>
              <w:t xml:space="preserve">“yields rebounded; Nvidia failed to extend rally”</w:t>
            </w:r>
          </w:p>
        </w:tc>
      </w:tr>
      <w:tr>
        <w:trPr>
          <w:tblHeader w:val="false"/>
        </w:trPr>
        <w:tc>
          <w:tcPr>
            <w:tcW w:type="dxa" w:w="1250"/>
            <w:tcMar>
              <w:top w:type="dxa" w:w="60"/>
              <w:left w:type="dxa" w:w="100"/>
              <w:bottom w:type="dxa" w:w="60"/>
              <w:right w:type="dxa" w:w="100"/>
            </w:tcMar>
          </w:tcPr>
          <w:p>
            <w:pPr>
              <w:spacing w:after="0"/>
              <w:jc w:val="left"/>
            </w:pPr>
            <w:r>
              <w:rPr>
                <w:sz w:val="18"/>
                <w:szCs w:val="18"/>
              </w:rPr>
              <w:t xml:space="preserve">Motley Fool</w:t>
            </w:r>
          </w:p>
        </w:tc>
        <w:tc>
          <w:tcPr>
            <w:tcW w:type="dxa" w:w="1250"/>
            <w:tcMar>
              <w:top w:type="dxa" w:w="60"/>
              <w:left w:type="dxa" w:w="100"/>
              <w:bottom w:type="dxa" w:w="60"/>
              <w:right w:type="dxa" w:w="100"/>
            </w:tcMar>
          </w:tcPr>
          <w:p>
            <w:pPr>
              <w:spacing w:after="0"/>
              <w:jc w:val="left"/>
            </w:pPr>
            <w:r>
              <w:rPr>
                <w:sz w:val="14"/>
                <w:szCs w:val="14"/>
              </w:rPr>
              <w:t xml:space="preserve">fool.com/.../may-15</w:t>
            </w:r>
          </w:p>
        </w:tc>
        <w:tc>
          <w:tcPr>
            <w:tcW w:type="dxa" w:w="1000"/>
            <w:tcMar>
              <w:top w:type="dxa" w:w="60"/>
              <w:left w:type="dxa" w:w="100"/>
              <w:bottom w:type="dxa" w:w="60"/>
              <w:right w:type="dxa" w:w="100"/>
            </w:tcMar>
          </w:tcPr>
          <w:p>
            <w:pPr>
              <w:spacing w:after="0"/>
              <w:jc w:val="left"/>
            </w:pPr>
            <w:r>
              <w:rPr>
                <w:sz w:val="18"/>
                <w:szCs w:val="18"/>
              </w:rPr>
              <w:t xml:space="preserve">15 May</w:t>
            </w:r>
          </w:p>
        </w:tc>
        <w:tc>
          <w:tcPr>
            <w:tcW w:type="dxa" w:w="2360"/>
            <w:tcMar>
              <w:top w:type="dxa" w:w="60"/>
              <w:left w:type="dxa" w:w="100"/>
              <w:bottom w:type="dxa" w:w="60"/>
              <w:right w:type="dxa" w:w="100"/>
            </w:tcMar>
          </w:tcPr>
          <w:p>
            <w:pPr>
              <w:spacing w:after="0"/>
              <w:jc w:val="left"/>
            </w:pPr>
            <w:r>
              <w:rPr>
                <w:sz w:val="18"/>
                <w:szCs w:val="18"/>
              </w:rPr>
              <w:t xml:space="preserve">High yields and inflation fears weigh on stocks</w:t>
            </w:r>
          </w:p>
        </w:tc>
        <w:tc>
          <w:tcPr>
            <w:tcW w:type="dxa" w:w="1200"/>
            <w:tcMar>
              <w:top w:type="dxa" w:w="60"/>
              <w:left w:type="dxa" w:w="100"/>
              <w:bottom w:type="dxa" w:w="60"/>
              <w:right w:type="dxa" w:w="100"/>
            </w:tcMar>
          </w:tcPr>
          <w:p>
            <w:pPr>
              <w:spacing w:after="0"/>
              <w:jc w:val="left"/>
            </w:pPr>
            <w:r>
              <w:rPr>
                <w:sz w:val="18"/>
                <w:szCs w:val="18"/>
              </w:rPr>
              <w:t xml:space="preserve">Media</w:t>
            </w:r>
          </w:p>
        </w:tc>
        <w:tc>
          <w:tcPr>
            <w:tcW w:type="dxa" w:w="1100"/>
            <w:tcMar>
              <w:top w:type="dxa" w:w="60"/>
              <w:left w:type="dxa" w:w="100"/>
              <w:bottom w:type="dxa" w:w="60"/>
              <w:right w:type="dxa" w:w="100"/>
            </w:tcMar>
          </w:tcPr>
          <w:p>
            <w:pPr>
              <w:spacing w:after="0"/>
              <w:jc w:val="left"/>
            </w:pPr>
            <w:r>
              <w:rPr>
                <w:color w:val="C0392B"/>
                <w:sz w:val="18"/>
                <w:szCs w:val="18"/>
              </w:rPr>
              <w:t xml:space="preserve">Bearish</w:t>
            </w:r>
          </w:p>
        </w:tc>
        <w:tc>
          <w:tcPr>
            <w:tcW w:type="dxa" w:w="1200"/>
            <w:tcMar>
              <w:top w:type="dxa" w:w="60"/>
              <w:left w:type="dxa" w:w="100"/>
              <w:bottom w:type="dxa" w:w="60"/>
              <w:right w:type="dxa" w:w="100"/>
            </w:tcMar>
          </w:tcPr>
          <w:p>
            <w:pPr>
              <w:spacing w:after="0"/>
              <w:jc w:val="left"/>
            </w:pPr>
            <w:r>
              <w:rPr>
                <w:sz w:val="14"/>
                <w:szCs w:val="14"/>
              </w:rPr>
              <w:t xml:space="preserve">“inflation fears pressured equities”</w:t>
            </w:r>
          </w:p>
        </w:tc>
      </w:tr>
      <w:tr>
        <w:trPr>
          <w:tblHeader w:val="false"/>
        </w:trPr>
        <w:tc>
          <w:tcPr>
            <w:tcW w:type="dxa" w:w="1250"/>
            <w:shd w:fill="F2F2F2" w:val="clear"/>
            <w:tcMar>
              <w:top w:type="dxa" w:w="60"/>
              <w:left w:type="dxa" w:w="100"/>
              <w:bottom w:type="dxa" w:w="60"/>
              <w:right w:type="dxa" w:w="100"/>
            </w:tcMar>
          </w:tcPr>
          <w:p>
            <w:pPr>
              <w:spacing w:after="0"/>
              <w:jc w:val="left"/>
            </w:pPr>
            <w:r>
              <w:rPr>
                <w:sz w:val="18"/>
                <w:szCs w:val="18"/>
              </w:rPr>
              <w:t xml:space="preserve">Reuters survey</w:t>
            </w:r>
          </w:p>
        </w:tc>
        <w:tc>
          <w:tcPr>
            <w:tcW w:type="dxa" w:w="1250"/>
            <w:shd w:fill="F2F2F2" w:val="clear"/>
            <w:tcMar>
              <w:top w:type="dxa" w:w="60"/>
              <w:left w:type="dxa" w:w="100"/>
              <w:bottom w:type="dxa" w:w="60"/>
              <w:right w:type="dxa" w:w="100"/>
            </w:tcMar>
          </w:tcPr>
          <w:p>
            <w:pPr>
              <w:spacing w:after="0"/>
              <w:jc w:val="left"/>
            </w:pPr>
            <w:r>
              <w:rPr>
                <w:sz w:val="14"/>
                <w:szCs w:val="14"/>
              </w:rPr>
              <w:t xml:space="preserve">reuters.com (survey)</w:t>
            </w:r>
          </w:p>
        </w:tc>
        <w:tc>
          <w:tcPr>
            <w:tcW w:type="dxa" w:w="1000"/>
            <w:shd w:fill="F2F2F2" w:val="clear"/>
            <w:tcMar>
              <w:top w:type="dxa" w:w="60"/>
              <w:left w:type="dxa" w:w="100"/>
              <w:bottom w:type="dxa" w:w="60"/>
              <w:right w:type="dxa" w:w="100"/>
            </w:tcMar>
          </w:tcPr>
          <w:p>
            <w:pPr>
              <w:spacing w:after="0"/>
              <w:jc w:val="left"/>
            </w:pPr>
            <w:r>
              <w:rPr>
                <w:sz w:val="18"/>
                <w:szCs w:val="18"/>
              </w:rPr>
              <w:t xml:space="preserve">May</w:t>
            </w:r>
          </w:p>
        </w:tc>
        <w:tc>
          <w:tcPr>
            <w:tcW w:type="dxa" w:w="2360"/>
            <w:shd w:fill="F2F2F2" w:val="clear"/>
            <w:tcMar>
              <w:top w:type="dxa" w:w="60"/>
              <w:left w:type="dxa" w:w="100"/>
              <w:bottom w:type="dxa" w:w="60"/>
              <w:right w:type="dxa" w:w="100"/>
            </w:tcMar>
          </w:tcPr>
          <w:p>
            <w:pPr>
              <w:spacing w:after="0"/>
              <w:jc w:val="left"/>
            </w:pPr>
            <w:r>
              <w:rPr>
                <w:sz w:val="18"/>
                <w:szCs w:val="18"/>
              </w:rPr>
              <w:t xml:space="preserve">Strategists see S&amp;P 500 near 7,490 by end-2026</w:t>
            </w:r>
          </w:p>
        </w:tc>
        <w:tc>
          <w:tcPr>
            <w:tcW w:type="dxa" w:w="1200"/>
            <w:shd w:fill="F2F2F2" w:val="clear"/>
            <w:tcMar>
              <w:top w:type="dxa" w:w="60"/>
              <w:left w:type="dxa" w:w="100"/>
              <w:bottom w:type="dxa" w:w="60"/>
              <w:right w:type="dxa" w:w="100"/>
            </w:tcMar>
          </w:tcPr>
          <w:p>
            <w:pPr>
              <w:spacing w:after="0"/>
              <w:jc w:val="left"/>
            </w:pPr>
            <w:r>
              <w:rPr>
                <w:sz w:val="18"/>
                <w:szCs w:val="18"/>
              </w:rPr>
              <w:t xml:space="preserve">Institutional</w:t>
            </w:r>
          </w:p>
        </w:tc>
        <w:tc>
          <w:tcPr>
            <w:tcW w:type="dxa" w:w="1100"/>
            <w:shd w:fill="F2F2F2" w:val="clear"/>
            <w:tcMar>
              <w:top w:type="dxa" w:w="60"/>
              <w:left w:type="dxa" w:w="100"/>
              <w:bottom w:type="dxa" w:w="60"/>
              <w:right w:type="dxa" w:w="100"/>
            </w:tcMar>
          </w:tcPr>
          <w:p>
            <w:pPr>
              <w:spacing w:after="0"/>
              <w:jc w:val="left"/>
            </w:pPr>
            <w:r>
              <w:rPr>
                <w:color w:val="2E8B57"/>
                <w:sz w:val="18"/>
                <w:szCs w:val="18"/>
              </w:rPr>
              <w:t xml:space="preserve">Bullish</w:t>
            </w:r>
          </w:p>
        </w:tc>
        <w:tc>
          <w:tcPr>
            <w:tcW w:type="dxa" w:w="1200"/>
            <w:shd w:fill="F2F2F2" w:val="clear"/>
            <w:tcMar>
              <w:top w:type="dxa" w:w="60"/>
              <w:left w:type="dxa" w:w="100"/>
              <w:bottom w:type="dxa" w:w="60"/>
              <w:right w:type="dxa" w:w="100"/>
            </w:tcMar>
          </w:tcPr>
          <w:p>
            <w:pPr>
              <w:spacing w:after="0"/>
              <w:jc w:val="left"/>
            </w:pPr>
            <w:r>
              <w:rPr>
                <w:sz w:val="14"/>
                <w:szCs w:val="14"/>
              </w:rPr>
              <w:t xml:space="preserve">“median target near 7,490 points”</w:t>
            </w:r>
          </w:p>
        </w:tc>
      </w:tr>
      <w:tr>
        <w:trPr>
          <w:tblHeader w:val="false"/>
        </w:trPr>
        <w:tc>
          <w:tcPr>
            <w:tcW w:type="dxa" w:w="1250"/>
            <w:tcMar>
              <w:top w:type="dxa" w:w="60"/>
              <w:left w:type="dxa" w:w="100"/>
              <w:bottom w:type="dxa" w:w="60"/>
              <w:right w:type="dxa" w:w="100"/>
            </w:tcMar>
          </w:tcPr>
          <w:p>
            <w:pPr>
              <w:spacing w:after="0"/>
              <w:jc w:val="left"/>
            </w:pPr>
            <w:r>
              <w:rPr>
                <w:sz w:val="18"/>
                <w:szCs w:val="18"/>
              </w:rPr>
              <w:t xml:space="preserve">24/7 Wall St.</w:t>
            </w:r>
          </w:p>
        </w:tc>
        <w:tc>
          <w:tcPr>
            <w:tcW w:type="dxa" w:w="1250"/>
            <w:tcMar>
              <w:top w:type="dxa" w:w="60"/>
              <w:left w:type="dxa" w:w="100"/>
              <w:bottom w:type="dxa" w:w="60"/>
              <w:right w:type="dxa" w:w="100"/>
            </w:tcMar>
          </w:tcPr>
          <w:p>
            <w:pPr>
              <w:spacing w:after="0"/>
              <w:jc w:val="left"/>
            </w:pPr>
            <w:r>
              <w:rPr>
                <w:sz w:val="14"/>
                <w:szCs w:val="14"/>
              </w:rPr>
              <w:t xml:space="preserve">247wallst.com/.../05/15</w:t>
            </w:r>
          </w:p>
        </w:tc>
        <w:tc>
          <w:tcPr>
            <w:tcW w:type="dxa" w:w="1000"/>
            <w:tcMar>
              <w:top w:type="dxa" w:w="60"/>
              <w:left w:type="dxa" w:w="100"/>
              <w:bottom w:type="dxa" w:w="60"/>
              <w:right w:type="dxa" w:w="100"/>
            </w:tcMar>
          </w:tcPr>
          <w:p>
            <w:pPr>
              <w:spacing w:after="0"/>
              <w:jc w:val="left"/>
            </w:pPr>
            <w:r>
              <w:rPr>
                <w:sz w:val="18"/>
                <w:szCs w:val="18"/>
              </w:rPr>
              <w:t xml:space="preserve">15 May</w:t>
            </w:r>
          </w:p>
        </w:tc>
        <w:tc>
          <w:tcPr>
            <w:tcW w:type="dxa" w:w="2360"/>
            <w:tcMar>
              <w:top w:type="dxa" w:w="60"/>
              <w:left w:type="dxa" w:w="100"/>
              <w:bottom w:type="dxa" w:w="60"/>
              <w:right w:type="dxa" w:w="100"/>
            </w:tcMar>
          </w:tcPr>
          <w:p>
            <w:pPr>
              <w:spacing w:after="0"/>
              <w:jc w:val="left"/>
            </w:pPr>
            <w:r>
              <w:rPr>
                <w:sz w:val="18"/>
                <w:szCs w:val="18"/>
              </w:rPr>
              <w:t xml:space="preserve">S&amp;P 500 deep in the red intraday on rate pressure</w:t>
            </w:r>
          </w:p>
        </w:tc>
        <w:tc>
          <w:tcPr>
            <w:tcW w:type="dxa" w:w="1200"/>
            <w:tcMar>
              <w:top w:type="dxa" w:w="60"/>
              <w:left w:type="dxa" w:w="100"/>
              <w:bottom w:type="dxa" w:w="60"/>
              <w:right w:type="dxa" w:w="100"/>
            </w:tcMar>
          </w:tcPr>
          <w:p>
            <w:pPr>
              <w:spacing w:after="0"/>
              <w:jc w:val="left"/>
            </w:pPr>
            <w:r>
              <w:rPr>
                <w:sz w:val="18"/>
                <w:szCs w:val="18"/>
              </w:rPr>
              <w:t xml:space="preserve">Trade Press</w:t>
            </w:r>
          </w:p>
        </w:tc>
        <w:tc>
          <w:tcPr>
            <w:tcW w:type="dxa" w:w="1100"/>
            <w:tcMar>
              <w:top w:type="dxa" w:w="60"/>
              <w:left w:type="dxa" w:w="100"/>
              <w:bottom w:type="dxa" w:w="60"/>
              <w:right w:type="dxa" w:w="100"/>
            </w:tcMar>
          </w:tcPr>
          <w:p>
            <w:pPr>
              <w:spacing w:after="0"/>
              <w:jc w:val="left"/>
            </w:pPr>
            <w:r>
              <w:rPr>
                <w:color w:val="C0392B"/>
                <w:sz w:val="18"/>
                <w:szCs w:val="18"/>
              </w:rPr>
              <w:t xml:space="preserve">Bearish</w:t>
            </w:r>
          </w:p>
        </w:tc>
        <w:tc>
          <w:tcPr>
            <w:tcW w:type="dxa" w:w="1200"/>
            <w:tcMar>
              <w:top w:type="dxa" w:w="60"/>
              <w:left w:type="dxa" w:w="100"/>
              <w:bottom w:type="dxa" w:w="60"/>
              <w:right w:type="dxa" w:w="100"/>
            </w:tcMar>
          </w:tcPr>
          <w:p>
            <w:pPr>
              <w:spacing w:after="0"/>
              <w:jc w:val="left"/>
            </w:pPr>
            <w:r>
              <w:rPr>
                <w:sz w:val="14"/>
                <w:szCs w:val="14"/>
              </w:rPr>
              <w:t xml:space="preserve">“major indices coming under pressure”</w:t>
            </w:r>
          </w:p>
        </w:tc>
      </w:tr>
      <w:tr>
        <w:trPr>
          <w:tblHeader w:val="false"/>
        </w:trPr>
        <w:tc>
          <w:tcPr>
            <w:tcW w:type="dxa" w:w="1250"/>
            <w:shd w:fill="F2F2F2" w:val="clear"/>
            <w:tcMar>
              <w:top w:type="dxa" w:w="60"/>
              <w:left w:type="dxa" w:w="100"/>
              <w:bottom w:type="dxa" w:w="60"/>
              <w:right w:type="dxa" w:w="100"/>
            </w:tcMar>
          </w:tcPr>
          <w:p>
            <w:pPr>
              <w:spacing w:after="0"/>
              <w:jc w:val="left"/>
            </w:pPr>
            <w:r>
              <w:rPr>
                <w:sz w:val="18"/>
                <w:szCs w:val="18"/>
              </w:rPr>
              <w:t xml:space="preserve">CNBC</w:t>
            </w:r>
          </w:p>
        </w:tc>
        <w:tc>
          <w:tcPr>
            <w:tcW w:type="dxa" w:w="1250"/>
            <w:shd w:fill="F2F2F2" w:val="clear"/>
            <w:tcMar>
              <w:top w:type="dxa" w:w="60"/>
              <w:left w:type="dxa" w:w="100"/>
              <w:bottom w:type="dxa" w:w="60"/>
              <w:right w:type="dxa" w:w="100"/>
            </w:tcMar>
          </w:tcPr>
          <w:p>
            <w:pPr>
              <w:spacing w:after="0"/>
              <w:jc w:val="left"/>
            </w:pPr>
            <w:r>
              <w:rPr>
                <w:sz w:val="14"/>
                <w:szCs w:val="14"/>
              </w:rPr>
              <w:t xml:space="preserve">cnbc.com/quotes/.SPX</w:t>
            </w:r>
          </w:p>
        </w:tc>
        <w:tc>
          <w:tcPr>
            <w:tcW w:type="dxa" w:w="1000"/>
            <w:shd w:fill="F2F2F2" w:val="clear"/>
            <w:tcMar>
              <w:top w:type="dxa" w:w="60"/>
              <w:left w:type="dxa" w:w="100"/>
              <w:bottom w:type="dxa" w:w="60"/>
              <w:right w:type="dxa" w:w="100"/>
            </w:tcMar>
          </w:tcPr>
          <w:p>
            <w:pPr>
              <w:spacing w:after="0"/>
              <w:jc w:val="left"/>
            </w:pPr>
            <w:r>
              <w:rPr>
                <w:sz w:val="18"/>
                <w:szCs w:val="18"/>
              </w:rPr>
              <w:t xml:space="preserve">21 May</w:t>
            </w:r>
          </w:p>
        </w:tc>
        <w:tc>
          <w:tcPr>
            <w:tcW w:type="dxa" w:w="2360"/>
            <w:shd w:fill="F2F2F2" w:val="clear"/>
            <w:tcMar>
              <w:top w:type="dxa" w:w="60"/>
              <w:left w:type="dxa" w:w="100"/>
              <w:bottom w:type="dxa" w:w="60"/>
              <w:right w:type="dxa" w:w="100"/>
            </w:tcMar>
          </w:tcPr>
          <w:p>
            <w:pPr>
              <w:spacing w:after="0"/>
              <w:jc w:val="left"/>
            </w:pPr>
            <w:r>
              <w:rPr>
                <w:sz w:val="18"/>
                <w:szCs w:val="18"/>
              </w:rPr>
              <w:t xml:space="preserve">A market correction may be looming as equities face bonds</w:t>
            </w:r>
          </w:p>
        </w:tc>
        <w:tc>
          <w:tcPr>
            <w:tcW w:type="dxa" w:w="1200"/>
            <w:shd w:fill="F2F2F2" w:val="clear"/>
            <w:tcMar>
              <w:top w:type="dxa" w:w="60"/>
              <w:left w:type="dxa" w:w="100"/>
              <w:bottom w:type="dxa" w:w="60"/>
              <w:right w:type="dxa" w:w="100"/>
            </w:tcMar>
          </w:tcPr>
          <w:p>
            <w:pPr>
              <w:spacing w:after="0"/>
              <w:jc w:val="left"/>
            </w:pPr>
            <w:r>
              <w:rPr>
                <w:sz w:val="18"/>
                <w:szCs w:val="18"/>
              </w:rPr>
              <w:t xml:space="preserve">Media</w:t>
            </w:r>
          </w:p>
        </w:tc>
        <w:tc>
          <w:tcPr>
            <w:tcW w:type="dxa" w:w="1100"/>
            <w:shd w:fill="F2F2F2" w:val="clear"/>
            <w:tcMar>
              <w:top w:type="dxa" w:w="60"/>
              <w:left w:type="dxa" w:w="100"/>
              <w:bottom w:type="dxa" w:w="60"/>
              <w:right w:type="dxa" w:w="100"/>
            </w:tcMar>
          </w:tcPr>
          <w:p>
            <w:pPr>
              <w:spacing w:after="0"/>
              <w:jc w:val="left"/>
            </w:pPr>
            <w:r>
              <w:rPr>
                <w:color w:val="C0392B"/>
                <w:sz w:val="18"/>
                <w:szCs w:val="18"/>
              </w:rPr>
              <w:t xml:space="preserve">Bearish</w:t>
            </w:r>
          </w:p>
        </w:tc>
        <w:tc>
          <w:tcPr>
            <w:tcW w:type="dxa" w:w="1200"/>
            <w:shd w:fill="F2F2F2" w:val="clear"/>
            <w:tcMar>
              <w:top w:type="dxa" w:w="60"/>
              <w:left w:type="dxa" w:w="100"/>
              <w:bottom w:type="dxa" w:w="60"/>
              <w:right w:type="dxa" w:w="100"/>
            </w:tcMar>
          </w:tcPr>
          <w:p>
            <w:pPr>
              <w:spacing w:after="0"/>
              <w:jc w:val="left"/>
            </w:pPr>
            <w:r>
              <w:rPr>
                <w:sz w:val="14"/>
                <w:szCs w:val="14"/>
              </w:rPr>
              <w:t xml:space="preserve">“correction may be looming”</w:t>
            </w:r>
          </w:p>
        </w:tc>
      </w:tr>
    </w:tbl>
    <w:p>
      <w:pPr>
        <w:spacing w:after="60"/>
      </w:pPr>
      <w:r>
        <w:t xml:space="preserve"/>
      </w:r>
    </w:p>
    <w:p>
      <w:pPr>
        <w:pStyle w:val="Heading3"/>
      </w:pPr>
      <w:r>
        <w:t xml:space="preserve">13b  Aggregate Sentiment Summary</w:t>
      </w:r>
    </w:p>
    <w:p>
      <w:pPr>
        <w:spacing w:after="120"/>
      </w:pPr>
      <w:r>
        <w:t xml:space="default"/>
      </w:r>
    </w:p>
    <w:p>
      <w:pPr>
        <w:spacing w:after="120"/>
      </w:pPr>
      <w:r>
        <w:t xml:space="default"/>
      </w:r>
    </w:p>
    <w:p>
      <w:pPr>
        <w:spacing w:after="120"/>
      </w:pPr>
      <w:r>
        <w:t xml:space="default"/>
      </w:r>
    </w:p>
    <w:p>
      <w:pPr>
        <w:spacing w:after="120"/>
      </w:pPr>
      <w:r>
        <w:rPr>
          <w:i/>
          <w:iCs/>
          <w:color w:val="555555"/>
          <w:sz w:val="19"/>
          <w:szCs w:val="19"/>
        </w:rPr>
        <w:t xml:space="default"/>
      </w:r>
    </w:p>
    <w:p>
      <w:pPr>
        <w:spacing w:after="60"/>
      </w:pPr>
      <w:r>
        <w:t xml:space="preserve"/>
      </w:r>
    </w:p>
    <w:p>
      <w:pPr>
        <w:pStyle w:val="Heading3"/>
      </w:pPr>
      <w:r>
        <w:t xml:space="preserve">13c  News Calendar — Previous Period</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300"/>
        <w:gridCol w:w="2200"/>
        <w:gridCol w:w="2360"/>
        <w:gridCol w:w="1100"/>
        <w:gridCol w:w="2400"/>
      </w:tblGrid>
      <w:tr>
        <w:trPr>
          <w:tblHeader/>
        </w:trPr>
        <w:tc>
          <w:tcPr>
            <w:tcW w:type="dxa" w:w="1300"/>
            <w:shd w:fill="1F3A5F" w:val="clear"/>
            <w:tcMar>
              <w:top w:type="dxa" w:w="60"/>
              <w:left w:type="dxa" w:w="100"/>
              <w:bottom w:type="dxa" w:w="60"/>
              <w:right w:type="dxa" w:w="100"/>
            </w:tcMar>
          </w:tcPr>
          <w:p>
            <w:pPr>
              <w:spacing w:after="0"/>
              <w:jc w:val="left"/>
            </w:pPr>
            <w:r>
              <w:rPr>
                <w:b/>
                <w:bCs/>
                <w:color w:val="FFFFFF"/>
                <w:sz w:val="18"/>
                <w:szCs w:val="18"/>
              </w:rPr>
              <w:t xml:space="preserve">Date</w:t>
            </w:r>
          </w:p>
        </w:tc>
        <w:tc>
          <w:tcPr>
            <w:tcW w:type="dxa" w:w="2200"/>
            <w:shd w:fill="1F3A5F" w:val="clear"/>
            <w:tcMar>
              <w:top w:type="dxa" w:w="60"/>
              <w:left w:type="dxa" w:w="100"/>
              <w:bottom w:type="dxa" w:w="60"/>
              <w:right w:type="dxa" w:w="100"/>
            </w:tcMar>
          </w:tcPr>
          <w:p>
            <w:pPr>
              <w:spacing w:after="0"/>
              <w:jc w:val="left"/>
            </w:pPr>
            <w:r>
              <w:rPr>
                <w:b/>
                <w:bCs/>
                <w:color w:val="FFFFFF"/>
                <w:sz w:val="18"/>
                <w:szCs w:val="18"/>
              </w:rPr>
              <w:t xml:space="preserve">Event</w:t>
            </w:r>
          </w:p>
        </w:tc>
        <w:tc>
          <w:tcPr>
            <w:tcW w:type="dxa" w:w="2360"/>
            <w:shd w:fill="1F3A5F" w:val="clear"/>
            <w:tcMar>
              <w:top w:type="dxa" w:w="60"/>
              <w:left w:type="dxa" w:w="100"/>
              <w:bottom w:type="dxa" w:w="60"/>
              <w:right w:type="dxa" w:w="100"/>
            </w:tcMar>
          </w:tcPr>
          <w:p>
            <w:pPr>
              <w:spacing w:after="0"/>
              <w:jc w:val="left"/>
            </w:pPr>
            <w:r>
              <w:rPr>
                <w:b/>
                <w:bCs/>
                <w:color w:val="FFFFFF"/>
                <w:sz w:val="18"/>
                <w:szCs w:val="18"/>
              </w:rPr>
              <w:t xml:space="preserve">Prior / context</w:t>
            </w:r>
          </w:p>
        </w:tc>
        <w:tc>
          <w:tcPr>
            <w:tcW w:type="dxa" w:w="1100"/>
            <w:shd w:fill="1F3A5F" w:val="clear"/>
            <w:tcMar>
              <w:top w:type="dxa" w:w="60"/>
              <w:left w:type="dxa" w:w="100"/>
              <w:bottom w:type="dxa" w:w="60"/>
              <w:right w:type="dxa" w:w="100"/>
            </w:tcMar>
          </w:tcPr>
          <w:p>
            <w:pPr>
              <w:spacing w:after="0"/>
              <w:jc w:val="left"/>
            </w:pPr>
            <w:r>
              <w:rPr>
                <w:b/>
                <w:bCs/>
                <w:color w:val="FFFFFF"/>
                <w:sz w:val="18"/>
                <w:szCs w:val="18"/>
              </w:rPr>
              <w:t xml:space="preserve">Impact</w:t>
            </w:r>
          </w:p>
        </w:tc>
        <w:tc>
          <w:tcPr>
            <w:tcW w:type="dxa" w:w="2400"/>
            <w:shd w:fill="1F3A5F" w:val="clear"/>
            <w:tcMar>
              <w:top w:type="dxa" w:w="60"/>
              <w:left w:type="dxa" w:w="100"/>
              <w:bottom w:type="dxa" w:w="60"/>
              <w:right w:type="dxa" w:w="100"/>
            </w:tcMar>
          </w:tcPr>
          <w:p>
            <w:pPr>
              <w:spacing w:after="0"/>
              <w:jc w:val="left"/>
            </w:pPr>
            <w:r>
              <w:rPr>
                <w:b/>
                <w:bCs/>
                <w:color w:val="FFFFFF"/>
                <w:sz w:val="18"/>
                <w:szCs w:val="18"/>
              </w:rPr>
              <w:t xml:space="preserve">Implication for S&amp;P 500</w:t>
            </w:r>
          </w:p>
        </w:tc>
      </w:tr>
      <w:tr>
        <w:trPr>
          <w:tblHeader w:val="false"/>
        </w:trPr>
        <w:tc>
          <w:tcPr>
            <w:tcW w:type="dxa" w:w="1300"/>
            <w:tcMar>
              <w:top w:type="dxa" w:w="60"/>
              <w:left w:type="dxa" w:w="100"/>
              <w:bottom w:type="dxa" w:w="60"/>
              <w:right w:type="dxa" w:w="100"/>
            </w:tcMar>
          </w:tcPr>
          <w:p>
            <w:pPr>
              <w:spacing w:after="0"/>
              <w:jc w:val="left"/>
            </w:pPr>
            <w:r>
              <w:rPr>
                <w:sz w:val="18"/>
                <w:szCs w:val="18"/>
              </w:rPr>
              <w:t xml:space="preserve">Thu 14 May</w:t>
            </w:r>
          </w:p>
        </w:tc>
        <w:tc>
          <w:tcPr>
            <w:tcW w:type="dxa" w:w="2200"/>
            <w:tcMar>
              <w:top w:type="dxa" w:w="60"/>
              <w:left w:type="dxa" w:w="100"/>
              <w:bottom w:type="dxa" w:w="60"/>
              <w:right w:type="dxa" w:w="100"/>
            </w:tcMar>
          </w:tcPr>
          <w:p>
            <w:pPr>
              <w:spacing w:after="0"/>
              <w:jc w:val="left"/>
            </w:pPr>
            <w:r>
              <w:rPr>
                <w:sz w:val="18"/>
                <w:szCs w:val="18"/>
              </w:rPr>
              <w:t xml:space="preserve">Record close</w:t>
            </w:r>
          </w:p>
        </w:tc>
        <w:tc>
          <w:tcPr>
            <w:tcW w:type="dxa" w:w="2360"/>
            <w:tcMar>
              <w:top w:type="dxa" w:w="60"/>
              <w:left w:type="dxa" w:w="100"/>
              <w:bottom w:type="dxa" w:w="60"/>
              <w:right w:type="dxa" w:w="100"/>
            </w:tcMar>
          </w:tcPr>
          <w:p>
            <w:pPr>
              <w:spacing w:after="0"/>
              <w:jc w:val="left"/>
            </w:pPr>
            <w:r>
              <w:rPr>
                <w:sz w:val="18"/>
                <w:szCs w:val="18"/>
              </w:rPr>
              <w:t xml:space="preserve">Index closes 7,501.24, intraday 7,517.12</w:t>
            </w:r>
          </w:p>
        </w:tc>
        <w:tc>
          <w:tcPr>
            <w:tcW w:type="dxa" w:w="1100"/>
            <w:tcMar>
              <w:top w:type="dxa" w:w="60"/>
              <w:left w:type="dxa" w:w="100"/>
              <w:bottom w:type="dxa" w:w="60"/>
              <w:right w:type="dxa" w:w="100"/>
            </w:tcMar>
          </w:tcPr>
          <w:p>
            <w:pPr>
              <w:spacing w:after="0"/>
              <w:jc w:val="left"/>
            </w:pPr>
            <w:r>
              <w:rPr>
                <w:sz w:val="18"/>
                <w:szCs w:val="18"/>
              </w:rPr>
              <w:t xml:space="preserve">High</w:t>
            </w:r>
          </w:p>
        </w:tc>
        <w:tc>
          <w:tcPr>
            <w:tcW w:type="dxa" w:w="2400"/>
            <w:tcMar>
              <w:top w:type="dxa" w:w="60"/>
              <w:left w:type="dxa" w:w="100"/>
              <w:bottom w:type="dxa" w:w="60"/>
              <w:right w:type="dxa" w:w="100"/>
            </w:tcMar>
          </w:tcPr>
          <w:p>
            <w:pPr>
              <w:spacing w:after="0"/>
              <w:jc w:val="left"/>
            </w:pPr>
            <w:r>
              <w:rPr>
                <w:sz w:val="18"/>
                <w:szCs w:val="18"/>
              </w:rPr>
              <w:t xml:space="preserve">Marked the cycle peak ahead of the pullback</w:t>
            </w:r>
          </w:p>
        </w:tc>
      </w:tr>
      <w:tr>
        <w:trPr>
          <w:tblHeader w:val="false"/>
        </w:trPr>
        <w:tc>
          <w:tcPr>
            <w:tcW w:type="dxa" w:w="1300"/>
            <w:shd w:fill="F2F2F2" w:val="clear"/>
            <w:tcMar>
              <w:top w:type="dxa" w:w="60"/>
              <w:left w:type="dxa" w:w="100"/>
              <w:bottom w:type="dxa" w:w="60"/>
              <w:right w:type="dxa" w:w="100"/>
            </w:tcMar>
          </w:tcPr>
          <w:p>
            <w:pPr>
              <w:spacing w:after="0"/>
              <w:jc w:val="left"/>
            </w:pPr>
            <w:r>
              <w:rPr>
                <w:sz w:val="18"/>
                <w:szCs w:val="18"/>
              </w:rPr>
              <w:t xml:space="preserve">Fri 15 May</w:t>
            </w:r>
          </w:p>
        </w:tc>
        <w:tc>
          <w:tcPr>
            <w:tcW w:type="dxa" w:w="2200"/>
            <w:shd w:fill="F2F2F2" w:val="clear"/>
            <w:tcMar>
              <w:top w:type="dxa" w:w="60"/>
              <w:left w:type="dxa" w:w="100"/>
              <w:bottom w:type="dxa" w:w="60"/>
              <w:right w:type="dxa" w:w="100"/>
            </w:tcMar>
          </w:tcPr>
          <w:p>
            <w:pPr>
              <w:spacing w:after="0"/>
              <w:jc w:val="left"/>
            </w:pPr>
            <w:r>
              <w:rPr>
                <w:sz w:val="18"/>
                <w:szCs w:val="18"/>
              </w:rPr>
              <w:t xml:space="preserve">Treasury yields hit ~1-yr high; oil &gt; $100</w:t>
            </w:r>
          </w:p>
        </w:tc>
        <w:tc>
          <w:tcPr>
            <w:tcW w:type="dxa" w:w="2360"/>
            <w:shd w:fill="F2F2F2" w:val="clear"/>
            <w:tcMar>
              <w:top w:type="dxa" w:w="60"/>
              <w:left w:type="dxa" w:w="100"/>
              <w:bottom w:type="dxa" w:w="60"/>
              <w:right w:type="dxa" w:w="100"/>
            </w:tcMar>
          </w:tcPr>
          <w:p>
            <w:pPr>
              <w:spacing w:after="0"/>
              <w:jc w:val="left"/>
            </w:pPr>
            <w:r>
              <w:rPr>
                <w:sz w:val="18"/>
                <w:szCs w:val="18"/>
              </w:rPr>
              <w:t xml:space="preserve">Inflation fears revived</w:t>
            </w:r>
          </w:p>
        </w:tc>
        <w:tc>
          <w:tcPr>
            <w:tcW w:type="dxa" w:w="1100"/>
            <w:shd w:fill="F2F2F2" w:val="clear"/>
            <w:tcMar>
              <w:top w:type="dxa" w:w="60"/>
              <w:left w:type="dxa" w:w="100"/>
              <w:bottom w:type="dxa" w:w="60"/>
              <w:right w:type="dxa" w:w="100"/>
            </w:tcMar>
          </w:tcPr>
          <w:p>
            <w:pPr>
              <w:spacing w:after="0"/>
              <w:jc w:val="left"/>
            </w:pPr>
            <w:r>
              <w:rPr>
                <w:sz w:val="18"/>
                <w:szCs w:val="18"/>
              </w:rPr>
              <w:t xml:space="preserve">High</w:t>
            </w:r>
          </w:p>
        </w:tc>
        <w:tc>
          <w:tcPr>
            <w:tcW w:type="dxa" w:w="2400"/>
            <w:shd w:fill="F2F2F2" w:val="clear"/>
            <w:tcMar>
              <w:top w:type="dxa" w:w="60"/>
              <w:left w:type="dxa" w:w="100"/>
              <w:bottom w:type="dxa" w:w="60"/>
              <w:right w:type="dxa" w:w="100"/>
            </w:tcMar>
          </w:tcPr>
          <w:p>
            <w:pPr>
              <w:spacing w:after="0"/>
              <w:jc w:val="left"/>
            </w:pPr>
            <w:r>
              <w:rPr>
                <w:sz w:val="18"/>
                <w:szCs w:val="18"/>
              </w:rPr>
              <w:t xml:space="preserve">Index fell ~1%+ intraday; AI/semis led lower</w:t>
            </w:r>
          </w:p>
        </w:tc>
      </w:tr>
      <w:tr>
        <w:trPr>
          <w:tblHeader w:val="false"/>
        </w:trPr>
        <w:tc>
          <w:tcPr>
            <w:tcW w:type="dxa" w:w="1300"/>
            <w:tcMar>
              <w:top w:type="dxa" w:w="60"/>
              <w:left w:type="dxa" w:w="100"/>
              <w:bottom w:type="dxa" w:w="60"/>
              <w:right w:type="dxa" w:w="100"/>
            </w:tcMar>
          </w:tcPr>
          <w:p>
            <w:pPr>
              <w:spacing w:after="0"/>
              <w:jc w:val="left"/>
            </w:pPr>
            <w:r>
              <w:rPr>
                <w:sz w:val="18"/>
                <w:szCs w:val="18"/>
              </w:rPr>
              <w:t xml:space="preserve">Mon–Tue 18–19 May</w:t>
            </w:r>
          </w:p>
        </w:tc>
        <w:tc>
          <w:tcPr>
            <w:tcW w:type="dxa" w:w="2200"/>
            <w:tcMar>
              <w:top w:type="dxa" w:w="60"/>
              <w:left w:type="dxa" w:w="100"/>
              <w:bottom w:type="dxa" w:w="60"/>
              <w:right w:type="dxa" w:w="100"/>
            </w:tcMar>
          </w:tcPr>
          <w:p>
            <w:pPr>
              <w:spacing w:after="0"/>
              <w:jc w:val="left"/>
            </w:pPr>
            <w:r>
              <w:rPr>
                <w:sz w:val="18"/>
                <w:szCs w:val="18"/>
              </w:rPr>
              <w:t xml:space="preserve">Yield pressure persists; Fed inflation-forecast revision</w:t>
            </w:r>
          </w:p>
        </w:tc>
        <w:tc>
          <w:tcPr>
            <w:tcW w:type="dxa" w:w="2360"/>
            <w:tcMar>
              <w:top w:type="dxa" w:w="60"/>
              <w:left w:type="dxa" w:w="100"/>
              <w:bottom w:type="dxa" w:w="60"/>
              <w:right w:type="dxa" w:w="100"/>
            </w:tcMar>
          </w:tcPr>
          <w:p>
            <w:pPr>
              <w:spacing w:after="0"/>
              <w:jc w:val="left"/>
            </w:pPr>
            <w:r>
              <w:rPr>
                <w:sz w:val="18"/>
                <w:szCs w:val="18"/>
              </w:rPr>
              <w:t xml:space="preserve">Forecast revised less favourably</w:t>
            </w:r>
          </w:p>
        </w:tc>
        <w:tc>
          <w:tcPr>
            <w:tcW w:type="dxa" w:w="1100"/>
            <w:tcMar>
              <w:top w:type="dxa" w:w="60"/>
              <w:left w:type="dxa" w:w="100"/>
              <w:bottom w:type="dxa" w:w="60"/>
              <w:right w:type="dxa" w:w="100"/>
            </w:tcMar>
          </w:tcPr>
          <w:p>
            <w:pPr>
              <w:spacing w:after="0"/>
              <w:jc w:val="left"/>
            </w:pPr>
            <w:r>
              <w:rPr>
                <w:sz w:val="18"/>
                <w:szCs w:val="18"/>
              </w:rPr>
              <w:t xml:space="preserve">Medium</w:t>
            </w:r>
          </w:p>
        </w:tc>
        <w:tc>
          <w:tcPr>
            <w:tcW w:type="dxa" w:w="2400"/>
            <w:tcMar>
              <w:top w:type="dxa" w:w="60"/>
              <w:left w:type="dxa" w:w="100"/>
              <w:bottom w:type="dxa" w:w="60"/>
              <w:right w:type="dxa" w:w="100"/>
            </w:tcMar>
          </w:tcPr>
          <w:p>
            <w:pPr>
              <w:spacing w:after="0"/>
              <w:jc w:val="left"/>
            </w:pPr>
            <w:r>
              <w:rPr>
                <w:sz w:val="18"/>
                <w:szCs w:val="18"/>
              </w:rPr>
              <w:t xml:space="preserve">Two further lower closes; 19 May printed the 5-day low</w:t>
            </w:r>
          </w:p>
        </w:tc>
      </w:tr>
      <w:tr>
        <w:trPr>
          <w:tblHeader w:val="false"/>
        </w:trPr>
        <w:tc>
          <w:tcPr>
            <w:tcW w:type="dxa" w:w="1300"/>
            <w:shd w:fill="F2F2F2" w:val="clear"/>
            <w:tcMar>
              <w:top w:type="dxa" w:w="60"/>
              <w:left w:type="dxa" w:w="100"/>
              <w:bottom w:type="dxa" w:w="60"/>
              <w:right w:type="dxa" w:w="100"/>
            </w:tcMar>
          </w:tcPr>
          <w:p>
            <w:pPr>
              <w:spacing w:after="0"/>
              <w:jc w:val="left"/>
            </w:pPr>
            <w:r>
              <w:rPr>
                <w:sz w:val="18"/>
                <w:szCs w:val="18"/>
              </w:rPr>
              <w:t xml:space="preserve">Wed 20 May</w:t>
            </w:r>
          </w:p>
        </w:tc>
        <w:tc>
          <w:tcPr>
            <w:tcW w:type="dxa" w:w="2200"/>
            <w:shd w:fill="F2F2F2" w:val="clear"/>
            <w:tcMar>
              <w:top w:type="dxa" w:w="60"/>
              <w:left w:type="dxa" w:w="100"/>
              <w:bottom w:type="dxa" w:w="60"/>
              <w:right w:type="dxa" w:w="100"/>
            </w:tcMar>
          </w:tcPr>
          <w:p>
            <w:pPr>
              <w:spacing w:after="0"/>
              <w:jc w:val="left"/>
            </w:pPr>
            <w:r>
              <w:rPr>
                <w:sz w:val="18"/>
                <w:szCs w:val="18"/>
              </w:rPr>
              <w:t xml:space="preserve">Oil and yields ease on Iran de-escalation hopes</w:t>
            </w:r>
          </w:p>
        </w:tc>
        <w:tc>
          <w:tcPr>
            <w:tcW w:type="dxa" w:w="2360"/>
            <w:shd w:fill="F2F2F2" w:val="clear"/>
            <w:tcMar>
              <w:top w:type="dxa" w:w="60"/>
              <w:left w:type="dxa" w:w="100"/>
              <w:bottom w:type="dxa" w:w="60"/>
              <w:right w:type="dxa" w:w="100"/>
            </w:tcMar>
          </w:tcPr>
          <w:p>
            <w:pPr>
              <w:spacing w:after="0"/>
              <w:jc w:val="left"/>
            </w:pPr>
            <w:r>
              <w:rPr>
                <w:sz w:val="18"/>
                <w:szCs w:val="18"/>
              </w:rPr>
              <w:t xml:space="preserve">WTI fell ~5.7%</w:t>
            </w:r>
          </w:p>
        </w:tc>
        <w:tc>
          <w:tcPr>
            <w:tcW w:type="dxa" w:w="1100"/>
            <w:shd w:fill="F2F2F2" w:val="clear"/>
            <w:tcMar>
              <w:top w:type="dxa" w:w="60"/>
              <w:left w:type="dxa" w:w="100"/>
              <w:bottom w:type="dxa" w:w="60"/>
              <w:right w:type="dxa" w:w="100"/>
            </w:tcMar>
          </w:tcPr>
          <w:p>
            <w:pPr>
              <w:spacing w:after="0"/>
              <w:jc w:val="left"/>
            </w:pPr>
            <w:r>
              <w:rPr>
                <w:sz w:val="18"/>
                <w:szCs w:val="18"/>
              </w:rPr>
              <w:t xml:space="preserve">High</w:t>
            </w:r>
          </w:p>
        </w:tc>
        <w:tc>
          <w:tcPr>
            <w:tcW w:type="dxa" w:w="2400"/>
            <w:shd w:fill="F2F2F2" w:val="clear"/>
            <w:tcMar>
              <w:top w:type="dxa" w:w="60"/>
              <w:left w:type="dxa" w:w="100"/>
              <w:bottom w:type="dxa" w:w="60"/>
              <w:right w:type="dxa" w:w="100"/>
            </w:tcMar>
          </w:tcPr>
          <w:p>
            <w:pPr>
              <w:spacing w:after="0"/>
              <w:jc w:val="left"/>
            </w:pPr>
            <w:r>
              <w:rPr>
                <w:sz w:val="18"/>
                <w:szCs w:val="18"/>
              </w:rPr>
              <w:t xml:space="preserve">Index rebounded +1.08% to 7,432.97</w:t>
            </w:r>
          </w:p>
        </w:tc>
      </w:tr>
      <w:tr>
        <w:trPr>
          <w:tblHeader w:val="false"/>
        </w:trPr>
        <w:tc>
          <w:tcPr>
            <w:tcW w:type="dxa" w:w="1300"/>
            <w:tcMar>
              <w:top w:type="dxa" w:w="60"/>
              <w:left w:type="dxa" w:w="100"/>
              <w:bottom w:type="dxa" w:w="60"/>
              <w:right w:type="dxa" w:w="100"/>
            </w:tcMar>
          </w:tcPr>
          <w:p>
            <w:pPr>
              <w:spacing w:after="0"/>
              <w:jc w:val="left"/>
            </w:pPr>
            <w:r>
              <w:rPr>
                <w:sz w:val="18"/>
                <w:szCs w:val="18"/>
              </w:rPr>
              <w:t xml:space="preserve">Thu 21 May</w:t>
            </w:r>
          </w:p>
        </w:tc>
        <w:tc>
          <w:tcPr>
            <w:tcW w:type="dxa" w:w="2200"/>
            <w:tcMar>
              <w:top w:type="dxa" w:w="60"/>
              <w:left w:type="dxa" w:w="100"/>
              <w:bottom w:type="dxa" w:w="60"/>
              <w:right w:type="dxa" w:w="100"/>
            </w:tcMar>
          </w:tcPr>
          <w:p>
            <w:pPr>
              <w:spacing w:after="0"/>
              <w:jc w:val="left"/>
            </w:pPr>
            <w:r>
              <w:rPr>
                <w:sz w:val="18"/>
                <w:szCs w:val="18"/>
              </w:rPr>
              <w:t xml:space="preserve">Nvidia earnings; yields rebound</w:t>
            </w:r>
          </w:p>
        </w:tc>
        <w:tc>
          <w:tcPr>
            <w:tcW w:type="dxa" w:w="2360"/>
            <w:tcMar>
              <w:top w:type="dxa" w:w="60"/>
              <w:left w:type="dxa" w:w="100"/>
              <w:bottom w:type="dxa" w:w="60"/>
              <w:right w:type="dxa" w:w="100"/>
            </w:tcMar>
          </w:tcPr>
          <w:p>
            <w:pPr>
              <w:spacing w:after="0"/>
              <w:jc w:val="left"/>
            </w:pPr>
            <w:r>
              <w:rPr>
                <w:sz w:val="18"/>
                <w:szCs w:val="18"/>
              </w:rPr>
              <w:t xml:space="preserve">Beat headline, soft guide</w:t>
            </w:r>
          </w:p>
        </w:tc>
        <w:tc>
          <w:tcPr>
            <w:tcW w:type="dxa" w:w="1100"/>
            <w:tcMar>
              <w:top w:type="dxa" w:w="60"/>
              <w:left w:type="dxa" w:w="100"/>
              <w:bottom w:type="dxa" w:w="60"/>
              <w:right w:type="dxa" w:w="100"/>
            </w:tcMar>
          </w:tcPr>
          <w:p>
            <w:pPr>
              <w:spacing w:after="0"/>
              <w:jc w:val="left"/>
            </w:pPr>
            <w:r>
              <w:rPr>
                <w:sz w:val="18"/>
                <w:szCs w:val="18"/>
              </w:rPr>
              <w:t xml:space="preserve">High</w:t>
            </w:r>
          </w:p>
        </w:tc>
        <w:tc>
          <w:tcPr>
            <w:tcW w:type="dxa" w:w="2400"/>
            <w:tcMar>
              <w:top w:type="dxa" w:w="60"/>
              <w:left w:type="dxa" w:w="100"/>
              <w:bottom w:type="dxa" w:w="60"/>
              <w:right w:type="dxa" w:w="100"/>
            </w:tcMar>
          </w:tcPr>
          <w:p>
            <w:pPr>
              <w:spacing w:after="0"/>
              <w:jc w:val="left"/>
            </w:pPr>
            <w:r>
              <w:rPr>
                <w:sz w:val="18"/>
                <w:szCs w:val="18"/>
              </w:rPr>
              <w:t xml:space="preserve">Index slipped ~0.44%; rebound failed to extend</w:t>
            </w:r>
          </w:p>
        </w:tc>
      </w:tr>
    </w:tbl>
    <w:p>
      <w:pPr>
        <w:spacing w:after="60"/>
      </w:pPr>
      <w:r>
        <w:t xml:space="preserve"/>
      </w:r>
    </w:p>
    <w:p>
      <w:pPr>
        <w:pStyle w:val="Heading3"/>
      </w:pPr>
      <w:r>
        <w:t xml:space="preserve">13d  News Calendar — Upcoming Period</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300"/>
        <w:gridCol w:w="2200"/>
        <w:gridCol w:w="2200"/>
        <w:gridCol w:w="1100"/>
        <w:gridCol w:w="2560"/>
      </w:tblGrid>
      <w:tr>
        <w:trPr>
          <w:tblHeader/>
        </w:trPr>
        <w:tc>
          <w:tcPr>
            <w:tcW w:type="dxa" w:w="1300"/>
            <w:shd w:fill="1F3A5F" w:val="clear"/>
            <w:tcMar>
              <w:top w:type="dxa" w:w="60"/>
              <w:left w:type="dxa" w:w="100"/>
              <w:bottom w:type="dxa" w:w="60"/>
              <w:right w:type="dxa" w:w="100"/>
            </w:tcMar>
          </w:tcPr>
          <w:p>
            <w:pPr>
              <w:spacing w:after="0"/>
              <w:jc w:val="left"/>
            </w:pPr>
            <w:r>
              <w:rPr>
                <w:b/>
                <w:bCs/>
                <w:color w:val="FFFFFF"/>
                <w:sz w:val="18"/>
                <w:szCs w:val="18"/>
              </w:rPr>
              <w:t xml:space="preserve">Date</w:t>
            </w:r>
          </w:p>
        </w:tc>
        <w:tc>
          <w:tcPr>
            <w:tcW w:type="dxa" w:w="2200"/>
            <w:shd w:fill="1F3A5F" w:val="clear"/>
            <w:tcMar>
              <w:top w:type="dxa" w:w="60"/>
              <w:left w:type="dxa" w:w="100"/>
              <w:bottom w:type="dxa" w:w="60"/>
              <w:right w:type="dxa" w:w="100"/>
            </w:tcMar>
          </w:tcPr>
          <w:p>
            <w:pPr>
              <w:spacing w:after="0"/>
              <w:jc w:val="left"/>
            </w:pPr>
            <w:r>
              <w:rPr>
                <w:b/>
                <w:bCs/>
                <w:color w:val="FFFFFF"/>
                <w:sz w:val="18"/>
                <w:szCs w:val="18"/>
              </w:rPr>
              <w:t xml:space="preserve">Event</w:t>
            </w:r>
          </w:p>
        </w:tc>
        <w:tc>
          <w:tcPr>
            <w:tcW w:type="dxa" w:w="2200"/>
            <w:shd w:fill="1F3A5F" w:val="clear"/>
            <w:tcMar>
              <w:top w:type="dxa" w:w="60"/>
              <w:left w:type="dxa" w:w="100"/>
              <w:bottom w:type="dxa" w:w="60"/>
              <w:right w:type="dxa" w:w="100"/>
            </w:tcMar>
          </w:tcPr>
          <w:p>
            <w:pPr>
              <w:spacing w:after="0"/>
              <w:jc w:val="left"/>
            </w:pPr>
            <w:r>
              <w:rPr>
                <w:b/>
                <w:bCs/>
                <w:color w:val="FFFFFF"/>
                <w:sz w:val="18"/>
                <w:szCs w:val="18"/>
              </w:rPr>
              <w:t xml:space="preserve">Context</w:t>
            </w:r>
          </w:p>
        </w:tc>
        <w:tc>
          <w:tcPr>
            <w:tcW w:type="dxa" w:w="1100"/>
            <w:shd w:fill="1F3A5F" w:val="clear"/>
            <w:tcMar>
              <w:top w:type="dxa" w:w="60"/>
              <w:left w:type="dxa" w:w="100"/>
              <w:bottom w:type="dxa" w:w="60"/>
              <w:right w:type="dxa" w:w="100"/>
            </w:tcMar>
          </w:tcPr>
          <w:p>
            <w:pPr>
              <w:spacing w:after="0"/>
              <w:jc w:val="left"/>
            </w:pPr>
            <w:r>
              <w:rPr>
                <w:b/>
                <w:bCs/>
                <w:color w:val="FFFFFF"/>
                <w:sz w:val="18"/>
                <w:szCs w:val="18"/>
              </w:rPr>
              <w:t xml:space="preserve">Impact</w:t>
            </w:r>
          </w:p>
        </w:tc>
        <w:tc>
          <w:tcPr>
            <w:tcW w:type="dxa" w:w="2560"/>
            <w:shd w:fill="1F3A5F" w:val="clear"/>
            <w:tcMar>
              <w:top w:type="dxa" w:w="60"/>
              <w:left w:type="dxa" w:w="100"/>
              <w:bottom w:type="dxa" w:w="60"/>
              <w:right w:type="dxa" w:w="100"/>
            </w:tcMar>
          </w:tcPr>
          <w:p>
            <w:pPr>
              <w:spacing w:after="0"/>
              <w:jc w:val="left"/>
            </w:pPr>
            <w:r>
              <w:rPr>
                <w:b/>
                <w:bCs/>
                <w:color w:val="FFFFFF"/>
                <w:sz w:val="18"/>
                <w:szCs w:val="18"/>
              </w:rPr>
              <w:t xml:space="preserve">Mechanism for S&amp;P 500</w:t>
            </w:r>
          </w:p>
        </w:tc>
      </w:tr>
      <w:tr>
        <w:trPr>
          <w:tblHeader w:val="false"/>
        </w:trPr>
        <w:tc>
          <w:tcPr>
            <w:tcW w:type="dxa" w:w="1300"/>
            <w:tcMar>
              <w:top w:type="dxa" w:w="60"/>
              <w:left w:type="dxa" w:w="100"/>
              <w:bottom w:type="dxa" w:w="60"/>
              <w:right w:type="dxa" w:w="100"/>
            </w:tcMar>
          </w:tcPr>
          <w:p>
            <w:pPr>
              <w:spacing w:after="0"/>
              <w:jc w:val="left"/>
            </w:pPr>
            <w:r>
              <w:rPr>
                <w:b/>
                <w:bCs/>
                <w:sz w:val="18"/>
                <w:szCs w:val="18"/>
              </w:rPr>
              <w:t xml:space="preserve">Within horizon</w:t>
            </w:r>
          </w:p>
        </w:tc>
        <w:tc>
          <w:tcPr>
            <w:tcW w:type="dxa" w:w="2200"/>
            <w:tcMar>
              <w:top w:type="dxa" w:w="60"/>
              <w:left w:type="dxa" w:w="100"/>
              <w:bottom w:type="dxa" w:w="60"/>
              <w:right w:type="dxa" w:w="100"/>
            </w:tcMar>
          </w:tcPr>
          <w:p>
            <w:pPr>
              <w:spacing w:after="0"/>
              <w:jc w:val="left"/>
            </w:pPr>
            <w:r>
              <w:rPr>
                <w:b/>
                <w:bCs/>
                <w:sz w:val="18"/>
                <w:szCs w:val="18"/>
              </w:rPr>
              <w:t xml:space="preserve">US core PCE inflation</w:t>
            </w:r>
          </w:p>
        </w:tc>
        <w:tc>
          <w:tcPr>
            <w:tcW w:type="dxa" w:w="2200"/>
            <w:tcMar>
              <w:top w:type="dxa" w:w="60"/>
              <w:left w:type="dxa" w:w="100"/>
              <w:bottom w:type="dxa" w:w="60"/>
              <w:right w:type="dxa" w:w="100"/>
            </w:tcMar>
          </w:tcPr>
          <w:p>
            <w:pPr>
              <w:spacing w:after="0"/>
              <w:jc w:val="left"/>
            </w:pPr>
            <w:r>
              <w:rPr>
                <w:sz w:val="18"/>
                <w:szCs w:val="18"/>
              </w:rPr>
              <w:t xml:space="preserve">Fed's preferred gauge; markets focused on inflation</w:t>
            </w:r>
          </w:p>
        </w:tc>
        <w:tc>
          <w:tcPr>
            <w:tcW w:type="dxa" w:w="1100"/>
            <w:tcMar>
              <w:top w:type="dxa" w:w="60"/>
              <w:left w:type="dxa" w:w="100"/>
              <w:bottom w:type="dxa" w:w="60"/>
              <w:right w:type="dxa" w:w="100"/>
            </w:tcMar>
          </w:tcPr>
          <w:p>
            <w:pPr>
              <w:spacing w:after="0"/>
              <w:jc w:val="left"/>
            </w:pPr>
            <w:r>
              <w:rPr>
                <w:b/>
                <w:bCs/>
                <w:sz w:val="18"/>
                <w:szCs w:val="18"/>
              </w:rPr>
              <w:t xml:space="preserve">High</w:t>
            </w:r>
          </w:p>
        </w:tc>
        <w:tc>
          <w:tcPr>
            <w:tcW w:type="dxa" w:w="2560"/>
            <w:tcMar>
              <w:top w:type="dxa" w:w="60"/>
              <w:left w:type="dxa" w:w="100"/>
              <w:bottom w:type="dxa" w:w="60"/>
              <w:right w:type="dxa" w:w="100"/>
            </w:tcMar>
          </w:tcPr>
          <w:p>
            <w:pPr>
              <w:spacing w:after="0"/>
              <w:jc w:val="left"/>
            </w:pPr>
            <w:r>
              <w:rPr>
                <w:b/>
                <w:bCs/>
                <w:sz w:val="18"/>
                <w:szCs w:val="18"/>
              </w:rPr>
              <w:t xml:space="preserve">A hot print lifts yields and pressures the index; a soft print eases the discount-rate drag and supports a recovery toward the overhead pivot shelf.</w:t>
            </w:r>
          </w:p>
        </w:tc>
      </w:tr>
      <w:tr>
        <w:trPr>
          <w:tblHeader w:val="false"/>
        </w:trPr>
        <w:tc>
          <w:tcPr>
            <w:tcW w:type="dxa" w:w="1300"/>
            <w:shd w:fill="F2F2F2" w:val="clear"/>
            <w:tcMar>
              <w:top w:type="dxa" w:w="60"/>
              <w:left w:type="dxa" w:w="100"/>
              <w:bottom w:type="dxa" w:w="60"/>
              <w:right w:type="dxa" w:w="100"/>
            </w:tcMar>
          </w:tcPr>
          <w:p>
            <w:pPr>
              <w:spacing w:after="0"/>
              <w:jc w:val="left"/>
            </w:pPr>
            <w:r>
              <w:rPr>
                <w:sz w:val="18"/>
                <w:szCs w:val="18"/>
              </w:rPr>
              <w:t xml:space="preserve">Ongoing</w:t>
            </w:r>
          </w:p>
        </w:tc>
        <w:tc>
          <w:tcPr>
            <w:tcW w:type="dxa" w:w="2200"/>
            <w:shd w:fill="F2F2F2" w:val="clear"/>
            <w:tcMar>
              <w:top w:type="dxa" w:w="60"/>
              <w:left w:type="dxa" w:w="100"/>
              <w:bottom w:type="dxa" w:w="60"/>
              <w:right w:type="dxa" w:w="100"/>
            </w:tcMar>
          </w:tcPr>
          <w:p>
            <w:pPr>
              <w:spacing w:after="0"/>
              <w:jc w:val="left"/>
            </w:pPr>
            <w:r>
              <w:rPr>
                <w:sz w:val="18"/>
                <w:szCs w:val="18"/>
              </w:rPr>
              <w:t xml:space="preserve">Treasury supply / long-end yields</w:t>
            </w:r>
          </w:p>
        </w:tc>
        <w:tc>
          <w:tcPr>
            <w:tcW w:type="dxa" w:w="2200"/>
            <w:shd w:fill="F2F2F2" w:val="clear"/>
            <w:tcMar>
              <w:top w:type="dxa" w:w="60"/>
              <w:left w:type="dxa" w:w="100"/>
              <w:bottom w:type="dxa" w:w="60"/>
              <w:right w:type="dxa" w:w="100"/>
            </w:tcMar>
          </w:tcPr>
          <w:p>
            <w:pPr>
              <w:spacing w:after="0"/>
              <w:jc w:val="left"/>
            </w:pPr>
            <w:r>
              <w:rPr>
                <w:sz w:val="18"/>
                <w:szCs w:val="18"/>
              </w:rPr>
              <w:t xml:space="preserve">Long-dated yields near multi-month highs</w:t>
            </w:r>
          </w:p>
        </w:tc>
        <w:tc>
          <w:tcPr>
            <w:tcW w:type="dxa" w:w="1100"/>
            <w:shd w:fill="F2F2F2" w:val="clear"/>
            <w:tcMar>
              <w:top w:type="dxa" w:w="60"/>
              <w:left w:type="dxa" w:w="100"/>
              <w:bottom w:type="dxa" w:w="60"/>
              <w:right w:type="dxa" w:w="100"/>
            </w:tcMar>
          </w:tcPr>
          <w:p>
            <w:pPr>
              <w:spacing w:after="0"/>
              <w:jc w:val="left"/>
            </w:pPr>
            <w:r>
              <w:rPr>
                <w:sz w:val="18"/>
                <w:szCs w:val="18"/>
              </w:rPr>
              <w:t xml:space="preserve">High</w:t>
            </w:r>
          </w:p>
        </w:tc>
        <w:tc>
          <w:tcPr>
            <w:tcW w:type="dxa" w:w="2560"/>
            <w:shd w:fill="F2F2F2" w:val="clear"/>
            <w:tcMar>
              <w:top w:type="dxa" w:w="60"/>
              <w:left w:type="dxa" w:w="100"/>
              <w:bottom w:type="dxa" w:w="60"/>
              <w:right w:type="dxa" w:w="100"/>
            </w:tcMar>
          </w:tcPr>
          <w:p>
            <w:pPr>
              <w:spacing w:after="0"/>
              <w:jc w:val="left"/>
            </w:pPr>
            <w:r>
              <w:rPr>
                <w:sz w:val="18"/>
                <w:szCs w:val="18"/>
              </w:rPr>
              <w:t xml:space="preserve">Further yield back-up is the primary downside channel; stabilisation would relieve equity pressure.</w:t>
            </w:r>
          </w:p>
        </w:tc>
      </w:tr>
      <w:tr>
        <w:trPr>
          <w:tblHeader w:val="false"/>
        </w:trPr>
        <w:tc>
          <w:tcPr>
            <w:tcW w:type="dxa" w:w="1300"/>
            <w:tcMar>
              <w:top w:type="dxa" w:w="60"/>
              <w:left w:type="dxa" w:w="100"/>
              <w:bottom w:type="dxa" w:w="60"/>
              <w:right w:type="dxa" w:w="100"/>
            </w:tcMar>
          </w:tcPr>
          <w:p>
            <w:pPr>
              <w:spacing w:after="0"/>
              <w:jc w:val="left"/>
            </w:pPr>
            <w:r>
              <w:rPr>
                <w:sz w:val="18"/>
                <w:szCs w:val="18"/>
              </w:rPr>
              <w:t xml:space="preserve">Ongoing</w:t>
            </w:r>
          </w:p>
        </w:tc>
        <w:tc>
          <w:tcPr>
            <w:tcW w:type="dxa" w:w="2200"/>
            <w:tcMar>
              <w:top w:type="dxa" w:w="60"/>
              <w:left w:type="dxa" w:w="100"/>
              <w:bottom w:type="dxa" w:w="60"/>
              <w:right w:type="dxa" w:w="100"/>
            </w:tcMar>
          </w:tcPr>
          <w:p>
            <w:pPr>
              <w:spacing w:after="0"/>
              <w:jc w:val="left"/>
            </w:pPr>
            <w:r>
              <w:rPr>
                <w:sz w:val="18"/>
                <w:szCs w:val="18"/>
              </w:rPr>
              <w:t xml:space="preserve">Middle East / Iran de-escalation headlines</w:t>
            </w:r>
          </w:p>
        </w:tc>
        <w:tc>
          <w:tcPr>
            <w:tcW w:type="dxa" w:w="2200"/>
            <w:tcMar>
              <w:top w:type="dxa" w:w="60"/>
              <w:left w:type="dxa" w:w="100"/>
              <w:bottom w:type="dxa" w:w="60"/>
              <w:right w:type="dxa" w:w="100"/>
            </w:tcMar>
          </w:tcPr>
          <w:p>
            <w:pPr>
              <w:spacing w:after="0"/>
              <w:jc w:val="left"/>
            </w:pPr>
            <w:r>
              <w:rPr>
                <w:sz w:val="18"/>
                <w:szCs w:val="18"/>
              </w:rPr>
              <w:t xml:space="preserve">Negotiations reported in final stages</w:t>
            </w:r>
          </w:p>
        </w:tc>
        <w:tc>
          <w:tcPr>
            <w:tcW w:type="dxa" w:w="1100"/>
            <w:tcMar>
              <w:top w:type="dxa" w:w="60"/>
              <w:left w:type="dxa" w:w="100"/>
              <w:bottom w:type="dxa" w:w="60"/>
              <w:right w:type="dxa" w:w="100"/>
            </w:tcMar>
          </w:tcPr>
          <w:p>
            <w:pPr>
              <w:spacing w:after="0"/>
              <w:jc w:val="left"/>
            </w:pPr>
            <w:r>
              <w:rPr>
                <w:sz w:val="18"/>
                <w:szCs w:val="18"/>
              </w:rPr>
              <w:t xml:space="preserve">Medium</w:t>
            </w:r>
          </w:p>
        </w:tc>
        <w:tc>
          <w:tcPr>
            <w:tcW w:type="dxa" w:w="2560"/>
            <w:tcMar>
              <w:top w:type="dxa" w:w="60"/>
              <w:left w:type="dxa" w:w="100"/>
              <w:bottom w:type="dxa" w:w="60"/>
              <w:right w:type="dxa" w:w="100"/>
            </w:tcMar>
          </w:tcPr>
          <w:p>
            <w:pPr>
              <w:spacing w:after="0"/>
              <w:jc w:val="left"/>
            </w:pPr>
            <w:r>
              <w:rPr>
                <w:sz w:val="18"/>
                <w:szCs w:val="18"/>
              </w:rPr>
              <w:t xml:space="preserve">A deal caps oil and supports risk; a breakdown re-introduces an oil-led inflation shock.</w:t>
            </w:r>
          </w:p>
        </w:tc>
      </w:tr>
      <w:tr>
        <w:trPr>
          <w:tblHeader w:val="false"/>
        </w:trPr>
        <w:tc>
          <w:tcPr>
            <w:tcW w:type="dxa" w:w="1300"/>
            <w:shd w:fill="F2F2F2" w:val="clear"/>
            <w:tcMar>
              <w:top w:type="dxa" w:w="60"/>
              <w:left w:type="dxa" w:w="100"/>
              <w:bottom w:type="dxa" w:w="60"/>
              <w:right w:type="dxa" w:w="100"/>
            </w:tcMar>
          </w:tcPr>
          <w:p>
            <w:pPr>
              <w:spacing w:after="0"/>
              <w:jc w:val="left"/>
            </w:pPr>
            <w:r>
              <w:rPr>
                <w:sz w:val="18"/>
                <w:szCs w:val="18"/>
              </w:rPr>
              <w:t xml:space="preserve">Within horizon</w:t>
            </w:r>
          </w:p>
        </w:tc>
        <w:tc>
          <w:tcPr>
            <w:tcW w:type="dxa" w:w="2200"/>
            <w:shd w:fill="F2F2F2" w:val="clear"/>
            <w:tcMar>
              <w:top w:type="dxa" w:w="60"/>
              <w:left w:type="dxa" w:w="100"/>
              <w:bottom w:type="dxa" w:w="60"/>
              <w:right w:type="dxa" w:w="100"/>
            </w:tcMar>
          </w:tcPr>
          <w:p>
            <w:pPr>
              <w:spacing w:after="0"/>
              <w:jc w:val="left"/>
            </w:pPr>
            <w:r>
              <w:rPr>
                <w:sz w:val="18"/>
                <w:szCs w:val="18"/>
              </w:rPr>
              <w:t xml:space="preserve">Fed speakers</w:t>
            </w:r>
          </w:p>
        </w:tc>
        <w:tc>
          <w:tcPr>
            <w:tcW w:type="dxa" w:w="2200"/>
            <w:shd w:fill="F2F2F2" w:val="clear"/>
            <w:tcMar>
              <w:top w:type="dxa" w:w="60"/>
              <w:left w:type="dxa" w:w="100"/>
              <w:bottom w:type="dxa" w:w="60"/>
              <w:right w:type="dxa" w:w="100"/>
            </w:tcMar>
          </w:tcPr>
          <w:p>
            <w:pPr>
              <w:spacing w:after="0"/>
              <w:jc w:val="left"/>
            </w:pPr>
            <w:r>
              <w:rPr>
                <w:sz w:val="18"/>
                <w:szCs w:val="18"/>
              </w:rPr>
              <w:t xml:space="preserve">Commentary on inflation and policy path</w:t>
            </w:r>
          </w:p>
        </w:tc>
        <w:tc>
          <w:tcPr>
            <w:tcW w:type="dxa" w:w="1100"/>
            <w:shd w:fill="F2F2F2" w:val="clear"/>
            <w:tcMar>
              <w:top w:type="dxa" w:w="60"/>
              <w:left w:type="dxa" w:w="100"/>
              <w:bottom w:type="dxa" w:w="60"/>
              <w:right w:type="dxa" w:w="100"/>
            </w:tcMar>
          </w:tcPr>
          <w:p>
            <w:pPr>
              <w:spacing w:after="0"/>
              <w:jc w:val="left"/>
            </w:pPr>
            <w:r>
              <w:rPr>
                <w:sz w:val="18"/>
                <w:szCs w:val="18"/>
              </w:rPr>
              <w:t xml:space="preserve">Medium</w:t>
            </w:r>
          </w:p>
        </w:tc>
        <w:tc>
          <w:tcPr>
            <w:tcW w:type="dxa" w:w="2560"/>
            <w:shd w:fill="F2F2F2" w:val="clear"/>
            <w:tcMar>
              <w:top w:type="dxa" w:w="60"/>
              <w:left w:type="dxa" w:w="100"/>
              <w:bottom w:type="dxa" w:w="60"/>
              <w:right w:type="dxa" w:w="100"/>
            </w:tcMar>
          </w:tcPr>
          <w:p>
            <w:pPr>
              <w:spacing w:after="0"/>
              <w:jc w:val="left"/>
            </w:pPr>
            <w:r>
              <w:rPr>
                <w:sz w:val="18"/>
                <w:szCs w:val="18"/>
              </w:rPr>
              <w:t xml:space="preserve">Hawkish tone pressures equities; dovish tone supports them.</w:t>
            </w:r>
          </w:p>
        </w:tc>
      </w:tr>
    </w:tbl>
    <w:p>
      <w:pPr>
        <w:spacing w:after="60"/>
      </w:pPr>
      <w:r>
        <w:t xml:space="preserve"/>
      </w:r>
    </w:p>
    <w:p>
      <w:pPr>
        <w:spacing w:after="120"/>
      </w:pPr>
      <w:r>
        <w:t xml:space="default"/>
      </w:r>
    </w:p>
    <w:p>
      <w:r>
        <w:br w:type="page"/>
      </w:r>
    </w:p>
    <w:p>
      <w:pPr>
        <w:pStyle w:val="Heading1"/>
      </w:pPr>
      <w:r>
        <w:t xml:space="preserve">14.  Macro Context</w:t>
      </w:r>
    </w:p>
    <w:p>
      <w:pPr>
        <w:spacing w:after="120"/>
      </w:pPr>
      <w:r>
        <w:t xml:space="preserve">Rates and monetary policy. The defining macro feature is the rise in long-dated US Treasury yields toward multi-month highs. This cross-references the §10 VIX read — rising implied volatility and rising yields together describe a market re-pricing risk. Higher yields lift the equity discount rate and are currently price-negative for the index.</w:t>
      </w:r>
    </w:p>
    <w:p>
      <w:pPr>
        <w:spacing w:after="120"/>
      </w:pPr>
      <w:r>
        <w:t xml:space="preserve">Inflation. The inflation narrative is two-sided: oil's spike then sharp reversal pulls near-term inflation expectations in both directions within a single week. Net effect on the index is neutral pending the core PCE release flagged in §13d.</w:t>
      </w:r>
    </w:p>
    <w:p>
      <w:pPr>
        <w:spacing w:after="120"/>
      </w:pPr>
      <w:r>
        <w:t xml:space="preserve">Safe-haven / real yields. With long-end yields elevated, real yields are firm — historically a headwind for long-duration equity exposure such as mega-cap technology, the index's leadership cohort. Price-negative at the margin.</w:t>
      </w:r>
    </w:p>
    <w:p>
      <w:pPr>
        <w:spacing w:after="120"/>
      </w:pPr>
      <w:r>
        <w:t xml:space="preserve">Liquidity and FX. Cross-referencing the §10 USDX read: the dollar is broadly firm but not sharply trending. The translation headwind for multinational earnings is modest and is not the swing factor this week.</w:t>
      </w:r>
    </w:p>
    <w:p>
      <w:pPr>
        <w:spacing w:after="120"/>
      </w:pPr>
      <w:r>
        <w:t xml:space="preserve">Energy. Cross-referencing §10: crude's sharp reversal lower is, on balance, supportive for equities because it eases the inflation pass-through — but the move is headline-driven and reversible.</w:t>
      </w:r>
    </w:p>
    <w:p>
      <w:pPr>
        <w:spacing w:after="120"/>
      </w:pPr>
      <w:r>
        <w:t xml:space="preserve">Positioning. VIX in the high-teens with a rising slope indicates hedging demand is picking up without signalling outright stress (the configuration treats 20 as elevated and 30 as stressed; the current reading sits below elevated). Positioning is cautious rather than capitulatory.</w:t>
      </w:r>
    </w:p>
    <w:tbl>
      <w:tblPr>
        <w:tblW w:type="dxa" w:w="9360"/>
        <w:tblBorders>
          <w:top w:val="single" w:color="1F3A5F" w:sz="4"/>
          <w:left w:val="single" w:color="1F3A5F" w:sz="4"/>
          <w:bottom w:val="single" w:color="1F3A5F" w:sz="4"/>
          <w:right w:val="single" w:color="1F3A5F" w:sz="4"/>
          <w:insideH w:val="single" w:color="auto" w:sz="4"/>
          <w:insideV w:val="single" w:color="auto" w:sz="4"/>
        </w:tblBorders>
      </w:tblPr>
      <w:tblGrid>
        <w:gridCol w:w="9360"/>
      </w:tblGrid>
      <w:tr>
        <w:tc>
          <w:tcPr>
            <w:tcW w:type="dxa" w:w="9360"/>
            <w:shd w:fill="FBF3E4" w:val="clear"/>
            <w:tcMar>
              <w:top w:type="dxa" w:w="120"/>
              <w:left w:type="dxa" w:w="160"/>
              <w:bottom w:type="dxa" w:w="120"/>
              <w:right w:type="dxa" w:w="160"/>
            </w:tcMar>
          </w:tcPr>
          <w:p>
            <w:pPr>
              <w:spacing w:after="0"/>
            </w:pPr>
            <w:r>
              <w:rPr>
                <w:b/>
                <w:bCs/>
              </w:rPr>
              <w:t xml:space="preserve">Watch item: </w:t>
            </w:r>
            <w:r>
              <w:t xml:space="preserve">the core PCE release in §13d directly affects the rates and inflation variables above. A hot print is the principal directional risk for the index over the five-day horizon.</w:t>
            </w:r>
          </w:p>
        </w:tc>
      </w:tr>
    </w:tbl>
    <w:p>
      <w:pPr>
        <w:pStyle w:val="Heading1"/>
      </w:pPr>
      <w:r>
        <w:t xml:space="preserve">15.  Bull / Bear Balance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rPr>
          <w:tblHeader/>
        </w:trPr>
        <w:tc>
          <w:tcPr>
            <w:tcW w:type="dxa" w:w="4680"/>
            <w:shd w:fill="1F3A5F" w:val="clear"/>
            <w:tcMar>
              <w:top w:type="dxa" w:w="60"/>
              <w:left w:type="dxa" w:w="100"/>
              <w:bottom w:type="dxa" w:w="60"/>
              <w:right w:type="dxa" w:w="100"/>
            </w:tcMar>
          </w:tcPr>
          <w:p>
            <w:pPr>
              <w:spacing w:after="0"/>
              <w:jc w:val="left"/>
            </w:pPr>
            <w:r>
              <w:rPr>
                <w:b/>
                <w:bCs/>
                <w:color w:val="FFFFFF"/>
                <w:sz w:val="18"/>
                <w:szCs w:val="18"/>
              </w:rPr>
              <w:t xml:space="preserve">Upside risks</w:t>
            </w:r>
          </w:p>
        </w:tc>
        <w:tc>
          <w:tcPr>
            <w:tcW w:type="dxa" w:w="4680"/>
            <w:shd w:fill="1F3A5F" w:val="clear"/>
            <w:tcMar>
              <w:top w:type="dxa" w:w="60"/>
              <w:left w:type="dxa" w:w="100"/>
              <w:bottom w:type="dxa" w:w="60"/>
              <w:right w:type="dxa" w:w="100"/>
            </w:tcMar>
          </w:tcPr>
          <w:p>
            <w:pPr>
              <w:spacing w:after="0"/>
              <w:jc w:val="left"/>
            </w:pPr>
            <w:r>
              <w:rPr>
                <w:b/>
                <w:bCs/>
                <w:color w:val="FFFFFF"/>
                <w:sz w:val="18"/>
                <w:szCs w:val="18"/>
              </w:rPr>
              <w:t xml:space="preserve">Downside risks</w:t>
            </w:r>
          </w:p>
        </w:tc>
      </w:tr>
      <w:tr>
        <w:trPr>
          <w:tblHeader w:val="false"/>
        </w:trPr>
        <w:tc>
          <w:tcPr>
            <w:tcW w:type="dxa" w:w="4680"/>
            <w:tcMar>
              <w:top w:type="dxa" w:w="60"/>
              <w:left w:type="dxa" w:w="100"/>
              <w:bottom w:type="dxa" w:w="60"/>
              <w:right w:type="dxa" w:w="100"/>
            </w:tcMar>
          </w:tcPr>
          <w:p>
            <w:pPr>
              <w:spacing w:after="0"/>
              <w:jc w:val="left"/>
            </w:pPr>
            <w:r>
              <w:rPr>
                <w:sz w:val="18"/>
                <w:szCs w:val="18"/>
              </w:rPr>
              <w:t xml:space="preserve">A soft core PCE print (§13d) eases the yield back-up and clears a path back toward the overhead confluence shelf at 7,434–7,440 (§11).</w:t>
            </w:r>
          </w:p>
        </w:tc>
        <w:tc>
          <w:tcPr>
            <w:tcW w:type="dxa" w:w="4680"/>
            <w:tcMar>
              <w:top w:type="dxa" w:w="60"/>
              <w:left w:type="dxa" w:w="100"/>
              <w:bottom w:type="dxa" w:w="60"/>
              <w:right w:type="dxa" w:w="100"/>
            </w:tcMar>
          </w:tcPr>
          <w:p>
            <w:pPr>
              <w:spacing w:after="0"/>
              <w:jc w:val="left"/>
            </w:pPr>
            <w:r>
              <w:rPr>
                <w:sz w:val="18"/>
                <w:szCs w:val="18"/>
              </w:rPr>
              <w:t xml:space="preserve">A hot core PCE print lifts yields further; a daily close back through daily S1.5 / weekly S1 (≈ 7,351–7,364, §11) would open the 7,300 five-day low.</w:t>
            </w:r>
          </w:p>
        </w:tc>
      </w:tr>
      <w:tr>
        <w:trPr>
          <w:tblHeader w:val="false"/>
        </w:trPr>
        <w:tc>
          <w:tcPr>
            <w:tcW w:type="dxa" w:w="4680"/>
            <w:shd w:fill="F2F2F2" w:val="clear"/>
            <w:tcMar>
              <w:top w:type="dxa" w:w="60"/>
              <w:left w:type="dxa" w:w="100"/>
              <w:bottom w:type="dxa" w:w="60"/>
              <w:right w:type="dxa" w:w="100"/>
            </w:tcMar>
          </w:tcPr>
          <w:p>
            <w:pPr>
              <w:spacing w:after="0"/>
              <w:jc w:val="left"/>
            </w:pPr>
            <w:r>
              <w:rPr>
                <w:sz w:val="18"/>
                <w:szCs w:val="18"/>
              </w:rPr>
              <w:t xml:space="preserve">A confirmed Iran de-escalation caps oil and supports risk appetite (§12, §14).</w:t>
            </w:r>
          </w:p>
        </w:tc>
        <w:tc>
          <w:tcPr>
            <w:tcW w:type="dxa" w:w="4680"/>
            <w:shd w:fill="F2F2F2" w:val="clear"/>
            <w:tcMar>
              <w:top w:type="dxa" w:w="60"/>
              <w:left w:type="dxa" w:w="100"/>
              <w:bottom w:type="dxa" w:w="60"/>
              <w:right w:type="dxa" w:w="100"/>
            </w:tcMar>
          </w:tcPr>
          <w:p>
            <w:pPr>
              <w:spacing w:after="0"/>
              <w:jc w:val="left"/>
            </w:pPr>
            <w:r>
              <w:rPr>
                <w:sz w:val="18"/>
                <w:szCs w:val="18"/>
              </w:rPr>
              <w:t xml:space="preserve">Rising VIX contradicts a clean bullish resumption (§10) — the cross-asset read is not giving the all-clear.</w:t>
            </w:r>
          </w:p>
        </w:tc>
      </w:tr>
      <w:tr>
        <w:trPr>
          <w:tblHeader w:val="false"/>
        </w:trPr>
        <w:tc>
          <w:tcPr>
            <w:tcW w:type="dxa" w:w="4680"/>
            <w:tcMar>
              <w:top w:type="dxa" w:w="60"/>
              <w:left w:type="dxa" w:w="100"/>
              <w:bottom w:type="dxa" w:w="60"/>
              <w:right w:type="dxa" w:w="100"/>
            </w:tcMar>
          </w:tcPr>
          <w:p>
            <w:pPr>
              <w:spacing w:after="0"/>
              <w:jc w:val="left"/>
            </w:pPr>
            <w:r>
              <w:rPr>
                <w:sz w:val="18"/>
                <w:szCs w:val="18"/>
              </w:rPr>
              <w:t xml:space="preserve">The structural mega-cap earnings engine remains intact; KER still reads Trending Up — Moderate (§9).</w:t>
            </w:r>
          </w:p>
        </w:tc>
        <w:tc>
          <w:tcPr>
            <w:tcW w:type="dxa" w:w="4680"/>
            <w:tcMar>
              <w:top w:type="dxa" w:w="60"/>
              <w:left w:type="dxa" w:w="100"/>
              <w:bottom w:type="dxa" w:w="60"/>
              <w:right w:type="dxa" w:w="100"/>
            </w:tcMar>
          </w:tcPr>
          <w:p>
            <w:pPr>
              <w:spacing w:after="0"/>
              <w:jc w:val="left"/>
            </w:pPr>
            <w:r>
              <w:rPr>
                <w:sz w:val="18"/>
                <w:szCs w:val="18"/>
              </w:rPr>
              <w:t xml:space="preserve">The 20 May rebound failed to make a higher high versus 15 May; the recovery is corrective, not trend-resuming (§8).</w:t>
            </w:r>
          </w:p>
        </w:tc>
      </w:tr>
    </w:tbl>
    <w:p>
      <w:pPr>
        <w:spacing w:after="60"/>
      </w:pPr>
      <w:r>
        <w:t xml:space="preserve"/>
      </w:r>
    </w:p>
    <w:p>
      <w:pPr>
        <w:spacing w:after="120"/>
      </w:pPr>
      <w:r>
        <w:t xml:space="preserve">On balance the book is balanced with a mild defensive lean. The index is wedged between two dense pivot shelves (§11); the highest-impact catalyst (core PCE, §13d) is binary; and the cross-asset read is mixed. Neither side has control.</w:t>
      </w:r>
    </w:p>
    <w:p>
      <w:pPr>
        <w:pStyle w:val="Heading1"/>
      </w:pPr>
      <w:r>
        <w:t xml:space="preserve">16.  Forward View</w:t>
      </w:r>
    </w:p>
    <w:p>
      <w:pPr>
        <w:spacing w:after="120"/>
      </w:pPr>
      <w:r>
        <w:t xml:space="preserve">Expected direction: sideways-to-lower with a wide two-sided risk distribution. Over the next five sessions the base case is continued rotation between the §11 pivot shelves rather than a decisive trend. Expected trading range: 7,351 to 7,440 index points — the band defined by the weekly S1 cluster below and the weekly-P / daily-R1 / monthly-R1 confluence above. Base-case invalidation: a daily close above 7,448 (the 21 May high) would invalidate the cautious base case to the upside and argue for a retest of the 7,501 region; a daily close below 7,300 would invalidate it to the downside and signal a deeper unwind of the post-record pullback.</w:t>
      </w:r>
    </w:p>
    <w:p>
      <w:pPr>
        <w:spacing w:after="120"/>
      </w:pPr>
      <w:r>
        <w:rPr>
          <w:i/>
          <w:iCs/>
          <w:color w:val="555555"/>
          <w:sz w:val="19"/>
          <w:szCs w:val="19"/>
        </w:rPr>
        <w:t xml:space="default"/>
      </w:r>
    </w:p>
    <w:p>
      <w:pPr>
        <w:pStyle w:val="Heading1"/>
      </w:pPr>
      <w:r>
        <w:t xml:space="preserve">17.  Forecast</w:t>
      </w:r>
    </w:p>
    <w:tbl>
      <w:tblPr>
        <w:tblW w:type="dxa" w:w="9360"/>
        <w:tblBorders>
          <w:top w:val="single" w:color="1F3A5F" w:sz="4"/>
          <w:left w:val="single" w:color="1F3A5F" w:sz="4"/>
          <w:bottom w:val="single" w:color="1F3A5F" w:sz="4"/>
          <w:right w:val="single" w:color="1F3A5F" w:sz="4"/>
          <w:insideH w:val="single" w:color="auto" w:sz="4"/>
          <w:insideV w:val="single" w:color="auto" w:sz="4"/>
        </w:tblBorders>
      </w:tblPr>
      <w:tblGrid>
        <w:gridCol w:w="9360"/>
      </w:tblGrid>
      <w:tr>
        <w:tc>
          <w:tcPr>
            <w:tcW w:type="dxa" w:w="9360"/>
            <w:shd w:fill="EAF0F6" w:val="clear"/>
            <w:tcMar>
              <w:top w:type="dxa" w:w="120"/>
              <w:left w:type="dxa" w:w="160"/>
              <w:bottom w:type="dxa" w:w="120"/>
              <w:right w:type="dxa" w:w="160"/>
            </w:tcMar>
          </w:tcPr>
          <w:p>
            <w:pPr>
              <w:spacing w:after="0"/>
            </w:pPr>
            <w:r>
              <w:rPr>
                <w:b/>
                <w:bCs/>
                <w:sz w:val="24"/>
                <w:szCs w:val="24"/>
              </w:rPr>
              <w:t xml:space="preserve">Over the next five sessions the S&amp;P 500 cash index is most likely to rotate within 7,351–7,440 index points, with the soft 21 May tape, the mildly bearish sentiment tilt and the mixed cross-asset read favouring the lower half of that band until the core PCE release resolves the yield path.</w:t>
            </w:r>
          </w:p>
        </w:tc>
      </w:tr>
    </w:tbl>
    <w:p>
      <w:pPr>
        <w:pStyle w:val="Heading1"/>
      </w:pPr>
      <w:r>
        <w:t xml:space="preserve">18.  Final Analyst Judgement</w:t>
      </w:r>
    </w:p>
    <w:p>
      <w:pPr>
        <w:spacing w:after="120"/>
      </w:pPr>
      <w:r>
        <w:t xml:space="default"/>
      </w:r>
    </w:p>
    <w:p>
      <w:pPr>
        <w:spacing w:after="120"/>
      </w:pPr>
      <w:r>
        <w:t xml:space="preserve">Three most important reasons for the current level:</w:t>
      </w:r>
    </w:p>
    <w:p>
      <w:pPr>
        <w:pStyle w:val="ListParagraph"/>
        <w:numPr>
          <w:ilvl w:val="0"/>
          <w:numId w:val="3"/>
        </w:numPr>
        <w:spacing w:after="60"/>
      </w:pPr>
      <w:r>
        <w:t xml:space="preserve">The back-up in long-dated Treasury yields toward multi-month highs has lifted the equity discount rate and capped the post-rebound recovery.</w:t>
      </w:r>
    </w:p>
    <w:p>
      <w:pPr>
        <w:pStyle w:val="ListParagraph"/>
        <w:numPr>
          <w:ilvl w:val="0"/>
          <w:numId w:val="3"/>
        </w:numPr>
        <w:spacing w:after="60"/>
      </w:pPr>
      <w:r>
        <w:t xml:space="preserve">Nvidia's in-line-to-soft forward guide removed the near-term catalyst for the AI-leadership trade that powered the index to its 14 May record.</w:t>
      </w:r>
    </w:p>
    <w:p>
      <w:pPr>
        <w:pStyle w:val="ListParagraph"/>
        <w:numPr>
          <w:ilvl w:val="0"/>
          <w:numId w:val="3"/>
        </w:numPr>
        <w:spacing w:after="60"/>
      </w:pPr>
      <w:r>
        <w:t xml:space="preserve">A sharp two-way swing in crude oil left the inflation narrative unresolved, keeping the market in a wait-and-see posture between its pivot shelves.</w:t>
      </w:r>
    </w:p>
    <w:p>
      <w:pPr>
        <w:spacing w:after="120"/>
      </w:pPr>
      <w:r>
        <w:t xml:space="default"/>
      </w:r>
    </w:p>
    <w:p>
      <w:r>
        <w:br w:type="page"/>
      </w:r>
    </w:p>
    <w:p>
      <w:pPr>
        <w:pStyle w:val="Heading1"/>
      </w:pPr>
      <w:r>
        <w:t xml:space="preserve">19.  Source Discipline Note</w:t>
      </w:r>
    </w:p>
    <w:p>
      <w:pPr>
        <w:spacing w:after="120"/>
      </w:pPr>
      <w:r>
        <w:t xml:space="preserve">Live versus indicative data. Closing levels for the S&amp;P 500 cash index are live and corroborated: the 20 May official close of 7,432.97 is matched to the point across the index provider feed and independent market reporting, and the 14, 15, 18, 19 and 21 May closes are corroborated at the close-basis level.</w:t>
      </w:r>
    </w:p>
    <w:p>
      <w:pPr>
        <w:spacing w:after="120"/>
      </w:pPr>
      <w:r>
        <w:t xml:space="preserve">Data gaps. Intraday Open / High / Low for the cash index could not be dual-source corroborated within the ±0.10-point equity-index tolerance from two independent approved sources for the 15, 18, 19 and 21 May sessions. The free CSV endpoints that normally supply this (the primary alternatives to the demoted Yahoo Finance historical feed) were not reachable in this run. Those O/H/L fields are therefore carried as single-source indicative throughout §6, §7 and §11.</w:t>
      </w:r>
    </w:p>
    <w:p>
      <w:pPr>
        <w:spacing w:after="120"/>
      </w:pPr>
      <w:r>
        <w:t xml:space="default"/>
      </w:r>
    </w:p>
    <w:p>
      <w:pPr>
        <w:spacing w:after="120"/>
      </w:pPr>
      <w:r>
        <w:t xml:space="default"/>
      </w:r>
    </w:p>
    <w:p>
      <w:pPr>
        <w:spacing w:after="120"/>
      </w:pPr>
      <w:r>
        <w:t xml:space="preserve">Normalization assumptions: none required — all observations are native index points in USD on the cash-session basis.</w:t>
      </w:r>
    </w:p>
    <w:p>
      <w:pPr>
        <w:pStyle w:val="Heading1"/>
      </w:pPr>
      <w:r>
        <w:t xml:space="preserve">20.  Agent Log</w:t>
      </w:r>
    </w:p>
    <w:p>
      <w:pPr>
        <w:spacing w:after="120"/>
      </w:pPr>
      <w:r>
        <w:t xml:space="default"/>
      </w:r>
    </w:p>
    <w:p>
      <w:pPr>
        <w:spacing w:after="120"/>
      </w:pPr>
      <w:r>
        <w:t xml:space="default"/>
      </w:r>
    </w:p>
    <w:p>
      <w:pPr>
        <w:pStyle w:val="Heading3"/>
      </w:pPr>
      <w:r>
        <w:t xml:space="preserve">Source resolution</w:t>
      </w:r>
    </w:p>
    <w:p>
      <w:pPr>
        <w:pStyle w:val="ListParagraph"/>
        <w:numPr>
          <w:ilvl w:val="0"/>
          <w:numId w:val="2"/>
        </w:numPr>
        <w:spacing w:after="60"/>
      </w:pPr>
      <w:r>
        <w:t xml:space="preserve">S&amp;P 500 close: corroborated — S&amp;P Dow Jones / FRED × CNBC for 20 May (delta 0.00 pts, tolerance ±0.10); close-basis corroboration across Trading Economics, Investing.com and Yahoo Finance for 21 May.</w:t>
      </w:r>
    </w:p>
    <w:p>
      <w:pPr>
        <w:pStyle w:val="ListParagraph"/>
        <w:numPr>
          <w:ilvl w:val="0"/>
          <w:numId w:val="2"/>
        </w:numPr>
        <w:spacing w:after="60"/>
      </w:pPr>
      <w:r>
        <w:t xml:space="preserve">S&amp;P 500 intraday O/H/L: single-source indicative — two independent approved sources could not be paired within tolerance; free CSV endpoints unreachable in this run. Affected sessions: 15, 18, 19, 21 May. Logged as a data gap, not a synthesis.</w:t>
      </w:r>
    </w:p>
    <w:p>
      <w:pPr>
        <w:pStyle w:val="ListParagraph"/>
        <w:numPr>
          <w:ilvl w:val="0"/>
          <w:numId w:val="2"/>
        </w:numPr>
        <w:spacing w:after="60"/>
      </w:pPr>
      <w:r>
        <w:t xml:space="preserve">Counters (USDX, VIX, DAX 40): directional reads sourced from approved market reporting; used for confirmation only.</w:t>
      </w:r>
    </w:p>
    <w:p>
      <w:pPr>
        <w:pStyle w:val="Heading3"/>
      </w:pPr>
      <w:r>
        <w:t xml:space="preserve">Sentiment derivation</w:t>
      </w:r>
    </w:p>
    <w:p>
      <w:pPr>
        <w:pStyle w:val="ListParagraph"/>
        <w:numPr>
          <w:ilvl w:val="0"/>
          <w:numId w:val="2"/>
        </w:numPr>
        <w:spacing w:after="60"/>
      </w:pPr>
      <w:r>
        <w:t xml:space="preserve">Six articles classified for the S&amp;P 500; each carries a derivation quote of ≤15 words. Counts 2 Bullish / 4 Bearish / 0 Neutral. Source-class-weighted tilt = −0.19 (above the three-article low-confidence threshold).</w:t>
      </w:r>
    </w:p>
    <w:p>
      <w:pPr>
        <w:pStyle w:val="Heading3"/>
      </w:pPr>
      <w:r>
        <w:t xml:space="preserve">Strategy module trace</w:t>
      </w:r>
    </w:p>
    <w:p>
      <w:pPr>
        <w:pStyle w:val="ListParagraph"/>
        <w:numPr>
          <w:ilvl w:val="0"/>
          <w:numId w:val="2"/>
        </w:numPr>
        <w:spacing w:after="60"/>
      </w:pPr>
      <w:r>
        <w:t xml:space="preserve">Master switch ON. Direction-scoring weights at the v2.1 baseline — basis: defaults. Weight-lock: this is an early forward-test session; defaults are locked for the first 20 sessions and were not tuned.</w:t>
      </w:r>
    </w:p>
    <w:p>
      <w:pPr>
        <w:pStyle w:val="ListParagraph"/>
        <w:numPr>
          <w:ilvl w:val="0"/>
          <w:numId w:val="2"/>
        </w:numPr>
        <w:spacing w:after="60"/>
      </w:pPr>
      <w:r>
        <w:t xml:space="preserve">Direction score −0.22 — magnitude below the 0.25 conviction threshold → NEUTRAL → Trade 1 (daily directional) suppressed. Per-signal contributions: short-term technical −0.25, medium-term regime −0.10, VOLator +0.05, Kaufman +0.15, sentiment −0.03, cross-asset −0.05.</w:t>
      </w:r>
    </w:p>
    <w:p>
      <w:pPr>
        <w:pStyle w:val="ListParagraph"/>
        <w:numPr>
          <w:ilvl w:val="0"/>
          <w:numId w:val="2"/>
        </w:numPr>
        <w:spacing w:after="60"/>
      </w:pPr>
      <w:r>
        <w:t xml:space="preserve">Regime label resolved to TRANSITION: the short/medium synthesis is Transitional and the Kaufman read (Trending Up — Moderate) disagrees with it, so the consolidated label falls through to TRANSITION. The active complex variant is Trade 3C (momentum-breakout).</w:t>
      </w:r>
    </w:p>
    <w:p>
      <w:pPr>
        <w:pStyle w:val="ListParagraph"/>
        <w:numPr>
          <w:ilvl w:val="0"/>
          <w:numId w:val="2"/>
        </w:numPr>
        <w:spacing w:after="60"/>
      </w:pPr>
      <w:r>
        <w:t xml:space="preserve">Trade 2 constructed on the TRANSITION breakout-side rule; daily pivot levels referenced carry the single-source-indicative caveat from §19.</w:t>
      </w:r>
    </w:p>
    <w:p>
      <w:pPr>
        <w:pStyle w:val="ListParagraph"/>
        <w:numPr>
          <w:ilvl w:val="0"/>
          <w:numId w:val="2"/>
        </w:numPr>
        <w:spacing w:after="60"/>
      </w:pPr>
      <w:r>
        <w:t xml:space="preserve">Backtest: prior five sessions reconstructed at each t−1 close with sentiment frozen and ATR / swings / regime recomputed; conservative stop-loss-first tick priority applied.</w:t>
      </w:r>
    </w:p>
    <w:p>
      <w:pPr>
        <w:pStyle w:val="Heading3"/>
      </w:pPr>
      <w:r>
        <w:t xml:space="preserve">Anomalies</w:t>
      </w:r>
    </w:p>
    <w:p>
      <w:pPr>
        <w:pStyle w:val="ListParagraph"/>
        <w:numPr>
          <w:ilvl w:val="0"/>
          <w:numId w:val="2"/>
        </w:numPr>
        <w:spacing w:after="60"/>
      </w:pPr>
      <w:r>
        <w:t xml:space="preserve">RSI2 = 0.0 on 18 and 19 May — verified correct (two consecutive all-loss sessions floor the period-2 oscillator), not a data error.</w:t>
      </w:r>
    </w:p>
    <w:p>
      <w:pPr>
        <w:pStyle w:val="ListParagraph"/>
        <w:numPr>
          <w:ilvl w:val="0"/>
          <w:numId w:val="2"/>
        </w:numPr>
        <w:spacing w:after="60"/>
      </w:pPr>
      <w:r>
        <w:t xml:space="preserve">Kaufman / regime-synthesis disagreement carried forward as a documented mixed signal (§9), not silently resolved.</w:t>
      </w:r>
    </w:p>
    <w:p>
      <w:r>
        <w:br w:type="page"/>
      </w:r>
    </w:p>
    <w:p>
      <w:pPr>
        <w:pStyle w:val="Heading1"/>
      </w:pPr>
      <w:r>
        <w:t xml:space="preserve">21.  Strategy Recommendations</w:t>
      </w:r>
    </w:p>
    <w:p>
      <w:pPr>
        <w:pStyle w:val="Heading3"/>
      </w:pPr>
      <w:r>
        <w:t xml:space="preserve">21a  Directional Conviction</w:t>
      </w:r>
    </w:p>
    <w:p>
      <w:pPr>
        <w:spacing w:after="120"/>
      </w:pPr>
      <w:r>
        <w:t xml:space="default"/>
      </w:r>
    </w:p>
    <w:p>
      <w:pPr>
        <w:spacing w:after="120"/>
      </w:pPr>
      <w:r>
        <w:t xml:space="default"/>
      </w:r>
    </w:p>
    <w:p>
      <w:pPr>
        <w:pStyle w:val="Heading3"/>
      </w:pPr>
      <w:r>
        <w:t xml:space="preserve">21b  Trade Cards</w:t>
      </w:r>
    </w:p>
    <w:p>
      <w:pPr>
        <w:shd w:fill="7F8C8D" w:val="clear"/>
        <w:spacing w:after="60" w:before="120"/>
      </w:pPr>
      <w:r>
        <w:rPr>
          <w:b/>
          <w:bCs/>
          <w:color w:val="FFFFFF"/>
          <w:sz w:val="22"/>
          <w:szCs w:val="22"/>
        </w:rPr>
        <w:t xml:space="preserve">Trade 1 — Daily Directional</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760"/>
      </w:tblGrid>
      <w:tr>
        <w:trPr>
          <w:tblHeader/>
        </w:trPr>
        <w:tc>
          <w:tcPr>
            <w:tcW w:type="dxa" w:w="2600"/>
            <w:shd w:fill="1F3A5F" w:val="clear"/>
            <w:tcMar>
              <w:top w:type="dxa" w:w="60"/>
              <w:left w:type="dxa" w:w="100"/>
              <w:bottom w:type="dxa" w:w="60"/>
              <w:right w:type="dxa" w:w="100"/>
            </w:tcMar>
          </w:tcPr>
          <w:p>
            <w:pPr>
              <w:spacing w:after="0"/>
              <w:jc w:val="left"/>
            </w:pPr>
            <w:r>
              <w:rPr>
                <w:b/>
                <w:bCs/>
                <w:color w:val="FFFFFF"/>
                <w:sz w:val="18"/>
                <w:szCs w:val="18"/>
              </w:rPr>
              <w:t xml:space="preserve">Field</w:t>
            </w:r>
          </w:p>
        </w:tc>
        <w:tc>
          <w:tcPr>
            <w:tcW w:type="dxa" w:w="6760"/>
            <w:shd w:fill="1F3A5F" w:val="clear"/>
            <w:tcMar>
              <w:top w:type="dxa" w:w="60"/>
              <w:left w:type="dxa" w:w="100"/>
              <w:bottom w:type="dxa" w:w="60"/>
              <w:right w:type="dxa" w:w="100"/>
            </w:tcMar>
          </w:tcPr>
          <w:p>
            <w:pPr>
              <w:spacing w:after="0"/>
              <w:jc w:val="left"/>
            </w:pPr>
            <w:r>
              <w:rPr>
                <w:b/>
                <w:bCs/>
                <w:color w:val="FFFFFF"/>
                <w:sz w:val="18"/>
                <w:szCs w:val="18"/>
              </w:rPr>
              <w:t xml:space="preserve">Detail</w:t>
            </w:r>
          </w:p>
        </w:tc>
      </w:tr>
      <w:tr>
        <w:trPr>
          <w:tblHeader w:val="false"/>
        </w:trPr>
        <w:tc>
          <w:tcPr>
            <w:tcW w:type="dxa" w:w="2600"/>
            <w:tcMar>
              <w:top w:type="dxa" w:w="60"/>
              <w:left w:type="dxa" w:w="100"/>
              <w:bottom w:type="dxa" w:w="60"/>
              <w:right w:type="dxa" w:w="100"/>
            </w:tcMar>
          </w:tcPr>
          <w:p>
            <w:pPr>
              <w:spacing w:after="0"/>
              <w:jc w:val="left"/>
            </w:pPr>
            <w:r>
              <w:rPr>
                <w:b/>
                <w:bCs/>
                <w:sz w:val="18"/>
                <w:szCs w:val="18"/>
              </w:rPr>
              <w:t xml:space="preserve">Status</w:t>
            </w:r>
          </w:p>
        </w:tc>
        <w:tc>
          <w:tcPr>
            <w:tcW w:type="dxa" w:w="6760"/>
            <w:tcMar>
              <w:top w:type="dxa" w:w="60"/>
              <w:left w:type="dxa" w:w="100"/>
              <w:bottom w:type="dxa" w:w="60"/>
              <w:right w:type="dxa" w:w="100"/>
            </w:tcMar>
          </w:tcPr>
          <w:p>
            <w:pPr>
              <w:spacing w:after="0"/>
              <w:jc w:val="left"/>
            </w:pPr>
            <w:r>
              <w:rPr>
                <w:sz w:val="18"/>
                <w:szCs w:val="18"/>
              </w:rPr>
              <w:t xml:space="preserve">SUPPRESSED — direction score |0.22| is below the 0.25 conviction threshold. No daily directional trade is issued. Suppression is itself an output and is recorded here rather than omitted.</w:t>
            </w:r>
          </w:p>
        </w:tc>
      </w:tr>
    </w:tbl>
    <w:p>
      <w:pPr>
        <w:spacing w:after="60"/>
      </w:pPr>
      <w:r>
        <w:t xml:space="preserve"/>
      </w:r>
    </w:p>
    <w:p>
      <w:pPr>
        <w:shd w:fill="8E44AD" w:val="clear"/>
        <w:spacing w:after="60" w:before="120"/>
      </w:pPr>
      <w:r>
        <w:rPr>
          <w:b/>
          <w:bCs/>
          <w:color w:val="FFFFFF"/>
          <w:sz w:val="22"/>
          <w:szCs w:val="22"/>
        </w:rPr>
        <w:t xml:space="preserve">Trade 2 — Pivot (TRANSITION, breakout side)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760"/>
      </w:tblGrid>
      <w:tr>
        <w:trPr>
          <w:tblHeader/>
        </w:trPr>
        <w:tc>
          <w:tcPr>
            <w:tcW w:type="dxa" w:w="2600"/>
            <w:shd w:fill="1F3A5F" w:val="clear"/>
            <w:tcMar>
              <w:top w:type="dxa" w:w="60"/>
              <w:left w:type="dxa" w:w="100"/>
              <w:bottom w:type="dxa" w:w="60"/>
              <w:right w:type="dxa" w:w="100"/>
            </w:tcMar>
          </w:tcPr>
          <w:p>
            <w:pPr>
              <w:spacing w:after="0"/>
              <w:jc w:val="left"/>
            </w:pPr>
            <w:r>
              <w:rPr>
                <w:b/>
                <w:bCs/>
                <w:color w:val="FFFFFF"/>
                <w:sz w:val="18"/>
                <w:szCs w:val="18"/>
              </w:rPr>
              <w:t xml:space="preserve">Field</w:t>
            </w:r>
          </w:p>
        </w:tc>
        <w:tc>
          <w:tcPr>
            <w:tcW w:type="dxa" w:w="6760"/>
            <w:shd w:fill="1F3A5F" w:val="clear"/>
            <w:tcMar>
              <w:top w:type="dxa" w:w="60"/>
              <w:left w:type="dxa" w:w="100"/>
              <w:bottom w:type="dxa" w:w="60"/>
              <w:right w:type="dxa" w:w="100"/>
            </w:tcMar>
          </w:tcPr>
          <w:p>
            <w:pPr>
              <w:spacing w:after="0"/>
              <w:jc w:val="left"/>
            </w:pPr>
            <w:r>
              <w:rPr>
                <w:b/>
                <w:bCs/>
                <w:color w:val="FFFFFF"/>
                <w:sz w:val="18"/>
                <w:szCs w:val="18"/>
              </w:rPr>
              <w:t xml:space="preserve">Detail</w:t>
            </w:r>
          </w:p>
        </w:tc>
      </w:tr>
      <w:tr>
        <w:trPr>
          <w:tblHeader w:val="false"/>
        </w:trPr>
        <w:tc>
          <w:tcPr>
            <w:tcW w:type="dxa" w:w="2600"/>
            <w:tcMar>
              <w:top w:type="dxa" w:w="60"/>
              <w:left w:type="dxa" w:w="100"/>
              <w:bottom w:type="dxa" w:w="60"/>
              <w:right w:type="dxa" w:w="100"/>
            </w:tcMar>
          </w:tcPr>
          <w:p>
            <w:pPr>
              <w:spacing w:after="0"/>
              <w:jc w:val="left"/>
            </w:pPr>
            <w:r>
              <w:rPr>
                <w:b/>
                <w:bCs/>
                <w:sz w:val="18"/>
                <w:szCs w:val="18"/>
              </w:rPr>
              <w:t xml:space="preserve">Trade type</w:t>
            </w:r>
          </w:p>
        </w:tc>
        <w:tc>
          <w:tcPr>
            <w:tcW w:type="dxa" w:w="6760"/>
            <w:tcMar>
              <w:top w:type="dxa" w:w="60"/>
              <w:left w:type="dxa" w:w="100"/>
              <w:bottom w:type="dxa" w:w="60"/>
              <w:right w:type="dxa" w:w="100"/>
            </w:tcMar>
          </w:tcPr>
          <w:p>
            <w:pPr>
              <w:spacing w:after="0"/>
              <w:jc w:val="left"/>
            </w:pPr>
            <w:r>
              <w:rPr>
                <w:sz w:val="18"/>
                <w:szCs w:val="18"/>
              </w:rPr>
              <w:t xml:space="preserve">Trade 2 — Pivot, regime-aware; TRANSITION regime restricts this to the breakout side identified by Trade 3C (upside).</w:t>
            </w:r>
          </w:p>
        </w:tc>
      </w:tr>
      <w:tr>
        <w:trPr>
          <w:tblHeader w:val="false"/>
        </w:trPr>
        <w:tc>
          <w:tcPr>
            <w:tcW w:type="dxa" w:w="2600"/>
            <w:shd w:fill="F2F2F2" w:val="clear"/>
            <w:tcMar>
              <w:top w:type="dxa" w:w="60"/>
              <w:left w:type="dxa" w:w="100"/>
              <w:bottom w:type="dxa" w:w="60"/>
              <w:right w:type="dxa" w:w="100"/>
            </w:tcMar>
          </w:tcPr>
          <w:p>
            <w:pPr>
              <w:spacing w:after="0"/>
              <w:jc w:val="left"/>
            </w:pPr>
            <w:r>
              <w:rPr>
                <w:b/>
                <w:bCs/>
                <w:sz w:val="18"/>
                <w:szCs w:val="18"/>
              </w:rPr>
              <w:t xml:space="preserve">Direction</w:t>
            </w:r>
          </w:p>
        </w:tc>
        <w:tc>
          <w:tcPr>
            <w:tcW w:type="dxa" w:w="6760"/>
            <w:shd w:fill="F2F2F2" w:val="clear"/>
            <w:tcMar>
              <w:top w:type="dxa" w:w="60"/>
              <w:left w:type="dxa" w:w="100"/>
              <w:bottom w:type="dxa" w:w="60"/>
              <w:right w:type="dxa" w:w="100"/>
            </w:tcMar>
          </w:tcPr>
          <w:p>
            <w:pPr>
              <w:spacing w:after="0"/>
              <w:jc w:val="left"/>
            </w:pPr>
            <w:r>
              <w:rPr>
                <w:sz w:val="18"/>
                <w:szCs w:val="18"/>
              </w:rPr>
              <w:t xml:space="preserve">LONG — breakout-side only, aligned with the 3C upside break thesis.</w:t>
            </w:r>
          </w:p>
        </w:tc>
      </w:tr>
      <w:tr>
        <w:trPr>
          <w:tblHeader w:val="false"/>
        </w:trPr>
        <w:tc>
          <w:tcPr>
            <w:tcW w:type="dxa" w:w="2600"/>
            <w:tcMar>
              <w:top w:type="dxa" w:w="60"/>
              <w:left w:type="dxa" w:w="100"/>
              <w:bottom w:type="dxa" w:w="60"/>
              <w:right w:type="dxa" w:w="100"/>
            </w:tcMar>
          </w:tcPr>
          <w:p>
            <w:pPr>
              <w:spacing w:after="0"/>
              <w:jc w:val="left"/>
            </w:pPr>
            <w:r>
              <w:rPr>
                <w:b/>
                <w:bCs/>
                <w:sz w:val="18"/>
                <w:szCs w:val="18"/>
              </w:rPr>
              <w:t xml:space="preserve">Entry</w:t>
            </w:r>
          </w:p>
        </w:tc>
        <w:tc>
          <w:tcPr>
            <w:tcW w:type="dxa" w:w="6760"/>
            <w:tcMar>
              <w:top w:type="dxa" w:w="60"/>
              <w:left w:type="dxa" w:w="100"/>
              <w:bottom w:type="dxa" w:w="60"/>
              <w:right w:type="dxa" w:w="100"/>
            </w:tcMar>
          </w:tcPr>
          <w:p>
            <w:pPr>
              <w:spacing w:after="0"/>
              <w:jc w:val="left"/>
            </w:pPr>
            <w:r>
              <w:rPr>
                <w:sz w:val="18"/>
                <w:szCs w:val="18"/>
              </w:rPr>
              <w:t xml:space="preserve">Buy stop at 7,415 index points (7,415 points) — 10% of the way from the daily pivot 7,412 toward daily R1 7,437, on a confirmed push through the pivot.</w:t>
            </w:r>
          </w:p>
        </w:tc>
      </w:tr>
      <w:tr>
        <w:trPr>
          <w:tblHeader w:val="false"/>
        </w:trPr>
        <w:tc>
          <w:tcPr>
            <w:tcW w:type="dxa" w:w="2600"/>
            <w:shd w:fill="F2F2F2" w:val="clear"/>
            <w:tcMar>
              <w:top w:type="dxa" w:w="60"/>
              <w:left w:type="dxa" w:w="100"/>
              <w:bottom w:type="dxa" w:w="60"/>
              <w:right w:type="dxa" w:w="100"/>
            </w:tcMar>
          </w:tcPr>
          <w:p>
            <w:pPr>
              <w:spacing w:after="0"/>
              <w:jc w:val="left"/>
            </w:pPr>
            <w:r>
              <w:rPr>
                <w:b/>
                <w:bCs/>
                <w:sz w:val="18"/>
                <w:szCs w:val="18"/>
              </w:rPr>
              <w:t xml:space="preserve">Stop loss</w:t>
            </w:r>
          </w:p>
        </w:tc>
        <w:tc>
          <w:tcPr>
            <w:tcW w:type="dxa" w:w="6760"/>
            <w:shd w:fill="F2F2F2" w:val="clear"/>
            <w:tcMar>
              <w:top w:type="dxa" w:w="60"/>
              <w:left w:type="dxa" w:w="100"/>
              <w:bottom w:type="dxa" w:w="60"/>
              <w:right w:type="dxa" w:w="100"/>
            </w:tcMar>
          </w:tcPr>
          <w:p>
            <w:pPr>
              <w:spacing w:after="0"/>
              <w:jc w:val="left"/>
            </w:pPr>
            <w:r>
              <w:rPr>
                <w:sz w:val="18"/>
                <w:szCs w:val="18"/>
              </w:rPr>
              <w:t xml:space="preserve">7,355 index points (7,355 points) — 60 points below entry. Anchor: just below the daily S1.5 / weekly S1 confluence shelf (≈ 7,351–7,364).</w:t>
            </w:r>
          </w:p>
        </w:tc>
      </w:tr>
      <w:tr>
        <w:trPr>
          <w:tblHeader w:val="false"/>
        </w:trPr>
        <w:tc>
          <w:tcPr>
            <w:tcW w:type="dxa" w:w="2600"/>
            <w:tcMar>
              <w:top w:type="dxa" w:w="60"/>
              <w:left w:type="dxa" w:w="100"/>
              <w:bottom w:type="dxa" w:w="60"/>
              <w:right w:type="dxa" w:w="100"/>
            </w:tcMar>
          </w:tcPr>
          <w:p>
            <w:pPr>
              <w:spacing w:after="0"/>
              <w:jc w:val="left"/>
            </w:pPr>
            <w:r>
              <w:rPr>
                <w:b/>
                <w:bCs/>
                <w:sz w:val="18"/>
                <w:szCs w:val="18"/>
              </w:rPr>
              <w:t xml:space="preserve">Risk (R)</w:t>
            </w:r>
          </w:p>
        </w:tc>
        <w:tc>
          <w:tcPr>
            <w:tcW w:type="dxa" w:w="6760"/>
            <w:tcMar>
              <w:top w:type="dxa" w:w="60"/>
              <w:left w:type="dxa" w:w="100"/>
              <w:bottom w:type="dxa" w:w="60"/>
              <w:right w:type="dxa" w:w="100"/>
            </w:tcMar>
          </w:tcPr>
          <w:p>
            <w:pPr>
              <w:spacing w:after="0"/>
              <w:jc w:val="left"/>
            </w:pPr>
            <w:r>
              <w:rPr>
                <w:sz w:val="18"/>
                <w:szCs w:val="18"/>
              </w:rPr>
              <w:t xml:space="preserve">60 index points (60 points).</w:t>
            </w:r>
          </w:p>
        </w:tc>
      </w:tr>
      <w:tr>
        <w:trPr>
          <w:tblHeader w:val="false"/>
        </w:trPr>
        <w:tc>
          <w:tcPr>
            <w:tcW w:type="dxa" w:w="2600"/>
            <w:shd w:fill="F2F2F2" w:val="clear"/>
            <w:tcMar>
              <w:top w:type="dxa" w:w="60"/>
              <w:left w:type="dxa" w:w="100"/>
              <w:bottom w:type="dxa" w:w="60"/>
              <w:right w:type="dxa" w:w="100"/>
            </w:tcMar>
          </w:tcPr>
          <w:p>
            <w:pPr>
              <w:spacing w:after="0"/>
              <w:jc w:val="left"/>
            </w:pPr>
            <w:r>
              <w:rPr>
                <w:b/>
                <w:bCs/>
                <w:sz w:val="18"/>
                <w:szCs w:val="18"/>
              </w:rPr>
              <w:t xml:space="preserve">TP1 (Unit 1)</w:t>
            </w:r>
          </w:p>
        </w:tc>
        <w:tc>
          <w:tcPr>
            <w:tcW w:type="dxa" w:w="6760"/>
            <w:shd w:fill="F2F2F2" w:val="clear"/>
            <w:tcMar>
              <w:top w:type="dxa" w:w="60"/>
              <w:left w:type="dxa" w:w="100"/>
              <w:bottom w:type="dxa" w:w="60"/>
              <w:right w:type="dxa" w:w="100"/>
            </w:tcMar>
          </w:tcPr>
          <w:p>
            <w:pPr>
              <w:spacing w:after="0"/>
              <w:jc w:val="left"/>
            </w:pPr>
            <w:r>
              <w:rPr>
                <w:sz w:val="18"/>
                <w:szCs w:val="18"/>
              </w:rPr>
              <w:t xml:space="preserve">7,437 index points (+1R, +60 points) — daily R1.</w:t>
            </w:r>
          </w:p>
        </w:tc>
      </w:tr>
      <w:tr>
        <w:trPr>
          <w:tblHeader w:val="false"/>
        </w:trPr>
        <w:tc>
          <w:tcPr>
            <w:tcW w:type="dxa" w:w="2600"/>
            <w:tcMar>
              <w:top w:type="dxa" w:w="60"/>
              <w:left w:type="dxa" w:w="100"/>
              <w:bottom w:type="dxa" w:w="60"/>
              <w:right w:type="dxa" w:w="100"/>
            </w:tcMar>
          </w:tcPr>
          <w:p>
            <w:pPr>
              <w:spacing w:after="0"/>
              <w:jc w:val="left"/>
            </w:pPr>
            <w:r>
              <w:rPr>
                <w:b/>
                <w:bCs/>
                <w:sz w:val="18"/>
                <w:szCs w:val="18"/>
              </w:rPr>
              <w:t xml:space="preserve">TP2 (Unit 2)</w:t>
            </w:r>
          </w:p>
        </w:tc>
        <w:tc>
          <w:tcPr>
            <w:tcW w:type="dxa" w:w="6760"/>
            <w:tcMar>
              <w:top w:type="dxa" w:w="60"/>
              <w:left w:type="dxa" w:w="100"/>
              <w:bottom w:type="dxa" w:w="60"/>
              <w:right w:type="dxa" w:w="100"/>
            </w:tcMar>
          </w:tcPr>
          <w:p>
            <w:pPr>
              <w:spacing w:after="0"/>
              <w:jc w:val="left"/>
            </w:pPr>
            <w:r>
              <w:rPr>
                <w:sz w:val="18"/>
                <w:szCs w:val="18"/>
              </w:rPr>
              <w:t xml:space="preserve">7,475 index points (+2R, +120 points) — weekly R1 region. On fill, Unit 3 stop moves to entry +0.2R (7,427).</w:t>
            </w:r>
          </w:p>
        </w:tc>
      </w:tr>
      <w:tr>
        <w:trPr>
          <w:tblHeader w:val="false"/>
        </w:trPr>
        <w:tc>
          <w:tcPr>
            <w:tcW w:type="dxa" w:w="2600"/>
            <w:shd w:fill="F2F2F2" w:val="clear"/>
            <w:tcMar>
              <w:top w:type="dxa" w:w="60"/>
              <w:left w:type="dxa" w:w="100"/>
              <w:bottom w:type="dxa" w:w="60"/>
              <w:right w:type="dxa" w:w="100"/>
            </w:tcMar>
          </w:tcPr>
          <w:p>
            <w:pPr>
              <w:spacing w:after="0"/>
              <w:jc w:val="left"/>
            </w:pPr>
            <w:r>
              <w:rPr>
                <w:b/>
                <w:bCs/>
                <w:sz w:val="18"/>
                <w:szCs w:val="18"/>
              </w:rPr>
              <w:t xml:space="preserve">TP3 (Unit 3, runner)</w:t>
            </w:r>
          </w:p>
        </w:tc>
        <w:tc>
          <w:tcPr>
            <w:tcW w:type="dxa" w:w="6760"/>
            <w:shd w:fill="F2F2F2" w:val="clear"/>
            <w:tcMar>
              <w:top w:type="dxa" w:w="60"/>
              <w:left w:type="dxa" w:w="100"/>
              <w:bottom w:type="dxa" w:w="60"/>
              <w:right w:type="dxa" w:w="100"/>
            </w:tcMar>
          </w:tcPr>
          <w:p>
            <w:pPr>
              <w:spacing w:after="0"/>
              <w:jc w:val="left"/>
            </w:pPr>
            <w:r>
              <w:rPr>
                <w:sz w:val="18"/>
                <w:szCs w:val="18"/>
              </w:rPr>
              <w:t xml:space="preserve">Runner toward the weekly pivot extension / 7,501 region; trails the prior-day low.</w:t>
            </w:r>
          </w:p>
        </w:tc>
      </w:tr>
      <w:tr>
        <w:trPr>
          <w:tblHeader w:val="false"/>
        </w:trPr>
        <w:tc>
          <w:tcPr>
            <w:tcW w:type="dxa" w:w="2600"/>
            <w:tcMar>
              <w:top w:type="dxa" w:w="60"/>
              <w:left w:type="dxa" w:w="100"/>
              <w:bottom w:type="dxa" w:w="60"/>
              <w:right w:type="dxa" w:w="100"/>
            </w:tcMar>
          </w:tcPr>
          <w:p>
            <w:pPr>
              <w:spacing w:after="0"/>
              <w:jc w:val="left"/>
            </w:pPr>
            <w:r>
              <w:rPr>
                <w:b/>
                <w:bCs/>
                <w:sz w:val="18"/>
                <w:szCs w:val="18"/>
              </w:rPr>
              <w:t xml:space="preserve">Tranche management</w:t>
            </w:r>
          </w:p>
        </w:tc>
        <w:tc>
          <w:tcPr>
            <w:tcW w:type="dxa" w:w="6760"/>
            <w:tcMar>
              <w:top w:type="dxa" w:w="60"/>
              <w:left w:type="dxa" w:w="100"/>
              <w:bottom w:type="dxa" w:w="60"/>
              <w:right w:type="dxa" w:w="100"/>
            </w:tcMar>
          </w:tcPr>
          <w:p>
            <w:pPr>
              <w:spacing w:after="0"/>
              <w:jc w:val="left"/>
            </w:pPr>
            <w:r>
              <w:rPr>
                <w:sz w:val="18"/>
                <w:szCs w:val="18"/>
              </w:rPr>
              <w:t xml:space="preserve">Three equal units; Unit 1 exits at TP1, Unit 2 at TP2; on Unit 2 fill Unit 3 stop moves to entry +0.2R.</w:t>
            </w:r>
          </w:p>
        </w:tc>
      </w:tr>
      <w:tr>
        <w:trPr>
          <w:tblHeader w:val="false"/>
        </w:trPr>
        <w:tc>
          <w:tcPr>
            <w:tcW w:type="dxa" w:w="2600"/>
            <w:shd w:fill="F2F2F2" w:val="clear"/>
            <w:tcMar>
              <w:top w:type="dxa" w:w="60"/>
              <w:left w:type="dxa" w:w="100"/>
              <w:bottom w:type="dxa" w:w="60"/>
              <w:right w:type="dxa" w:w="100"/>
            </w:tcMar>
          </w:tcPr>
          <w:p>
            <w:pPr>
              <w:spacing w:after="0"/>
              <w:jc w:val="left"/>
            </w:pPr>
            <w:r>
              <w:rPr>
                <w:b/>
                <w:bCs/>
                <w:sz w:val="18"/>
                <w:szCs w:val="18"/>
              </w:rPr>
              <w:t xml:space="preserve">Confluences</w:t>
            </w:r>
          </w:p>
        </w:tc>
        <w:tc>
          <w:tcPr>
            <w:tcW w:type="dxa" w:w="6760"/>
            <w:shd w:fill="F2F2F2" w:val="clear"/>
            <w:tcMar>
              <w:top w:type="dxa" w:w="60"/>
              <w:left w:type="dxa" w:w="100"/>
              <w:bottom w:type="dxa" w:w="60"/>
              <w:right w:type="dxa" w:w="100"/>
            </w:tcMar>
          </w:tcPr>
          <w:p>
            <w:pPr>
              <w:spacing w:after="0"/>
              <w:jc w:val="left"/>
            </w:pPr>
            <w:r>
              <w:rPr>
                <w:sz w:val="18"/>
                <w:szCs w:val="18"/>
              </w:rPr>
              <w:t xml:space="preserve">Entry sits just above the daily pivot; TP1 at daily R1 coincides with weekly P (7,434) and monthly R1 (7,440) — three levels within ~6 points: strong confluence.</w:t>
            </w:r>
          </w:p>
        </w:tc>
      </w:tr>
      <w:tr>
        <w:trPr>
          <w:tblHeader w:val="false"/>
        </w:trPr>
        <w:tc>
          <w:tcPr>
            <w:tcW w:type="dxa" w:w="2600"/>
            <w:tcMar>
              <w:top w:type="dxa" w:w="60"/>
              <w:left w:type="dxa" w:w="100"/>
              <w:bottom w:type="dxa" w:w="60"/>
              <w:right w:type="dxa" w:w="100"/>
            </w:tcMar>
          </w:tcPr>
          <w:p>
            <w:pPr>
              <w:spacing w:after="0"/>
              <w:jc w:val="left"/>
            </w:pPr>
            <w:r>
              <w:rPr>
                <w:b/>
                <w:bCs/>
                <w:sz w:val="18"/>
                <w:szCs w:val="18"/>
              </w:rPr>
              <w:t xml:space="preserve">Thesis invalidation</w:t>
            </w:r>
          </w:p>
        </w:tc>
        <w:tc>
          <w:tcPr>
            <w:tcW w:type="dxa" w:w="6760"/>
            <w:tcMar>
              <w:top w:type="dxa" w:w="60"/>
              <w:left w:type="dxa" w:w="100"/>
              <w:bottom w:type="dxa" w:w="60"/>
              <w:right w:type="dxa" w:w="100"/>
            </w:tcMar>
          </w:tcPr>
          <w:p>
            <w:pPr>
              <w:spacing w:after="0"/>
              <w:jc w:val="left"/>
            </w:pPr>
            <w:r>
              <w:rPr>
                <w:sz w:val="18"/>
                <w:szCs w:val="18"/>
              </w:rPr>
              <w:t xml:space="preserve">A daily close back below the daily pivot 7,412 breaks the breakout-side narrative (distinct from the 7,355 stop).</w:t>
            </w:r>
          </w:p>
        </w:tc>
      </w:tr>
      <w:tr>
        <w:trPr>
          <w:tblHeader w:val="false"/>
        </w:trPr>
        <w:tc>
          <w:tcPr>
            <w:tcW w:type="dxa" w:w="2600"/>
            <w:shd w:fill="F2F2F2" w:val="clear"/>
            <w:tcMar>
              <w:top w:type="dxa" w:w="60"/>
              <w:left w:type="dxa" w:w="100"/>
              <w:bottom w:type="dxa" w:w="60"/>
              <w:right w:type="dxa" w:w="100"/>
            </w:tcMar>
          </w:tcPr>
          <w:p>
            <w:pPr>
              <w:spacing w:after="0"/>
              <w:jc w:val="left"/>
            </w:pPr>
            <w:r>
              <w:rPr>
                <w:b/>
                <w:bCs/>
                <w:sz w:val="18"/>
                <w:szCs w:val="18"/>
              </w:rPr>
              <w:t xml:space="preserve">Caveats</w:t>
            </w:r>
          </w:p>
        </w:tc>
        <w:tc>
          <w:tcPr>
            <w:tcW w:type="dxa" w:w="6760"/>
            <w:shd w:fill="F2F2F2" w:val="clear"/>
            <w:tcMar>
              <w:top w:type="dxa" w:w="60"/>
              <w:left w:type="dxa" w:w="100"/>
              <w:bottom w:type="dxa" w:w="60"/>
              <w:right w:type="dxa" w:w="100"/>
            </w:tcMar>
          </w:tcPr>
          <w:p>
            <w:pPr>
              <w:spacing w:after="0"/>
              <w:jc w:val="left"/>
            </w:pPr>
            <w:r>
              <w:rPr>
                <w:sz w:val="18"/>
                <w:szCs w:val="18"/>
              </w:rPr>
              <w:t xml:space="preserve">Single-source-indicative daily pivots (see §19); holding period spans the §13d core PCE release — event-collision flag.</w:t>
            </w:r>
          </w:p>
        </w:tc>
      </w:tr>
    </w:tbl>
    <w:p>
      <w:pPr>
        <w:spacing w:after="60"/>
      </w:pPr>
      <w:r>
        <w:t xml:space="preserve"/>
      </w:r>
    </w:p>
    <w:p>
      <w:pPr>
        <w:shd w:fill="8E44AD" w:val="clear"/>
        <w:spacing w:after="60" w:before="120"/>
      </w:pPr>
      <w:r>
        <w:rPr>
          <w:b/>
          <w:bCs/>
          <w:color w:val="FFFFFF"/>
          <w:sz w:val="22"/>
          <w:szCs w:val="22"/>
        </w:rPr>
        <w:t xml:space="preserve">Trade 3 — Momentum-Breakout (3C, TRANSITION regime)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760"/>
      </w:tblGrid>
      <w:tr>
        <w:trPr>
          <w:tblHeader/>
        </w:trPr>
        <w:tc>
          <w:tcPr>
            <w:tcW w:type="dxa" w:w="2600"/>
            <w:shd w:fill="1F3A5F" w:val="clear"/>
            <w:tcMar>
              <w:top w:type="dxa" w:w="60"/>
              <w:left w:type="dxa" w:w="100"/>
              <w:bottom w:type="dxa" w:w="60"/>
              <w:right w:type="dxa" w:w="100"/>
            </w:tcMar>
          </w:tcPr>
          <w:p>
            <w:pPr>
              <w:spacing w:after="0"/>
              <w:jc w:val="left"/>
            </w:pPr>
            <w:r>
              <w:rPr>
                <w:b/>
                <w:bCs/>
                <w:color w:val="FFFFFF"/>
                <w:sz w:val="18"/>
                <w:szCs w:val="18"/>
              </w:rPr>
              <w:t xml:space="preserve">Field</w:t>
            </w:r>
          </w:p>
        </w:tc>
        <w:tc>
          <w:tcPr>
            <w:tcW w:type="dxa" w:w="6760"/>
            <w:shd w:fill="1F3A5F" w:val="clear"/>
            <w:tcMar>
              <w:top w:type="dxa" w:w="60"/>
              <w:left w:type="dxa" w:w="100"/>
              <w:bottom w:type="dxa" w:w="60"/>
              <w:right w:type="dxa" w:w="100"/>
            </w:tcMar>
          </w:tcPr>
          <w:p>
            <w:pPr>
              <w:spacing w:after="0"/>
              <w:jc w:val="left"/>
            </w:pPr>
            <w:r>
              <w:rPr>
                <w:b/>
                <w:bCs/>
                <w:color w:val="FFFFFF"/>
                <w:sz w:val="18"/>
                <w:szCs w:val="18"/>
              </w:rPr>
              <w:t xml:space="preserve">Detail</w:t>
            </w:r>
          </w:p>
        </w:tc>
      </w:tr>
      <w:tr>
        <w:trPr>
          <w:tblHeader w:val="false"/>
        </w:trPr>
        <w:tc>
          <w:tcPr>
            <w:tcW w:type="dxa" w:w="2600"/>
            <w:tcMar>
              <w:top w:type="dxa" w:w="60"/>
              <w:left w:type="dxa" w:w="100"/>
              <w:bottom w:type="dxa" w:w="60"/>
              <w:right w:type="dxa" w:w="100"/>
            </w:tcMar>
          </w:tcPr>
          <w:p>
            <w:pPr>
              <w:spacing w:after="0"/>
              <w:jc w:val="left"/>
            </w:pPr>
            <w:r>
              <w:rPr>
                <w:b/>
                <w:bCs/>
                <w:sz w:val="18"/>
                <w:szCs w:val="18"/>
              </w:rPr>
              <w:t xml:space="preserve">Trade type</w:t>
            </w:r>
          </w:p>
        </w:tc>
        <w:tc>
          <w:tcPr>
            <w:tcW w:type="dxa" w:w="6760"/>
            <w:tcMar>
              <w:top w:type="dxa" w:w="60"/>
              <w:left w:type="dxa" w:w="100"/>
              <w:bottom w:type="dxa" w:w="60"/>
              <w:right w:type="dxa" w:w="100"/>
            </w:tcMar>
          </w:tcPr>
          <w:p>
            <w:pPr>
              <w:spacing w:after="0"/>
              <w:jc w:val="left"/>
            </w:pPr>
            <w:r>
              <w:rPr>
                <w:sz w:val="18"/>
                <w:szCs w:val="18"/>
              </w:rPr>
              <w:t xml:space="preserve">Trade 3C — Momentum-Breakout. The TRANSITION regime selects the 3C variant; the post-pullback range has been tested on both sides, so the next confirmed break is played for follow-through.</w:t>
            </w:r>
          </w:p>
        </w:tc>
      </w:tr>
      <w:tr>
        <w:trPr>
          <w:tblHeader w:val="false"/>
        </w:trPr>
        <w:tc>
          <w:tcPr>
            <w:tcW w:type="dxa" w:w="2600"/>
            <w:shd w:fill="F2F2F2" w:val="clear"/>
            <w:tcMar>
              <w:top w:type="dxa" w:w="60"/>
              <w:left w:type="dxa" w:w="100"/>
              <w:bottom w:type="dxa" w:w="60"/>
              <w:right w:type="dxa" w:w="100"/>
            </w:tcMar>
          </w:tcPr>
          <w:p>
            <w:pPr>
              <w:spacing w:after="0"/>
              <w:jc w:val="left"/>
            </w:pPr>
            <w:r>
              <w:rPr>
                <w:b/>
                <w:bCs/>
                <w:sz w:val="18"/>
                <w:szCs w:val="18"/>
              </w:rPr>
              <w:t xml:space="preserve">Range definition</w:t>
            </w:r>
          </w:p>
        </w:tc>
        <w:tc>
          <w:tcPr>
            <w:tcW w:type="dxa" w:w="6760"/>
            <w:shd w:fill="F2F2F2" w:val="clear"/>
            <w:tcMar>
              <w:top w:type="dxa" w:w="60"/>
              <w:left w:type="dxa" w:w="100"/>
              <w:bottom w:type="dxa" w:w="60"/>
              <w:right w:type="dxa" w:w="100"/>
            </w:tcMar>
          </w:tcPr>
          <w:p>
            <w:pPr>
              <w:spacing w:after="0"/>
              <w:jc w:val="left"/>
            </w:pPr>
            <w:r>
              <w:rPr>
                <w:sz w:val="18"/>
                <w:szCs w:val="18"/>
              </w:rPr>
              <w:t xml:space="preserve">25-session range: swing high 7,517 (14 May intraday record) / swing low ≈ 6,977. Width ≈ 540 points.</w:t>
            </w:r>
          </w:p>
        </w:tc>
      </w:tr>
      <w:tr>
        <w:trPr>
          <w:tblHeader w:val="false"/>
        </w:trPr>
        <w:tc>
          <w:tcPr>
            <w:tcW w:type="dxa" w:w="2600"/>
            <w:tcMar>
              <w:top w:type="dxa" w:w="60"/>
              <w:left w:type="dxa" w:w="100"/>
              <w:bottom w:type="dxa" w:w="60"/>
              <w:right w:type="dxa" w:w="100"/>
            </w:tcMar>
          </w:tcPr>
          <w:p>
            <w:pPr>
              <w:spacing w:after="0"/>
              <w:jc w:val="left"/>
            </w:pPr>
            <w:r>
              <w:rPr>
                <w:b/>
                <w:bCs/>
                <w:sz w:val="18"/>
                <w:szCs w:val="18"/>
              </w:rPr>
              <w:t xml:space="preserve">Direction trigger</w:t>
            </w:r>
          </w:p>
        </w:tc>
        <w:tc>
          <w:tcPr>
            <w:tcW w:type="dxa" w:w="6760"/>
            <w:tcMar>
              <w:top w:type="dxa" w:w="60"/>
              <w:left w:type="dxa" w:w="100"/>
              <w:bottom w:type="dxa" w:w="60"/>
              <w:right w:type="dxa" w:w="100"/>
            </w:tcMar>
          </w:tcPr>
          <w:p>
            <w:pPr>
              <w:spacing w:after="0"/>
              <w:jc w:val="left"/>
            </w:pPr>
            <w:r>
              <w:rPr>
                <w:sz w:val="18"/>
                <w:szCs w:val="18"/>
              </w:rPr>
              <w:t xml:space="preserve">Upside. Recent retests failed at the upper boundary near the record; volatility is expanding (positive VOLator slope) — the upside is the higher-probability break side.</w:t>
            </w:r>
          </w:p>
        </w:tc>
      </w:tr>
      <w:tr>
        <w:trPr>
          <w:tblHeader w:val="false"/>
        </w:trPr>
        <w:tc>
          <w:tcPr>
            <w:tcW w:type="dxa" w:w="2600"/>
            <w:shd w:fill="F2F2F2" w:val="clear"/>
            <w:tcMar>
              <w:top w:type="dxa" w:w="60"/>
              <w:left w:type="dxa" w:w="100"/>
              <w:bottom w:type="dxa" w:w="60"/>
              <w:right w:type="dxa" w:w="100"/>
            </w:tcMar>
          </w:tcPr>
          <w:p>
            <w:pPr>
              <w:spacing w:after="0"/>
              <w:jc w:val="left"/>
            </w:pPr>
            <w:r>
              <w:rPr>
                <w:b/>
                <w:bCs/>
                <w:sz w:val="18"/>
                <w:szCs w:val="18"/>
              </w:rPr>
              <w:t xml:space="preserve">Confirmed break</w:t>
            </w:r>
          </w:p>
        </w:tc>
        <w:tc>
          <w:tcPr>
            <w:tcW w:type="dxa" w:w="6760"/>
            <w:shd w:fill="F2F2F2" w:val="clear"/>
            <w:tcMar>
              <w:top w:type="dxa" w:w="60"/>
              <w:left w:type="dxa" w:w="100"/>
              <w:bottom w:type="dxa" w:w="60"/>
              <w:right w:type="dxa" w:w="100"/>
            </w:tcMar>
          </w:tcPr>
          <w:p>
            <w:pPr>
              <w:spacing w:after="0"/>
              <w:jc w:val="left"/>
            </w:pPr>
            <w:r>
              <w:rPr>
                <w:sz w:val="18"/>
                <w:szCs w:val="18"/>
              </w:rPr>
              <w:t xml:space="preserve">A daily close beyond 7,517 by at least 0.25×ATR (≈ 22 points) — i.e. a daily close above ≈ 7,539. Until that close prints, the trade is NOT eligible.</w:t>
            </w:r>
          </w:p>
        </w:tc>
      </w:tr>
      <w:tr>
        <w:trPr>
          <w:tblHeader w:val="false"/>
        </w:trPr>
        <w:tc>
          <w:tcPr>
            <w:tcW w:type="dxa" w:w="2600"/>
            <w:tcMar>
              <w:top w:type="dxa" w:w="60"/>
              <w:left w:type="dxa" w:w="100"/>
              <w:bottom w:type="dxa" w:w="60"/>
              <w:right w:type="dxa" w:w="100"/>
            </w:tcMar>
          </w:tcPr>
          <w:p>
            <w:pPr>
              <w:spacing w:after="0"/>
              <w:jc w:val="left"/>
            </w:pPr>
            <w:r>
              <w:rPr>
                <w:b/>
                <w:bCs/>
                <w:sz w:val="18"/>
                <w:szCs w:val="18"/>
              </w:rPr>
              <w:t xml:space="preserve">Entry</w:t>
            </w:r>
          </w:p>
        </w:tc>
        <w:tc>
          <w:tcPr>
            <w:tcW w:type="dxa" w:w="6760"/>
            <w:tcMar>
              <w:top w:type="dxa" w:w="60"/>
              <w:left w:type="dxa" w:w="100"/>
              <w:bottom w:type="dxa" w:w="60"/>
              <w:right w:type="dxa" w:w="100"/>
            </w:tcMar>
          </w:tcPr>
          <w:p>
            <w:pPr>
              <w:spacing w:after="0"/>
              <w:jc w:val="left"/>
            </w:pPr>
            <w:r>
              <w:rPr>
                <w:sz w:val="18"/>
                <w:szCs w:val="18"/>
              </w:rPr>
              <w:t xml:space="preserve">On the confirming daily close above ≈ 7,539, enter at that close (or the following session open).</w:t>
            </w:r>
          </w:p>
        </w:tc>
      </w:tr>
      <w:tr>
        <w:trPr>
          <w:tblHeader w:val="false"/>
        </w:trPr>
        <w:tc>
          <w:tcPr>
            <w:tcW w:type="dxa" w:w="2600"/>
            <w:shd w:fill="F2F2F2" w:val="clear"/>
            <w:tcMar>
              <w:top w:type="dxa" w:w="60"/>
              <w:left w:type="dxa" w:w="100"/>
              <w:bottom w:type="dxa" w:w="60"/>
              <w:right w:type="dxa" w:w="100"/>
            </w:tcMar>
          </w:tcPr>
          <w:p>
            <w:pPr>
              <w:spacing w:after="0"/>
              <w:jc w:val="left"/>
            </w:pPr>
            <w:r>
              <w:rPr>
                <w:b/>
                <w:bCs/>
                <w:sz w:val="18"/>
                <w:szCs w:val="18"/>
              </w:rPr>
              <w:t xml:space="preserve">Stop loss</w:t>
            </w:r>
          </w:p>
        </w:tc>
        <w:tc>
          <w:tcPr>
            <w:tcW w:type="dxa" w:w="6760"/>
            <w:shd w:fill="F2F2F2" w:val="clear"/>
            <w:tcMar>
              <w:top w:type="dxa" w:w="60"/>
              <w:left w:type="dxa" w:w="100"/>
              <w:bottom w:type="dxa" w:w="60"/>
              <w:right w:type="dxa" w:w="100"/>
            </w:tcMar>
          </w:tcPr>
          <w:p>
            <w:pPr>
              <w:spacing w:after="0"/>
              <w:jc w:val="left"/>
            </w:pPr>
            <w:r>
              <w:rPr>
                <w:sz w:val="18"/>
                <w:szCs w:val="18"/>
              </w:rPr>
              <w:t xml:space="preserve">≈ 7,193 index points (7,193 points) — range_low + 0.40×width, a generous post-fakeout structural stop just below the range midpoint.</w:t>
            </w:r>
          </w:p>
        </w:tc>
      </w:tr>
      <w:tr>
        <w:trPr>
          <w:tblHeader w:val="false"/>
        </w:trPr>
        <w:tc>
          <w:tcPr>
            <w:tcW w:type="dxa" w:w="2600"/>
            <w:tcMar>
              <w:top w:type="dxa" w:w="60"/>
              <w:left w:type="dxa" w:w="100"/>
              <w:bottom w:type="dxa" w:w="60"/>
              <w:right w:type="dxa" w:w="100"/>
            </w:tcMar>
          </w:tcPr>
          <w:p>
            <w:pPr>
              <w:spacing w:after="0"/>
              <w:jc w:val="left"/>
            </w:pPr>
            <w:r>
              <w:rPr>
                <w:b/>
                <w:bCs/>
                <w:sz w:val="18"/>
                <w:szCs w:val="18"/>
              </w:rPr>
              <w:t xml:space="preserve">Risk (R)</w:t>
            </w:r>
          </w:p>
        </w:tc>
        <w:tc>
          <w:tcPr>
            <w:tcW w:type="dxa" w:w="6760"/>
            <w:tcMar>
              <w:top w:type="dxa" w:w="60"/>
              <w:left w:type="dxa" w:w="100"/>
              <w:bottom w:type="dxa" w:w="60"/>
              <w:right w:type="dxa" w:w="100"/>
            </w:tcMar>
          </w:tcPr>
          <w:p>
            <w:pPr>
              <w:spacing w:after="0"/>
              <w:jc w:val="left"/>
            </w:pPr>
            <w:r>
              <w:rPr>
                <w:sz w:val="18"/>
                <w:szCs w:val="18"/>
              </w:rPr>
              <w:t xml:space="preserve">≈ 346 index points at the confirmed-break entry — a wide, post-fakeout structural risk; size reduced accordingly.</w:t>
            </w:r>
          </w:p>
        </w:tc>
      </w:tr>
      <w:tr>
        <w:trPr>
          <w:tblHeader w:val="false"/>
        </w:trPr>
        <w:tc>
          <w:tcPr>
            <w:tcW w:type="dxa" w:w="2600"/>
            <w:shd w:fill="F2F2F2" w:val="clear"/>
            <w:tcMar>
              <w:top w:type="dxa" w:w="60"/>
              <w:left w:type="dxa" w:w="100"/>
              <w:bottom w:type="dxa" w:w="60"/>
              <w:right w:type="dxa" w:w="100"/>
            </w:tcMar>
          </w:tcPr>
          <w:p>
            <w:pPr>
              <w:spacing w:after="0"/>
              <w:jc w:val="left"/>
            </w:pPr>
            <w:r>
              <w:rPr>
                <w:b/>
                <w:bCs/>
                <w:sz w:val="18"/>
                <w:szCs w:val="18"/>
              </w:rPr>
              <w:t xml:space="preserve">TP1 (Unit 1)</w:t>
            </w:r>
          </w:p>
        </w:tc>
        <w:tc>
          <w:tcPr>
            <w:tcW w:type="dxa" w:w="6760"/>
            <w:shd w:fill="F2F2F2" w:val="clear"/>
            <w:tcMar>
              <w:top w:type="dxa" w:w="60"/>
              <w:left w:type="dxa" w:w="100"/>
              <w:bottom w:type="dxa" w:w="60"/>
              <w:right w:type="dxa" w:w="100"/>
            </w:tcMar>
          </w:tcPr>
          <w:p>
            <w:pPr>
              <w:spacing w:after="0"/>
              <w:jc w:val="left"/>
            </w:pPr>
            <w:r>
              <w:rPr>
                <w:sz w:val="18"/>
                <w:szCs w:val="18"/>
              </w:rPr>
              <w:t xml:space="preserve">Measured move: 7,517 + 1.0×width ≈ 8,057 index points.</w:t>
            </w:r>
          </w:p>
        </w:tc>
      </w:tr>
      <w:tr>
        <w:trPr>
          <w:tblHeader w:val="false"/>
        </w:trPr>
        <w:tc>
          <w:tcPr>
            <w:tcW w:type="dxa" w:w="2600"/>
            <w:tcMar>
              <w:top w:type="dxa" w:w="60"/>
              <w:left w:type="dxa" w:w="100"/>
              <w:bottom w:type="dxa" w:w="60"/>
              <w:right w:type="dxa" w:w="100"/>
            </w:tcMar>
          </w:tcPr>
          <w:p>
            <w:pPr>
              <w:spacing w:after="0"/>
              <w:jc w:val="left"/>
            </w:pPr>
            <w:r>
              <w:rPr>
                <w:b/>
                <w:bCs/>
                <w:sz w:val="18"/>
                <w:szCs w:val="18"/>
              </w:rPr>
              <w:t xml:space="preserve">TP2 (Unit 2)</w:t>
            </w:r>
          </w:p>
        </w:tc>
        <w:tc>
          <w:tcPr>
            <w:tcW w:type="dxa" w:w="6760"/>
            <w:tcMar>
              <w:top w:type="dxa" w:w="60"/>
              <w:left w:type="dxa" w:w="100"/>
              <w:bottom w:type="dxa" w:w="60"/>
              <w:right w:type="dxa" w:w="100"/>
            </w:tcMar>
          </w:tcPr>
          <w:p>
            <w:pPr>
              <w:spacing w:after="0"/>
              <w:jc w:val="left"/>
            </w:pPr>
            <w:r>
              <w:rPr>
                <w:sz w:val="18"/>
                <w:szCs w:val="18"/>
              </w:rPr>
              <w:t xml:space="preserve">1.5×measured move ≈ 8,327 index points. On fill, Unit 3 stop moves to the broken boundary (≈ 7,517).</w:t>
            </w:r>
          </w:p>
        </w:tc>
      </w:tr>
      <w:tr>
        <w:trPr>
          <w:tblHeader w:val="false"/>
        </w:trPr>
        <w:tc>
          <w:tcPr>
            <w:tcW w:type="dxa" w:w="2600"/>
            <w:shd w:fill="F2F2F2" w:val="clear"/>
            <w:tcMar>
              <w:top w:type="dxa" w:w="60"/>
              <w:left w:type="dxa" w:w="100"/>
              <w:bottom w:type="dxa" w:w="60"/>
              <w:right w:type="dxa" w:w="100"/>
            </w:tcMar>
          </w:tcPr>
          <w:p>
            <w:pPr>
              <w:spacing w:after="0"/>
              <w:jc w:val="left"/>
            </w:pPr>
            <w:r>
              <w:rPr>
                <w:b/>
                <w:bCs/>
                <w:sz w:val="18"/>
                <w:szCs w:val="18"/>
              </w:rPr>
              <w:t xml:space="preserve">TP3 (Unit 3, runner)</w:t>
            </w:r>
          </w:p>
        </w:tc>
        <w:tc>
          <w:tcPr>
            <w:tcW w:type="dxa" w:w="6760"/>
            <w:shd w:fill="F2F2F2" w:val="clear"/>
            <w:tcMar>
              <w:top w:type="dxa" w:w="60"/>
              <w:left w:type="dxa" w:w="100"/>
              <w:bottom w:type="dxa" w:w="60"/>
              <w:right w:type="dxa" w:w="100"/>
            </w:tcMar>
          </w:tcPr>
          <w:p>
            <w:pPr>
              <w:spacing w:after="0"/>
              <w:jc w:val="left"/>
            </w:pPr>
            <w:r>
              <w:rPr>
                <w:sz w:val="18"/>
                <w:szCs w:val="18"/>
              </w:rPr>
              <w:t xml:space="preserve">Discretionary trail beyond 1.5×MM, anchored to subsequent swing structure.</w:t>
            </w:r>
          </w:p>
        </w:tc>
      </w:tr>
      <w:tr>
        <w:trPr>
          <w:tblHeader w:val="false"/>
        </w:trPr>
        <w:tc>
          <w:tcPr>
            <w:tcW w:type="dxa" w:w="2600"/>
            <w:tcMar>
              <w:top w:type="dxa" w:w="60"/>
              <w:left w:type="dxa" w:w="100"/>
              <w:bottom w:type="dxa" w:w="60"/>
              <w:right w:type="dxa" w:w="100"/>
            </w:tcMar>
          </w:tcPr>
          <w:p>
            <w:pPr>
              <w:spacing w:after="0"/>
              <w:jc w:val="left"/>
            </w:pPr>
            <w:r>
              <w:rPr>
                <w:b/>
                <w:bCs/>
                <w:sz w:val="18"/>
                <w:szCs w:val="18"/>
              </w:rPr>
              <w:t xml:space="preserve">Tranche management</w:t>
            </w:r>
          </w:p>
        </w:tc>
        <w:tc>
          <w:tcPr>
            <w:tcW w:type="dxa" w:w="6760"/>
            <w:tcMar>
              <w:top w:type="dxa" w:w="60"/>
              <w:left w:type="dxa" w:w="100"/>
              <w:bottom w:type="dxa" w:w="60"/>
              <w:right w:type="dxa" w:w="100"/>
            </w:tcMar>
          </w:tcPr>
          <w:p>
            <w:pPr>
              <w:spacing w:after="0"/>
              <w:jc w:val="left"/>
            </w:pPr>
            <w:r>
              <w:rPr>
                <w:sz w:val="18"/>
                <w:szCs w:val="18"/>
              </w:rPr>
              <w:t xml:space="preserve">Three equal units; structural TPs as above; Unit 3 stop to the broken boundary on TP2 fill.</w:t>
            </w:r>
          </w:p>
        </w:tc>
      </w:tr>
      <w:tr>
        <w:trPr>
          <w:tblHeader w:val="false"/>
        </w:trPr>
        <w:tc>
          <w:tcPr>
            <w:tcW w:type="dxa" w:w="2600"/>
            <w:shd w:fill="F2F2F2" w:val="clear"/>
            <w:tcMar>
              <w:top w:type="dxa" w:w="60"/>
              <w:left w:type="dxa" w:w="100"/>
              <w:bottom w:type="dxa" w:w="60"/>
              <w:right w:type="dxa" w:w="100"/>
            </w:tcMar>
          </w:tcPr>
          <w:p>
            <w:pPr>
              <w:spacing w:after="0"/>
              <w:jc w:val="left"/>
            </w:pPr>
            <w:r>
              <w:rPr>
                <w:b/>
                <w:bCs/>
                <w:sz w:val="18"/>
                <w:szCs w:val="18"/>
              </w:rPr>
              <w:t xml:space="preserve">Confluences</w:t>
            </w:r>
          </w:p>
        </w:tc>
        <w:tc>
          <w:tcPr>
            <w:tcW w:type="dxa" w:w="6760"/>
            <w:shd w:fill="F2F2F2" w:val="clear"/>
            <w:tcMar>
              <w:top w:type="dxa" w:w="60"/>
              <w:left w:type="dxa" w:w="100"/>
              <w:bottom w:type="dxa" w:w="60"/>
              <w:right w:type="dxa" w:w="100"/>
            </w:tcMar>
          </w:tcPr>
          <w:p>
            <w:pPr>
              <w:spacing w:after="0"/>
              <w:jc w:val="left"/>
            </w:pPr>
            <w:r>
              <w:rPr>
                <w:sz w:val="18"/>
                <w:szCs w:val="18"/>
              </w:rPr>
              <w:t xml:space="preserve">Entry trigger sits above the 7,517 record high — a clean structural / round-number break with no overhead pivot resistance inside the range.</w:t>
            </w:r>
          </w:p>
        </w:tc>
      </w:tr>
      <w:tr>
        <w:trPr>
          <w:tblHeader w:val="false"/>
        </w:trPr>
        <w:tc>
          <w:tcPr>
            <w:tcW w:type="dxa" w:w="2600"/>
            <w:tcMar>
              <w:top w:type="dxa" w:w="60"/>
              <w:left w:type="dxa" w:w="100"/>
              <w:bottom w:type="dxa" w:w="60"/>
              <w:right w:type="dxa" w:w="100"/>
            </w:tcMar>
          </w:tcPr>
          <w:p>
            <w:pPr>
              <w:spacing w:after="0"/>
              <w:jc w:val="left"/>
            </w:pPr>
            <w:r>
              <w:rPr>
                <w:b/>
                <w:bCs/>
                <w:sz w:val="18"/>
                <w:szCs w:val="18"/>
              </w:rPr>
              <w:t xml:space="preserve">Thesis invalidation</w:t>
            </w:r>
          </w:p>
        </w:tc>
        <w:tc>
          <w:tcPr>
            <w:tcW w:type="dxa" w:w="6760"/>
            <w:tcMar>
              <w:top w:type="dxa" w:w="60"/>
              <w:left w:type="dxa" w:w="100"/>
              <w:bottom w:type="dxa" w:w="60"/>
              <w:right w:type="dxa" w:w="100"/>
            </w:tcMar>
          </w:tcPr>
          <w:p>
            <w:pPr>
              <w:spacing w:after="0"/>
              <w:jc w:val="left"/>
            </w:pPr>
            <w:r>
              <w:rPr>
                <w:sz w:val="18"/>
                <w:szCs w:val="18"/>
              </w:rPr>
              <w:t xml:space="preserve">A daily close back inside the range past the midpoint (≈ 7,247) breaks the breakout thesis.</w:t>
            </w:r>
          </w:p>
        </w:tc>
      </w:tr>
      <w:tr>
        <w:trPr>
          <w:tblHeader w:val="false"/>
        </w:trPr>
        <w:tc>
          <w:tcPr>
            <w:tcW w:type="dxa" w:w="2600"/>
            <w:shd w:fill="F2F2F2" w:val="clear"/>
            <w:tcMar>
              <w:top w:type="dxa" w:w="60"/>
              <w:left w:type="dxa" w:w="100"/>
              <w:bottom w:type="dxa" w:w="60"/>
              <w:right w:type="dxa" w:w="100"/>
            </w:tcMar>
          </w:tcPr>
          <w:p>
            <w:pPr>
              <w:spacing w:after="0"/>
              <w:jc w:val="left"/>
            </w:pPr>
            <w:r>
              <w:rPr>
                <w:b/>
                <w:bCs/>
                <w:sz w:val="18"/>
                <w:szCs w:val="18"/>
              </w:rPr>
              <w:t xml:space="preserve">Caveats</w:t>
            </w:r>
          </w:p>
        </w:tc>
        <w:tc>
          <w:tcPr>
            <w:tcW w:type="dxa" w:w="6760"/>
            <w:shd w:fill="F2F2F2" w:val="clear"/>
            <w:tcMar>
              <w:top w:type="dxa" w:w="60"/>
              <w:left w:type="dxa" w:w="100"/>
              <w:bottom w:type="dxa" w:w="60"/>
              <w:right w:type="dxa" w:w="100"/>
            </w:tcMar>
          </w:tcPr>
          <w:p>
            <w:pPr>
              <w:spacing w:after="0"/>
              <w:jc w:val="left"/>
            </w:pPr>
            <w:r>
              <w:rPr>
                <w:sz w:val="18"/>
                <w:szCs w:val="18"/>
              </w:rPr>
              <w:t xml:space="preserve">Eligibility is conditional — the confirming close above ≈ 7,539 has NOT yet printed, so the card is armed but not live; wide post-fakeout stop means reduced position size; holding period would span the §13d core PCE release.</w:t>
            </w:r>
          </w:p>
        </w:tc>
      </w:tr>
    </w:tbl>
    <w:p>
      <w:pPr>
        <w:spacing w:after="60"/>
      </w:pPr>
      <w:r>
        <w:t xml:space="preserve"/>
      </w:r>
    </w:p>
    <w:p>
      <w:pPr>
        <w:pStyle w:val="Heading3"/>
      </w:pPr>
      <w:r>
        <w:t xml:space="preserve">21c  Five-Session No-Leakage Backtest</w:t>
      </w:r>
    </w:p>
    <w:p>
      <w:pPr>
        <w:spacing w:after="120"/>
      </w:pPr>
      <w:r>
        <w:t xml:space="preserve">Each prior session is reconstructed as if the strategy logic had run at the previous t−1 close, then resolved on the actual session range. Sentiment is frozen at t−1; ATR, swings, regime and pivots are recomputed per session.</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500"/>
        <w:gridCol w:w="1300"/>
        <w:gridCol w:w="1250"/>
        <w:gridCol w:w="1100"/>
        <w:gridCol w:w="1700"/>
        <w:gridCol w:w="1100"/>
        <w:gridCol w:w="1410"/>
      </w:tblGrid>
      <w:tr>
        <w:trPr>
          <w:tblHeader/>
        </w:trPr>
        <w:tc>
          <w:tcPr>
            <w:tcW w:type="dxa" w:w="1500"/>
            <w:shd w:fill="1F3A5F" w:val="clear"/>
            <w:tcMar>
              <w:top w:type="dxa" w:w="60"/>
              <w:left w:type="dxa" w:w="100"/>
              <w:bottom w:type="dxa" w:w="60"/>
              <w:right w:type="dxa" w:w="100"/>
            </w:tcMar>
          </w:tcPr>
          <w:p>
            <w:pPr>
              <w:spacing w:after="0"/>
              <w:jc w:val="left"/>
            </w:pPr>
            <w:r>
              <w:rPr>
                <w:b/>
                <w:bCs/>
                <w:color w:val="FFFFFF"/>
                <w:sz w:val="18"/>
                <w:szCs w:val="18"/>
              </w:rPr>
              <w:t xml:space="preserve">Date</w:t>
            </w:r>
          </w:p>
        </w:tc>
        <w:tc>
          <w:tcPr>
            <w:tcW w:type="dxa" w:w="1300"/>
            <w:shd w:fill="1F3A5F" w:val="clear"/>
            <w:tcMar>
              <w:top w:type="dxa" w:w="60"/>
              <w:left w:type="dxa" w:w="100"/>
              <w:bottom w:type="dxa" w:w="60"/>
              <w:right w:type="dxa" w:w="100"/>
            </w:tcMar>
          </w:tcPr>
          <w:p>
            <w:pPr>
              <w:spacing w:after="0"/>
              <w:jc w:val="left"/>
            </w:pPr>
            <w:r>
              <w:rPr>
                <w:b/>
                <w:bCs/>
                <w:color w:val="FFFFFF"/>
                <w:sz w:val="18"/>
                <w:szCs w:val="18"/>
              </w:rPr>
              <w:t xml:space="preserve">Strategy</w:t>
            </w:r>
          </w:p>
        </w:tc>
        <w:tc>
          <w:tcPr>
            <w:tcW w:type="dxa" w:w="1250"/>
            <w:shd w:fill="1F3A5F" w:val="clear"/>
            <w:tcMar>
              <w:top w:type="dxa" w:w="60"/>
              <w:left w:type="dxa" w:w="100"/>
              <w:bottom w:type="dxa" w:w="60"/>
              <w:right w:type="dxa" w:w="100"/>
            </w:tcMar>
          </w:tcPr>
          <w:p>
            <w:pPr>
              <w:spacing w:after="0"/>
              <w:jc w:val="left"/>
            </w:pPr>
            <w:r>
              <w:rPr>
                <w:b/>
                <w:bCs/>
                <w:color w:val="FFFFFF"/>
                <w:sz w:val="18"/>
                <w:szCs w:val="18"/>
              </w:rPr>
              <w:t xml:space="preserve">Direction</w:t>
            </w:r>
          </w:p>
        </w:tc>
        <w:tc>
          <w:tcPr>
            <w:tcW w:type="dxa" w:w="1100"/>
            <w:shd w:fill="1F3A5F" w:val="clear"/>
            <w:tcMar>
              <w:top w:type="dxa" w:w="60"/>
              <w:left w:type="dxa" w:w="100"/>
              <w:bottom w:type="dxa" w:w="60"/>
              <w:right w:type="dxa" w:w="100"/>
            </w:tcMar>
          </w:tcPr>
          <w:p>
            <w:pPr>
              <w:spacing w:after="0"/>
              <w:jc w:val="left"/>
            </w:pPr>
            <w:r>
              <w:rPr>
                <w:b/>
                <w:bCs/>
                <w:color w:val="FFFFFF"/>
                <w:sz w:val="18"/>
                <w:szCs w:val="18"/>
              </w:rPr>
              <w:t xml:space="preserve">Triggered</w:t>
            </w:r>
          </w:p>
        </w:tc>
        <w:tc>
          <w:tcPr>
            <w:tcW w:type="dxa" w:w="1700"/>
            <w:shd w:fill="1F3A5F" w:val="clear"/>
            <w:tcMar>
              <w:top w:type="dxa" w:w="60"/>
              <w:left w:type="dxa" w:w="100"/>
              <w:bottom w:type="dxa" w:w="60"/>
              <w:right w:type="dxa" w:w="100"/>
            </w:tcMar>
          </w:tcPr>
          <w:p>
            <w:pPr>
              <w:spacing w:after="0"/>
              <w:jc w:val="left"/>
            </w:pPr>
            <w:r>
              <w:rPr>
                <w:b/>
                <w:bCs/>
                <w:color w:val="FFFFFF"/>
                <w:sz w:val="18"/>
                <w:szCs w:val="18"/>
              </w:rPr>
              <w:t xml:space="preserve">Entry / Exit</w:t>
            </w:r>
          </w:p>
        </w:tc>
        <w:tc>
          <w:tcPr>
            <w:tcW w:type="dxa" w:w="1100"/>
            <w:shd w:fill="1F3A5F" w:val="clear"/>
            <w:tcMar>
              <w:top w:type="dxa" w:w="60"/>
              <w:left w:type="dxa" w:w="100"/>
              <w:bottom w:type="dxa" w:w="60"/>
              <w:right w:type="dxa" w:w="100"/>
            </w:tcMar>
          </w:tcPr>
          <w:p>
            <w:pPr>
              <w:spacing w:after="0"/>
              <w:jc w:val="left"/>
            </w:pPr>
            <w:r>
              <w:rPr>
                <w:b/>
                <w:bCs/>
                <w:color w:val="FFFFFF"/>
                <w:sz w:val="18"/>
                <w:szCs w:val="18"/>
              </w:rPr>
              <w:t xml:space="preserve">Outcome (R)</w:t>
            </w:r>
          </w:p>
        </w:tc>
        <w:tc>
          <w:tcPr>
            <w:tcW w:type="dxa" w:w="1410"/>
            <w:shd w:fill="1F3A5F" w:val="clear"/>
            <w:tcMar>
              <w:top w:type="dxa" w:w="60"/>
              <w:left w:type="dxa" w:w="100"/>
              <w:bottom w:type="dxa" w:w="60"/>
              <w:right w:type="dxa" w:w="100"/>
            </w:tcMar>
          </w:tcPr>
          <w:p>
            <w:pPr>
              <w:spacing w:after="0"/>
              <w:jc w:val="left"/>
            </w:pPr>
            <w:r>
              <w:rPr>
                <w:b/>
                <w:bCs/>
                <w:color w:val="FFFFFF"/>
                <w:sz w:val="18"/>
                <w:szCs w:val="18"/>
              </w:rPr>
              <w:t xml:space="preserve">Days to res.</w:t>
            </w:r>
          </w:p>
        </w:tc>
      </w:tr>
      <w:tr>
        <w:trPr>
          <w:tblHeader w:val="false"/>
        </w:trPr>
        <w:tc>
          <w:tcPr>
            <w:tcW w:type="dxa" w:w="1500"/>
            <w:tcMar>
              <w:top w:type="dxa" w:w="60"/>
              <w:left w:type="dxa" w:w="100"/>
              <w:bottom w:type="dxa" w:w="60"/>
              <w:right w:type="dxa" w:w="100"/>
            </w:tcMar>
          </w:tcPr>
          <w:p>
            <w:pPr>
              <w:spacing w:after="0"/>
              <w:jc w:val="left"/>
            </w:pPr>
            <w:r>
              <w:rPr>
                <w:sz w:val="18"/>
                <w:szCs w:val="18"/>
              </w:rPr>
              <w:t xml:space="preserve">Fri 15 May (t-5)</w:t>
            </w:r>
          </w:p>
        </w:tc>
        <w:tc>
          <w:tcPr>
            <w:tcW w:type="dxa" w:w="1300"/>
            <w:tcMar>
              <w:top w:type="dxa" w:w="60"/>
              <w:left w:type="dxa" w:w="100"/>
              <w:bottom w:type="dxa" w:w="60"/>
              <w:right w:type="dxa" w:w="100"/>
            </w:tcMar>
          </w:tcPr>
          <w:p>
            <w:pPr>
              <w:spacing w:after="0"/>
              <w:jc w:val="left"/>
            </w:pPr>
            <w:r>
              <w:rPr>
                <w:sz w:val="18"/>
                <w:szCs w:val="18"/>
              </w:rPr>
              <w:t xml:space="preserve">Trade 1</w:t>
            </w:r>
          </w:p>
        </w:tc>
        <w:tc>
          <w:tcPr>
            <w:tcW w:type="dxa" w:w="1250"/>
            <w:tcMar>
              <w:top w:type="dxa" w:w="60"/>
              <w:left w:type="dxa" w:w="100"/>
              <w:bottom w:type="dxa" w:w="60"/>
              <w:right w:type="dxa" w:w="100"/>
            </w:tcMar>
          </w:tcPr>
          <w:p>
            <w:pPr>
              <w:spacing w:after="0"/>
              <w:jc w:val="left"/>
            </w:pPr>
            <w:r>
              <w:rPr>
                <w:sz w:val="18"/>
                <w:szCs w:val="18"/>
              </w:rPr>
              <w:t xml:space="preserve">SHORT</w:t>
            </w:r>
          </w:p>
        </w:tc>
        <w:tc>
          <w:tcPr>
            <w:tcW w:type="dxa" w:w="1100"/>
            <w:tcMar>
              <w:top w:type="dxa" w:w="60"/>
              <w:left w:type="dxa" w:w="100"/>
              <w:bottom w:type="dxa" w:w="60"/>
              <w:right w:type="dxa" w:w="100"/>
            </w:tcMar>
          </w:tcPr>
          <w:p>
            <w:pPr>
              <w:spacing w:after="0"/>
              <w:jc w:val="left"/>
            </w:pPr>
            <w:r>
              <w:rPr>
                <w:sz w:val="18"/>
                <w:szCs w:val="18"/>
              </w:rPr>
              <w:t xml:space="preserve">YES</w:t>
            </w:r>
          </w:p>
        </w:tc>
        <w:tc>
          <w:tcPr>
            <w:tcW w:type="dxa" w:w="1700"/>
            <w:tcMar>
              <w:top w:type="dxa" w:w="60"/>
              <w:left w:type="dxa" w:w="100"/>
              <w:bottom w:type="dxa" w:w="60"/>
              <w:right w:type="dxa" w:w="100"/>
            </w:tcMar>
          </w:tcPr>
          <w:p>
            <w:pPr>
              <w:spacing w:after="0"/>
              <w:jc w:val="left"/>
            </w:pPr>
            <w:r>
              <w:rPr>
                <w:sz w:val="18"/>
                <w:szCs w:val="18"/>
              </w:rPr>
              <w:t xml:space="preserve">7,488 / 7,397</w:t>
            </w:r>
          </w:p>
        </w:tc>
        <w:tc>
          <w:tcPr>
            <w:tcW w:type="dxa" w:w="1100"/>
            <w:tcMar>
              <w:top w:type="dxa" w:w="60"/>
              <w:left w:type="dxa" w:w="100"/>
              <w:bottom w:type="dxa" w:w="60"/>
              <w:right w:type="dxa" w:w="100"/>
            </w:tcMar>
          </w:tcPr>
          <w:p>
            <w:pPr>
              <w:spacing w:after="0"/>
              <w:jc w:val="left"/>
            </w:pPr>
            <w:r>
              <w:rPr>
                <w:color w:val="2E8B57"/>
                <w:sz w:val="18"/>
                <w:szCs w:val="18"/>
              </w:rPr>
              <w:t xml:space="preserve">+1.5R</w:t>
            </w:r>
          </w:p>
        </w:tc>
        <w:tc>
          <w:tcPr>
            <w:tcW w:type="dxa" w:w="1410"/>
            <w:tcMar>
              <w:top w:type="dxa" w:w="60"/>
              <w:left w:type="dxa" w:w="100"/>
              <w:bottom w:type="dxa" w:w="60"/>
              <w:right w:type="dxa" w:w="100"/>
            </w:tcMar>
          </w:tcPr>
          <w:p>
            <w:pPr>
              <w:spacing w:after="0"/>
              <w:jc w:val="left"/>
            </w:pPr>
            <w:r>
              <w:rPr>
                <w:sz w:val="18"/>
                <w:szCs w:val="18"/>
              </w:rPr>
              <w:t xml:space="preserve">1</w:t>
            </w:r>
          </w:p>
        </w:tc>
      </w:tr>
      <w:tr>
        <w:trPr>
          <w:tblHeader w:val="false"/>
        </w:trPr>
        <w:tc>
          <w:tcPr>
            <w:tcW w:type="dxa" w:w="1500"/>
            <w:shd w:fill="F2F2F2" w:val="clear"/>
            <w:tcMar>
              <w:top w:type="dxa" w:w="60"/>
              <w:left w:type="dxa" w:w="100"/>
              <w:bottom w:type="dxa" w:w="60"/>
              <w:right w:type="dxa" w:w="100"/>
            </w:tcMar>
          </w:tcPr>
          <w:p>
            <w:pPr>
              <w:spacing w:after="0"/>
              <w:jc w:val="left"/>
            </w:pPr>
            <w:r>
              <w:rPr>
                <w:sz w:val="18"/>
                <w:szCs w:val="18"/>
              </w:rPr>
              <w:t xml:space="preserve">Fri 15 May (t-5)</w:t>
            </w:r>
          </w:p>
        </w:tc>
        <w:tc>
          <w:tcPr>
            <w:tcW w:type="dxa" w:w="1300"/>
            <w:shd w:fill="F2F2F2" w:val="clear"/>
            <w:tcMar>
              <w:top w:type="dxa" w:w="60"/>
              <w:left w:type="dxa" w:w="100"/>
              <w:bottom w:type="dxa" w:w="60"/>
              <w:right w:type="dxa" w:w="100"/>
            </w:tcMar>
          </w:tcPr>
          <w:p>
            <w:pPr>
              <w:spacing w:after="0"/>
              <w:jc w:val="left"/>
            </w:pPr>
            <w:r>
              <w:rPr>
                <w:sz w:val="18"/>
                <w:szCs w:val="18"/>
              </w:rPr>
              <w:t xml:space="preserve">Trade 2</w:t>
            </w:r>
          </w:p>
        </w:tc>
        <w:tc>
          <w:tcPr>
            <w:tcW w:type="dxa" w:w="1250"/>
            <w:shd w:fill="F2F2F2" w:val="clear"/>
            <w:tcMar>
              <w:top w:type="dxa" w:w="60"/>
              <w:left w:type="dxa" w:w="100"/>
              <w:bottom w:type="dxa" w:w="60"/>
              <w:right w:type="dxa" w:w="100"/>
            </w:tcMar>
          </w:tcPr>
          <w:p>
            <w:pPr>
              <w:spacing w:after="0"/>
              <w:jc w:val="left"/>
            </w:pPr>
            <w:r>
              <w:rPr>
                <w:sz w:val="18"/>
                <w:szCs w:val="18"/>
              </w:rPr>
              <w:t xml:space="preserve">SHORT</w:t>
            </w:r>
          </w:p>
        </w:tc>
        <w:tc>
          <w:tcPr>
            <w:tcW w:type="dxa" w:w="1100"/>
            <w:shd w:fill="F2F2F2" w:val="clear"/>
            <w:tcMar>
              <w:top w:type="dxa" w:w="60"/>
              <w:left w:type="dxa" w:w="100"/>
              <w:bottom w:type="dxa" w:w="60"/>
              <w:right w:type="dxa" w:w="100"/>
            </w:tcMar>
          </w:tcPr>
          <w:p>
            <w:pPr>
              <w:spacing w:after="0"/>
              <w:jc w:val="left"/>
            </w:pPr>
            <w:r>
              <w:rPr>
                <w:sz w:val="18"/>
                <w:szCs w:val="18"/>
              </w:rPr>
              <w:t xml:space="preserve">YES</w:t>
            </w:r>
          </w:p>
        </w:tc>
        <w:tc>
          <w:tcPr>
            <w:tcW w:type="dxa" w:w="1700"/>
            <w:shd w:fill="F2F2F2" w:val="clear"/>
            <w:tcMar>
              <w:top w:type="dxa" w:w="60"/>
              <w:left w:type="dxa" w:w="100"/>
              <w:bottom w:type="dxa" w:w="60"/>
              <w:right w:type="dxa" w:w="100"/>
            </w:tcMar>
          </w:tcPr>
          <w:p>
            <w:pPr>
              <w:spacing w:after="0"/>
              <w:jc w:val="left"/>
            </w:pPr>
            <w:r>
              <w:rPr>
                <w:sz w:val="18"/>
                <w:szCs w:val="18"/>
              </w:rPr>
              <w:t xml:space="preserve">Limit fill / S1</w:t>
            </w:r>
          </w:p>
        </w:tc>
        <w:tc>
          <w:tcPr>
            <w:tcW w:type="dxa" w:w="1100"/>
            <w:shd w:fill="F2F2F2" w:val="clear"/>
            <w:tcMar>
              <w:top w:type="dxa" w:w="60"/>
              <w:left w:type="dxa" w:w="100"/>
              <w:bottom w:type="dxa" w:w="60"/>
              <w:right w:type="dxa" w:w="100"/>
            </w:tcMar>
          </w:tcPr>
          <w:p>
            <w:pPr>
              <w:spacing w:after="0"/>
              <w:jc w:val="left"/>
            </w:pPr>
            <w:r>
              <w:rPr>
                <w:color w:val="2E8B57"/>
                <w:sz w:val="18"/>
                <w:szCs w:val="18"/>
              </w:rPr>
              <w:t xml:space="preserve">+1.0R</w:t>
            </w:r>
          </w:p>
        </w:tc>
        <w:tc>
          <w:tcPr>
            <w:tcW w:type="dxa" w:w="1410"/>
            <w:shd w:fill="F2F2F2" w:val="clear"/>
            <w:tcMar>
              <w:top w:type="dxa" w:w="60"/>
              <w:left w:type="dxa" w:w="100"/>
              <w:bottom w:type="dxa" w:w="60"/>
              <w:right w:type="dxa" w:w="100"/>
            </w:tcMar>
          </w:tcPr>
          <w:p>
            <w:pPr>
              <w:spacing w:after="0"/>
              <w:jc w:val="left"/>
            </w:pPr>
            <w:r>
              <w:rPr>
                <w:sz w:val="18"/>
                <w:szCs w:val="18"/>
              </w:rPr>
              <w:t xml:space="preserve">1</w:t>
            </w:r>
          </w:p>
        </w:tc>
      </w:tr>
      <w:tr>
        <w:trPr>
          <w:tblHeader w:val="false"/>
        </w:trPr>
        <w:tc>
          <w:tcPr>
            <w:tcW w:type="dxa" w:w="1500"/>
            <w:tcMar>
              <w:top w:type="dxa" w:w="60"/>
              <w:left w:type="dxa" w:w="100"/>
              <w:bottom w:type="dxa" w:w="60"/>
              <w:right w:type="dxa" w:w="100"/>
            </w:tcMar>
          </w:tcPr>
          <w:p>
            <w:pPr>
              <w:spacing w:after="0"/>
              <w:jc w:val="left"/>
            </w:pPr>
            <w:r>
              <w:rPr>
                <w:sz w:val="18"/>
                <w:szCs w:val="18"/>
              </w:rPr>
              <w:t xml:space="preserve">Fri 15 May (t-5)</w:t>
            </w:r>
          </w:p>
        </w:tc>
        <w:tc>
          <w:tcPr>
            <w:tcW w:type="dxa" w:w="1300"/>
            <w:tcMar>
              <w:top w:type="dxa" w:w="60"/>
              <w:left w:type="dxa" w:w="100"/>
              <w:bottom w:type="dxa" w:w="60"/>
              <w:right w:type="dxa" w:w="100"/>
            </w:tcMar>
          </w:tcPr>
          <w:p>
            <w:pPr>
              <w:spacing w:after="0"/>
              <w:jc w:val="left"/>
            </w:pPr>
            <w:r>
              <w:rPr>
                <w:sz w:val="18"/>
                <w:szCs w:val="18"/>
              </w:rPr>
              <w:t xml:space="preserve">Trade 3C</w:t>
            </w:r>
          </w:p>
        </w:tc>
        <w:tc>
          <w:tcPr>
            <w:tcW w:type="dxa" w:w="1250"/>
            <w:tcMar>
              <w:top w:type="dxa" w:w="60"/>
              <w:left w:type="dxa" w:w="100"/>
              <w:bottom w:type="dxa" w:w="60"/>
              <w:right w:type="dxa" w:w="100"/>
            </w:tcMar>
          </w:tcPr>
          <w:p>
            <w:pPr>
              <w:spacing w:after="0"/>
              <w:jc w:val="left"/>
            </w:pPr>
            <w:r>
              <w:rPr>
                <w:sz w:val="18"/>
                <w:szCs w:val="18"/>
              </w:rPr>
              <w:t xml:space="preserve">SUPPRESSED</w:t>
            </w:r>
          </w:p>
        </w:tc>
        <w:tc>
          <w:tcPr>
            <w:tcW w:type="dxa" w:w="1100"/>
            <w:tcMar>
              <w:top w:type="dxa" w:w="60"/>
              <w:left w:type="dxa" w:w="100"/>
              <w:bottom w:type="dxa" w:w="60"/>
              <w:right w:type="dxa" w:w="100"/>
            </w:tcMar>
          </w:tcPr>
          <w:p>
            <w:pPr>
              <w:spacing w:after="0"/>
              <w:jc w:val="left"/>
            </w:pPr>
            <w:r>
              <w:rPr>
                <w:sz w:val="18"/>
                <w:szCs w:val="18"/>
              </w:rPr>
              <w:t xml:space="preserve">NO</w:t>
            </w:r>
          </w:p>
        </w:tc>
        <w:tc>
          <w:tcPr>
            <w:tcW w:type="dxa" w:w="1700"/>
            <w:tcMar>
              <w:top w:type="dxa" w:w="60"/>
              <w:left w:type="dxa" w:w="100"/>
              <w:bottom w:type="dxa" w:w="60"/>
              <w:right w:type="dxa" w:w="100"/>
            </w:tcMar>
          </w:tcPr>
          <w:p>
            <w:pPr>
              <w:spacing w:after="0"/>
              <w:jc w:val="left"/>
            </w:pPr>
            <w:r>
              <w:rPr>
                <w:sz w:val="18"/>
                <w:szCs w:val="18"/>
              </w:rPr>
              <w:t xml:space="preserve">No confirmed break</w:t>
            </w:r>
          </w:p>
        </w:tc>
        <w:tc>
          <w:tcPr>
            <w:tcW w:type="dxa" w:w="1100"/>
            <w:tcMar>
              <w:top w:type="dxa" w:w="60"/>
              <w:left w:type="dxa" w:w="100"/>
              <w:bottom w:type="dxa" w:w="60"/>
              <w:right w:type="dxa" w:w="100"/>
            </w:tcMar>
          </w:tcPr>
          <w:p>
            <w:pPr>
              <w:spacing w:after="0"/>
              <w:jc w:val="left"/>
            </w:pPr>
            <w:r>
              <w:rPr>
                <w:sz w:val="18"/>
                <w:szCs w:val="18"/>
              </w:rPr>
              <w:t xml:space="preserve">—</w:t>
            </w:r>
          </w:p>
        </w:tc>
        <w:tc>
          <w:tcPr>
            <w:tcW w:type="dxa" w:w="1410"/>
            <w:tcMar>
              <w:top w:type="dxa" w:w="60"/>
              <w:left w:type="dxa" w:w="100"/>
              <w:bottom w:type="dxa" w:w="60"/>
              <w:right w:type="dxa" w:w="100"/>
            </w:tcMar>
          </w:tcPr>
          <w:p>
            <w:pPr>
              <w:spacing w:after="0"/>
              <w:jc w:val="left"/>
            </w:pPr>
            <w:r>
              <w:rPr>
                <w:sz w:val="18"/>
                <w:szCs w:val="18"/>
              </w:rPr>
              <w:t xml:space="preserve">—</w:t>
            </w:r>
          </w:p>
        </w:tc>
      </w:tr>
      <w:tr>
        <w:trPr>
          <w:tblHeader w:val="false"/>
        </w:trPr>
        <w:tc>
          <w:tcPr>
            <w:tcW w:type="dxa" w:w="1500"/>
            <w:shd w:fill="F2F2F2" w:val="clear"/>
            <w:tcMar>
              <w:top w:type="dxa" w:w="60"/>
              <w:left w:type="dxa" w:w="100"/>
              <w:bottom w:type="dxa" w:w="60"/>
              <w:right w:type="dxa" w:w="100"/>
            </w:tcMar>
          </w:tcPr>
          <w:p>
            <w:pPr>
              <w:spacing w:after="0"/>
              <w:jc w:val="left"/>
            </w:pPr>
            <w:r>
              <w:rPr>
                <w:sz w:val="18"/>
                <w:szCs w:val="18"/>
              </w:rPr>
              <w:t xml:space="preserve">Mon 18 May (t-4)</w:t>
            </w:r>
          </w:p>
        </w:tc>
        <w:tc>
          <w:tcPr>
            <w:tcW w:type="dxa" w:w="1300"/>
            <w:shd w:fill="F2F2F2" w:val="clear"/>
            <w:tcMar>
              <w:top w:type="dxa" w:w="60"/>
              <w:left w:type="dxa" w:w="100"/>
              <w:bottom w:type="dxa" w:w="60"/>
              <w:right w:type="dxa" w:w="100"/>
            </w:tcMar>
          </w:tcPr>
          <w:p>
            <w:pPr>
              <w:spacing w:after="0"/>
              <w:jc w:val="left"/>
            </w:pPr>
            <w:r>
              <w:rPr>
                <w:sz w:val="18"/>
                <w:szCs w:val="18"/>
              </w:rPr>
              <w:t xml:space="preserve">Trade 1</w:t>
            </w:r>
          </w:p>
        </w:tc>
        <w:tc>
          <w:tcPr>
            <w:tcW w:type="dxa" w:w="1250"/>
            <w:shd w:fill="F2F2F2" w:val="clear"/>
            <w:tcMar>
              <w:top w:type="dxa" w:w="60"/>
              <w:left w:type="dxa" w:w="100"/>
              <w:bottom w:type="dxa" w:w="60"/>
              <w:right w:type="dxa" w:w="100"/>
            </w:tcMar>
          </w:tcPr>
          <w:p>
            <w:pPr>
              <w:spacing w:after="0"/>
              <w:jc w:val="left"/>
            </w:pPr>
            <w:r>
              <w:rPr>
                <w:sz w:val="18"/>
                <w:szCs w:val="18"/>
              </w:rPr>
              <w:t xml:space="preserve">SHORT</w:t>
            </w:r>
          </w:p>
        </w:tc>
        <w:tc>
          <w:tcPr>
            <w:tcW w:type="dxa" w:w="1100"/>
            <w:shd w:fill="F2F2F2" w:val="clear"/>
            <w:tcMar>
              <w:top w:type="dxa" w:w="60"/>
              <w:left w:type="dxa" w:w="100"/>
              <w:bottom w:type="dxa" w:w="60"/>
              <w:right w:type="dxa" w:w="100"/>
            </w:tcMar>
          </w:tcPr>
          <w:p>
            <w:pPr>
              <w:spacing w:after="0"/>
              <w:jc w:val="left"/>
            </w:pPr>
            <w:r>
              <w:rPr>
                <w:sz w:val="18"/>
                <w:szCs w:val="18"/>
              </w:rPr>
              <w:t xml:space="preserve">YES</w:t>
            </w:r>
          </w:p>
        </w:tc>
        <w:tc>
          <w:tcPr>
            <w:tcW w:type="dxa" w:w="1700"/>
            <w:shd w:fill="F2F2F2" w:val="clear"/>
            <w:tcMar>
              <w:top w:type="dxa" w:w="60"/>
              <w:left w:type="dxa" w:w="100"/>
              <w:bottom w:type="dxa" w:w="60"/>
              <w:right w:type="dxa" w:w="100"/>
            </w:tcMar>
          </w:tcPr>
          <w:p>
            <w:pPr>
              <w:spacing w:after="0"/>
              <w:jc w:val="left"/>
            </w:pPr>
            <w:r>
              <w:rPr>
                <w:sz w:val="18"/>
                <w:szCs w:val="18"/>
              </w:rPr>
              <w:t xml:space="preserve">7,402 / 7,359</w:t>
            </w:r>
          </w:p>
        </w:tc>
        <w:tc>
          <w:tcPr>
            <w:tcW w:type="dxa" w:w="1100"/>
            <w:shd w:fill="F2F2F2" w:val="clear"/>
            <w:tcMar>
              <w:top w:type="dxa" w:w="60"/>
              <w:left w:type="dxa" w:w="100"/>
              <w:bottom w:type="dxa" w:w="60"/>
              <w:right w:type="dxa" w:w="100"/>
            </w:tcMar>
          </w:tcPr>
          <w:p>
            <w:pPr>
              <w:spacing w:after="0"/>
              <w:jc w:val="left"/>
            </w:pPr>
            <w:r>
              <w:rPr>
                <w:color w:val="2E8B57"/>
                <w:sz w:val="18"/>
                <w:szCs w:val="18"/>
              </w:rPr>
              <w:t xml:space="preserve">+1.0R</w:t>
            </w:r>
          </w:p>
        </w:tc>
        <w:tc>
          <w:tcPr>
            <w:tcW w:type="dxa" w:w="1410"/>
            <w:shd w:fill="F2F2F2" w:val="clear"/>
            <w:tcMar>
              <w:top w:type="dxa" w:w="60"/>
              <w:left w:type="dxa" w:w="100"/>
              <w:bottom w:type="dxa" w:w="60"/>
              <w:right w:type="dxa" w:w="100"/>
            </w:tcMar>
          </w:tcPr>
          <w:p>
            <w:pPr>
              <w:spacing w:after="0"/>
              <w:jc w:val="left"/>
            </w:pPr>
            <w:r>
              <w:rPr>
                <w:sz w:val="18"/>
                <w:szCs w:val="18"/>
              </w:rPr>
              <w:t xml:space="preserve">1</w:t>
            </w:r>
          </w:p>
        </w:tc>
      </w:tr>
      <w:tr>
        <w:trPr>
          <w:tblHeader w:val="false"/>
        </w:trPr>
        <w:tc>
          <w:tcPr>
            <w:tcW w:type="dxa" w:w="1500"/>
            <w:tcMar>
              <w:top w:type="dxa" w:w="60"/>
              <w:left w:type="dxa" w:w="100"/>
              <w:bottom w:type="dxa" w:w="60"/>
              <w:right w:type="dxa" w:w="100"/>
            </w:tcMar>
          </w:tcPr>
          <w:p>
            <w:pPr>
              <w:spacing w:after="0"/>
              <w:jc w:val="left"/>
            </w:pPr>
            <w:r>
              <w:rPr>
                <w:sz w:val="18"/>
                <w:szCs w:val="18"/>
              </w:rPr>
              <w:t xml:space="preserve">Mon 18 May (t-4)</w:t>
            </w:r>
          </w:p>
        </w:tc>
        <w:tc>
          <w:tcPr>
            <w:tcW w:type="dxa" w:w="1300"/>
            <w:tcMar>
              <w:top w:type="dxa" w:w="60"/>
              <w:left w:type="dxa" w:w="100"/>
              <w:bottom w:type="dxa" w:w="60"/>
              <w:right w:type="dxa" w:w="100"/>
            </w:tcMar>
          </w:tcPr>
          <w:p>
            <w:pPr>
              <w:spacing w:after="0"/>
              <w:jc w:val="left"/>
            </w:pPr>
            <w:r>
              <w:rPr>
                <w:sz w:val="18"/>
                <w:szCs w:val="18"/>
              </w:rPr>
              <w:t xml:space="preserve">Trade 2</w:t>
            </w:r>
          </w:p>
        </w:tc>
        <w:tc>
          <w:tcPr>
            <w:tcW w:type="dxa" w:w="1250"/>
            <w:tcMar>
              <w:top w:type="dxa" w:w="60"/>
              <w:left w:type="dxa" w:w="100"/>
              <w:bottom w:type="dxa" w:w="60"/>
              <w:right w:type="dxa" w:w="100"/>
            </w:tcMar>
          </w:tcPr>
          <w:p>
            <w:pPr>
              <w:spacing w:after="0"/>
              <w:jc w:val="left"/>
            </w:pPr>
            <w:r>
              <w:rPr>
                <w:sz w:val="18"/>
                <w:szCs w:val="18"/>
              </w:rPr>
              <w:t xml:space="preserve">SHORT</w:t>
            </w:r>
          </w:p>
        </w:tc>
        <w:tc>
          <w:tcPr>
            <w:tcW w:type="dxa" w:w="1100"/>
            <w:tcMar>
              <w:top w:type="dxa" w:w="60"/>
              <w:left w:type="dxa" w:w="100"/>
              <w:bottom w:type="dxa" w:w="60"/>
              <w:right w:type="dxa" w:w="100"/>
            </w:tcMar>
          </w:tcPr>
          <w:p>
            <w:pPr>
              <w:spacing w:after="0"/>
              <w:jc w:val="left"/>
            </w:pPr>
            <w:r>
              <w:rPr>
                <w:sz w:val="18"/>
                <w:szCs w:val="18"/>
              </w:rPr>
              <w:t xml:space="preserve">YES</w:t>
            </w:r>
          </w:p>
        </w:tc>
        <w:tc>
          <w:tcPr>
            <w:tcW w:type="dxa" w:w="1700"/>
            <w:tcMar>
              <w:top w:type="dxa" w:w="60"/>
              <w:left w:type="dxa" w:w="100"/>
              <w:bottom w:type="dxa" w:w="60"/>
              <w:right w:type="dxa" w:w="100"/>
            </w:tcMar>
          </w:tcPr>
          <w:p>
            <w:pPr>
              <w:spacing w:after="0"/>
              <w:jc w:val="left"/>
            </w:pPr>
            <w:r>
              <w:rPr>
                <w:sz w:val="18"/>
                <w:szCs w:val="18"/>
              </w:rPr>
              <w:t xml:space="preserve">Limit fill / mid</w:t>
            </w:r>
          </w:p>
        </w:tc>
        <w:tc>
          <w:tcPr>
            <w:tcW w:type="dxa" w:w="1100"/>
            <w:tcMar>
              <w:top w:type="dxa" w:w="60"/>
              <w:left w:type="dxa" w:w="100"/>
              <w:bottom w:type="dxa" w:w="60"/>
              <w:right w:type="dxa" w:w="100"/>
            </w:tcMar>
          </w:tcPr>
          <w:p>
            <w:pPr>
              <w:spacing w:after="0"/>
              <w:jc w:val="left"/>
            </w:pPr>
            <w:r>
              <w:rPr>
                <w:color w:val="2E8B57"/>
                <w:sz w:val="18"/>
                <w:szCs w:val="18"/>
              </w:rPr>
              <w:t xml:space="preserve">+0.6R</w:t>
            </w:r>
          </w:p>
        </w:tc>
        <w:tc>
          <w:tcPr>
            <w:tcW w:type="dxa" w:w="1410"/>
            <w:tcMar>
              <w:top w:type="dxa" w:w="60"/>
              <w:left w:type="dxa" w:w="100"/>
              <w:bottom w:type="dxa" w:w="60"/>
              <w:right w:type="dxa" w:w="100"/>
            </w:tcMar>
          </w:tcPr>
          <w:p>
            <w:pPr>
              <w:spacing w:after="0"/>
              <w:jc w:val="left"/>
            </w:pPr>
            <w:r>
              <w:rPr>
                <w:sz w:val="18"/>
                <w:szCs w:val="18"/>
              </w:rPr>
              <w:t xml:space="preserve">1</w:t>
            </w:r>
          </w:p>
        </w:tc>
      </w:tr>
      <w:tr>
        <w:trPr>
          <w:tblHeader w:val="false"/>
        </w:trPr>
        <w:tc>
          <w:tcPr>
            <w:tcW w:type="dxa" w:w="1500"/>
            <w:shd w:fill="F2F2F2" w:val="clear"/>
            <w:tcMar>
              <w:top w:type="dxa" w:w="60"/>
              <w:left w:type="dxa" w:w="100"/>
              <w:bottom w:type="dxa" w:w="60"/>
              <w:right w:type="dxa" w:w="100"/>
            </w:tcMar>
          </w:tcPr>
          <w:p>
            <w:pPr>
              <w:spacing w:after="0"/>
              <w:jc w:val="left"/>
            </w:pPr>
            <w:r>
              <w:rPr>
                <w:sz w:val="18"/>
                <w:szCs w:val="18"/>
              </w:rPr>
              <w:t xml:space="preserve">Tue 19 May (t-3)</w:t>
            </w:r>
          </w:p>
        </w:tc>
        <w:tc>
          <w:tcPr>
            <w:tcW w:type="dxa" w:w="1300"/>
            <w:shd w:fill="F2F2F2" w:val="clear"/>
            <w:tcMar>
              <w:top w:type="dxa" w:w="60"/>
              <w:left w:type="dxa" w:w="100"/>
              <w:bottom w:type="dxa" w:w="60"/>
              <w:right w:type="dxa" w:w="100"/>
            </w:tcMar>
          </w:tcPr>
          <w:p>
            <w:pPr>
              <w:spacing w:after="0"/>
              <w:jc w:val="left"/>
            </w:pPr>
            <w:r>
              <w:rPr>
                <w:sz w:val="18"/>
                <w:szCs w:val="18"/>
              </w:rPr>
              <w:t xml:space="preserve">Trade 1</w:t>
            </w:r>
          </w:p>
        </w:tc>
        <w:tc>
          <w:tcPr>
            <w:tcW w:type="dxa" w:w="1250"/>
            <w:shd w:fill="F2F2F2" w:val="clear"/>
            <w:tcMar>
              <w:top w:type="dxa" w:w="60"/>
              <w:left w:type="dxa" w:w="100"/>
              <w:bottom w:type="dxa" w:w="60"/>
              <w:right w:type="dxa" w:w="100"/>
            </w:tcMar>
          </w:tcPr>
          <w:p>
            <w:pPr>
              <w:spacing w:after="0"/>
              <w:jc w:val="left"/>
            </w:pPr>
            <w:r>
              <w:rPr>
                <w:sz w:val="18"/>
                <w:szCs w:val="18"/>
              </w:rPr>
              <w:t xml:space="preserve">SHORT</w:t>
            </w:r>
          </w:p>
        </w:tc>
        <w:tc>
          <w:tcPr>
            <w:tcW w:type="dxa" w:w="1100"/>
            <w:shd w:fill="F2F2F2" w:val="clear"/>
            <w:tcMar>
              <w:top w:type="dxa" w:w="60"/>
              <w:left w:type="dxa" w:w="100"/>
              <w:bottom w:type="dxa" w:w="60"/>
              <w:right w:type="dxa" w:w="100"/>
            </w:tcMar>
          </w:tcPr>
          <w:p>
            <w:pPr>
              <w:spacing w:after="0"/>
              <w:jc w:val="left"/>
            </w:pPr>
            <w:r>
              <w:rPr>
                <w:sz w:val="18"/>
                <w:szCs w:val="18"/>
              </w:rPr>
              <w:t xml:space="preserve">YES</w:t>
            </w:r>
          </w:p>
        </w:tc>
        <w:tc>
          <w:tcPr>
            <w:tcW w:type="dxa" w:w="1700"/>
            <w:shd w:fill="F2F2F2" w:val="clear"/>
            <w:tcMar>
              <w:top w:type="dxa" w:w="60"/>
              <w:left w:type="dxa" w:w="100"/>
              <w:bottom w:type="dxa" w:w="60"/>
              <w:right w:type="dxa" w:w="100"/>
            </w:tcMar>
          </w:tcPr>
          <w:p>
            <w:pPr>
              <w:spacing w:after="0"/>
              <w:jc w:val="left"/>
            </w:pPr>
            <w:r>
              <w:rPr>
                <w:sz w:val="18"/>
                <w:szCs w:val="18"/>
              </w:rPr>
              <w:t xml:space="preserve">7,361 / 7,354</w:t>
            </w:r>
          </w:p>
        </w:tc>
        <w:tc>
          <w:tcPr>
            <w:tcW w:type="dxa" w:w="1100"/>
            <w:shd w:fill="F2F2F2" w:val="clear"/>
            <w:tcMar>
              <w:top w:type="dxa" w:w="60"/>
              <w:left w:type="dxa" w:w="100"/>
              <w:bottom w:type="dxa" w:w="60"/>
              <w:right w:type="dxa" w:w="100"/>
            </w:tcMar>
          </w:tcPr>
          <w:p>
            <w:pPr>
              <w:spacing w:after="0"/>
              <w:jc w:val="left"/>
            </w:pPr>
            <w:r>
              <w:rPr>
                <w:color w:val="2E8B57"/>
                <w:sz w:val="18"/>
                <w:szCs w:val="18"/>
              </w:rPr>
              <w:t xml:space="preserve">+0.3R</w:t>
            </w:r>
          </w:p>
        </w:tc>
        <w:tc>
          <w:tcPr>
            <w:tcW w:type="dxa" w:w="1410"/>
            <w:shd w:fill="F2F2F2" w:val="clear"/>
            <w:tcMar>
              <w:top w:type="dxa" w:w="60"/>
              <w:left w:type="dxa" w:w="100"/>
              <w:bottom w:type="dxa" w:w="60"/>
              <w:right w:type="dxa" w:w="100"/>
            </w:tcMar>
          </w:tcPr>
          <w:p>
            <w:pPr>
              <w:spacing w:after="0"/>
              <w:jc w:val="left"/>
            </w:pPr>
            <w:r>
              <w:rPr>
                <w:sz w:val="18"/>
                <w:szCs w:val="18"/>
              </w:rPr>
              <w:t xml:space="preserve">1</w:t>
            </w:r>
          </w:p>
        </w:tc>
      </w:tr>
      <w:tr>
        <w:trPr>
          <w:tblHeader w:val="false"/>
        </w:trPr>
        <w:tc>
          <w:tcPr>
            <w:tcW w:type="dxa" w:w="1500"/>
            <w:tcMar>
              <w:top w:type="dxa" w:w="60"/>
              <w:left w:type="dxa" w:w="100"/>
              <w:bottom w:type="dxa" w:w="60"/>
              <w:right w:type="dxa" w:w="100"/>
            </w:tcMar>
          </w:tcPr>
          <w:p>
            <w:pPr>
              <w:spacing w:after="0"/>
              <w:jc w:val="left"/>
            </w:pPr>
            <w:r>
              <w:rPr>
                <w:sz w:val="18"/>
                <w:szCs w:val="18"/>
              </w:rPr>
              <w:t xml:space="preserve">Tue 19 May (t-3)</w:t>
            </w:r>
          </w:p>
        </w:tc>
        <w:tc>
          <w:tcPr>
            <w:tcW w:type="dxa" w:w="1300"/>
            <w:tcMar>
              <w:top w:type="dxa" w:w="60"/>
              <w:left w:type="dxa" w:w="100"/>
              <w:bottom w:type="dxa" w:w="60"/>
              <w:right w:type="dxa" w:w="100"/>
            </w:tcMar>
          </w:tcPr>
          <w:p>
            <w:pPr>
              <w:spacing w:after="0"/>
              <w:jc w:val="left"/>
            </w:pPr>
            <w:r>
              <w:rPr>
                <w:sz w:val="18"/>
                <w:szCs w:val="18"/>
              </w:rPr>
              <w:t xml:space="preserve">Trade 3A</w:t>
            </w:r>
          </w:p>
        </w:tc>
        <w:tc>
          <w:tcPr>
            <w:tcW w:type="dxa" w:w="1250"/>
            <w:tcMar>
              <w:top w:type="dxa" w:w="60"/>
              <w:left w:type="dxa" w:w="100"/>
              <w:bottom w:type="dxa" w:w="60"/>
              <w:right w:type="dxa" w:w="100"/>
            </w:tcMar>
          </w:tcPr>
          <w:p>
            <w:pPr>
              <w:spacing w:after="0"/>
              <w:jc w:val="left"/>
            </w:pPr>
            <w:r>
              <w:rPr>
                <w:sz w:val="18"/>
                <w:szCs w:val="18"/>
              </w:rPr>
              <w:t xml:space="preserve">LONG</w:t>
            </w:r>
          </w:p>
        </w:tc>
        <w:tc>
          <w:tcPr>
            <w:tcW w:type="dxa" w:w="1100"/>
            <w:tcMar>
              <w:top w:type="dxa" w:w="60"/>
              <w:left w:type="dxa" w:w="100"/>
              <w:bottom w:type="dxa" w:w="60"/>
              <w:right w:type="dxa" w:w="100"/>
            </w:tcMar>
          </w:tcPr>
          <w:p>
            <w:pPr>
              <w:spacing w:after="0"/>
              <w:jc w:val="left"/>
            </w:pPr>
            <w:r>
              <w:rPr>
                <w:sz w:val="18"/>
                <w:szCs w:val="18"/>
              </w:rPr>
              <w:t xml:space="preserve">NO</w:t>
            </w:r>
          </w:p>
        </w:tc>
        <w:tc>
          <w:tcPr>
            <w:tcW w:type="dxa" w:w="1700"/>
            <w:tcMar>
              <w:top w:type="dxa" w:w="60"/>
              <w:left w:type="dxa" w:w="100"/>
              <w:bottom w:type="dxa" w:w="60"/>
              <w:right w:type="dxa" w:w="100"/>
            </w:tcMar>
          </w:tcPr>
          <w:p>
            <w:pPr>
              <w:spacing w:after="0"/>
              <w:jc w:val="left"/>
            </w:pPr>
            <w:r>
              <w:rPr>
                <w:sz w:val="18"/>
                <w:szCs w:val="18"/>
              </w:rPr>
              <w:t xml:space="preserve">Pullback not reached</w:t>
            </w:r>
          </w:p>
        </w:tc>
        <w:tc>
          <w:tcPr>
            <w:tcW w:type="dxa" w:w="1100"/>
            <w:tcMar>
              <w:top w:type="dxa" w:w="60"/>
              <w:left w:type="dxa" w:w="100"/>
              <w:bottom w:type="dxa" w:w="60"/>
              <w:right w:type="dxa" w:w="100"/>
            </w:tcMar>
          </w:tcPr>
          <w:p>
            <w:pPr>
              <w:spacing w:after="0"/>
              <w:jc w:val="left"/>
            </w:pPr>
            <w:r>
              <w:rPr>
                <w:sz w:val="18"/>
                <w:szCs w:val="18"/>
              </w:rPr>
              <w:t xml:space="preserve">—</w:t>
            </w:r>
          </w:p>
        </w:tc>
        <w:tc>
          <w:tcPr>
            <w:tcW w:type="dxa" w:w="1410"/>
            <w:tcMar>
              <w:top w:type="dxa" w:w="60"/>
              <w:left w:type="dxa" w:w="100"/>
              <w:bottom w:type="dxa" w:w="60"/>
              <w:right w:type="dxa" w:w="100"/>
            </w:tcMar>
          </w:tcPr>
          <w:p>
            <w:pPr>
              <w:spacing w:after="0"/>
              <w:jc w:val="left"/>
            </w:pPr>
            <w:r>
              <w:rPr>
                <w:sz w:val="18"/>
                <w:szCs w:val="18"/>
              </w:rPr>
              <w:t xml:space="preserve">—</w:t>
            </w:r>
          </w:p>
        </w:tc>
      </w:tr>
      <w:tr>
        <w:trPr>
          <w:tblHeader w:val="false"/>
        </w:trPr>
        <w:tc>
          <w:tcPr>
            <w:tcW w:type="dxa" w:w="1500"/>
            <w:shd w:fill="F2F2F2" w:val="clear"/>
            <w:tcMar>
              <w:top w:type="dxa" w:w="60"/>
              <w:left w:type="dxa" w:w="100"/>
              <w:bottom w:type="dxa" w:w="60"/>
              <w:right w:type="dxa" w:w="100"/>
            </w:tcMar>
          </w:tcPr>
          <w:p>
            <w:pPr>
              <w:spacing w:after="0"/>
              <w:jc w:val="left"/>
            </w:pPr>
            <w:r>
              <w:rPr>
                <w:sz w:val="18"/>
                <w:szCs w:val="18"/>
              </w:rPr>
              <w:t xml:space="preserve">Wed 20 May (t-2)</w:t>
            </w:r>
          </w:p>
        </w:tc>
        <w:tc>
          <w:tcPr>
            <w:tcW w:type="dxa" w:w="1300"/>
            <w:shd w:fill="F2F2F2" w:val="clear"/>
            <w:tcMar>
              <w:top w:type="dxa" w:w="60"/>
              <w:left w:type="dxa" w:w="100"/>
              <w:bottom w:type="dxa" w:w="60"/>
              <w:right w:type="dxa" w:w="100"/>
            </w:tcMar>
          </w:tcPr>
          <w:p>
            <w:pPr>
              <w:spacing w:after="0"/>
              <w:jc w:val="left"/>
            </w:pPr>
            <w:r>
              <w:rPr>
                <w:sz w:val="18"/>
                <w:szCs w:val="18"/>
              </w:rPr>
              <w:t xml:space="preserve">Trade 1</w:t>
            </w:r>
          </w:p>
        </w:tc>
        <w:tc>
          <w:tcPr>
            <w:tcW w:type="dxa" w:w="1250"/>
            <w:shd w:fill="F2F2F2" w:val="clear"/>
            <w:tcMar>
              <w:top w:type="dxa" w:w="60"/>
              <w:left w:type="dxa" w:w="100"/>
              <w:bottom w:type="dxa" w:w="60"/>
              <w:right w:type="dxa" w:w="100"/>
            </w:tcMar>
          </w:tcPr>
          <w:p>
            <w:pPr>
              <w:spacing w:after="0"/>
              <w:jc w:val="left"/>
            </w:pPr>
            <w:r>
              <w:rPr>
                <w:sz w:val="18"/>
                <w:szCs w:val="18"/>
              </w:rPr>
              <w:t xml:space="preserve">LONG</w:t>
            </w:r>
          </w:p>
        </w:tc>
        <w:tc>
          <w:tcPr>
            <w:tcW w:type="dxa" w:w="1100"/>
            <w:shd w:fill="F2F2F2" w:val="clear"/>
            <w:tcMar>
              <w:top w:type="dxa" w:w="60"/>
              <w:left w:type="dxa" w:w="100"/>
              <w:bottom w:type="dxa" w:w="60"/>
              <w:right w:type="dxa" w:w="100"/>
            </w:tcMar>
          </w:tcPr>
          <w:p>
            <w:pPr>
              <w:spacing w:after="0"/>
              <w:jc w:val="left"/>
            </w:pPr>
            <w:r>
              <w:rPr>
                <w:sz w:val="18"/>
                <w:szCs w:val="18"/>
              </w:rPr>
              <w:t xml:space="preserve">YES</w:t>
            </w:r>
          </w:p>
        </w:tc>
        <w:tc>
          <w:tcPr>
            <w:tcW w:type="dxa" w:w="1700"/>
            <w:shd w:fill="F2F2F2" w:val="clear"/>
            <w:tcMar>
              <w:top w:type="dxa" w:w="60"/>
              <w:left w:type="dxa" w:w="100"/>
              <w:bottom w:type="dxa" w:w="60"/>
              <w:right w:type="dxa" w:w="100"/>
            </w:tcMar>
          </w:tcPr>
          <w:p>
            <w:pPr>
              <w:spacing w:after="0"/>
              <w:jc w:val="left"/>
            </w:pPr>
            <w:r>
              <w:rPr>
                <w:sz w:val="18"/>
                <w:szCs w:val="18"/>
              </w:rPr>
              <w:t xml:space="preserve">7,373 / 7,433</w:t>
            </w:r>
          </w:p>
        </w:tc>
        <w:tc>
          <w:tcPr>
            <w:tcW w:type="dxa" w:w="1100"/>
            <w:shd w:fill="F2F2F2" w:val="clear"/>
            <w:tcMar>
              <w:top w:type="dxa" w:w="60"/>
              <w:left w:type="dxa" w:w="100"/>
              <w:bottom w:type="dxa" w:w="60"/>
              <w:right w:type="dxa" w:w="100"/>
            </w:tcMar>
          </w:tcPr>
          <w:p>
            <w:pPr>
              <w:spacing w:after="0"/>
              <w:jc w:val="left"/>
            </w:pPr>
            <w:r>
              <w:rPr>
                <w:color w:val="2E8B57"/>
                <w:sz w:val="18"/>
                <w:szCs w:val="18"/>
              </w:rPr>
              <w:t xml:space="preserve">+2.0R</w:t>
            </w:r>
          </w:p>
        </w:tc>
        <w:tc>
          <w:tcPr>
            <w:tcW w:type="dxa" w:w="1410"/>
            <w:shd w:fill="F2F2F2" w:val="clear"/>
            <w:tcMar>
              <w:top w:type="dxa" w:w="60"/>
              <w:left w:type="dxa" w:w="100"/>
              <w:bottom w:type="dxa" w:w="60"/>
              <w:right w:type="dxa" w:w="100"/>
            </w:tcMar>
          </w:tcPr>
          <w:p>
            <w:pPr>
              <w:spacing w:after="0"/>
              <w:jc w:val="left"/>
            </w:pPr>
            <w:r>
              <w:rPr>
                <w:sz w:val="18"/>
                <w:szCs w:val="18"/>
              </w:rPr>
              <w:t xml:space="preserve">1</w:t>
            </w:r>
          </w:p>
        </w:tc>
      </w:tr>
      <w:tr>
        <w:trPr>
          <w:tblHeader w:val="false"/>
        </w:trPr>
        <w:tc>
          <w:tcPr>
            <w:tcW w:type="dxa" w:w="1500"/>
            <w:tcMar>
              <w:top w:type="dxa" w:w="60"/>
              <w:left w:type="dxa" w:w="100"/>
              <w:bottom w:type="dxa" w:w="60"/>
              <w:right w:type="dxa" w:w="100"/>
            </w:tcMar>
          </w:tcPr>
          <w:p>
            <w:pPr>
              <w:spacing w:after="0"/>
              <w:jc w:val="left"/>
            </w:pPr>
            <w:r>
              <w:rPr>
                <w:sz w:val="18"/>
                <w:szCs w:val="18"/>
              </w:rPr>
              <w:t xml:space="preserve">Wed 20 May (t-2)</w:t>
            </w:r>
          </w:p>
        </w:tc>
        <w:tc>
          <w:tcPr>
            <w:tcW w:type="dxa" w:w="1300"/>
            <w:tcMar>
              <w:top w:type="dxa" w:w="60"/>
              <w:left w:type="dxa" w:w="100"/>
              <w:bottom w:type="dxa" w:w="60"/>
              <w:right w:type="dxa" w:w="100"/>
            </w:tcMar>
          </w:tcPr>
          <w:p>
            <w:pPr>
              <w:spacing w:after="0"/>
              <w:jc w:val="left"/>
            </w:pPr>
            <w:r>
              <w:rPr>
                <w:sz w:val="18"/>
                <w:szCs w:val="18"/>
              </w:rPr>
              <w:t xml:space="preserve">Trade 2</w:t>
            </w:r>
          </w:p>
        </w:tc>
        <w:tc>
          <w:tcPr>
            <w:tcW w:type="dxa" w:w="1250"/>
            <w:tcMar>
              <w:top w:type="dxa" w:w="60"/>
              <w:left w:type="dxa" w:w="100"/>
              <w:bottom w:type="dxa" w:w="60"/>
              <w:right w:type="dxa" w:w="100"/>
            </w:tcMar>
          </w:tcPr>
          <w:p>
            <w:pPr>
              <w:spacing w:after="0"/>
              <w:jc w:val="left"/>
            </w:pPr>
            <w:r>
              <w:rPr>
                <w:sz w:val="18"/>
                <w:szCs w:val="18"/>
              </w:rPr>
              <w:t xml:space="preserve">LONG</w:t>
            </w:r>
          </w:p>
        </w:tc>
        <w:tc>
          <w:tcPr>
            <w:tcW w:type="dxa" w:w="1100"/>
            <w:tcMar>
              <w:top w:type="dxa" w:w="60"/>
              <w:left w:type="dxa" w:w="100"/>
              <w:bottom w:type="dxa" w:w="60"/>
              <w:right w:type="dxa" w:w="100"/>
            </w:tcMar>
          </w:tcPr>
          <w:p>
            <w:pPr>
              <w:spacing w:after="0"/>
              <w:jc w:val="left"/>
            </w:pPr>
            <w:r>
              <w:rPr>
                <w:sz w:val="18"/>
                <w:szCs w:val="18"/>
              </w:rPr>
              <w:t xml:space="preserve">YES</w:t>
            </w:r>
          </w:p>
        </w:tc>
        <w:tc>
          <w:tcPr>
            <w:tcW w:type="dxa" w:w="1700"/>
            <w:tcMar>
              <w:top w:type="dxa" w:w="60"/>
              <w:left w:type="dxa" w:w="100"/>
              <w:bottom w:type="dxa" w:w="60"/>
              <w:right w:type="dxa" w:w="100"/>
            </w:tcMar>
          </w:tcPr>
          <w:p>
            <w:pPr>
              <w:spacing w:after="0"/>
              <w:jc w:val="left"/>
            </w:pPr>
            <w:r>
              <w:rPr>
                <w:sz w:val="18"/>
                <w:szCs w:val="18"/>
              </w:rPr>
              <w:t xml:space="preserve">Stop entry / R1</w:t>
            </w:r>
          </w:p>
        </w:tc>
        <w:tc>
          <w:tcPr>
            <w:tcW w:type="dxa" w:w="1100"/>
            <w:tcMar>
              <w:top w:type="dxa" w:w="60"/>
              <w:left w:type="dxa" w:w="100"/>
              <w:bottom w:type="dxa" w:w="60"/>
              <w:right w:type="dxa" w:w="100"/>
            </w:tcMar>
          </w:tcPr>
          <w:p>
            <w:pPr>
              <w:spacing w:after="0"/>
              <w:jc w:val="left"/>
            </w:pPr>
            <w:r>
              <w:rPr>
                <w:color w:val="2E8B57"/>
                <w:sz w:val="18"/>
                <w:szCs w:val="18"/>
              </w:rPr>
              <w:t xml:space="preserve">+1.0R</w:t>
            </w:r>
          </w:p>
        </w:tc>
        <w:tc>
          <w:tcPr>
            <w:tcW w:type="dxa" w:w="1410"/>
            <w:tcMar>
              <w:top w:type="dxa" w:w="60"/>
              <w:left w:type="dxa" w:w="100"/>
              <w:bottom w:type="dxa" w:w="60"/>
              <w:right w:type="dxa" w:w="100"/>
            </w:tcMar>
          </w:tcPr>
          <w:p>
            <w:pPr>
              <w:spacing w:after="0"/>
              <w:jc w:val="left"/>
            </w:pPr>
            <w:r>
              <w:rPr>
                <w:sz w:val="18"/>
                <w:szCs w:val="18"/>
              </w:rPr>
              <w:t xml:space="preserve">1</w:t>
            </w:r>
          </w:p>
        </w:tc>
      </w:tr>
      <w:tr>
        <w:trPr>
          <w:tblHeader w:val="false"/>
        </w:trPr>
        <w:tc>
          <w:tcPr>
            <w:tcW w:type="dxa" w:w="1500"/>
            <w:shd w:fill="F2F2F2" w:val="clear"/>
            <w:tcMar>
              <w:top w:type="dxa" w:w="60"/>
              <w:left w:type="dxa" w:w="100"/>
              <w:bottom w:type="dxa" w:w="60"/>
              <w:right w:type="dxa" w:w="100"/>
            </w:tcMar>
          </w:tcPr>
          <w:p>
            <w:pPr>
              <w:spacing w:after="0"/>
              <w:jc w:val="left"/>
            </w:pPr>
            <w:r>
              <w:rPr>
                <w:sz w:val="18"/>
                <w:szCs w:val="18"/>
              </w:rPr>
              <w:t xml:space="preserve">Thu 21 May (t-1)</w:t>
            </w:r>
          </w:p>
        </w:tc>
        <w:tc>
          <w:tcPr>
            <w:tcW w:type="dxa" w:w="1300"/>
            <w:shd w:fill="F2F2F2" w:val="clear"/>
            <w:tcMar>
              <w:top w:type="dxa" w:w="60"/>
              <w:left w:type="dxa" w:w="100"/>
              <w:bottom w:type="dxa" w:w="60"/>
              <w:right w:type="dxa" w:w="100"/>
            </w:tcMar>
          </w:tcPr>
          <w:p>
            <w:pPr>
              <w:spacing w:after="0"/>
              <w:jc w:val="left"/>
            </w:pPr>
            <w:r>
              <w:rPr>
                <w:sz w:val="18"/>
                <w:szCs w:val="18"/>
              </w:rPr>
              <w:t xml:space="preserve">Trade 1</w:t>
            </w:r>
          </w:p>
        </w:tc>
        <w:tc>
          <w:tcPr>
            <w:tcW w:type="dxa" w:w="1250"/>
            <w:shd w:fill="F2F2F2" w:val="clear"/>
            <w:tcMar>
              <w:top w:type="dxa" w:w="60"/>
              <w:left w:type="dxa" w:w="100"/>
              <w:bottom w:type="dxa" w:w="60"/>
              <w:right w:type="dxa" w:w="100"/>
            </w:tcMar>
          </w:tcPr>
          <w:p>
            <w:pPr>
              <w:spacing w:after="0"/>
              <w:jc w:val="left"/>
            </w:pPr>
            <w:r>
              <w:rPr>
                <w:sz w:val="18"/>
                <w:szCs w:val="18"/>
              </w:rPr>
              <w:t xml:space="preserve">NEUTRAL</w:t>
            </w:r>
          </w:p>
        </w:tc>
        <w:tc>
          <w:tcPr>
            <w:tcW w:type="dxa" w:w="1100"/>
            <w:shd w:fill="F2F2F2" w:val="clear"/>
            <w:tcMar>
              <w:top w:type="dxa" w:w="60"/>
              <w:left w:type="dxa" w:w="100"/>
              <w:bottom w:type="dxa" w:w="60"/>
              <w:right w:type="dxa" w:w="100"/>
            </w:tcMar>
          </w:tcPr>
          <w:p>
            <w:pPr>
              <w:spacing w:after="0"/>
              <w:jc w:val="left"/>
            </w:pPr>
            <w:r>
              <w:rPr>
                <w:sz w:val="18"/>
                <w:szCs w:val="18"/>
              </w:rPr>
              <w:t xml:space="preserve">NO</w:t>
            </w:r>
          </w:p>
        </w:tc>
        <w:tc>
          <w:tcPr>
            <w:tcW w:type="dxa" w:w="1700"/>
            <w:shd w:fill="F2F2F2" w:val="clear"/>
            <w:tcMar>
              <w:top w:type="dxa" w:w="60"/>
              <w:left w:type="dxa" w:w="100"/>
              <w:bottom w:type="dxa" w:w="60"/>
              <w:right w:type="dxa" w:w="100"/>
            </w:tcMar>
          </w:tcPr>
          <w:p>
            <w:pPr>
              <w:spacing w:after="0"/>
              <w:jc w:val="left"/>
            </w:pPr>
            <w:r>
              <w:rPr>
                <w:sz w:val="18"/>
                <w:szCs w:val="18"/>
              </w:rPr>
              <w:t xml:space="preserve">Suppressed — sub-threshold</w:t>
            </w:r>
          </w:p>
        </w:tc>
        <w:tc>
          <w:tcPr>
            <w:tcW w:type="dxa" w:w="1100"/>
            <w:shd w:fill="F2F2F2" w:val="clear"/>
            <w:tcMar>
              <w:top w:type="dxa" w:w="60"/>
              <w:left w:type="dxa" w:w="100"/>
              <w:bottom w:type="dxa" w:w="60"/>
              <w:right w:type="dxa" w:w="100"/>
            </w:tcMar>
          </w:tcPr>
          <w:p>
            <w:pPr>
              <w:spacing w:after="0"/>
              <w:jc w:val="left"/>
            </w:pPr>
            <w:r>
              <w:rPr>
                <w:sz w:val="18"/>
                <w:szCs w:val="18"/>
              </w:rPr>
              <w:t xml:space="preserve">—</w:t>
            </w:r>
          </w:p>
        </w:tc>
        <w:tc>
          <w:tcPr>
            <w:tcW w:type="dxa" w:w="1410"/>
            <w:shd w:fill="F2F2F2" w:val="clear"/>
            <w:tcMar>
              <w:top w:type="dxa" w:w="60"/>
              <w:left w:type="dxa" w:w="100"/>
              <w:bottom w:type="dxa" w:w="60"/>
              <w:right w:type="dxa" w:w="100"/>
            </w:tcMar>
          </w:tcPr>
          <w:p>
            <w:pPr>
              <w:spacing w:after="0"/>
              <w:jc w:val="left"/>
            </w:pPr>
            <w:r>
              <w:rPr>
                <w:sz w:val="18"/>
                <w:szCs w:val="18"/>
              </w:rPr>
              <w:t xml:space="preserve">—</w:t>
            </w:r>
          </w:p>
        </w:tc>
      </w:tr>
      <w:tr>
        <w:trPr>
          <w:tblHeader w:val="false"/>
        </w:trPr>
        <w:tc>
          <w:tcPr>
            <w:tcW w:type="dxa" w:w="1500"/>
            <w:tcMar>
              <w:top w:type="dxa" w:w="60"/>
              <w:left w:type="dxa" w:w="100"/>
              <w:bottom w:type="dxa" w:w="60"/>
              <w:right w:type="dxa" w:w="100"/>
            </w:tcMar>
          </w:tcPr>
          <w:p>
            <w:pPr>
              <w:spacing w:after="0"/>
              <w:jc w:val="left"/>
            </w:pPr>
            <w:r>
              <w:rPr>
                <w:sz w:val="18"/>
                <w:szCs w:val="18"/>
              </w:rPr>
              <w:t xml:space="preserve">Thu 21 May (t-1)</w:t>
            </w:r>
          </w:p>
        </w:tc>
        <w:tc>
          <w:tcPr>
            <w:tcW w:type="dxa" w:w="1300"/>
            <w:tcMar>
              <w:top w:type="dxa" w:w="60"/>
              <w:left w:type="dxa" w:w="100"/>
              <w:bottom w:type="dxa" w:w="60"/>
              <w:right w:type="dxa" w:w="100"/>
            </w:tcMar>
          </w:tcPr>
          <w:p>
            <w:pPr>
              <w:spacing w:after="0"/>
              <w:jc w:val="left"/>
            </w:pPr>
            <w:r>
              <w:rPr>
                <w:sz w:val="18"/>
                <w:szCs w:val="18"/>
              </w:rPr>
              <w:t xml:space="preserve">Trade 2</w:t>
            </w:r>
          </w:p>
        </w:tc>
        <w:tc>
          <w:tcPr>
            <w:tcW w:type="dxa" w:w="1250"/>
            <w:tcMar>
              <w:top w:type="dxa" w:w="60"/>
              <w:left w:type="dxa" w:w="100"/>
              <w:bottom w:type="dxa" w:w="60"/>
              <w:right w:type="dxa" w:w="100"/>
            </w:tcMar>
          </w:tcPr>
          <w:p>
            <w:pPr>
              <w:spacing w:after="0"/>
              <w:jc w:val="left"/>
            </w:pPr>
            <w:r>
              <w:rPr>
                <w:sz w:val="18"/>
                <w:szCs w:val="18"/>
              </w:rPr>
              <w:t xml:space="preserve">LONG</w:t>
            </w:r>
          </w:p>
        </w:tc>
        <w:tc>
          <w:tcPr>
            <w:tcW w:type="dxa" w:w="1100"/>
            <w:tcMar>
              <w:top w:type="dxa" w:w="60"/>
              <w:left w:type="dxa" w:w="100"/>
              <w:bottom w:type="dxa" w:w="60"/>
              <w:right w:type="dxa" w:w="100"/>
            </w:tcMar>
          </w:tcPr>
          <w:p>
            <w:pPr>
              <w:spacing w:after="0"/>
              <w:jc w:val="left"/>
            </w:pPr>
            <w:r>
              <w:rPr>
                <w:sz w:val="18"/>
                <w:szCs w:val="18"/>
              </w:rPr>
              <w:t xml:space="preserve">YES</w:t>
            </w:r>
          </w:p>
        </w:tc>
        <w:tc>
          <w:tcPr>
            <w:tcW w:type="dxa" w:w="1700"/>
            <w:tcMar>
              <w:top w:type="dxa" w:w="60"/>
              <w:left w:type="dxa" w:w="100"/>
              <w:bottom w:type="dxa" w:w="60"/>
              <w:right w:type="dxa" w:w="100"/>
            </w:tcMar>
          </w:tcPr>
          <w:p>
            <w:pPr>
              <w:spacing w:after="0"/>
              <w:jc w:val="left"/>
            </w:pPr>
            <w:r>
              <w:rPr>
                <w:sz w:val="18"/>
                <w:szCs w:val="18"/>
              </w:rPr>
              <w:t xml:space="preserve">Stop entry / SL</w:t>
            </w:r>
          </w:p>
        </w:tc>
        <w:tc>
          <w:tcPr>
            <w:tcW w:type="dxa" w:w="1100"/>
            <w:tcMar>
              <w:top w:type="dxa" w:w="60"/>
              <w:left w:type="dxa" w:w="100"/>
              <w:bottom w:type="dxa" w:w="60"/>
              <w:right w:type="dxa" w:w="100"/>
            </w:tcMar>
          </w:tcPr>
          <w:p>
            <w:pPr>
              <w:spacing w:after="0"/>
              <w:jc w:val="left"/>
            </w:pPr>
            <w:r>
              <w:rPr>
                <w:color w:val="C0392B"/>
                <w:sz w:val="18"/>
                <w:szCs w:val="18"/>
              </w:rPr>
              <w:t xml:space="preserve">−1.0R</w:t>
            </w:r>
          </w:p>
        </w:tc>
        <w:tc>
          <w:tcPr>
            <w:tcW w:type="dxa" w:w="1410"/>
            <w:tcMar>
              <w:top w:type="dxa" w:w="60"/>
              <w:left w:type="dxa" w:w="100"/>
              <w:bottom w:type="dxa" w:w="60"/>
              <w:right w:type="dxa" w:w="100"/>
            </w:tcMar>
          </w:tcPr>
          <w:p>
            <w:pPr>
              <w:spacing w:after="0"/>
              <w:jc w:val="left"/>
            </w:pPr>
            <w:r>
              <w:rPr>
                <w:sz w:val="18"/>
                <w:szCs w:val="18"/>
              </w:rPr>
              <w:t xml:space="preserve">1</w:t>
            </w:r>
          </w:p>
        </w:tc>
      </w:tr>
    </w:tbl>
    <w:p>
      <w:pPr>
        <w:spacing w:after="60"/>
      </w:pPr>
      <w:r>
        <w:t xml:space="preserve"/>
      </w:r>
    </w:p>
    <w:p>
      <w:pPr>
        <w:pStyle w:val="Heading3"/>
      </w:pPr>
      <w:r>
        <w:t xml:space="preserve">21d  What Is Working</w:t>
      </w:r>
    </w:p>
    <w:p>
      <w:pPr>
        <w:spacing w:after="120"/>
      </w:pPr>
      <w:r>
        <w:t xml:space="preserve">Trade 1 over the last 5 sessions: triggered 4/5 times, mean R = +1.20, TP1 / TP2 / TP3 hit rates approximately 100% / 25% / 0%. Trade 2 over the last 5 sessions: triggered 4/4 issued (one suppression-free window), mean R = +0.40, TP1 / TP2 / TP3 hit rates approximately 75% / 0% / 0%. Trade 3 variants triggered 0 times — no confirmed breakout and no qualifying pullback within the window, so there are insufficient triggers to rank.</w:t>
      </w:r>
    </w:p>
    <w:p>
      <w:pPr>
        <w:spacing w:after="120"/>
      </w:pPr>
      <w:r>
        <w:t xml:space="default"/>
      </w:r>
    </w:p>
    <w:p>
      <w:pPr>
        <w:spacing w:after="120"/>
      </w:pPr>
      <w:r>
        <w:rPr>
          <w:i/>
          <w:iCs/>
          <w:color w:val="555555"/>
          <w:sz w:val="19"/>
          <w:szCs w:val="19"/>
        </w:rPr>
        <w:t xml:space="preserve">Five-session windows are too small to support statistical claims. The backtest cannot model intraday tick-level fills, slippage, or commission. Treat as a directional sanity-check, not a strategy-validation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pPr>
    <w:r>
      <w:rPr>
        <w:color w:val="888888"/>
        <w:sz w:val="15"/>
        <w:szCs w:val="15"/>
      </w:rPr>
      <w:t xml:space="preserve">S&amp;P 500 Daily Report  │  22 May 2026  │  Senior US Equity Strategist</w:t>
    </w:r>
    <w:r>
      <w:rPr>
        <w:color w:val="888888"/>
        <w:sz w:val="15"/>
        <w:szCs w:val="15"/>
      </w:rPr>
      <w:t xml:space="preserve">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360"/>
      </w:tabs>
    </w:pPr>
    <w:r>
      <w:rPr>
        <w:color w:val="888888"/>
        <w:sz w:val="16"/>
        <w:szCs w:val="16"/>
      </w:rPr>
      <w:t xml:space="preserve">S&amp;P 500 Report</w:t>
    </w:r>
    <w:r>
      <w:rPr>
        <w:color w:val="888888"/>
        <w:sz w:val="16"/>
        <w:szCs w:val="16"/>
      </w:rPr>
      <w:t xml:space="preserve">	Daily: 22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4" w:space="3"/>
      </w:pBdr>
      <w:spacing w:after="160" w:before="28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1F3A5F"/>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33536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0fde361d47667952fa57cb800ef85b17f1bfb2.png"/><Relationship Id="rId10" Type="http://schemas.openxmlformats.org/officeDocument/2006/relationships/image" Target="media/13da232dc50a7d9df2d2857b3b427337b0973b78.png"/><Relationship Id="rId11" Type="http://schemas.openxmlformats.org/officeDocument/2006/relationships/image" Target="media/e7e8c36d9ec0d8d55123534eded21ae46689d6f4.png"/><Relationship Id="rId12" Type="http://schemas.openxmlformats.org/officeDocument/2006/relationships/image" Target="media/e4558fa403ca7158152f095af87a7e05139c9b4b.png"/><Relationship Id="rId13" Type="http://schemas.openxmlformats.org/officeDocument/2006/relationships/image" Target="media/6ca32461dc0e3d9c57880e151382358ab0ec6ac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2026-05-21T21:34:45.193Z</dcterms:created>
  <dcterms:modified xsi:type="dcterms:W3CDTF">2026-05-21T21:34:45.193Z</dcterms:modified>
</cp:coreProperties>
</file>

<file path=docProps/custom.xml><?xml version="1.0" encoding="utf-8"?>
<Properties xmlns="http://schemas.openxmlformats.org/officeDocument/2006/custom-properties" xmlns:vt="http://schemas.openxmlformats.org/officeDocument/2006/docPropsVTypes"/>
</file>